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51B29" w14:textId="77777777" w:rsidR="00603759"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Understanding and Engaging Stakeholders</w:t>
      </w:r>
    </w:p>
    <w:p w14:paraId="116FD42E" w14:textId="77777777" w:rsidR="00603759"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LCLM5001</w:t>
      </w:r>
    </w:p>
    <w:p w14:paraId="0A2BABDA" w14:textId="77777777" w:rsidR="00603759"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Understanding the importance</w:t>
      </w:r>
    </w:p>
    <w:p w14:paraId="486C7414" w14:textId="77777777" w:rsidR="00603759"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Stakeholder Engagement in successful commencement and completion of project</w:t>
      </w:r>
    </w:p>
    <w:p w14:paraId="165BA161" w14:textId="77777777" w:rsidR="005C7553" w:rsidRDefault="005C7553">
      <w:pPr>
        <w:spacing w:line="360" w:lineRule="auto"/>
        <w:jc w:val="center"/>
        <w:rPr>
          <w:rFonts w:ascii="Times New Roman" w:eastAsia="Times New Roman" w:hAnsi="Times New Roman" w:cs="Times New Roman"/>
          <w:b/>
          <w:sz w:val="32"/>
          <w:szCs w:val="32"/>
        </w:rPr>
      </w:pPr>
    </w:p>
    <w:p w14:paraId="52560C8E" w14:textId="5F258D7C" w:rsidR="005C7553" w:rsidRDefault="005C755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Lorena Denisa Szolosi</w:t>
      </w:r>
    </w:p>
    <w:p w14:paraId="413D58BB" w14:textId="33186BCD" w:rsidR="005C7553" w:rsidRDefault="005C755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Pr="005C7553">
        <w:rPr>
          <w:rFonts w:ascii="Times New Roman" w:eastAsia="Times New Roman" w:hAnsi="Times New Roman" w:cs="Times New Roman"/>
          <w:b/>
          <w:sz w:val="32"/>
          <w:szCs w:val="32"/>
        </w:rPr>
        <w:t>2412292</w:t>
      </w:r>
    </w:p>
    <w:p w14:paraId="6E9A40C4" w14:textId="7345D4F8" w:rsidR="005C7553" w:rsidRDefault="005C755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Tutor name: </w:t>
      </w:r>
      <w:r w:rsidRPr="005C7553">
        <w:rPr>
          <w:rFonts w:ascii="Times New Roman" w:eastAsia="Times New Roman" w:hAnsi="Times New Roman" w:cs="Times New Roman"/>
          <w:b/>
          <w:sz w:val="32"/>
          <w:szCs w:val="32"/>
        </w:rPr>
        <w:t>Nadeem Mirza</w:t>
      </w:r>
    </w:p>
    <w:p w14:paraId="03AE11B7" w14:textId="77777777" w:rsidR="00603759" w:rsidRDefault="00000000">
      <w:pPr>
        <w:spacing w:line="360" w:lineRule="auto"/>
        <w:jc w:val="both"/>
        <w:rPr>
          <w:rFonts w:ascii="Times New Roman" w:eastAsia="Times New Roman" w:hAnsi="Times New Roman" w:cs="Times New Roman"/>
          <w:sz w:val="24"/>
          <w:szCs w:val="24"/>
        </w:rPr>
      </w:pPr>
      <w:r>
        <w:br w:type="page"/>
      </w:r>
    </w:p>
    <w:p w14:paraId="47EA42EA"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0115F60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a critical analysis of the role of stakeholder involvement in the effective planning, implementation, and delivery of the new release of a wearable health device project by Fitbit UK Ltd. The venture entails the design and introduction of a smart wearable medical device with the ability to record heart rate, oxygen, and sleeping habits in six months. With the role of the appointed project manager, identifying key stakeholders, defining their roles, and responsibilities as well as implementing effective structures and engagement strategies are the central concerns to make the project successful.</w:t>
      </w:r>
    </w:p>
    <w:p w14:paraId="428B6CE3"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Fitbit UK Ltd is a Google subsidiary and a market leader in health technology in the United Kingdom and in Europe. Through SWOT and PESTLE analysis the report analyses the strategic position of the company in which innovation, brand reputation, and partnerships are the main strengths, whereas the data privacy issues and competition are the ongoing problem. The internal stakeholders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include executive management, product developers, marketing and operations team and external stakeholders like healthcare partners, regulatory agencies and customers are key players </w:t>
      </w:r>
      <w:proofErr w:type="gramStart"/>
      <w:r>
        <w:rPr>
          <w:rFonts w:ascii="Times New Roman" w:eastAsia="Times New Roman" w:hAnsi="Times New Roman" w:cs="Times New Roman"/>
          <w:sz w:val="24"/>
          <w:szCs w:val="24"/>
        </w:rPr>
        <w:t>towards</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realisation</w:t>
      </w:r>
      <w:proofErr w:type="spellEnd"/>
      <w:r>
        <w:rPr>
          <w:rFonts w:ascii="Times New Roman" w:eastAsia="Times New Roman" w:hAnsi="Times New Roman" w:cs="Times New Roman"/>
          <w:sz w:val="24"/>
          <w:szCs w:val="24"/>
        </w:rPr>
        <w:t xml:space="preserve"> of project goals.</w:t>
      </w:r>
    </w:p>
    <w:p w14:paraId="79DD2936"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Models like the </w:t>
      </w:r>
      <w:proofErr w:type="spellStart"/>
      <w:r>
        <w:rPr>
          <w:rFonts w:ascii="Times New Roman" w:eastAsia="Times New Roman" w:hAnsi="Times New Roman" w:cs="Times New Roman"/>
          <w:sz w:val="24"/>
          <w:szCs w:val="24"/>
        </w:rPr>
        <w:t>PowerInterest</w:t>
      </w:r>
      <w:proofErr w:type="spellEnd"/>
      <w:r>
        <w:rPr>
          <w:rFonts w:ascii="Times New Roman" w:eastAsia="Times New Roman" w:hAnsi="Times New Roman" w:cs="Times New Roman"/>
          <w:sz w:val="24"/>
          <w:szCs w:val="24"/>
        </w:rPr>
        <w:t xml:space="preserve"> Matrix, the RACI Matrix, the 4Cs Model (Communication, Coordination, Cooperation and Collaboration) are used to manage the relationship with stakeholders. These models make the project accountable, transparent and conflict-resolving during the project lifecycle. The report concludes that proper stakeholder engagement improves innovation, efficiency, and trust, which in turn, improves the overall business performance.</w:t>
      </w:r>
    </w:p>
    <w:p w14:paraId="348305B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recommendations on how to maintain engagement include adoption of the 4Cs model in all projects, enhancing partnerships with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the NHS, and embracing sustainability and inclusivity. By fostering and sustaining excellence in collaboration, ethical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company-led innovation through innovation, Fitbit UK Ltd will gain long-term competitive edge and cement its status as a trendsetter in the digital health technology industry.</w:t>
      </w:r>
    </w:p>
    <w:p w14:paraId="217FE6B9" w14:textId="77777777" w:rsidR="00603759" w:rsidRDefault="00603759">
      <w:pPr>
        <w:spacing w:line="360" w:lineRule="auto"/>
        <w:jc w:val="both"/>
        <w:rPr>
          <w:rFonts w:ascii="Times New Roman" w:eastAsia="Times New Roman" w:hAnsi="Times New Roman" w:cs="Times New Roman"/>
          <w:sz w:val="24"/>
          <w:szCs w:val="24"/>
        </w:rPr>
      </w:pPr>
    </w:p>
    <w:p w14:paraId="42C3107D" w14:textId="77777777" w:rsidR="00603759" w:rsidRDefault="00000000">
      <w:pPr>
        <w:spacing w:line="360" w:lineRule="auto"/>
        <w:jc w:val="both"/>
        <w:rPr>
          <w:rFonts w:ascii="Times New Roman" w:eastAsia="Times New Roman" w:hAnsi="Times New Roman" w:cs="Times New Roman"/>
          <w:sz w:val="24"/>
          <w:szCs w:val="24"/>
        </w:rPr>
      </w:pPr>
      <w:r>
        <w:br w:type="page"/>
      </w:r>
    </w:p>
    <w:p w14:paraId="505C579D"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882049658"/>
        <w:docPartObj>
          <w:docPartGallery w:val="Table of Contents"/>
          <w:docPartUnique/>
        </w:docPartObj>
      </w:sdtPr>
      <w:sdtContent>
        <w:p w14:paraId="0199F177"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ljn8oix3spv4">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4</w:t>
            </w:r>
          </w:hyperlink>
        </w:p>
        <w:p w14:paraId="09D10407"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63xnu3vcg8a9">
            <w:r>
              <w:rPr>
                <w:rFonts w:ascii="Times New Roman" w:eastAsia="Times New Roman" w:hAnsi="Times New Roman" w:cs="Times New Roman"/>
                <w:color w:val="000000"/>
                <w:sz w:val="24"/>
                <w:szCs w:val="24"/>
              </w:rPr>
              <w:t>Situational Analysis of Fitbit UK Ltd</w:t>
            </w:r>
            <w:r>
              <w:rPr>
                <w:rFonts w:ascii="Times New Roman" w:eastAsia="Times New Roman" w:hAnsi="Times New Roman" w:cs="Times New Roman"/>
                <w:color w:val="000000"/>
                <w:sz w:val="24"/>
                <w:szCs w:val="24"/>
              </w:rPr>
              <w:tab/>
              <w:t>5</w:t>
            </w:r>
          </w:hyperlink>
        </w:p>
        <w:p w14:paraId="329430F3"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5tii3j5i4uqv">
            <w:r>
              <w:rPr>
                <w:rFonts w:ascii="Times New Roman" w:eastAsia="Times New Roman" w:hAnsi="Times New Roman" w:cs="Times New Roman"/>
                <w:color w:val="000000"/>
                <w:sz w:val="24"/>
                <w:szCs w:val="24"/>
              </w:rPr>
              <w:t>Key Internal and External Stakeholders</w:t>
            </w:r>
            <w:r>
              <w:rPr>
                <w:rFonts w:ascii="Times New Roman" w:eastAsia="Times New Roman" w:hAnsi="Times New Roman" w:cs="Times New Roman"/>
                <w:color w:val="000000"/>
                <w:sz w:val="24"/>
                <w:szCs w:val="24"/>
              </w:rPr>
              <w:tab/>
              <w:t>8</w:t>
            </w:r>
          </w:hyperlink>
        </w:p>
        <w:p w14:paraId="7A26A64A"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sfayqufa6jr0">
            <w:r>
              <w:rPr>
                <w:rFonts w:ascii="Times New Roman" w:eastAsia="Times New Roman" w:hAnsi="Times New Roman" w:cs="Times New Roman"/>
                <w:color w:val="000000"/>
                <w:sz w:val="24"/>
                <w:szCs w:val="24"/>
              </w:rPr>
              <w:t>Roles, Responsibilities, Benefits, and Challenges of Key Stakeholders</w:t>
            </w:r>
            <w:r>
              <w:rPr>
                <w:rFonts w:ascii="Times New Roman" w:eastAsia="Times New Roman" w:hAnsi="Times New Roman" w:cs="Times New Roman"/>
                <w:color w:val="000000"/>
                <w:sz w:val="24"/>
                <w:szCs w:val="24"/>
              </w:rPr>
              <w:tab/>
              <w:t>9</w:t>
            </w:r>
          </w:hyperlink>
        </w:p>
        <w:p w14:paraId="37C65C6F"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k4giaodp7bt">
            <w:r>
              <w:rPr>
                <w:rFonts w:ascii="Times New Roman" w:eastAsia="Times New Roman" w:hAnsi="Times New Roman" w:cs="Times New Roman"/>
                <w:color w:val="000000"/>
                <w:sz w:val="24"/>
                <w:szCs w:val="24"/>
              </w:rPr>
              <w:t>Stakeholder Engagement Frameworks, Models, and Theories</w:t>
            </w:r>
            <w:r>
              <w:rPr>
                <w:rFonts w:ascii="Times New Roman" w:eastAsia="Times New Roman" w:hAnsi="Times New Roman" w:cs="Times New Roman"/>
                <w:color w:val="000000"/>
                <w:sz w:val="24"/>
                <w:szCs w:val="24"/>
              </w:rPr>
              <w:tab/>
              <w:t>12</w:t>
            </w:r>
          </w:hyperlink>
        </w:p>
        <w:p w14:paraId="4FD4CDA3"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7mquc4rkgg7w">
            <w:r>
              <w:rPr>
                <w:rFonts w:ascii="Times New Roman" w:eastAsia="Times New Roman" w:hAnsi="Times New Roman" w:cs="Times New Roman"/>
                <w:color w:val="000000"/>
                <w:sz w:val="24"/>
                <w:szCs w:val="24"/>
              </w:rPr>
              <w:t>Stakeholder Engagement and Conflict Management Using the 4Cs Model</w:t>
            </w:r>
            <w:r>
              <w:rPr>
                <w:rFonts w:ascii="Times New Roman" w:eastAsia="Times New Roman" w:hAnsi="Times New Roman" w:cs="Times New Roman"/>
                <w:color w:val="000000"/>
                <w:sz w:val="24"/>
                <w:szCs w:val="24"/>
              </w:rPr>
              <w:tab/>
              <w:t>15</w:t>
            </w:r>
          </w:hyperlink>
        </w:p>
        <w:p w14:paraId="31E1D2B6"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mvrd4n6w5gis">
            <w:r>
              <w:rPr>
                <w:rFonts w:ascii="Times New Roman" w:eastAsia="Times New Roman" w:hAnsi="Times New Roman" w:cs="Times New Roman"/>
                <w:color w:val="000000"/>
                <w:sz w:val="24"/>
                <w:szCs w:val="24"/>
              </w:rPr>
              <w:t>Impact of Stakeholder Engagement on Business Performance and Recommendations for the Future.</w:t>
            </w:r>
            <w:r>
              <w:rPr>
                <w:rFonts w:ascii="Times New Roman" w:eastAsia="Times New Roman" w:hAnsi="Times New Roman" w:cs="Times New Roman"/>
                <w:color w:val="000000"/>
                <w:sz w:val="24"/>
                <w:szCs w:val="24"/>
              </w:rPr>
              <w:tab/>
              <w:t>17</w:t>
            </w:r>
          </w:hyperlink>
        </w:p>
        <w:p w14:paraId="3F5D6A8E"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m1oh1qdjslxn">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20</w:t>
            </w:r>
          </w:hyperlink>
        </w:p>
        <w:p w14:paraId="7DCDACA3" w14:textId="77777777" w:rsidR="00603759" w:rsidRDefault="00000000">
          <w:pPr>
            <w:widowControl w:val="0"/>
            <w:tabs>
              <w:tab w:val="right" w:pos="12000"/>
            </w:tabs>
            <w:spacing w:line="360" w:lineRule="auto"/>
            <w:jc w:val="both"/>
            <w:rPr>
              <w:rFonts w:ascii="Times New Roman" w:eastAsia="Times New Roman" w:hAnsi="Times New Roman" w:cs="Times New Roman"/>
              <w:color w:val="000000"/>
              <w:sz w:val="24"/>
              <w:szCs w:val="24"/>
            </w:rPr>
          </w:pPr>
          <w:hyperlink w:anchor="_heading=h.rmlww6vzbmbf">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21</w:t>
            </w:r>
          </w:hyperlink>
          <w:r>
            <w:fldChar w:fldCharType="end"/>
          </w:r>
        </w:p>
      </w:sdtContent>
    </w:sdt>
    <w:p w14:paraId="5664EE5D" w14:textId="77777777" w:rsidR="00603759" w:rsidRDefault="00603759">
      <w:pPr>
        <w:spacing w:line="360" w:lineRule="auto"/>
        <w:jc w:val="both"/>
        <w:rPr>
          <w:rFonts w:ascii="Times New Roman" w:eastAsia="Times New Roman" w:hAnsi="Times New Roman" w:cs="Times New Roman"/>
          <w:sz w:val="24"/>
          <w:szCs w:val="24"/>
        </w:rPr>
      </w:pPr>
    </w:p>
    <w:p w14:paraId="79193714" w14:textId="77777777" w:rsidR="00603759" w:rsidRDefault="00000000">
      <w:pPr>
        <w:pStyle w:val="Heading1"/>
        <w:spacing w:before="0" w:after="0"/>
      </w:pPr>
      <w:bookmarkStart w:id="0" w:name="_heading=h.rl29rvs3j940" w:colFirst="0" w:colLast="0"/>
      <w:bookmarkEnd w:id="0"/>
      <w:r>
        <w:br w:type="page"/>
      </w:r>
    </w:p>
    <w:p w14:paraId="5762FD8A" w14:textId="77777777" w:rsidR="00603759" w:rsidRDefault="00000000">
      <w:pPr>
        <w:pStyle w:val="Heading1"/>
        <w:spacing w:before="0" w:after="0"/>
      </w:pPr>
      <w:bookmarkStart w:id="1" w:name="_heading=h.ljn8oix3spv4" w:colFirst="0" w:colLast="0"/>
      <w:bookmarkEnd w:id="1"/>
      <w:r>
        <w:lastRenderedPageBreak/>
        <w:t>Introduction</w:t>
      </w:r>
    </w:p>
    <w:p w14:paraId="0BA579F7"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Fitbit UK Ltd is one of the subsidiaries of Google LLC, the popular health technology company which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London. It has branches in the United Kingdom and Europe with a workforce of more than 1,500 engineers, marketing, research and operations professionals (Fitbit Inc, 2021). Fitbit is a company </w:t>
      </w:r>
      <w:proofErr w:type="spellStart"/>
      <w:r>
        <w:rPr>
          <w:rFonts w:ascii="Times New Roman" w:eastAsia="Times New Roman" w:hAnsi="Times New Roman" w:cs="Times New Roman"/>
          <w:sz w:val="24"/>
          <w:szCs w:val="24"/>
        </w:rPr>
        <w:t>specialising</w:t>
      </w:r>
      <w:proofErr w:type="spellEnd"/>
      <w:r>
        <w:rPr>
          <w:rFonts w:ascii="Times New Roman" w:eastAsia="Times New Roman" w:hAnsi="Times New Roman" w:cs="Times New Roman"/>
          <w:sz w:val="24"/>
          <w:szCs w:val="24"/>
        </w:rPr>
        <w:t xml:space="preserve"> in the design and production of wearable fitness gadgets that monitor health indicators, including heart rate, oxygen saturation (SpO 2), sleep quality, and physical activity. The technology that the firm uses to achieve this is through its mobile application and online platform that integrates sophisticated data analytics to give users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health insights as well as encourage active lifestyles.</w:t>
      </w:r>
    </w:p>
    <w:p w14:paraId="6644C29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project entails the introduction of a new hi-tech wearable health tracking device that will monitor heart rate, oxygen readings, and sleep habits with </w:t>
      </w:r>
      <w:proofErr w:type="gramStart"/>
      <w:r>
        <w:rPr>
          <w:rFonts w:ascii="Times New Roman" w:eastAsia="Times New Roman" w:hAnsi="Times New Roman" w:cs="Times New Roman"/>
          <w:sz w:val="24"/>
          <w:szCs w:val="24"/>
        </w:rPr>
        <w:t>a better</w:t>
      </w:r>
      <w:proofErr w:type="gramEnd"/>
      <w:r>
        <w:rPr>
          <w:rFonts w:ascii="Times New Roman" w:eastAsia="Times New Roman" w:hAnsi="Times New Roman" w:cs="Times New Roman"/>
          <w:sz w:val="24"/>
          <w:szCs w:val="24"/>
        </w:rPr>
        <w:t xml:space="preserve"> medical grade precision. Being the project manager chosen, the target is to make sure the product is available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market in half a year. Under the project,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also engage key stakeholders such as product developers, marketing teams, healthcare partners, and regulatory bodies. The new product will position Fitbit competitively in the digital health market by applying artificial intelligence to predictive health </w:t>
      </w:r>
      <w:proofErr w:type="gramStart"/>
      <w:r>
        <w:rPr>
          <w:rFonts w:ascii="Times New Roman" w:eastAsia="Times New Roman" w:hAnsi="Times New Roman" w:cs="Times New Roman"/>
          <w:sz w:val="24"/>
          <w:szCs w:val="24"/>
        </w:rPr>
        <w:t>monitoring, and</w:t>
      </w:r>
      <w:proofErr w:type="gramEnd"/>
      <w:r>
        <w:rPr>
          <w:rFonts w:ascii="Times New Roman" w:eastAsia="Times New Roman" w:hAnsi="Times New Roman" w:cs="Times New Roman"/>
          <w:sz w:val="24"/>
          <w:szCs w:val="24"/>
        </w:rPr>
        <w:t xml:space="preserve"> support the increasing consumer desire in the UK to access data-backed health management devices.</w:t>
      </w:r>
    </w:p>
    <w:p w14:paraId="76EAB841" w14:textId="77777777" w:rsidR="00603759" w:rsidRDefault="00603759">
      <w:pPr>
        <w:spacing w:line="360" w:lineRule="auto"/>
        <w:jc w:val="both"/>
        <w:rPr>
          <w:rFonts w:ascii="Times New Roman" w:eastAsia="Times New Roman" w:hAnsi="Times New Roman" w:cs="Times New Roman"/>
          <w:sz w:val="24"/>
          <w:szCs w:val="24"/>
        </w:rPr>
      </w:pPr>
    </w:p>
    <w:p w14:paraId="25AB90CC" w14:textId="77777777" w:rsidR="00603759" w:rsidRDefault="00603759">
      <w:pPr>
        <w:spacing w:line="360" w:lineRule="auto"/>
        <w:jc w:val="both"/>
        <w:rPr>
          <w:rFonts w:ascii="Times New Roman" w:eastAsia="Times New Roman" w:hAnsi="Times New Roman" w:cs="Times New Roman"/>
          <w:b/>
          <w:sz w:val="24"/>
          <w:szCs w:val="24"/>
        </w:rPr>
      </w:pPr>
    </w:p>
    <w:p w14:paraId="41DEAD43" w14:textId="77777777" w:rsidR="00603759" w:rsidRDefault="00000000">
      <w:pPr>
        <w:spacing w:line="360" w:lineRule="auto"/>
        <w:jc w:val="both"/>
        <w:rPr>
          <w:rFonts w:ascii="Times New Roman" w:eastAsia="Times New Roman" w:hAnsi="Times New Roman" w:cs="Times New Roman"/>
          <w:sz w:val="24"/>
          <w:szCs w:val="24"/>
        </w:rPr>
      </w:pPr>
      <w:r>
        <w:br w:type="page"/>
      </w:r>
    </w:p>
    <w:p w14:paraId="16A9C44D" w14:textId="77777777" w:rsidR="00603759" w:rsidRDefault="00000000">
      <w:pPr>
        <w:pStyle w:val="Heading1"/>
        <w:spacing w:before="0" w:after="0"/>
      </w:pPr>
      <w:bookmarkStart w:id="2" w:name="_heading=h.63xnu3vcg8a9" w:colFirst="0" w:colLast="0"/>
      <w:bookmarkEnd w:id="2"/>
      <w:r>
        <w:lastRenderedPageBreak/>
        <w:t>Situational Analysis of Fitbit UK Ltd</w:t>
      </w:r>
    </w:p>
    <w:p w14:paraId="09DC731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Situational analysis assists in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available internal and external conditions in Fitbit UK Ltd to launch its new wearable health device. The integrated analysis involves the SWOT and PESTLE models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strategic position to support the formulation of SMART goals.</w:t>
      </w:r>
    </w:p>
    <w:p w14:paraId="6938579A"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03759" w14:paraId="20A4B4B4" w14:textId="77777777">
        <w:tc>
          <w:tcPr>
            <w:tcW w:w="4680" w:type="dxa"/>
            <w:tcMar>
              <w:top w:w="100" w:type="dxa"/>
              <w:left w:w="100" w:type="dxa"/>
              <w:bottom w:w="100" w:type="dxa"/>
              <w:right w:w="100" w:type="dxa"/>
            </w:tcMar>
          </w:tcPr>
          <w:p w14:paraId="3185A0C3"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tcMar>
              <w:top w:w="100" w:type="dxa"/>
              <w:left w:w="100" w:type="dxa"/>
              <w:bottom w:w="100" w:type="dxa"/>
              <w:right w:w="100" w:type="dxa"/>
            </w:tcMar>
          </w:tcPr>
          <w:p w14:paraId="6E752F4E"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603759" w14:paraId="2BC0CF1C" w14:textId="77777777">
        <w:tc>
          <w:tcPr>
            <w:tcW w:w="4680" w:type="dxa"/>
            <w:tcMar>
              <w:top w:w="100" w:type="dxa"/>
              <w:left w:w="100" w:type="dxa"/>
              <w:bottom w:w="100" w:type="dxa"/>
              <w:right w:w="100" w:type="dxa"/>
            </w:tcMar>
          </w:tcPr>
          <w:p w14:paraId="69B5307C" w14:textId="77777777" w:rsidR="00603759" w:rsidRDefault="00000000">
            <w:pPr>
              <w:numPr>
                <w:ilvl w:val="0"/>
                <w:numId w:val="4"/>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FitBit</w:t>
            </w:r>
            <w:proofErr w:type="spellEnd"/>
            <w:r>
              <w:rPr>
                <w:rFonts w:ascii="Times New Roman" w:eastAsia="Times New Roman" w:hAnsi="Times New Roman" w:cs="Times New Roman"/>
                <w:sz w:val="24"/>
                <w:szCs w:val="24"/>
              </w:rPr>
              <w:t xml:space="preserve"> is a health and fitness technology powerhouse </w:t>
            </w:r>
            <w:proofErr w:type="gramStart"/>
            <w:r>
              <w:rPr>
                <w:rFonts w:ascii="Times New Roman" w:eastAsia="Times New Roman" w:hAnsi="Times New Roman" w:cs="Times New Roman"/>
                <w:sz w:val="24"/>
                <w:szCs w:val="24"/>
              </w:rPr>
              <w:t>brand operated in the world</w:t>
            </w:r>
            <w:proofErr w:type="gramEnd"/>
            <w:r>
              <w:rPr>
                <w:rFonts w:ascii="Times New Roman" w:eastAsia="Times New Roman" w:hAnsi="Times New Roman" w:cs="Times New Roman"/>
                <w:sz w:val="24"/>
                <w:szCs w:val="24"/>
              </w:rPr>
              <w:t xml:space="preserve"> that is backed by Google with its advanced AI abilities and cloud computing services (Fitbit Inc, 2021). </w:t>
            </w:r>
          </w:p>
          <w:p w14:paraId="6711EFBE" w14:textId="77777777" w:rsidR="00603759"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a competitive advantage due to its powerful presence in the market, easy-to-use application ecosystem, and record of innovating its product. </w:t>
            </w:r>
          </w:p>
          <w:p w14:paraId="36273F0A" w14:textId="77777777" w:rsidR="00603759"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credibility and market access can be developed with strategic partnership with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wellness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w:t>
            </w:r>
          </w:p>
        </w:tc>
        <w:tc>
          <w:tcPr>
            <w:tcW w:w="4680" w:type="dxa"/>
            <w:tcMar>
              <w:top w:w="100" w:type="dxa"/>
              <w:left w:w="100" w:type="dxa"/>
              <w:bottom w:w="100" w:type="dxa"/>
              <w:right w:w="100" w:type="dxa"/>
            </w:tcMar>
          </w:tcPr>
          <w:p w14:paraId="1AAA3582" w14:textId="77777777" w:rsidR="00603759"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Fitbit has strong rivals like Apple, Samsung, Garmin among other major brands that have substantial customer bases and are providing similar features. </w:t>
            </w:r>
          </w:p>
          <w:p w14:paraId="0ED36BA9" w14:textId="77777777" w:rsidR="00603759"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Hardware sales also form part of the major part of the revenue generated by the company, instead of diversified revenue streams. </w:t>
            </w:r>
          </w:p>
          <w:p w14:paraId="5FD5E50B" w14:textId="77777777" w:rsidR="00603759"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privacy and trust of the user particularly when they are under Google ownership is an issue that may be a challenge to reputation (Ramirez Lopez and Morillo Ledezma, 2025).</w:t>
            </w:r>
          </w:p>
        </w:tc>
      </w:tr>
      <w:tr w:rsidR="00603759" w14:paraId="37E871B3" w14:textId="77777777">
        <w:tc>
          <w:tcPr>
            <w:tcW w:w="4680" w:type="dxa"/>
            <w:tcMar>
              <w:top w:w="100" w:type="dxa"/>
              <w:left w:w="100" w:type="dxa"/>
              <w:bottom w:w="100" w:type="dxa"/>
              <w:right w:w="100" w:type="dxa"/>
            </w:tcMar>
          </w:tcPr>
          <w:p w14:paraId="1ED61F2B" w14:textId="77777777" w:rsidR="00603759"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tc>
        <w:tc>
          <w:tcPr>
            <w:tcW w:w="4680" w:type="dxa"/>
            <w:tcMar>
              <w:top w:w="100" w:type="dxa"/>
              <w:left w:w="100" w:type="dxa"/>
              <w:bottom w:w="100" w:type="dxa"/>
              <w:right w:w="100" w:type="dxa"/>
            </w:tcMar>
          </w:tcPr>
          <w:p w14:paraId="17767EBA" w14:textId="77777777" w:rsidR="00603759"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tc>
      </w:tr>
      <w:tr w:rsidR="00603759" w14:paraId="715D0DA3" w14:textId="77777777">
        <w:tc>
          <w:tcPr>
            <w:tcW w:w="4680" w:type="dxa"/>
            <w:tcMar>
              <w:top w:w="100" w:type="dxa"/>
              <w:left w:w="100" w:type="dxa"/>
              <w:bottom w:w="100" w:type="dxa"/>
              <w:right w:w="100" w:type="dxa"/>
            </w:tcMar>
          </w:tcPr>
          <w:p w14:paraId="6B5EA87B" w14:textId="77777777" w:rsidR="00603759"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An aging population, growing concern with personal health monitors, and </w:t>
            </w:r>
            <w:proofErr w:type="gramStart"/>
            <w:r>
              <w:rPr>
                <w:rFonts w:ascii="Times New Roman" w:eastAsia="Times New Roman" w:hAnsi="Times New Roman" w:cs="Times New Roman"/>
                <w:color w:val="000000"/>
                <w:sz w:val="24"/>
                <w:szCs w:val="24"/>
              </w:rPr>
              <w:t>growing adoption of digital health tools</w:t>
            </w:r>
            <w:proofErr w:type="gramEnd"/>
            <w:r>
              <w:rPr>
                <w:rFonts w:ascii="Times New Roman" w:eastAsia="Times New Roman" w:hAnsi="Times New Roman" w:cs="Times New Roman"/>
                <w:color w:val="000000"/>
                <w:sz w:val="24"/>
                <w:szCs w:val="24"/>
              </w:rPr>
              <w:t xml:space="preserve"> post-pandemic give it growth opportunities. </w:t>
            </w:r>
          </w:p>
          <w:p w14:paraId="29726953" w14:textId="77777777" w:rsidR="00603759"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The collaboration with the NHS and the healthcare providers can further the role of Fitbit in preventive care. </w:t>
            </w:r>
          </w:p>
          <w:p w14:paraId="253F6BB2" w14:textId="77777777" w:rsidR="00603759"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More user engagement and health results can be achieved through the introduction of AI-based predictive analytics.</w:t>
            </w:r>
          </w:p>
        </w:tc>
        <w:tc>
          <w:tcPr>
            <w:tcW w:w="4680" w:type="dxa"/>
            <w:tcMar>
              <w:top w:w="100" w:type="dxa"/>
              <w:left w:w="100" w:type="dxa"/>
              <w:bottom w:w="100" w:type="dxa"/>
              <w:right w:w="100" w:type="dxa"/>
            </w:tcMar>
          </w:tcPr>
          <w:p w14:paraId="0D135DA4" w14:textId="77777777" w:rsidR="00603759"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Fitbit is encountering rapid technological shifts, stringent data protection regulations in the UK GDPR and the danger of regulatory drag by the MHRA </w:t>
            </w:r>
            <w:proofErr w:type="gramStart"/>
            <w:r>
              <w:rPr>
                <w:rFonts w:ascii="Times New Roman" w:eastAsia="Times New Roman" w:hAnsi="Times New Roman" w:cs="Times New Roman"/>
                <w:color w:val="000000"/>
                <w:sz w:val="24"/>
                <w:szCs w:val="24"/>
              </w:rPr>
              <w:t>in regard to</w:t>
            </w:r>
            <w:proofErr w:type="gramEnd"/>
            <w:r>
              <w:rPr>
                <w:rFonts w:ascii="Times New Roman" w:eastAsia="Times New Roman" w:hAnsi="Times New Roman" w:cs="Times New Roman"/>
                <w:color w:val="000000"/>
                <w:sz w:val="24"/>
                <w:szCs w:val="24"/>
              </w:rPr>
              <w:t xml:space="preserve"> certification of medical devices. </w:t>
            </w:r>
          </w:p>
          <w:p w14:paraId="3AFC051D" w14:textId="77777777" w:rsidR="00603759"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The lack of economic stability and decreased expenditure by consumers can also hamper the premium wearable devices (Islam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2025).</w:t>
            </w:r>
          </w:p>
        </w:tc>
      </w:tr>
    </w:tbl>
    <w:p w14:paraId="19E119D5"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Table 1: </w:t>
      </w:r>
      <w:r>
        <w:rPr>
          <w:rFonts w:ascii="Times New Roman" w:eastAsia="Times New Roman" w:hAnsi="Times New Roman" w:cs="Times New Roman"/>
          <w:b/>
          <w:sz w:val="24"/>
          <w:szCs w:val="24"/>
        </w:rPr>
        <w:t>SWOT analysis</w:t>
      </w:r>
    </w:p>
    <w:p w14:paraId="6BA8BE58"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439B1820" w14:textId="77777777" w:rsidR="00603759"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03759" w14:paraId="52CEDCEE" w14:textId="77777777">
        <w:tc>
          <w:tcPr>
            <w:tcW w:w="4680" w:type="dxa"/>
            <w:tcMar>
              <w:top w:w="100" w:type="dxa"/>
              <w:left w:w="100" w:type="dxa"/>
              <w:bottom w:w="100" w:type="dxa"/>
              <w:right w:w="100" w:type="dxa"/>
            </w:tcMar>
          </w:tcPr>
          <w:p w14:paraId="2FF95BAB"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Elements</w:t>
            </w:r>
          </w:p>
        </w:tc>
        <w:tc>
          <w:tcPr>
            <w:tcW w:w="4680" w:type="dxa"/>
            <w:tcMar>
              <w:top w:w="100" w:type="dxa"/>
              <w:left w:w="100" w:type="dxa"/>
              <w:bottom w:w="100" w:type="dxa"/>
              <w:right w:w="100" w:type="dxa"/>
            </w:tcMar>
          </w:tcPr>
          <w:p w14:paraId="0C3E7302" w14:textId="77777777" w:rsidR="00603759"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603759" w14:paraId="5C269A6B" w14:textId="77777777">
        <w:tc>
          <w:tcPr>
            <w:tcW w:w="4680" w:type="dxa"/>
            <w:tcMar>
              <w:top w:w="100" w:type="dxa"/>
              <w:left w:w="100" w:type="dxa"/>
              <w:bottom w:w="100" w:type="dxa"/>
              <w:right w:w="100" w:type="dxa"/>
            </w:tcMar>
          </w:tcPr>
          <w:p w14:paraId="64FE820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w:t>
            </w:r>
          </w:p>
        </w:tc>
        <w:tc>
          <w:tcPr>
            <w:tcW w:w="4680" w:type="dxa"/>
            <w:tcMar>
              <w:top w:w="100" w:type="dxa"/>
              <w:left w:w="100" w:type="dxa"/>
              <w:bottom w:w="100" w:type="dxa"/>
              <w:right w:w="100" w:type="dxa"/>
            </w:tcMar>
          </w:tcPr>
          <w:p w14:paraId="12D04CF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has increased its focus on wearable technology, owing to the focus on innovation in the field of digital healthcare (</w:t>
            </w:r>
            <w:proofErr w:type="spellStart"/>
            <w:r>
              <w:rPr>
                <w:rFonts w:ascii="Times New Roman" w:eastAsia="Times New Roman" w:hAnsi="Times New Roman" w:cs="Times New Roman"/>
                <w:sz w:val="24"/>
                <w:szCs w:val="24"/>
              </w:rPr>
              <w:t>Ghadi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2025). However, the trade policies agreed after Brexit could change the supply chain and cost of imports.</w:t>
            </w:r>
          </w:p>
        </w:tc>
      </w:tr>
      <w:tr w:rsidR="00603759" w14:paraId="1F64691E" w14:textId="77777777">
        <w:tc>
          <w:tcPr>
            <w:tcW w:w="4680" w:type="dxa"/>
            <w:tcMar>
              <w:top w:w="100" w:type="dxa"/>
              <w:left w:w="100" w:type="dxa"/>
              <w:bottom w:w="100" w:type="dxa"/>
              <w:right w:w="100" w:type="dxa"/>
            </w:tcMar>
          </w:tcPr>
          <w:p w14:paraId="4FFED52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Economic</w:t>
            </w:r>
          </w:p>
        </w:tc>
        <w:tc>
          <w:tcPr>
            <w:tcW w:w="4680" w:type="dxa"/>
            <w:tcMar>
              <w:top w:w="100" w:type="dxa"/>
              <w:left w:w="100" w:type="dxa"/>
              <w:bottom w:w="100" w:type="dxa"/>
              <w:right w:w="100" w:type="dxa"/>
            </w:tcMar>
          </w:tcPr>
          <w:p w14:paraId="7E445B0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consumer purchasing power can be affected by incidences of inflation and cost of living. However, the increasing market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health and wellness remains subject to investment.</w:t>
            </w:r>
          </w:p>
        </w:tc>
      </w:tr>
      <w:tr w:rsidR="00603759" w14:paraId="7ADC84D3" w14:textId="77777777">
        <w:tc>
          <w:tcPr>
            <w:tcW w:w="4680" w:type="dxa"/>
            <w:tcMar>
              <w:top w:w="100" w:type="dxa"/>
              <w:left w:w="100" w:type="dxa"/>
              <w:bottom w:w="100" w:type="dxa"/>
              <w:right w:w="100" w:type="dxa"/>
            </w:tcMar>
          </w:tcPr>
          <w:p w14:paraId="6A21747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4680" w:type="dxa"/>
            <w:tcMar>
              <w:top w:w="100" w:type="dxa"/>
              <w:left w:w="100" w:type="dxa"/>
              <w:bottom w:w="100" w:type="dxa"/>
              <w:right w:w="100" w:type="dxa"/>
            </w:tcMar>
          </w:tcPr>
          <w:p w14:paraId="207D1D5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popularity of smart wearables in the consumer market has been fueled by the growing attention to preventive health, mental health, and lifestyle monitoring.</w:t>
            </w:r>
          </w:p>
        </w:tc>
      </w:tr>
      <w:tr w:rsidR="00603759" w14:paraId="18A1C0A8" w14:textId="77777777">
        <w:tc>
          <w:tcPr>
            <w:tcW w:w="4680" w:type="dxa"/>
            <w:tcMar>
              <w:top w:w="100" w:type="dxa"/>
              <w:left w:w="100" w:type="dxa"/>
              <w:bottom w:w="100" w:type="dxa"/>
              <w:right w:w="100" w:type="dxa"/>
            </w:tcMar>
          </w:tcPr>
          <w:p w14:paraId="78E07F2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w:t>
            </w:r>
          </w:p>
        </w:tc>
        <w:tc>
          <w:tcPr>
            <w:tcW w:w="4680" w:type="dxa"/>
            <w:tcMar>
              <w:top w:w="100" w:type="dxa"/>
              <w:left w:w="100" w:type="dxa"/>
              <w:bottom w:w="100" w:type="dxa"/>
              <w:right w:w="100" w:type="dxa"/>
            </w:tcMar>
          </w:tcPr>
          <w:p w14:paraId="577AAF3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technologies of sensors, data systems, and AI allow Fitbit to provide </w:t>
            </w:r>
            <w:r>
              <w:rPr>
                <w:rFonts w:ascii="Times New Roman" w:eastAsia="Times New Roman" w:hAnsi="Times New Roman" w:cs="Times New Roman"/>
                <w:sz w:val="24"/>
                <w:szCs w:val="24"/>
              </w:rPr>
              <w:lastRenderedPageBreak/>
              <w:t xml:space="preserve">terribly accurate and </w:t>
            </w:r>
            <w:proofErr w:type="spellStart"/>
            <w:r>
              <w:rPr>
                <w:rFonts w:ascii="Times New Roman" w:eastAsia="Times New Roman" w:hAnsi="Times New Roman" w:cs="Times New Roman"/>
                <w:sz w:val="24"/>
                <w:szCs w:val="24"/>
              </w:rPr>
              <w:t>individualised</w:t>
            </w:r>
            <w:proofErr w:type="spellEnd"/>
            <w:r>
              <w:rPr>
                <w:rFonts w:ascii="Times New Roman" w:eastAsia="Times New Roman" w:hAnsi="Times New Roman" w:cs="Times New Roman"/>
                <w:sz w:val="24"/>
                <w:szCs w:val="24"/>
              </w:rPr>
              <w:t xml:space="preserve"> health information.</w:t>
            </w:r>
          </w:p>
        </w:tc>
      </w:tr>
      <w:tr w:rsidR="00603759" w14:paraId="3F34518F" w14:textId="77777777">
        <w:tc>
          <w:tcPr>
            <w:tcW w:w="4680" w:type="dxa"/>
            <w:tcMar>
              <w:top w:w="100" w:type="dxa"/>
              <w:left w:w="100" w:type="dxa"/>
              <w:bottom w:w="100" w:type="dxa"/>
              <w:right w:w="100" w:type="dxa"/>
            </w:tcMar>
          </w:tcPr>
          <w:p w14:paraId="1068AC6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Legal</w:t>
            </w:r>
          </w:p>
        </w:tc>
        <w:tc>
          <w:tcPr>
            <w:tcW w:w="4680" w:type="dxa"/>
            <w:tcMar>
              <w:top w:w="100" w:type="dxa"/>
              <w:left w:w="100" w:type="dxa"/>
              <w:bottom w:w="100" w:type="dxa"/>
              <w:right w:w="100" w:type="dxa"/>
            </w:tcMar>
          </w:tcPr>
          <w:p w14:paraId="1AAB7857"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consumer confidence and prevent legal risks, it is necessary to act in accordance with the data protection laws (GDPR) and medical devices standards (MHRA) (Dash, Patel and Kandasamy, 2025).</w:t>
            </w:r>
          </w:p>
        </w:tc>
      </w:tr>
      <w:tr w:rsidR="00603759" w14:paraId="75F7937A" w14:textId="77777777">
        <w:tc>
          <w:tcPr>
            <w:tcW w:w="4680" w:type="dxa"/>
            <w:tcMar>
              <w:top w:w="100" w:type="dxa"/>
              <w:left w:w="100" w:type="dxa"/>
              <w:bottom w:w="100" w:type="dxa"/>
              <w:right w:w="100" w:type="dxa"/>
            </w:tcMar>
          </w:tcPr>
          <w:p w14:paraId="5529BE61"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w:t>
            </w:r>
          </w:p>
        </w:tc>
        <w:tc>
          <w:tcPr>
            <w:tcW w:w="4680" w:type="dxa"/>
            <w:tcMar>
              <w:top w:w="100" w:type="dxa"/>
              <w:left w:w="100" w:type="dxa"/>
              <w:bottom w:w="100" w:type="dxa"/>
              <w:right w:w="100" w:type="dxa"/>
            </w:tcMar>
          </w:tcPr>
          <w:p w14:paraId="3D796A8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are demanding more sustainable ways of production (Alam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2025). </w:t>
            </w:r>
            <w:proofErr w:type="gramStart"/>
            <w:r>
              <w:rPr>
                <w:rFonts w:ascii="Times New Roman" w:eastAsia="Times New Roman" w:hAnsi="Times New Roman" w:cs="Times New Roman"/>
                <w:sz w:val="24"/>
                <w:szCs w:val="24"/>
              </w:rPr>
              <w:t>Recycling of</w:t>
            </w:r>
            <w:proofErr w:type="gramEnd"/>
            <w:r>
              <w:rPr>
                <w:rFonts w:ascii="Times New Roman" w:eastAsia="Times New Roman" w:hAnsi="Times New Roman" w:cs="Times New Roman"/>
                <w:sz w:val="24"/>
                <w:szCs w:val="24"/>
              </w:rPr>
              <w:t xml:space="preserve"> materials and ethical sourcing will make Fitbit stronger regarding its environmental image.</w:t>
            </w:r>
          </w:p>
        </w:tc>
      </w:tr>
    </w:tbl>
    <w:p w14:paraId="35E1AD80"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2: </w:t>
      </w:r>
      <w:r>
        <w:rPr>
          <w:rFonts w:ascii="Times New Roman" w:eastAsia="Times New Roman" w:hAnsi="Times New Roman" w:cs="Times New Roman"/>
          <w:b/>
          <w:sz w:val="24"/>
          <w:szCs w:val="24"/>
        </w:rPr>
        <w:t>PESTLE Analysis</w:t>
      </w:r>
    </w:p>
    <w:p w14:paraId="2DC9DCD8"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342A200A"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Objectives</w:t>
      </w:r>
    </w:p>
    <w:tbl>
      <w:tblPr>
        <w:tblStyle w:val="a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03759" w14:paraId="2C7CCD96" w14:textId="77777777">
        <w:tc>
          <w:tcPr>
            <w:tcW w:w="4680" w:type="dxa"/>
            <w:tcMar>
              <w:top w:w="100" w:type="dxa"/>
              <w:left w:w="100" w:type="dxa"/>
              <w:bottom w:w="100" w:type="dxa"/>
              <w:right w:w="100" w:type="dxa"/>
            </w:tcMar>
          </w:tcPr>
          <w:p w14:paraId="4F1BE3B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SMART elements</w:t>
            </w:r>
          </w:p>
        </w:tc>
        <w:tc>
          <w:tcPr>
            <w:tcW w:w="4680" w:type="dxa"/>
            <w:tcMar>
              <w:top w:w="100" w:type="dxa"/>
              <w:left w:w="100" w:type="dxa"/>
              <w:bottom w:w="100" w:type="dxa"/>
              <w:right w:w="100" w:type="dxa"/>
            </w:tcMar>
          </w:tcPr>
          <w:p w14:paraId="7BFCCE21"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tc>
      </w:tr>
      <w:tr w:rsidR="00603759" w14:paraId="5923650C" w14:textId="77777777">
        <w:tc>
          <w:tcPr>
            <w:tcW w:w="4680" w:type="dxa"/>
            <w:tcMar>
              <w:top w:w="100" w:type="dxa"/>
              <w:left w:w="100" w:type="dxa"/>
              <w:bottom w:w="100" w:type="dxa"/>
              <w:right w:w="100" w:type="dxa"/>
            </w:tcMar>
          </w:tcPr>
          <w:p w14:paraId="4AE7C83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Specific</w:t>
            </w:r>
          </w:p>
        </w:tc>
        <w:tc>
          <w:tcPr>
            <w:tcW w:w="4680" w:type="dxa"/>
            <w:tcMar>
              <w:top w:w="100" w:type="dxa"/>
              <w:left w:w="100" w:type="dxa"/>
              <w:bottom w:w="100" w:type="dxa"/>
              <w:right w:w="100" w:type="dxa"/>
            </w:tcMar>
          </w:tcPr>
          <w:p w14:paraId="38F9905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 test and launch a new wearable device that will correctly track heart rate, oxygen levels, and sleeping patterns.</w:t>
            </w:r>
          </w:p>
        </w:tc>
      </w:tr>
      <w:tr w:rsidR="00603759" w14:paraId="5A5BB30F" w14:textId="77777777">
        <w:tc>
          <w:tcPr>
            <w:tcW w:w="4680" w:type="dxa"/>
            <w:tcMar>
              <w:top w:w="100" w:type="dxa"/>
              <w:left w:w="100" w:type="dxa"/>
              <w:bottom w:w="100" w:type="dxa"/>
              <w:right w:w="100" w:type="dxa"/>
            </w:tcMar>
          </w:tcPr>
          <w:p w14:paraId="3DE8587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Measurable</w:t>
            </w:r>
          </w:p>
        </w:tc>
        <w:tc>
          <w:tcPr>
            <w:tcW w:w="4680" w:type="dxa"/>
            <w:tcMar>
              <w:top w:w="100" w:type="dxa"/>
              <w:left w:w="100" w:type="dxa"/>
              <w:bottom w:w="100" w:type="dxa"/>
              <w:right w:w="100" w:type="dxa"/>
            </w:tcMar>
          </w:tcPr>
          <w:p w14:paraId="1596EF01"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a 12 months period after launch, obtain 15 percentage point increase in market share.</w:t>
            </w:r>
          </w:p>
        </w:tc>
      </w:tr>
      <w:tr w:rsidR="00603759" w14:paraId="53F294A1" w14:textId="77777777">
        <w:tc>
          <w:tcPr>
            <w:tcW w:w="4680" w:type="dxa"/>
            <w:tcMar>
              <w:top w:w="100" w:type="dxa"/>
              <w:left w:w="100" w:type="dxa"/>
              <w:bottom w:w="100" w:type="dxa"/>
              <w:right w:w="100" w:type="dxa"/>
            </w:tcMar>
          </w:tcPr>
          <w:p w14:paraId="0AF11B0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Achievable </w:t>
            </w:r>
          </w:p>
        </w:tc>
        <w:tc>
          <w:tcPr>
            <w:tcW w:w="4680" w:type="dxa"/>
            <w:tcMar>
              <w:top w:w="100" w:type="dxa"/>
              <w:left w:w="100" w:type="dxa"/>
              <w:bottom w:w="100" w:type="dxa"/>
              <w:right w:w="100" w:type="dxa"/>
            </w:tcMar>
          </w:tcPr>
          <w:p w14:paraId="5EA7519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the capabilities of Google in terms of R&amp;D and AI to make the product better and more user-friendly.</w:t>
            </w:r>
          </w:p>
        </w:tc>
      </w:tr>
      <w:tr w:rsidR="00603759" w14:paraId="02A2E611" w14:textId="77777777">
        <w:tc>
          <w:tcPr>
            <w:tcW w:w="4680" w:type="dxa"/>
            <w:tcMar>
              <w:top w:w="100" w:type="dxa"/>
              <w:left w:w="100" w:type="dxa"/>
              <w:bottom w:w="100" w:type="dxa"/>
              <w:right w:w="100" w:type="dxa"/>
            </w:tcMar>
          </w:tcPr>
          <w:p w14:paraId="1C3CBED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Relevant</w:t>
            </w:r>
          </w:p>
        </w:tc>
        <w:tc>
          <w:tcPr>
            <w:tcW w:w="4680" w:type="dxa"/>
            <w:tcMar>
              <w:top w:w="100" w:type="dxa"/>
              <w:left w:w="100" w:type="dxa"/>
              <w:bottom w:w="100" w:type="dxa"/>
              <w:right w:w="100" w:type="dxa"/>
            </w:tcMar>
          </w:tcPr>
          <w:p w14:paraId="61728D4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Integrate with the mission of the company of Fitbit, which is to drive better health lifestyles and enhance its digital health ecosystem.</w:t>
            </w:r>
          </w:p>
        </w:tc>
      </w:tr>
      <w:tr w:rsidR="00603759" w14:paraId="4941C41E" w14:textId="77777777">
        <w:tc>
          <w:tcPr>
            <w:tcW w:w="4680" w:type="dxa"/>
            <w:tcMar>
              <w:top w:w="100" w:type="dxa"/>
              <w:left w:w="100" w:type="dxa"/>
              <w:bottom w:w="100" w:type="dxa"/>
              <w:right w:w="100" w:type="dxa"/>
            </w:tcMar>
          </w:tcPr>
          <w:p w14:paraId="3E60C4A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Time-Bound</w:t>
            </w:r>
          </w:p>
        </w:tc>
        <w:tc>
          <w:tcPr>
            <w:tcW w:w="4680" w:type="dxa"/>
            <w:tcMar>
              <w:top w:w="100" w:type="dxa"/>
              <w:left w:w="100" w:type="dxa"/>
              <w:bottom w:w="100" w:type="dxa"/>
              <w:right w:w="100" w:type="dxa"/>
            </w:tcMar>
          </w:tcPr>
          <w:p w14:paraId="216560D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six months, fully develop, test and market the product ensuring an on-time positioning in the UK market.</w:t>
            </w:r>
          </w:p>
        </w:tc>
      </w:tr>
    </w:tbl>
    <w:p w14:paraId="7B0D97D3"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SMART Objectives</w:t>
      </w:r>
    </w:p>
    <w:p w14:paraId="53866D31"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proofErr w:type="spellStart"/>
      <w:r>
        <w:rPr>
          <w:rFonts w:ascii="Times New Roman" w:eastAsia="Times New Roman" w:hAnsi="Times New Roman" w:cs="Times New Roman"/>
          <w:b/>
          <w:sz w:val="24"/>
          <w:szCs w:val="24"/>
        </w:rPr>
        <w:t>Self Created</w:t>
      </w:r>
      <w:proofErr w:type="spellEnd"/>
      <w:r>
        <w:rPr>
          <w:rFonts w:ascii="Times New Roman" w:eastAsia="Times New Roman" w:hAnsi="Times New Roman" w:cs="Times New Roman"/>
          <w:b/>
          <w:sz w:val="24"/>
          <w:szCs w:val="24"/>
        </w:rPr>
        <w:t>)</w:t>
      </w:r>
    </w:p>
    <w:p w14:paraId="6717CE3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strengths and external opportunities allow Fitbit to better leverage its capabilities, whereas the weaknesses can be improved and weaknesses posed by the environment are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through </w:t>
      </w:r>
      <w:proofErr w:type="gramStart"/>
      <w:r>
        <w:rPr>
          <w:rFonts w:ascii="Times New Roman" w:eastAsia="Times New Roman" w:hAnsi="Times New Roman" w:cs="Times New Roman"/>
          <w:sz w:val="24"/>
          <w:szCs w:val="24"/>
        </w:rPr>
        <w:t>the effective</w:t>
      </w:r>
      <w:proofErr w:type="gramEnd"/>
      <w:r>
        <w:rPr>
          <w:rFonts w:ascii="Times New Roman" w:eastAsia="Times New Roman" w:hAnsi="Times New Roman" w:cs="Times New Roman"/>
          <w:sz w:val="24"/>
          <w:szCs w:val="24"/>
        </w:rPr>
        <w:t xml:space="preserve"> strategic analysis and SMART planning. Stakeholder engagement and innovation strategy shall be proactive and will facilitate a successful project implementation and sustainable development in the UK health technology market.</w:t>
      </w:r>
    </w:p>
    <w:p w14:paraId="174FC10C" w14:textId="77777777" w:rsidR="00603759" w:rsidRDefault="00000000">
      <w:pPr>
        <w:pStyle w:val="Heading1"/>
        <w:spacing w:before="0" w:after="0"/>
      </w:pPr>
      <w:bookmarkStart w:id="3" w:name="_heading=h.5tii3j5i4uqv" w:colFirst="0" w:colLast="0"/>
      <w:bookmarkEnd w:id="3"/>
      <w:r>
        <w:t>Key Internal and External Stakeholders</w:t>
      </w:r>
    </w:p>
    <w:p w14:paraId="69AD9664"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deliver projects successfully, it is imperative to identify and comprehend stakeholders. Freeman Stakeholder Theory states that the stakeholders are any groups or individuals who could be affected or affect the operations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case of Fitbit UK Ltd, the introduction of a new wearable health device means that various vital internal and external stakeholders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involved in its </w:t>
      </w:r>
      <w:proofErr w:type="spellStart"/>
      <w:r>
        <w:rPr>
          <w:rFonts w:ascii="Times New Roman" w:eastAsia="Times New Roman" w:hAnsi="Times New Roman" w:cs="Times New Roman"/>
          <w:sz w:val="24"/>
          <w:szCs w:val="24"/>
        </w:rPr>
        <w:t>realisation</w:t>
      </w:r>
      <w:proofErr w:type="spellEnd"/>
      <w:r>
        <w:rPr>
          <w:rFonts w:ascii="Times New Roman" w:eastAsia="Times New Roman" w:hAnsi="Times New Roman" w:cs="Times New Roman"/>
          <w:sz w:val="24"/>
          <w:szCs w:val="24"/>
        </w:rPr>
        <w:t xml:space="preserve">, which will make the project successful in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ways.</w:t>
      </w:r>
    </w:p>
    <w:p w14:paraId="436F5A89"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Stakeholders</w:t>
      </w:r>
    </w:p>
    <w:p w14:paraId="21F11C4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Executive Management Team</w:t>
      </w:r>
      <w:r>
        <w:rPr>
          <w:rFonts w:ascii="Times New Roman" w:eastAsia="Times New Roman" w:hAnsi="Times New Roman" w:cs="Times New Roman"/>
          <w:sz w:val="24"/>
          <w:szCs w:val="24"/>
        </w:rPr>
        <w:t>: It consists of senior leaders who make strategic decisions, approve finances as well as generally govern the project (Peng and Jia, 2025). With their assistance, they will have sufficient resources, alignment with the corporate objectives, and adherence to the policies of Google.</w:t>
      </w:r>
    </w:p>
    <w:p w14:paraId="39D78A5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 Team</w:t>
      </w:r>
      <w:r>
        <w:rPr>
          <w:rFonts w:ascii="Times New Roman" w:eastAsia="Times New Roman" w:hAnsi="Times New Roman" w:cs="Times New Roman"/>
          <w:sz w:val="24"/>
          <w:szCs w:val="24"/>
        </w:rPr>
        <w:t xml:space="preserve">: This team consists of engineers, designers, and researchers that would design, develop and test the quality of the product design. They are more </w:t>
      </w:r>
      <w:proofErr w:type="gramStart"/>
      <w:r>
        <w:rPr>
          <w:rFonts w:ascii="Times New Roman" w:eastAsia="Times New Roman" w:hAnsi="Times New Roman" w:cs="Times New Roman"/>
          <w:sz w:val="24"/>
          <w:szCs w:val="24"/>
        </w:rPr>
        <w:t>technical</w:t>
      </w:r>
      <w:proofErr w:type="gramEnd"/>
      <w:r>
        <w:rPr>
          <w:rFonts w:ascii="Times New Roman" w:eastAsia="Times New Roman" w:hAnsi="Times New Roman" w:cs="Times New Roman"/>
          <w:sz w:val="24"/>
          <w:szCs w:val="24"/>
        </w:rPr>
        <w:t xml:space="preserve"> so their functionality and innovation of the new wearable depend on their expertise.</w:t>
      </w:r>
    </w:p>
    <w:p w14:paraId="1CE319A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Marketing and Sales Department</w:t>
      </w:r>
      <w:r>
        <w:rPr>
          <w:rFonts w:ascii="Times New Roman" w:eastAsia="Times New Roman" w:hAnsi="Times New Roman" w:cs="Times New Roman"/>
          <w:sz w:val="24"/>
          <w:szCs w:val="24"/>
        </w:rPr>
        <w:t>: Holds marketing plans, pricing, and product promotions. This department makes sure that the product is distributed to the best audience when it is being launched.</w:t>
      </w:r>
    </w:p>
    <w:p w14:paraId="4F5CD52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Supply Chain and Operations Team</w:t>
      </w:r>
      <w:r>
        <w:rPr>
          <w:rFonts w:ascii="Times New Roman" w:eastAsia="Times New Roman" w:hAnsi="Times New Roman" w:cs="Times New Roman"/>
          <w:sz w:val="24"/>
          <w:szCs w:val="24"/>
        </w:rPr>
        <w:t>: Oversees the procurement, manufacturing, logistics, and inventory. Their coordination does not allow the project to be delayed and stay beyond the budget.</w:t>
      </w:r>
    </w:p>
    <w:p w14:paraId="376AABD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Service and Data Analytics Team</w:t>
      </w:r>
      <w:r>
        <w:rPr>
          <w:rFonts w:ascii="Times New Roman" w:eastAsia="Times New Roman" w:hAnsi="Times New Roman" w:cs="Times New Roman"/>
          <w:sz w:val="24"/>
          <w:szCs w:val="24"/>
        </w:rPr>
        <w:t xml:space="preserve">: Responsible for dealing with customer feedback and product performance analysis (Farouk, Siew and Yusof, 2025). This is due to their role in terms of continuous improvement as well as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satisfaction after the launch.</w:t>
      </w:r>
    </w:p>
    <w:p w14:paraId="124FFD94"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Stakeholders</w:t>
      </w:r>
    </w:p>
    <w:p w14:paraId="21BFC466"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Customers and End Users:</w:t>
      </w:r>
      <w:r>
        <w:rPr>
          <w:rFonts w:ascii="Times New Roman" w:eastAsia="Times New Roman" w:hAnsi="Times New Roman" w:cs="Times New Roman"/>
          <w:sz w:val="24"/>
          <w:szCs w:val="24"/>
        </w:rPr>
        <w:t xml:space="preserve"> The main stakeholders whose satisfaction and feedback would define market success. The design priorities and product features are determined by their tastes (Peng and Jia, 2025).</w:t>
      </w:r>
    </w:p>
    <w:p w14:paraId="54DE484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Suppliers and Manufacturers: </w:t>
      </w:r>
      <w:r>
        <w:rPr>
          <w:rFonts w:ascii="Times New Roman" w:eastAsia="Times New Roman" w:hAnsi="Times New Roman" w:cs="Times New Roman"/>
          <w:sz w:val="24"/>
          <w:szCs w:val="24"/>
        </w:rPr>
        <w:t>Suppliers have components like sensors, batteries and chips. Good suppliers are essential to keep the quality standards as well as prevent delays in production.</w:t>
      </w:r>
    </w:p>
    <w:p w14:paraId="6E87DA14"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Healthcare Partners</w:t>
      </w:r>
      <w:r>
        <w:rPr>
          <w:rFonts w:ascii="Times New Roman" w:eastAsia="Times New Roman" w:hAnsi="Times New Roman" w:cs="Times New Roman"/>
          <w:sz w:val="24"/>
          <w:szCs w:val="24"/>
        </w:rPr>
        <w:t>: Interact and plan to use Fitbit data to implement preventive health programs and ensure that it is medically accurate.</w:t>
      </w:r>
    </w:p>
    <w:p w14:paraId="6CC62EF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Regulatory Authorities:</w:t>
      </w:r>
      <w:r>
        <w:rPr>
          <w:rFonts w:ascii="Times New Roman" w:eastAsia="Times New Roman" w:hAnsi="Times New Roman" w:cs="Times New Roman"/>
          <w:sz w:val="24"/>
          <w:szCs w:val="24"/>
        </w:rPr>
        <w:t xml:space="preserve"> Control the adherence to the conditions of product safety and medical certification, as well as data security in accordance with the perspective of the UK GDPR laws (Olausson and Ivanov, 2025).</w:t>
      </w:r>
    </w:p>
    <w:p w14:paraId="0A05BEB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Investors and Shareholders</w:t>
      </w:r>
      <w:r>
        <w:rPr>
          <w:rFonts w:ascii="Times New Roman" w:eastAsia="Times New Roman" w:hAnsi="Times New Roman" w:cs="Times New Roman"/>
          <w:sz w:val="24"/>
          <w:szCs w:val="24"/>
        </w:rPr>
        <w:t>: Attendance to supply, and demand, profitability and transparency in the project results.</w:t>
      </w:r>
    </w:p>
    <w:p w14:paraId="1971158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Media and Technology Reviewers Regulators: </w:t>
      </w:r>
      <w:r>
        <w:rPr>
          <w:rFonts w:ascii="Times New Roman" w:eastAsia="Times New Roman" w:hAnsi="Times New Roman" w:cs="Times New Roman"/>
          <w:sz w:val="24"/>
          <w:szCs w:val="24"/>
        </w:rPr>
        <w:t>They influence public opinion and consumer confidence by reviews, news reporting, and online interventions (Farouk, Siew and Yusof, 2025).</w:t>
      </w:r>
    </w:p>
    <w:p w14:paraId="22534FE8" w14:textId="77777777" w:rsidR="00603759" w:rsidRDefault="00000000">
      <w:pPr>
        <w:pStyle w:val="Heading1"/>
        <w:spacing w:before="0" w:after="0"/>
      </w:pPr>
      <w:bookmarkStart w:id="4" w:name="_heading=h.sfayqufa6jr0" w:colFirst="0" w:colLast="0"/>
      <w:bookmarkEnd w:id="4"/>
      <w:r>
        <w:t>Roles, Responsibilities, Benefits, and Challenges of Key Stakeholders</w:t>
      </w:r>
    </w:p>
    <w:p w14:paraId="712D40C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 coordination of stakeholders is essential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sure that the design, production and introduction of the new wearable health device of Fitbit UK Ltd is successful. Freeman's Stakeholder Theory indicates that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is directly affected by stakeholder relationships. Their roles, responsibilities, and possible challenges allow developing a balanced engagement approach in all stages of the project cycle.</w:t>
      </w:r>
    </w:p>
    <w:p w14:paraId="701B4020"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Stakeholders</w:t>
      </w:r>
    </w:p>
    <w:p w14:paraId="6077F50C"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Management Team</w:t>
      </w:r>
    </w:p>
    <w:p w14:paraId="7500BD13"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They offer strategic direction, project funding and will ensure that Fitbit and Google meet their corporate objectives. They also </w:t>
      </w:r>
      <w:proofErr w:type="gramStart"/>
      <w:r>
        <w:rPr>
          <w:rFonts w:ascii="Times New Roman" w:eastAsia="Times New Roman" w:hAnsi="Times New Roman" w:cs="Times New Roman"/>
          <w:sz w:val="24"/>
          <w:szCs w:val="24"/>
        </w:rPr>
        <w:t>undertake</w:t>
      </w:r>
      <w:proofErr w:type="gramEnd"/>
      <w:r>
        <w:rPr>
          <w:rFonts w:ascii="Times New Roman" w:eastAsia="Times New Roman" w:hAnsi="Times New Roman" w:cs="Times New Roman"/>
          <w:sz w:val="24"/>
          <w:szCs w:val="24"/>
        </w:rPr>
        <w:t xml:space="preserve"> important choices in budgeting, schedules and risk control.</w:t>
      </w:r>
    </w:p>
    <w:p w14:paraId="38627B7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Advantages</w:t>
      </w:r>
      <w:r>
        <w:rPr>
          <w:rFonts w:ascii="Times New Roman" w:eastAsia="Times New Roman" w:hAnsi="Times New Roman" w:cs="Times New Roman"/>
          <w:sz w:val="24"/>
          <w:szCs w:val="24"/>
        </w:rPr>
        <w:t xml:space="preserve">: They have a strategic focus and leadership that would keep projects in line with the mission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35264324"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Competition of corporate priorities and financial constraints can prevent them from making effective decisions in a timely </w:t>
      </w:r>
      <w:proofErr w:type="gramStart"/>
      <w:r>
        <w:rPr>
          <w:rFonts w:ascii="Times New Roman" w:eastAsia="Times New Roman" w:hAnsi="Times New Roman" w:cs="Times New Roman"/>
          <w:sz w:val="24"/>
          <w:szCs w:val="24"/>
        </w:rPr>
        <w:t>manner, and</w:t>
      </w:r>
      <w:proofErr w:type="gramEnd"/>
      <w:r>
        <w:rPr>
          <w:rFonts w:ascii="Times New Roman" w:eastAsia="Times New Roman" w:hAnsi="Times New Roman" w:cs="Times New Roman"/>
          <w:sz w:val="24"/>
          <w:szCs w:val="24"/>
        </w:rPr>
        <w:t xml:space="preserve"> allocate sufficient resources.</w:t>
      </w:r>
    </w:p>
    <w:p w14:paraId="17EA928C"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Development Team</w:t>
      </w:r>
    </w:p>
    <w:p w14:paraId="1D04CFD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This team is made up of engineers, designers, and experts of quality assurance tasked with the responsibilities of research, prototype designing and testing. They guarantee innovation of products and compliance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regulations.</w:t>
      </w:r>
    </w:p>
    <w:p w14:paraId="5CA7244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They are highly skilled in technical aspects that make their products high quality, safe and differ in a competitive way.</w:t>
      </w:r>
    </w:p>
    <w:p w14:paraId="1328A81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Stringent deadlines, the complexity of technologies, and the changing consumer demand are some of the factors that hinder </w:t>
      </w:r>
      <w:proofErr w:type="gramStart"/>
      <w:r>
        <w:rPr>
          <w:rFonts w:ascii="Times New Roman" w:eastAsia="Times New Roman" w:hAnsi="Times New Roman" w:cs="Times New Roman"/>
          <w:sz w:val="24"/>
          <w:szCs w:val="24"/>
        </w:rPr>
        <w:t>a punctual</w:t>
      </w:r>
      <w:proofErr w:type="gramEnd"/>
      <w:r>
        <w:rPr>
          <w:rFonts w:ascii="Times New Roman" w:eastAsia="Times New Roman" w:hAnsi="Times New Roman" w:cs="Times New Roman"/>
          <w:sz w:val="24"/>
          <w:szCs w:val="24"/>
        </w:rPr>
        <w:t xml:space="preserve"> delivery.</w:t>
      </w:r>
    </w:p>
    <w:p w14:paraId="19C464F3"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 Department and Marketing</w:t>
      </w:r>
    </w:p>
    <w:p w14:paraId="1E6190C7"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Prepares marketing campaigns, prices and marketing distribution channels of product launching (Iyer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2025). They also carry out market research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know the preferences made by the customers.</w:t>
      </w:r>
    </w:p>
    <w:p w14:paraId="1FFBD53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Boosts brand awareness,</w:t>
      </w:r>
      <w:proofErr w:type="gramEnd"/>
      <w:r>
        <w:rPr>
          <w:rFonts w:ascii="Times New Roman" w:eastAsia="Times New Roman" w:hAnsi="Times New Roman" w:cs="Times New Roman"/>
          <w:sz w:val="24"/>
          <w:szCs w:val="24"/>
        </w:rPr>
        <w:t xml:space="preserve"> pushes customer demand and utmost market penetration.</w:t>
      </w:r>
    </w:p>
    <w:p w14:paraId="1B30992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Limited budgets, saturation of the market, and unpredictable consumer withdrawal may decrease effectiveness of the campaigns.</w:t>
      </w:r>
    </w:p>
    <w:p w14:paraId="326FF051"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Operations and Supply Chain Team</w:t>
      </w:r>
    </w:p>
    <w:p w14:paraId="0B631F0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Monitors procurement, supplier management, production schedules and logistics; makes sure that they deliver on time.</w:t>
      </w:r>
    </w:p>
    <w:p w14:paraId="74AA33F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Quality control and cost efficiency are ensured because of efficient operations.</w:t>
      </w:r>
    </w:p>
    <w:p w14:paraId="4097B40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Problems may arise from the supply chain breakdowns or unethical sourcing affecting the production schedules and brand image.</w:t>
      </w:r>
    </w:p>
    <w:p w14:paraId="16E2B77B"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Support and Data Analysis Team</w:t>
      </w:r>
    </w:p>
    <w:p w14:paraId="12A5A6F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Gathers and analyses consumer feedback after launch, fixes user problems and feedback to improve the product in future (Friend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78038E9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xml:space="preserve">: Fosters a </w:t>
      </w:r>
      <w:proofErr w:type="gramStart"/>
      <w:r>
        <w:rPr>
          <w:rFonts w:ascii="Times New Roman" w:eastAsia="Times New Roman" w:hAnsi="Times New Roman" w:cs="Times New Roman"/>
          <w:sz w:val="24"/>
          <w:szCs w:val="24"/>
        </w:rPr>
        <w:t>long time</w:t>
      </w:r>
      <w:proofErr w:type="gramEnd"/>
      <w:r>
        <w:rPr>
          <w:rFonts w:ascii="Times New Roman" w:eastAsia="Times New Roman" w:hAnsi="Times New Roman" w:cs="Times New Roman"/>
          <w:sz w:val="24"/>
          <w:szCs w:val="24"/>
        </w:rPr>
        <w:t xml:space="preserve"> client base and improves customer satisfaction.</w:t>
      </w:r>
    </w:p>
    <w:p w14:paraId="3B8366B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The necessity to handle massive amounts of </w:t>
      </w:r>
      <w:proofErr w:type="gramStart"/>
      <w:r>
        <w:rPr>
          <w:rFonts w:ascii="Times New Roman" w:eastAsia="Times New Roman" w:hAnsi="Times New Roman" w:cs="Times New Roman"/>
          <w:sz w:val="24"/>
          <w:szCs w:val="24"/>
        </w:rPr>
        <w:t>data, and</w:t>
      </w:r>
      <w:proofErr w:type="gramEnd"/>
      <w:r>
        <w:rPr>
          <w:rFonts w:ascii="Times New Roman" w:eastAsia="Times New Roman" w:hAnsi="Times New Roman" w:cs="Times New Roman"/>
          <w:sz w:val="24"/>
          <w:szCs w:val="24"/>
        </w:rPr>
        <w:t xml:space="preserve"> guarantee to follow the rules of GDPR is one of the challenges.</w:t>
      </w:r>
    </w:p>
    <w:p w14:paraId="3B095FF7" w14:textId="77777777" w:rsidR="00603759"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External Stakeholders</w:t>
      </w:r>
    </w:p>
    <w:p w14:paraId="71B35182"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Customers and End Users</w:t>
      </w:r>
    </w:p>
    <w:p w14:paraId="074ACCB6"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Their role is associated with reporting required feedback which can support improving features and design of the product. </w:t>
      </w:r>
    </w:p>
    <w:p w14:paraId="5B9C058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Advantages: </w:t>
      </w:r>
      <w:r>
        <w:rPr>
          <w:rFonts w:ascii="Times New Roman" w:eastAsia="Times New Roman" w:hAnsi="Times New Roman" w:cs="Times New Roman"/>
          <w:sz w:val="24"/>
          <w:szCs w:val="24"/>
        </w:rPr>
        <w:t xml:space="preserve">Suppliers who are reliable </w:t>
      </w:r>
      <w:proofErr w:type="gramStart"/>
      <w:r>
        <w:rPr>
          <w:rFonts w:ascii="Times New Roman" w:eastAsia="Times New Roman" w:hAnsi="Times New Roman" w:cs="Times New Roman"/>
          <w:sz w:val="24"/>
          <w:szCs w:val="24"/>
        </w:rPr>
        <w:t>enables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 consistency</w:t>
      </w:r>
      <w:proofErr w:type="gramEnd"/>
      <w:r>
        <w:rPr>
          <w:rFonts w:ascii="Times New Roman" w:eastAsia="Times New Roman" w:hAnsi="Times New Roman" w:cs="Times New Roman"/>
          <w:sz w:val="24"/>
          <w:szCs w:val="24"/>
        </w:rPr>
        <w:t xml:space="preserve"> in product quality and continuity in operations.</w:t>
      </w:r>
    </w:p>
    <w:p w14:paraId="0B8E159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Challenges: </w:t>
      </w:r>
      <w:r>
        <w:rPr>
          <w:rFonts w:ascii="Times New Roman" w:eastAsia="Times New Roman" w:hAnsi="Times New Roman" w:cs="Times New Roman"/>
          <w:sz w:val="24"/>
          <w:szCs w:val="24"/>
        </w:rPr>
        <w:t xml:space="preserve">Global supply chain risks, fluctuation of cost and delays of deliveries may affect project schedules (Elshamy, </w:t>
      </w:r>
      <w:proofErr w:type="spellStart"/>
      <w:r>
        <w:rPr>
          <w:rFonts w:ascii="Times New Roman" w:eastAsia="Times New Roman" w:hAnsi="Times New Roman" w:cs="Times New Roman"/>
          <w:sz w:val="24"/>
          <w:szCs w:val="24"/>
        </w:rPr>
        <w:t>Elghaish</w:t>
      </w:r>
      <w:proofErr w:type="spellEnd"/>
      <w:r>
        <w:rPr>
          <w:rFonts w:ascii="Times New Roman" w:eastAsia="Times New Roman" w:hAnsi="Times New Roman" w:cs="Times New Roman"/>
          <w:sz w:val="24"/>
          <w:szCs w:val="24"/>
        </w:rPr>
        <w:t xml:space="preserve"> and Brooks, 2025).</w:t>
      </w:r>
    </w:p>
    <w:p w14:paraId="64DE349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Suppliers and Manufacturers</w:t>
      </w:r>
      <w:r>
        <w:rPr>
          <w:rFonts w:ascii="Times New Roman" w:eastAsia="Times New Roman" w:hAnsi="Times New Roman" w:cs="Times New Roman"/>
          <w:b/>
          <w:sz w:val="24"/>
          <w:szCs w:val="24"/>
        </w:rPr>
        <w:br/>
        <w:t>Roles and Responsibilities</w:t>
      </w:r>
      <w:r>
        <w:rPr>
          <w:rFonts w:ascii="Times New Roman" w:eastAsia="Times New Roman" w:hAnsi="Times New Roman" w:cs="Times New Roman"/>
          <w:sz w:val="24"/>
          <w:szCs w:val="24"/>
        </w:rPr>
        <w:t>: Justify the medical correctness of the devices and favoring its involvement into the healthcare monitoring systems.</w:t>
      </w:r>
    </w:p>
    <w:p w14:paraId="3B955C2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xml:space="preserve"> Enhance the credibility of Fitbit and get a chance to establish an institutional partnership.</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Challenges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Challenges associated with delivery delays and global supply chain </w:t>
      </w:r>
      <w:proofErr w:type="gramStart"/>
      <w:r>
        <w:rPr>
          <w:rFonts w:ascii="Times New Roman" w:eastAsia="Times New Roman" w:hAnsi="Times New Roman" w:cs="Times New Roman"/>
          <w:sz w:val="24"/>
          <w:szCs w:val="24"/>
        </w:rPr>
        <w:t>risks,</w:t>
      </w:r>
      <w:proofErr w:type="gramEnd"/>
      <w:r>
        <w:rPr>
          <w:rFonts w:ascii="Times New Roman" w:eastAsia="Times New Roman" w:hAnsi="Times New Roman" w:cs="Times New Roman"/>
          <w:sz w:val="24"/>
          <w:szCs w:val="24"/>
        </w:rPr>
        <w:t xml:space="preserve"> can influence the schedules of the project.</w:t>
      </w:r>
    </w:p>
    <w:p w14:paraId="6BFE0ED3" w14:textId="77777777" w:rsidR="0060375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Healthcare Partners</w:t>
      </w:r>
      <w:r>
        <w:rPr>
          <w:rFonts w:ascii="Times New Roman" w:eastAsia="Times New Roman" w:hAnsi="Times New Roman" w:cs="Times New Roman"/>
          <w:b/>
          <w:sz w:val="24"/>
          <w:szCs w:val="24"/>
        </w:rPr>
        <w:br/>
        <w:t xml:space="preserve">Roles and Responsibilities: </w:t>
      </w:r>
      <w:r>
        <w:rPr>
          <w:rFonts w:ascii="Times New Roman" w:eastAsia="Times New Roman" w:hAnsi="Times New Roman" w:cs="Times New Roman"/>
          <w:sz w:val="24"/>
          <w:szCs w:val="24"/>
        </w:rPr>
        <w:t>They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make sure that the safety and data protection expectations are met prior to market release.</w:t>
      </w:r>
    </w:p>
    <w:p w14:paraId="0C8BA4C0" w14:textId="77777777" w:rsidR="0060375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Enhance confidence in consumers and legitimacy of the product.</w:t>
      </w:r>
    </w:p>
    <w:p w14:paraId="643C0309" w14:textId="77777777" w:rsidR="00603759"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The entry of the market can be slowed by complex approval procedures and variation in regulatory requirement changes (Ajmal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6D4D4D54"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Regulatory Authorities (MHRA, ICO)</w:t>
      </w:r>
    </w:p>
    <w:p w14:paraId="499C804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They ensure that the safety and data protection expectations are met prior to market release.</w:t>
      </w:r>
    </w:p>
    <w:p w14:paraId="13F2323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Enhance confidence in consumers and legitimacy of the product.</w:t>
      </w:r>
    </w:p>
    <w:p w14:paraId="4D7DE6B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The entry of the market can be slowed by complex approval procedures and variation in regulatory requirement changes.</w:t>
      </w:r>
    </w:p>
    <w:p w14:paraId="7209AA50"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Investors and Shareholders</w:t>
      </w:r>
    </w:p>
    <w:p w14:paraId="77D7AE1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Roles and Responsibilities:</w:t>
      </w:r>
      <w:r>
        <w:rPr>
          <w:rFonts w:ascii="Times New Roman" w:eastAsia="Times New Roman" w:hAnsi="Times New Roman" w:cs="Times New Roman"/>
          <w:sz w:val="24"/>
          <w:szCs w:val="24"/>
        </w:rPr>
        <w:t xml:space="preserve"> Financial support, project surveillance and profitability evaluation (Liu and Sun, 2025).</w:t>
      </w:r>
    </w:p>
    <w:p w14:paraId="283F2324"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w:t>
      </w:r>
      <w:r>
        <w:rPr>
          <w:rFonts w:ascii="Times New Roman" w:eastAsia="Times New Roman" w:hAnsi="Times New Roman" w:cs="Times New Roman"/>
          <w:sz w:val="24"/>
          <w:szCs w:val="24"/>
        </w:rPr>
        <w:t>: They are funded to do research, innovation and expansion.</w:t>
      </w:r>
    </w:p>
    <w:p w14:paraId="1933F41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Challenges: </w:t>
      </w:r>
      <w:r>
        <w:rPr>
          <w:rFonts w:ascii="Times New Roman" w:eastAsia="Times New Roman" w:hAnsi="Times New Roman" w:cs="Times New Roman"/>
          <w:sz w:val="24"/>
          <w:szCs w:val="24"/>
        </w:rPr>
        <w:t>Short term financial pressures to make short-term returns can be incompatible with long-term innovation.</w:t>
      </w:r>
    </w:p>
    <w:p w14:paraId="79290D25" w14:textId="77777777" w:rsidR="00603759" w:rsidRDefault="00000000">
      <w:pPr>
        <w:pStyle w:val="Heading1"/>
        <w:keepNext w:val="0"/>
        <w:keepLines w:val="0"/>
        <w:spacing w:before="0" w:after="0"/>
      </w:pPr>
      <w:bookmarkStart w:id="5" w:name="_heading=h.k4giaodp7bt" w:colFirst="0" w:colLast="0"/>
      <w:bookmarkEnd w:id="5"/>
      <w:r>
        <w:t>Stakeholder Engagement Frameworks, Models, and Theories</w:t>
      </w:r>
    </w:p>
    <w:p w14:paraId="36EA3403"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stakeholder engagement needs to have well-organized structures and communication plans that foster partnership, responsibility, and understanding. In the case of the new wearable health device at Fitbit UK Ltd, stakeholder management model, using the Matrix of Mendelow, the RACI Matrix, and engagement and communication planning will see to the correct generation of alignment of interests and project success.</w:t>
      </w:r>
    </w:p>
    <w:p w14:paraId="51DA1C66"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 Matrix of Mendelow</w:t>
      </w:r>
    </w:p>
    <w:p w14:paraId="37804F9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Power-Interest Matrix created by Mendelow assists in determining the extent of attention and participation that each stakeholder needs.</w:t>
      </w:r>
    </w:p>
    <w:p w14:paraId="507957B3"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753D31" wp14:editId="7FB96C78">
            <wp:extent cx="4391025" cy="3563875"/>
            <wp:effectExtent l="38100" t="38100" r="38100" b="381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10017" t="1500" r="11130" b="2354"/>
                    <a:stretch>
                      <a:fillRect/>
                    </a:stretch>
                  </pic:blipFill>
                  <pic:spPr>
                    <a:xfrm>
                      <a:off x="0" y="0"/>
                      <a:ext cx="4391025" cy="3563875"/>
                    </a:xfrm>
                    <a:prstGeom prst="rect">
                      <a:avLst/>
                    </a:prstGeom>
                    <a:ln w="38100">
                      <a:solidFill>
                        <a:srgbClr val="000000"/>
                      </a:solidFill>
                      <a:prstDash val="solid"/>
                    </a:ln>
                  </pic:spPr>
                </pic:pic>
              </a:graphicData>
            </a:graphic>
          </wp:inline>
        </w:drawing>
      </w:r>
    </w:p>
    <w:p w14:paraId="5A2648B0"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Image 01</w:t>
      </w:r>
      <w:r>
        <w:rPr>
          <w:rFonts w:ascii="Times New Roman" w:eastAsia="Times New Roman" w:hAnsi="Times New Roman" w:cs="Times New Roman"/>
          <w:sz w:val="24"/>
          <w:szCs w:val="24"/>
        </w:rPr>
        <w:t>: Stakeholder Matrix of Mendelow</w:t>
      </w:r>
    </w:p>
    <w:p w14:paraId="09BF7FE7"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29A6CF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High Power-High Interest: (</w:t>
      </w:r>
      <w:r>
        <w:rPr>
          <w:rFonts w:ascii="Times New Roman" w:eastAsia="Times New Roman" w:hAnsi="Times New Roman" w:cs="Times New Roman"/>
          <w:sz w:val="24"/>
          <w:szCs w:val="24"/>
        </w:rPr>
        <w:t>Executive management, regulatory authorities) They should be strictly controlled with frequent reports, meetings of decisions, and risk updates.</w:t>
      </w:r>
    </w:p>
    <w:p w14:paraId="4953852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High Power-Low Interest</w:t>
      </w:r>
      <w:r>
        <w:rPr>
          <w:rFonts w:ascii="Times New Roman" w:eastAsia="Times New Roman" w:hAnsi="Times New Roman" w:cs="Times New Roman"/>
          <w:sz w:val="24"/>
          <w:szCs w:val="24"/>
        </w:rPr>
        <w:t>: (Investors and suppliers) They need to remain content with financial reports and adherence promises (Liu and Sun, 2025).</w:t>
      </w:r>
    </w:p>
    <w:p w14:paraId="24288E0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Low Power-High Interest:</w:t>
      </w:r>
      <w:r>
        <w:rPr>
          <w:rFonts w:ascii="Times New Roman" w:eastAsia="Times New Roman" w:hAnsi="Times New Roman" w:cs="Times New Roman"/>
          <w:sz w:val="24"/>
          <w:szCs w:val="24"/>
        </w:rPr>
        <w:t xml:space="preserve"> (Customers and healthcare partners) They need active work via consultations, surveys, and co-designing workshops.</w:t>
      </w:r>
    </w:p>
    <w:p w14:paraId="42DC658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Low Power-Low Interest:</w:t>
      </w:r>
      <w:r>
        <w:rPr>
          <w:rFonts w:ascii="Times New Roman" w:eastAsia="Times New Roman" w:hAnsi="Times New Roman" w:cs="Times New Roman"/>
          <w:sz w:val="24"/>
          <w:szCs w:val="24"/>
        </w:rPr>
        <w:t xml:space="preserve"> (Media and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They need to be informed by </w:t>
      </w:r>
      <w:proofErr w:type="gramStart"/>
      <w:r>
        <w:rPr>
          <w:rFonts w:ascii="Times New Roman" w:eastAsia="Times New Roman" w:hAnsi="Times New Roman" w:cs="Times New Roman"/>
          <w:sz w:val="24"/>
          <w:szCs w:val="24"/>
        </w:rPr>
        <w:t>the means</w:t>
      </w:r>
      <w:proofErr w:type="gramEnd"/>
      <w:r>
        <w:rPr>
          <w:rFonts w:ascii="Times New Roman" w:eastAsia="Times New Roman" w:hAnsi="Times New Roman" w:cs="Times New Roman"/>
          <w:sz w:val="24"/>
          <w:szCs w:val="24"/>
        </w:rPr>
        <w:t xml:space="preserve"> of marketing campaigns and press releases.</w:t>
      </w:r>
    </w:p>
    <w:p w14:paraId="1C2EAEA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model will help Fitbit to prioritize instances of engagement so that powerful stakeholders will continue to play supportive and </w:t>
      </w:r>
      <w:proofErr w:type="gramStart"/>
      <w:r>
        <w:rPr>
          <w:rFonts w:ascii="Times New Roman" w:eastAsia="Times New Roman" w:hAnsi="Times New Roman" w:cs="Times New Roman"/>
          <w:sz w:val="24"/>
          <w:szCs w:val="24"/>
        </w:rPr>
        <w:t>information</w:t>
      </w:r>
      <w:proofErr w:type="gramEnd"/>
      <w:r>
        <w:rPr>
          <w:rFonts w:ascii="Times New Roman" w:eastAsia="Times New Roman" w:hAnsi="Times New Roman" w:cs="Times New Roman"/>
          <w:sz w:val="24"/>
          <w:szCs w:val="24"/>
        </w:rPr>
        <w:t xml:space="preserve"> roles during the lifecycle of the project.</w:t>
      </w:r>
    </w:p>
    <w:p w14:paraId="45EE02C5" w14:textId="77777777" w:rsidR="0060375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RACI Matrix</w:t>
      </w:r>
    </w:p>
    <w:p w14:paraId="56ED26D1"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RACI (Responsible, Accountable, Consulted, Informed) model delineates the roles and responsibilities of the stakeholders and provides clarity of roles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eliminating any duplication of efforts (Dissanayake, Rathnayake and </w:t>
      </w:r>
      <w:proofErr w:type="spellStart"/>
      <w:r>
        <w:rPr>
          <w:rFonts w:ascii="Times New Roman" w:eastAsia="Times New Roman" w:hAnsi="Times New Roman" w:cs="Times New Roman"/>
          <w:sz w:val="24"/>
          <w:szCs w:val="24"/>
        </w:rPr>
        <w:t>Indumini</w:t>
      </w:r>
      <w:proofErr w:type="spellEnd"/>
      <w:r>
        <w:rPr>
          <w:rFonts w:ascii="Times New Roman" w:eastAsia="Times New Roman" w:hAnsi="Times New Roman" w:cs="Times New Roman"/>
          <w:sz w:val="24"/>
          <w:szCs w:val="24"/>
        </w:rPr>
        <w:t>, 2025).</w:t>
      </w:r>
    </w:p>
    <w:tbl>
      <w:tblPr>
        <w:tblStyle w:val="a6"/>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60"/>
        <w:gridCol w:w="1455"/>
        <w:gridCol w:w="1500"/>
        <w:gridCol w:w="1260"/>
        <w:gridCol w:w="2040"/>
      </w:tblGrid>
      <w:tr w:rsidR="00603759" w14:paraId="70295F0C" w14:textId="77777777">
        <w:trPr>
          <w:trHeight w:val="50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7054D"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Stakeholder</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351F6"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Responsible</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C0EED"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Accountable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57BA8"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Consulted</w:t>
            </w: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5A28A"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Informed</w:t>
            </w:r>
          </w:p>
        </w:tc>
      </w:tr>
      <w:tr w:rsidR="00603759" w14:paraId="5B98CB1C"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0442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Development Team</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42CB8" w14:textId="77777777" w:rsidR="00603759" w:rsidRDefault="00000000">
            <w:pPr>
              <w:spacing w:line="360" w:lineRule="auto"/>
              <w:jc w:val="both"/>
              <w:rPr>
                <w:rFonts w:ascii="Times New Roman" w:eastAsia="Times New Roman" w:hAnsi="Times New Roman" w:cs="Times New Roman"/>
                <w:sz w:val="24"/>
                <w:szCs w:val="24"/>
              </w:rPr>
            </w:pPr>
            <w:sdt>
              <w:sdtPr>
                <w:tag w:val="goog_rdk_0"/>
                <w:id w:val="734804622"/>
              </w:sdtPr>
              <w:sdtContent>
                <w:r>
                  <w:rPr>
                    <w:rFonts w:ascii="Arial Unicode MS" w:eastAsia="Arial Unicode MS" w:hAnsi="Arial Unicode MS" w:cs="Arial Unicode MS"/>
                    <w:sz w:val="24"/>
                    <w:szCs w:val="24"/>
                  </w:rPr>
                  <w:t>✔</w:t>
                </w:r>
              </w:sdtContent>
            </w:sdt>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45580"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0F45A" w14:textId="77777777" w:rsidR="00603759" w:rsidRDefault="00603759">
            <w:pPr>
              <w:spacing w:line="360" w:lineRule="auto"/>
              <w:jc w:val="both"/>
              <w:rPr>
                <w:rFonts w:ascii="Times New Roman" w:eastAsia="Times New Roman" w:hAnsi="Times New Roman" w:cs="Times New Roman"/>
                <w:sz w:val="24"/>
                <w:szCs w:val="24"/>
              </w:rPr>
            </w:pP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B0D44" w14:textId="77777777" w:rsidR="00603759" w:rsidRDefault="00603759">
            <w:pPr>
              <w:spacing w:line="360" w:lineRule="auto"/>
              <w:jc w:val="both"/>
              <w:rPr>
                <w:rFonts w:ascii="Times New Roman" w:eastAsia="Times New Roman" w:hAnsi="Times New Roman" w:cs="Times New Roman"/>
                <w:sz w:val="24"/>
                <w:szCs w:val="24"/>
              </w:rPr>
            </w:pPr>
          </w:p>
        </w:tc>
      </w:tr>
      <w:tr w:rsidR="00603759" w14:paraId="2705E06C"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4D01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Management</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07AF8" w14:textId="77777777" w:rsidR="00603759" w:rsidRDefault="00603759">
            <w:pPr>
              <w:spacing w:line="360" w:lineRule="auto"/>
              <w:jc w:val="both"/>
              <w:rPr>
                <w:rFonts w:ascii="Times New Roman" w:eastAsia="Times New Roman" w:hAnsi="Times New Roman" w:cs="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A49CB" w14:textId="77777777" w:rsidR="00603759" w:rsidRDefault="00000000">
            <w:pPr>
              <w:spacing w:line="360" w:lineRule="auto"/>
              <w:jc w:val="both"/>
              <w:rPr>
                <w:rFonts w:ascii="Times New Roman" w:eastAsia="Times New Roman" w:hAnsi="Times New Roman" w:cs="Times New Roman"/>
                <w:sz w:val="24"/>
                <w:szCs w:val="24"/>
              </w:rPr>
            </w:pPr>
            <w:sdt>
              <w:sdtPr>
                <w:tag w:val="goog_rdk_1"/>
                <w:id w:val="-1139710874"/>
              </w:sdtPr>
              <w:sdtContent>
                <w:r>
                  <w:rPr>
                    <w:rFonts w:ascii="Arial Unicode MS" w:eastAsia="Arial Unicode MS" w:hAnsi="Arial Unicode MS" w:cs="Arial Unicode MS"/>
                    <w:sz w:val="24"/>
                    <w:szCs w:val="24"/>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DD873" w14:textId="77777777" w:rsidR="00603759" w:rsidRDefault="00603759">
            <w:pPr>
              <w:spacing w:line="360" w:lineRule="auto"/>
              <w:jc w:val="both"/>
              <w:rPr>
                <w:rFonts w:ascii="Times New Roman" w:eastAsia="Times New Roman" w:hAnsi="Times New Roman" w:cs="Times New Roman"/>
                <w:sz w:val="24"/>
                <w:szCs w:val="24"/>
              </w:rPr>
            </w:pP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5763E" w14:textId="77777777" w:rsidR="00603759" w:rsidRDefault="00603759">
            <w:pPr>
              <w:spacing w:line="360" w:lineRule="auto"/>
              <w:jc w:val="both"/>
              <w:rPr>
                <w:rFonts w:ascii="Times New Roman" w:eastAsia="Times New Roman" w:hAnsi="Times New Roman" w:cs="Times New Roman"/>
                <w:sz w:val="24"/>
                <w:szCs w:val="24"/>
              </w:rPr>
            </w:pPr>
          </w:p>
        </w:tc>
      </w:tr>
      <w:tr w:rsidR="00603759" w14:paraId="67EDCD5B"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7F560B"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and Sales Team</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4B06C" w14:textId="77777777" w:rsidR="00603759" w:rsidRDefault="00000000">
            <w:pPr>
              <w:spacing w:line="360" w:lineRule="auto"/>
              <w:jc w:val="both"/>
              <w:rPr>
                <w:rFonts w:ascii="Times New Roman" w:eastAsia="Times New Roman" w:hAnsi="Times New Roman" w:cs="Times New Roman"/>
                <w:sz w:val="24"/>
                <w:szCs w:val="24"/>
              </w:rPr>
            </w:pPr>
            <w:sdt>
              <w:sdtPr>
                <w:tag w:val="goog_rdk_2"/>
                <w:id w:val="1962455570"/>
              </w:sdtPr>
              <w:sdtContent>
                <w:r>
                  <w:rPr>
                    <w:rFonts w:ascii="Arial Unicode MS" w:eastAsia="Arial Unicode MS" w:hAnsi="Arial Unicode MS" w:cs="Arial Unicode MS"/>
                    <w:sz w:val="24"/>
                    <w:szCs w:val="24"/>
                  </w:rPr>
                  <w:t>✔</w:t>
                </w:r>
              </w:sdtContent>
            </w:sdt>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10390"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28D78" w14:textId="77777777" w:rsidR="00603759" w:rsidRDefault="00603759">
            <w:pPr>
              <w:spacing w:line="360" w:lineRule="auto"/>
              <w:jc w:val="both"/>
              <w:rPr>
                <w:rFonts w:ascii="Times New Roman" w:eastAsia="Times New Roman" w:hAnsi="Times New Roman" w:cs="Times New Roman"/>
                <w:sz w:val="24"/>
                <w:szCs w:val="24"/>
              </w:rPr>
            </w:pP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A0C7D" w14:textId="77777777" w:rsidR="00603759" w:rsidRDefault="00000000">
            <w:pPr>
              <w:spacing w:line="360" w:lineRule="auto"/>
              <w:jc w:val="both"/>
              <w:rPr>
                <w:rFonts w:ascii="Times New Roman" w:eastAsia="Times New Roman" w:hAnsi="Times New Roman" w:cs="Times New Roman"/>
                <w:sz w:val="24"/>
                <w:szCs w:val="24"/>
              </w:rPr>
            </w:pPr>
            <w:sdt>
              <w:sdtPr>
                <w:tag w:val="goog_rdk_3"/>
                <w:id w:val="-1536975654"/>
              </w:sdtPr>
              <w:sdtContent>
                <w:r>
                  <w:rPr>
                    <w:rFonts w:ascii="Arial Unicode MS" w:eastAsia="Arial Unicode MS" w:hAnsi="Arial Unicode MS" w:cs="Arial Unicode MS"/>
                    <w:sz w:val="24"/>
                    <w:szCs w:val="24"/>
                  </w:rPr>
                  <w:t>✔</w:t>
                </w:r>
              </w:sdtContent>
            </w:sdt>
          </w:p>
        </w:tc>
      </w:tr>
      <w:tr w:rsidR="00603759" w14:paraId="236533AA"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C13DF"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Operations and Supply Chain</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32D81" w14:textId="77777777" w:rsidR="00603759" w:rsidRDefault="00000000">
            <w:pPr>
              <w:spacing w:line="360" w:lineRule="auto"/>
              <w:jc w:val="both"/>
              <w:rPr>
                <w:rFonts w:ascii="Times New Roman" w:eastAsia="Times New Roman" w:hAnsi="Times New Roman" w:cs="Times New Roman"/>
                <w:sz w:val="24"/>
                <w:szCs w:val="24"/>
              </w:rPr>
            </w:pPr>
            <w:sdt>
              <w:sdtPr>
                <w:tag w:val="goog_rdk_4"/>
                <w:id w:val="-2012058358"/>
              </w:sdtPr>
              <w:sdtContent>
                <w:r>
                  <w:rPr>
                    <w:rFonts w:ascii="Arial Unicode MS" w:eastAsia="Arial Unicode MS" w:hAnsi="Arial Unicode MS" w:cs="Arial Unicode MS"/>
                    <w:sz w:val="24"/>
                    <w:szCs w:val="24"/>
                  </w:rPr>
                  <w:t>✔</w:t>
                </w:r>
              </w:sdtContent>
            </w:sdt>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55905"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506A2" w14:textId="77777777" w:rsidR="00603759" w:rsidRDefault="00603759">
            <w:pPr>
              <w:spacing w:line="360" w:lineRule="auto"/>
              <w:jc w:val="both"/>
              <w:rPr>
                <w:rFonts w:ascii="Times New Roman" w:eastAsia="Times New Roman" w:hAnsi="Times New Roman" w:cs="Times New Roman"/>
                <w:sz w:val="24"/>
                <w:szCs w:val="24"/>
              </w:rPr>
            </w:pP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C4B66" w14:textId="77777777" w:rsidR="00603759" w:rsidRDefault="00603759">
            <w:pPr>
              <w:spacing w:line="360" w:lineRule="auto"/>
              <w:jc w:val="both"/>
              <w:rPr>
                <w:rFonts w:ascii="Times New Roman" w:eastAsia="Times New Roman" w:hAnsi="Times New Roman" w:cs="Times New Roman"/>
                <w:sz w:val="24"/>
                <w:szCs w:val="24"/>
              </w:rPr>
            </w:pPr>
          </w:p>
        </w:tc>
      </w:tr>
      <w:tr w:rsidR="00603759" w14:paraId="33398863"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7BCFA7"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Healthcare Partners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A4423" w14:textId="77777777" w:rsidR="00603759" w:rsidRDefault="00603759">
            <w:pPr>
              <w:spacing w:line="360" w:lineRule="auto"/>
              <w:jc w:val="both"/>
              <w:rPr>
                <w:rFonts w:ascii="Times New Roman" w:eastAsia="Times New Roman" w:hAnsi="Times New Roman" w:cs="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4BFF8"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54AFB" w14:textId="77777777" w:rsidR="00603759" w:rsidRDefault="00000000">
            <w:pPr>
              <w:spacing w:line="360" w:lineRule="auto"/>
              <w:jc w:val="both"/>
              <w:rPr>
                <w:rFonts w:ascii="Times New Roman" w:eastAsia="Times New Roman" w:hAnsi="Times New Roman" w:cs="Times New Roman"/>
                <w:sz w:val="24"/>
                <w:szCs w:val="24"/>
              </w:rPr>
            </w:pPr>
            <w:sdt>
              <w:sdtPr>
                <w:tag w:val="goog_rdk_5"/>
                <w:id w:val="-720559059"/>
              </w:sdtPr>
              <w:sdtContent>
                <w:r>
                  <w:rPr>
                    <w:rFonts w:ascii="Arial Unicode MS" w:eastAsia="Arial Unicode MS" w:hAnsi="Arial Unicode MS" w:cs="Arial Unicode MS"/>
                    <w:sz w:val="24"/>
                    <w:szCs w:val="24"/>
                  </w:rPr>
                  <w:t>✔</w:t>
                </w:r>
              </w:sdtContent>
            </w:sdt>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A80BC" w14:textId="77777777" w:rsidR="00603759" w:rsidRDefault="00000000">
            <w:pPr>
              <w:spacing w:line="360" w:lineRule="auto"/>
              <w:jc w:val="both"/>
              <w:rPr>
                <w:rFonts w:ascii="Times New Roman" w:eastAsia="Times New Roman" w:hAnsi="Times New Roman" w:cs="Times New Roman"/>
                <w:sz w:val="24"/>
                <w:szCs w:val="24"/>
              </w:rPr>
            </w:pPr>
            <w:sdt>
              <w:sdtPr>
                <w:tag w:val="goog_rdk_6"/>
                <w:id w:val="-903822960"/>
              </w:sdtPr>
              <w:sdtContent>
                <w:r>
                  <w:rPr>
                    <w:rFonts w:ascii="Arial Unicode MS" w:eastAsia="Arial Unicode MS" w:hAnsi="Arial Unicode MS" w:cs="Arial Unicode MS"/>
                    <w:sz w:val="24"/>
                    <w:szCs w:val="24"/>
                  </w:rPr>
                  <w:t>✔</w:t>
                </w:r>
              </w:sdtContent>
            </w:sdt>
          </w:p>
        </w:tc>
      </w:tr>
      <w:tr w:rsidR="00603759" w14:paraId="6A0B164C"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1FA82"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Authorities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41E13" w14:textId="77777777" w:rsidR="00603759" w:rsidRDefault="00603759">
            <w:pPr>
              <w:spacing w:line="360" w:lineRule="auto"/>
              <w:jc w:val="both"/>
              <w:rPr>
                <w:rFonts w:ascii="Times New Roman" w:eastAsia="Times New Roman" w:hAnsi="Times New Roman" w:cs="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E2985E"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C2357" w14:textId="77777777" w:rsidR="00603759" w:rsidRDefault="00000000">
            <w:pPr>
              <w:spacing w:line="360" w:lineRule="auto"/>
              <w:jc w:val="both"/>
              <w:rPr>
                <w:rFonts w:ascii="Times New Roman" w:eastAsia="Times New Roman" w:hAnsi="Times New Roman" w:cs="Times New Roman"/>
                <w:sz w:val="24"/>
                <w:szCs w:val="24"/>
              </w:rPr>
            </w:pPr>
            <w:sdt>
              <w:sdtPr>
                <w:tag w:val="goog_rdk_7"/>
                <w:id w:val="1209704403"/>
              </w:sdtPr>
              <w:sdtContent>
                <w:r>
                  <w:rPr>
                    <w:rFonts w:ascii="Arial Unicode MS" w:eastAsia="Arial Unicode MS" w:hAnsi="Arial Unicode MS" w:cs="Arial Unicode MS"/>
                    <w:sz w:val="24"/>
                    <w:szCs w:val="24"/>
                  </w:rPr>
                  <w:t>✔</w:t>
                </w:r>
              </w:sdtContent>
            </w:sdt>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4AE9A" w14:textId="77777777" w:rsidR="00603759" w:rsidRDefault="00000000">
            <w:pPr>
              <w:spacing w:line="360" w:lineRule="auto"/>
              <w:jc w:val="both"/>
              <w:rPr>
                <w:rFonts w:ascii="Times New Roman" w:eastAsia="Times New Roman" w:hAnsi="Times New Roman" w:cs="Times New Roman"/>
                <w:sz w:val="24"/>
                <w:szCs w:val="24"/>
              </w:rPr>
            </w:pPr>
            <w:sdt>
              <w:sdtPr>
                <w:tag w:val="goog_rdk_8"/>
                <w:id w:val="-1412788515"/>
              </w:sdtPr>
              <w:sdtContent>
                <w:r>
                  <w:rPr>
                    <w:rFonts w:ascii="Arial Unicode MS" w:eastAsia="Arial Unicode MS" w:hAnsi="Arial Unicode MS" w:cs="Arial Unicode MS"/>
                    <w:sz w:val="24"/>
                    <w:szCs w:val="24"/>
                  </w:rPr>
                  <w:t>✔</w:t>
                </w:r>
              </w:sdtContent>
            </w:sdt>
          </w:p>
        </w:tc>
      </w:tr>
      <w:tr w:rsidR="00603759" w14:paraId="4CD2BB12" w14:textId="77777777">
        <w:trPr>
          <w:trHeight w:val="560"/>
        </w:trPr>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33EF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3965E" w14:textId="77777777" w:rsidR="00603759" w:rsidRDefault="00603759">
            <w:pPr>
              <w:spacing w:line="360" w:lineRule="auto"/>
              <w:jc w:val="both"/>
              <w:rPr>
                <w:rFonts w:ascii="Times New Roman" w:eastAsia="Times New Roman" w:hAnsi="Times New Roman" w:cs="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C9207" w14:textId="77777777" w:rsidR="00603759" w:rsidRDefault="00603759">
            <w:pPr>
              <w:spacing w:line="360" w:lineRule="auto"/>
              <w:jc w:val="both"/>
              <w:rPr>
                <w:rFonts w:ascii="Times New Roman" w:eastAsia="Times New Roman" w:hAnsi="Times New Roman" w:cs="Times New Roman"/>
                <w:sz w:val="24"/>
                <w:szCs w:val="24"/>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AF660" w14:textId="77777777" w:rsidR="00603759" w:rsidRDefault="00000000">
            <w:pPr>
              <w:spacing w:line="360" w:lineRule="auto"/>
              <w:jc w:val="both"/>
              <w:rPr>
                <w:rFonts w:ascii="Times New Roman" w:eastAsia="Times New Roman" w:hAnsi="Times New Roman" w:cs="Times New Roman"/>
                <w:sz w:val="24"/>
                <w:szCs w:val="24"/>
              </w:rPr>
            </w:pPr>
            <w:sdt>
              <w:sdtPr>
                <w:tag w:val="goog_rdk_9"/>
                <w:id w:val="585007581"/>
              </w:sdtPr>
              <w:sdtContent>
                <w:r>
                  <w:rPr>
                    <w:rFonts w:ascii="Arial Unicode MS" w:eastAsia="Arial Unicode MS" w:hAnsi="Arial Unicode MS" w:cs="Arial Unicode MS"/>
                    <w:sz w:val="24"/>
                    <w:szCs w:val="24"/>
                  </w:rPr>
                  <w:t>✔</w:t>
                </w:r>
              </w:sdtContent>
            </w:sdt>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AA6EE" w14:textId="77777777" w:rsidR="00603759" w:rsidRDefault="00000000">
            <w:pPr>
              <w:spacing w:line="360" w:lineRule="auto"/>
              <w:jc w:val="both"/>
              <w:rPr>
                <w:rFonts w:ascii="Times New Roman" w:eastAsia="Times New Roman" w:hAnsi="Times New Roman" w:cs="Times New Roman"/>
                <w:sz w:val="24"/>
                <w:szCs w:val="24"/>
              </w:rPr>
            </w:pPr>
            <w:sdt>
              <w:sdtPr>
                <w:tag w:val="goog_rdk_10"/>
                <w:id w:val="-1685660722"/>
              </w:sdtPr>
              <w:sdtContent>
                <w:r>
                  <w:rPr>
                    <w:rFonts w:ascii="Arial Unicode MS" w:eastAsia="Arial Unicode MS" w:hAnsi="Arial Unicode MS" w:cs="Arial Unicode MS"/>
                    <w:sz w:val="24"/>
                    <w:szCs w:val="24"/>
                  </w:rPr>
                  <w:t>✔</w:t>
                </w:r>
              </w:sdtContent>
            </w:sdt>
          </w:p>
        </w:tc>
      </w:tr>
    </w:tbl>
    <w:p w14:paraId="4B5F8DBC" w14:textId="77777777" w:rsidR="0060375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RACI Matrix</w:t>
      </w:r>
    </w:p>
    <w:p w14:paraId="2BCD4A3A" w14:textId="77777777" w:rsidR="0060375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7DA5603E"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RACI Matrix introduces transparency, accountability, and effective decision-making among cross-functional teams, which is crucial in a time-sensitive project launch. </w:t>
      </w:r>
    </w:p>
    <w:p w14:paraId="4C6A2E2C"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Stakeholder Engagement Plan.</w:t>
      </w:r>
      <w:r>
        <w:rPr>
          <w:rFonts w:ascii="Times New Roman" w:eastAsia="Times New Roman" w:hAnsi="Times New Roman" w:cs="Times New Roman"/>
          <w:sz w:val="24"/>
          <w:szCs w:val="24"/>
        </w:rPr>
        <w:t xml:space="preserve"> </w:t>
      </w:r>
    </w:p>
    <w:p w14:paraId="207A2D5F"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Engagement Plan will address how Fitbit engages with the stakeholders to obtain a commitment 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resistance. Key steps include: </w:t>
      </w:r>
    </w:p>
    <w:p w14:paraId="0A2B51C2"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Identification and Mapping Identify stakeholders with the Mendelow Framework</w:t>
      </w:r>
      <w:r>
        <w:rPr>
          <w:rFonts w:ascii="Times New Roman" w:eastAsia="Times New Roman" w:hAnsi="Times New Roman" w:cs="Times New Roman"/>
          <w:sz w:val="24"/>
          <w:szCs w:val="24"/>
        </w:rPr>
        <w:t xml:space="preserve"> </w:t>
      </w:r>
    </w:p>
    <w:p w14:paraId="3AEC3474"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Needs and Expectations Analysis</w:t>
      </w:r>
      <w:r>
        <w:rPr>
          <w:rFonts w:ascii="Times New Roman" w:eastAsia="Times New Roman" w:hAnsi="Times New Roman" w:cs="Times New Roman"/>
          <w:sz w:val="24"/>
          <w:szCs w:val="24"/>
        </w:rPr>
        <w:t xml:space="preserve">: This includes evaluating interests, influence, and </w:t>
      </w:r>
      <w:proofErr w:type="gramStart"/>
      <w:r>
        <w:rPr>
          <w:rFonts w:ascii="Times New Roman" w:eastAsia="Times New Roman" w:hAnsi="Times New Roman" w:cs="Times New Roman"/>
          <w:sz w:val="24"/>
          <w:szCs w:val="24"/>
        </w:rPr>
        <w:t>communication preferences</w:t>
      </w:r>
      <w:proofErr w:type="gramEnd"/>
      <w:r>
        <w:rPr>
          <w:rFonts w:ascii="Times New Roman" w:eastAsia="Times New Roman" w:hAnsi="Times New Roman" w:cs="Times New Roman"/>
          <w:sz w:val="24"/>
          <w:szCs w:val="24"/>
        </w:rPr>
        <w:t xml:space="preserve">. </w:t>
      </w:r>
    </w:p>
    <w:p w14:paraId="12A509BB"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Activities of Engaging: </w:t>
      </w:r>
      <w:r>
        <w:rPr>
          <w:rFonts w:ascii="Times New Roman" w:eastAsia="Times New Roman" w:hAnsi="Times New Roman" w:cs="Times New Roman"/>
          <w:sz w:val="24"/>
          <w:szCs w:val="24"/>
        </w:rPr>
        <w:t xml:space="preserve">Workshops, Review meetings, testing of the prototype and online consultation. </w:t>
      </w:r>
    </w:p>
    <w:p w14:paraId="6072F843"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Feedback and Evaluation</w:t>
      </w:r>
      <w:r>
        <w:rPr>
          <w:rFonts w:ascii="Times New Roman" w:eastAsia="Times New Roman" w:hAnsi="Times New Roman" w:cs="Times New Roman"/>
          <w:sz w:val="24"/>
          <w:szCs w:val="24"/>
        </w:rPr>
        <w:t xml:space="preserve">- Gather feedback on stakeholders to realign strategies and enhance the results of the project. </w:t>
      </w:r>
    </w:p>
    <w:p w14:paraId="35AB1E6C"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plan will keep the stakeholders posted and they will be willing to contribute towards the project. </w:t>
      </w:r>
    </w:p>
    <w:p w14:paraId="00BAE749"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Plan</w:t>
      </w:r>
      <w:r>
        <w:rPr>
          <w:rFonts w:ascii="Times New Roman" w:eastAsia="Times New Roman" w:hAnsi="Times New Roman" w:cs="Times New Roman"/>
          <w:sz w:val="24"/>
          <w:szCs w:val="24"/>
        </w:rPr>
        <w:t xml:space="preserve"> </w:t>
      </w:r>
    </w:p>
    <w:p w14:paraId="1D478B07"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is essential in terms of the alignment of stakeholders. The communication plan by Fitbit will involve channels specific to it: </w:t>
      </w:r>
    </w:p>
    <w:p w14:paraId="5CAD452A"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Internal Stakeholders:</w:t>
      </w:r>
      <w:r>
        <w:rPr>
          <w:rFonts w:ascii="Times New Roman" w:eastAsia="Times New Roman" w:hAnsi="Times New Roman" w:cs="Times New Roman"/>
          <w:sz w:val="24"/>
          <w:szCs w:val="24"/>
        </w:rPr>
        <w:t xml:space="preserve"> Project meetings, dashboards and progress reports on a weekly basis. </w:t>
      </w:r>
    </w:p>
    <w:p w14:paraId="7E433562"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External Stakeholders</w:t>
      </w:r>
      <w:r>
        <w:rPr>
          <w:rFonts w:ascii="Times New Roman" w:eastAsia="Times New Roman" w:hAnsi="Times New Roman" w:cs="Times New Roman"/>
          <w:sz w:val="24"/>
          <w:szCs w:val="24"/>
        </w:rPr>
        <w:t xml:space="preserve">: Newsletters, compliance, and partnership briefing monthly. </w:t>
      </w:r>
    </w:p>
    <w:p w14:paraId="7363DFF1"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Customers</w:t>
      </w:r>
      <w:r>
        <w:rPr>
          <w:rFonts w:ascii="Times New Roman" w:eastAsia="Times New Roman" w:hAnsi="Times New Roman" w:cs="Times New Roman"/>
          <w:sz w:val="24"/>
          <w:szCs w:val="24"/>
        </w:rPr>
        <w:t>: Marketing campaigns, feedback surveys and social media.</w:t>
      </w:r>
    </w:p>
    <w:p w14:paraId="59931DC1"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and open communication instils trust, diminishes false information, and boosts teamwork between the technical and non-technical stakeholders (</w:t>
      </w:r>
      <w:proofErr w:type="spellStart"/>
      <w:r>
        <w:rPr>
          <w:rFonts w:ascii="Times New Roman" w:eastAsia="Times New Roman" w:hAnsi="Times New Roman" w:cs="Times New Roman"/>
          <w:sz w:val="24"/>
          <w:szCs w:val="24"/>
        </w:rPr>
        <w:t>Gangavarapu</w:t>
      </w:r>
      <w:proofErr w:type="spellEnd"/>
      <w:r>
        <w:rPr>
          <w:rFonts w:ascii="Times New Roman" w:eastAsia="Times New Roman" w:hAnsi="Times New Roman" w:cs="Times New Roman"/>
          <w:sz w:val="24"/>
          <w:szCs w:val="24"/>
        </w:rPr>
        <w:t xml:space="preserve">, 2025). </w:t>
      </w:r>
    </w:p>
    <w:p w14:paraId="7BE96308"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Theoretical Foundation</w:t>
      </w:r>
      <w:r>
        <w:rPr>
          <w:rFonts w:ascii="Times New Roman" w:eastAsia="Times New Roman" w:hAnsi="Times New Roman" w:cs="Times New Roman"/>
          <w:sz w:val="24"/>
          <w:szCs w:val="24"/>
        </w:rPr>
        <w:t xml:space="preserve"> </w:t>
      </w:r>
    </w:p>
    <w:p w14:paraId="438915A7"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Stakeholder Theory developed by Freeman focuses on ethical interaction and creation of value to all the groups of stakeholders. 4Cs include Communication, Coordination, Cooperation and Collaboration that will help to work effectively in a team 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conflicts in a complex project (Garcés-Manzanera and Roca-Marín, 2025). The combination of the theories in the management practices at Fitbit encourages collective responsibility and sustainability of projects. </w:t>
      </w:r>
    </w:p>
    <w:p w14:paraId="7D10894C"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integration of these frameworks, Fitbit UK Ltd will have the opportunity to have a uniform, inclusive, and transparent view of the stakeholder engagement practice in the end enhancing the collaboration, innovation and successful launching of its new wearable health wear into the market. </w:t>
      </w:r>
    </w:p>
    <w:p w14:paraId="7E701C72" w14:textId="77777777" w:rsidR="00603759" w:rsidRDefault="00000000">
      <w:pPr>
        <w:pStyle w:val="Heading1"/>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pPr>
      <w:bookmarkStart w:id="6" w:name="_heading=h.7mquc4rkgg7w" w:colFirst="0" w:colLast="0"/>
      <w:bookmarkEnd w:id="6"/>
      <w:r>
        <w:lastRenderedPageBreak/>
        <w:t xml:space="preserve">Stakeholder Engagement and Conflict Management Using the 4Cs Model </w:t>
      </w:r>
    </w:p>
    <w:p w14:paraId="2E003AB9"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project manager in the new wearable health device at Fitbit UK Ltd, the focus is to make sure that the stakeholders are engaged in their roles and conflicts are managed during the project lifecycle. Stakeholders are key factors in deciding the success of a project because they offer resources, experience, and power that define an outcome. Hence, the process of engagement requires a well-planned and systematic approach to meet the project goals, retain trust, and allow cooperation. To do this, I would use the model of 4Cs Communication, Coordination, Cooperation and Collaboration developed by Ellis, Gibbs and Rein as a structured approach of how relationships of various stakeholder groups can be managed and conflicts solved. </w:t>
      </w:r>
    </w:p>
    <w:p w14:paraId="59D9A80B"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initial component, </w:t>
      </w:r>
      <w:proofErr w:type="gramStart"/>
      <w:r>
        <w:rPr>
          <w:rFonts w:ascii="Times New Roman" w:eastAsia="Times New Roman" w:hAnsi="Times New Roman" w:cs="Times New Roman"/>
          <w:sz w:val="24"/>
          <w:szCs w:val="24"/>
        </w:rPr>
        <w:t>the communication</w:t>
      </w:r>
      <w:proofErr w:type="gramEnd"/>
      <w:r>
        <w:rPr>
          <w:rFonts w:ascii="Times New Roman" w:eastAsia="Times New Roman" w:hAnsi="Times New Roman" w:cs="Times New Roman"/>
          <w:sz w:val="24"/>
          <w:szCs w:val="24"/>
        </w:rPr>
        <w:t xml:space="preserve">, is the main key to effective stakeholder interaction. Transparency, clarity, and consistency in communication assists in creating trust, setting expectations and keeping all stakeholders updated and in line with the direction that the project is taking. As the project manager, I would start with the design of a communication plan based on the Power-Interest Matrix of Mendelow that would target each of the stakeholder groups. Consequently, active and interested stakeholders like the executive management team and regulatory authority would be updated frequently and regularly by means of detailed progress reports and formal review meetings. Conversely, the surveys, newsletters and </w:t>
      </w:r>
      <w:proofErr w:type="gramStart"/>
      <w:r>
        <w:rPr>
          <w:rFonts w:ascii="Times New Roman" w:eastAsia="Times New Roman" w:hAnsi="Times New Roman" w:cs="Times New Roman"/>
          <w:sz w:val="24"/>
          <w:szCs w:val="24"/>
        </w:rPr>
        <w:t>demonstration</w:t>
      </w:r>
      <w:proofErr w:type="gramEnd"/>
      <w:r>
        <w:rPr>
          <w:rFonts w:ascii="Times New Roman" w:eastAsia="Times New Roman" w:hAnsi="Times New Roman" w:cs="Times New Roman"/>
          <w:sz w:val="24"/>
          <w:szCs w:val="24"/>
        </w:rPr>
        <w:t xml:space="preserve"> of prototypes would be used to engage customers and suppliers who might have moderate interests. I would also apply various communication methods, such as weekly team meetings, monthly stakeholder briefings, and online collaboration tools, like Google Workspace and Asana. These would allow real time updates, sharing of documents and making tasks visible to all the team members (Mammadova and Abdullayeva, 2025). An efficient communication process would also entail paying attention to the stakeholder communications and responding to them, especially concerning delicate matters such as information privacy or production latitudes or adherence. Open and transparent communication does not only lead to avoidance of misunderstandings,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also helps in enhancing trust and dedication amongst the internal and external stakeholders. </w:t>
      </w:r>
    </w:p>
    <w:p w14:paraId="0E1089DD"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element is that of coordination which aims at aligning the activity of stakeholders and making sure all departments are pursuing common goals. Absence of coordination will normally result in inefficiency, redundancy of efforts and project delay. To solve this, I would apply the RACI Matrix in providing clear roles and responsibilities of every stakeholder. As an example, the design and testing of the product would be done by the product development team, but the </w:t>
      </w:r>
      <w:r>
        <w:rPr>
          <w:rFonts w:ascii="Times New Roman" w:eastAsia="Times New Roman" w:hAnsi="Times New Roman" w:cs="Times New Roman"/>
          <w:sz w:val="24"/>
          <w:szCs w:val="24"/>
        </w:rPr>
        <w:lastRenderedPageBreak/>
        <w:t xml:space="preserve">executive management would continue to provide funding and regulatory compliance. Feedback and approval would be obtained by the regulatory bodies and healthcare partners and customers would be notified of the results of the testing. Conventional coordination sessions over a period like bi-weekly, cross departmental reviews would be used to ensure that every team is informed of the progress, challenges, and dependence. Project management software would also be used to monitor milestones, risk management and give visibility of the tasks and deadlines (Kerzner, 2025). In my role of project manager, I would serve as the hub overseeing all the departments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will be consistent in terms of strategy and actual implementation. Through effective coordination, the project would not suffer miscommunication, there would be clear direction and alignment of the project to the Fitbit strategic vision. </w:t>
      </w:r>
    </w:p>
    <w:p w14:paraId="2B858AEC"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dimension, cooperation, focuses on the need to ensure healthy working relations between the stakeholders. Cooperation is a process that involves the act of people and teams working together voluntarily to accomplish common goals even whilst they have different interests or priorities. When working in large-stage projects, like the wearable development by Fitbit, conflicts are unavoidable, particularly between departments such as product development and marketing which can have conflicting opinions about deadlines, costs, or design priorities. To handle these conflicts positively, I would embrace the concepts of conflict management model developed by Thomas and Kilmann, where collaboration and compromise are the most effective methods to use (</w:t>
      </w:r>
      <w:proofErr w:type="spellStart"/>
      <w:r>
        <w:rPr>
          <w:rFonts w:ascii="Times New Roman" w:eastAsia="Times New Roman" w:hAnsi="Times New Roman" w:cs="Times New Roman"/>
          <w:sz w:val="24"/>
          <w:szCs w:val="24"/>
        </w:rPr>
        <w:t>Otrakji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This implies resolving conflicts by engaging in open communication, discussion and finding common solutions instead of evasion and conflict. I would promote open listening and empathy to learn various views and respect each other. As an illustration, in case the marketing department pressures to do an early launch and the development department needs the time to test it more, a middle ground would be a pilot launch or a gradual launch. Furthermore, transparency in decision-making and recording resolutions would avoid misunderstandings in the future. Being able to foster collaboration, I would develop a culture of respect, accountability and ownership in the success of the project. </w:t>
      </w:r>
    </w:p>
    <w:p w14:paraId="3D2F5CF2"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Collaboration is the fourth and the most progressive component, the highest stakeholder interaction. Collaboration entails co-creation, where the stakeholders collaboratively create and execute solutions, which address the goals of the stakeholders collectively (Agnello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2025). In the case of Fitbit, this would imply the establishment of multidisciplinary project teams that involve the representatives of the engineering, marketing, supply chain, and healthcare partners. </w:t>
      </w:r>
      <w:r>
        <w:rPr>
          <w:rFonts w:ascii="Times New Roman" w:eastAsia="Times New Roman" w:hAnsi="Times New Roman" w:cs="Times New Roman"/>
          <w:sz w:val="24"/>
          <w:szCs w:val="24"/>
        </w:rPr>
        <w:lastRenderedPageBreak/>
        <w:t xml:space="preserve">Such teams would take part in common brainstorming workshops to help brainstorm ideas, resolve design or regulating problems, and test product prototypes. It would also involve collaboration with other parties by contracting healthcare </w:t>
      </w:r>
      <w:proofErr w:type="gramStart"/>
      <w:r>
        <w:rPr>
          <w:rFonts w:ascii="Times New Roman" w:eastAsia="Times New Roman" w:hAnsi="Times New Roman" w:cs="Times New Roman"/>
          <w:sz w:val="24"/>
          <w:szCs w:val="24"/>
        </w:rPr>
        <w:t>facilities</w:t>
      </w:r>
      <w:proofErr w:type="gramEnd"/>
      <w:r>
        <w:rPr>
          <w:rFonts w:ascii="Times New Roman" w:eastAsia="Times New Roman" w:hAnsi="Times New Roman" w:cs="Times New Roman"/>
          <w:sz w:val="24"/>
          <w:szCs w:val="24"/>
        </w:rPr>
        <w:t xml:space="preserve"> including the </w:t>
      </w:r>
      <w:proofErr w:type="gramStart"/>
      <w:r>
        <w:rPr>
          <w:rFonts w:ascii="Times New Roman" w:eastAsia="Times New Roman" w:hAnsi="Times New Roman" w:cs="Times New Roman"/>
          <w:sz w:val="24"/>
          <w:szCs w:val="24"/>
        </w:rPr>
        <w:t>NHS</w:t>
      </w:r>
      <w:proofErr w:type="gramEnd"/>
      <w:r>
        <w:rPr>
          <w:rFonts w:ascii="Times New Roman" w:eastAsia="Times New Roman" w:hAnsi="Times New Roman" w:cs="Times New Roman"/>
          <w:sz w:val="24"/>
          <w:szCs w:val="24"/>
        </w:rPr>
        <w:t xml:space="preserve"> that would be involved in clinical validation and give feedback concerning the medical correctness of the device. </w:t>
      </w:r>
      <w:proofErr w:type="gramStart"/>
      <w:r>
        <w:rPr>
          <w:rFonts w:ascii="Times New Roman" w:eastAsia="Times New Roman" w:hAnsi="Times New Roman" w:cs="Times New Roman"/>
          <w:sz w:val="24"/>
          <w:szCs w:val="24"/>
        </w:rPr>
        <w:t>The collaborative</w:t>
      </w:r>
      <w:proofErr w:type="gramEnd"/>
      <w:r>
        <w:rPr>
          <w:rFonts w:ascii="Times New Roman" w:eastAsia="Times New Roman" w:hAnsi="Times New Roman" w:cs="Times New Roman"/>
          <w:sz w:val="24"/>
          <w:szCs w:val="24"/>
        </w:rPr>
        <w:t xml:space="preserve"> digital tools like Slack or Microsoft Teams would help improve the communication process further as all the stakeholders would be able to exchange ideas, keep the track, and engage constantly. A project management Agile approach would also facilitate collaboration through the adoption of iterative development cycles, ensuring that end user and partner feedback are constantly used to refine the product (Santoso, Raharjo and Wibowo, 2025). This will promote innovation, flexibility, and a feeling of collective success because each of the stakeholders will have a significant input to work on the project. </w:t>
      </w:r>
    </w:p>
    <w:p w14:paraId="5D0D8841" w14:textId="77777777" w:rsidR="00603759" w:rsidRDefault="00000000">
      <w:pPr>
        <w:pStyle w:val="Heading1"/>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pPr>
      <w:bookmarkStart w:id="7" w:name="_heading=h.mvrd4n6w5gis" w:colFirst="0" w:colLast="0"/>
      <w:bookmarkEnd w:id="7"/>
      <w:r>
        <w:t xml:space="preserve">Impact of Stakeholder Engagement on Business Performance and Recommendations for the Future. </w:t>
      </w:r>
    </w:p>
    <w:p w14:paraId="6B31055F"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 engagement is one of the critical parameters influencing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and durability (Iandolo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In the case of a new wearable health device tracker monitoring heart rate, oxygen levels, and sleep patterns by Fitbit UK Ltd, the work of the internal and external stakeholders should be closely coordinated to meet strategic, operational, and commercial objectives. Engaging the stakeholders does not only help to innovate and make the business efficient, but it also helps to strengthen the relationships, improve the reputation, and, in general, the overall performance of the business.  </w:t>
      </w:r>
    </w:p>
    <w:p w14:paraId="52A7EC98"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 engagement has a direct impact on strategic performance as they align individuals' objectives of the project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Fitbit has established </w:t>
      </w:r>
      <w:proofErr w:type="gramStart"/>
      <w:r>
        <w:rPr>
          <w:rFonts w:ascii="Times New Roman" w:eastAsia="Times New Roman" w:hAnsi="Times New Roman" w:cs="Times New Roman"/>
          <w:sz w:val="24"/>
          <w:szCs w:val="24"/>
        </w:rPr>
        <w:t>a systematic</w:t>
      </w:r>
      <w:proofErr w:type="gramEnd"/>
      <w:r>
        <w:rPr>
          <w:rFonts w:ascii="Times New Roman" w:eastAsia="Times New Roman" w:hAnsi="Times New Roman" w:cs="Times New Roman"/>
          <w:sz w:val="24"/>
          <w:szCs w:val="24"/>
        </w:rPr>
        <w:t xml:space="preserve"> coordination with executive management, healthcare partners, and other regulatory bodies to ensure product development is consistent with its overall mission, which is to make people healthier by using innovative technology. Engagement frameworks, including Mendelow's power interest matrix and the RACI matrix, have enabled Fitbit to determine the key influencers and determine the responsibilities, which leads to fewer ambiguous issues and helps make informed decisions. Presence of senior management in the project at an early stage would offer strategic control of the project which would be useful in balancing risk, resource allocation and vision of the long term (Rodrigues Coelho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2025). Additionally, the involvement of outside parties like the NHS and other medical facilities boosts the distribution of strategic credibility as it involves combining </w:t>
      </w:r>
      <w:r>
        <w:rPr>
          <w:rFonts w:ascii="Times New Roman" w:eastAsia="Times New Roman" w:hAnsi="Times New Roman" w:cs="Times New Roman"/>
          <w:sz w:val="24"/>
          <w:szCs w:val="24"/>
        </w:rPr>
        <w:lastRenderedPageBreak/>
        <w:t xml:space="preserve">medical knowledge and securing product authentication. This alliance has ensured that Fitbit has a firmer position as a trusted health technology partner, which creates a competitive edge in a rapidly growing digital health market. </w:t>
      </w:r>
    </w:p>
    <w:p w14:paraId="0F2C7064"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Operationally, stakeholder involvement enhances productivity, innovation and quality control. These teams of product development, operations, and supply chain generate a well-coordinated process of design through manufacturing. Frequent communication and coordination conferences eliminate the duplication of efforts, decrease the delays, and stay within the project schedules. Corporate interaction with suppliers will ensure availability of high-quality materials and components, and MHRA and ICO are other regulatory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ensure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adheres to the medical device and data protection rules. This combined strategy increases the efficiency and risk management of Fitbit operations and reduces the expensive losses. Moreover, through inclusion of customers and medical professionals in testing of the prototyping, Fitbit gains the benefit of practical feedback, which fosters improvements in the user-</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design. Such active involvement not only leads to an improved product, but it also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the number of returns and complaints by customers after launching the product. </w:t>
      </w:r>
    </w:p>
    <w:p w14:paraId="36E078C2"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Concerning financial performance, stakeholder engagement facilitates increased revenues, increased investment confidence, and management of costs. The cooperation with investors and shareholders develops financial transparency and trust which guarantees the further financing of the research and development. </w:t>
      </w:r>
      <w:proofErr w:type="gramStart"/>
      <w:r>
        <w:rPr>
          <w:rFonts w:ascii="Times New Roman" w:eastAsia="Times New Roman" w:hAnsi="Times New Roman" w:cs="Times New Roman"/>
          <w:sz w:val="24"/>
          <w:szCs w:val="24"/>
        </w:rPr>
        <w:t>A good</w:t>
      </w:r>
      <w:proofErr w:type="gramEnd"/>
      <w:r>
        <w:rPr>
          <w:rFonts w:ascii="Times New Roman" w:eastAsia="Times New Roman" w:hAnsi="Times New Roman" w:cs="Times New Roman"/>
          <w:sz w:val="24"/>
          <w:szCs w:val="24"/>
        </w:rPr>
        <w:t xml:space="preserve"> coordination of departments will also aid in controlling the cost of production and optimal allocation of resources. Engaged customers perceive themselves as important in the company and hence </w:t>
      </w:r>
      <w:proofErr w:type="gramStart"/>
      <w:r>
        <w:rPr>
          <w:rFonts w:ascii="Times New Roman" w:eastAsia="Times New Roman" w:hAnsi="Times New Roman" w:cs="Times New Roman"/>
          <w:sz w:val="24"/>
          <w:szCs w:val="24"/>
        </w:rPr>
        <w:t>having</w:t>
      </w:r>
      <w:proofErr w:type="gramEnd"/>
      <w:r>
        <w:rPr>
          <w:rFonts w:ascii="Times New Roman" w:eastAsia="Times New Roman" w:hAnsi="Times New Roman" w:cs="Times New Roman"/>
          <w:sz w:val="24"/>
          <w:szCs w:val="24"/>
        </w:rPr>
        <w:t xml:space="preserve"> high brand loyalty and frequency of </w:t>
      </w:r>
      <w:proofErr w:type="gramStart"/>
      <w:r>
        <w:rPr>
          <w:rFonts w:ascii="Times New Roman" w:eastAsia="Times New Roman" w:hAnsi="Times New Roman" w:cs="Times New Roman"/>
          <w:sz w:val="24"/>
          <w:szCs w:val="24"/>
        </w:rPr>
        <w:t>purchase</w:t>
      </w:r>
      <w:proofErr w:type="gramEnd"/>
      <w:r>
        <w:rPr>
          <w:rFonts w:ascii="Times New Roman" w:eastAsia="Times New Roman" w:hAnsi="Times New Roman" w:cs="Times New Roman"/>
          <w:sz w:val="24"/>
          <w:szCs w:val="24"/>
        </w:rPr>
        <w:t xml:space="preserve"> which </w:t>
      </w:r>
      <w:proofErr w:type="gramStart"/>
      <w:r>
        <w:rPr>
          <w:rFonts w:ascii="Times New Roman" w:eastAsia="Times New Roman" w:hAnsi="Times New Roman" w:cs="Times New Roman"/>
          <w:sz w:val="24"/>
          <w:szCs w:val="24"/>
        </w:rPr>
        <w:t>translates</w:t>
      </w:r>
      <w:proofErr w:type="gramEnd"/>
      <w:r>
        <w:rPr>
          <w:rFonts w:ascii="Times New Roman" w:eastAsia="Times New Roman" w:hAnsi="Times New Roman" w:cs="Times New Roman"/>
          <w:sz w:val="24"/>
          <w:szCs w:val="24"/>
        </w:rPr>
        <w:t xml:space="preserve"> to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sales growth. Engaged stakeholders help to create value by increasing brand equity and promoting long-term profitability. In the case of Fitbit, close stakeholder relationships can also be used to make it easier to work with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corporate wellness </w:t>
      </w:r>
      <w:proofErr w:type="spellStart"/>
      <w:proofErr w:type="gramStart"/>
      <w:r>
        <w:rPr>
          <w:rFonts w:ascii="Times New Roman" w:eastAsia="Times New Roman" w:hAnsi="Times New Roman" w:cs="Times New Roman"/>
          <w:sz w:val="24"/>
          <w:szCs w:val="24"/>
        </w:rPr>
        <w:t>programmes</w:t>
      </w:r>
      <w:proofErr w:type="spellEnd"/>
      <w:proofErr w:type="gramEnd"/>
      <w:r>
        <w:rPr>
          <w:rFonts w:ascii="Times New Roman" w:eastAsia="Times New Roman" w:hAnsi="Times New Roman" w:cs="Times New Roman"/>
          <w:sz w:val="24"/>
          <w:szCs w:val="24"/>
        </w:rPr>
        <w:t xml:space="preserve"> generating new sources of revenue beyond consumer retail. </w:t>
      </w:r>
    </w:p>
    <w:p w14:paraId="5C856871"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ethical and social concerns of stakeholder engagement of Fitbit UK Ltd have a high impact that positively affects corporate image and responsibility. Open communication and data protection principles will enhance the level of consumer trust, which is essential due to the issues of privacy in the world of wearable devices. The partnership with the healthcare professionals is the measure to enable Fitbit to contribute to the health care and the preventative measures, which reinforces the company as a conscious and responsible entity (Iandolo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Sustainable </w:t>
      </w:r>
      <w:r>
        <w:rPr>
          <w:rFonts w:ascii="Times New Roman" w:eastAsia="Times New Roman" w:hAnsi="Times New Roman" w:cs="Times New Roman"/>
          <w:sz w:val="24"/>
          <w:szCs w:val="24"/>
        </w:rPr>
        <w:lastRenderedPageBreak/>
        <w:t xml:space="preserve">sourcing and the fair treatment of suppliers also serve as evidence of being environmentally friendly, increasing investor confidence and customer perception. Nevertheless, there are some challenges that can arise in engagement, namely departmental conflict, delays in regulation, and poor communication which can slow down performance or cause a damaged reputation. To achieve long-term success, Fitbit is recommended to </w:t>
      </w:r>
      <w:proofErr w:type="spellStart"/>
      <w:r>
        <w:rPr>
          <w:rFonts w:ascii="Times New Roman" w:eastAsia="Times New Roman" w:hAnsi="Times New Roman" w:cs="Times New Roman"/>
          <w:sz w:val="24"/>
          <w:szCs w:val="24"/>
        </w:rPr>
        <w:t>institutionalise</w:t>
      </w:r>
      <w:proofErr w:type="spellEnd"/>
      <w:r>
        <w:rPr>
          <w:rFonts w:ascii="Times New Roman" w:eastAsia="Times New Roman" w:hAnsi="Times New Roman" w:cs="Times New Roman"/>
          <w:sz w:val="24"/>
          <w:szCs w:val="24"/>
        </w:rPr>
        <w:t xml:space="preserve"> stakeholder engagement by using a special relations team, enhanced online communication tools and employee training in collaboration and negotiation skills. The 4Cs model, which includes Communication, Coordination, Cooperation, and Collaboration, and its incorporation into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will enhance the engagement and management of conflicts. Lastly, the focus on sustainability, inclusivity, and transparent reporting will improve the trust of those who are interested, as well as the long-term performance of the business. </w:t>
      </w:r>
    </w:p>
    <w:p w14:paraId="05049936"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C765E26" w14:textId="77777777" w:rsidR="00603759" w:rsidRDefault="00000000">
      <w:pPr>
        <w:pStyle w:val="Heading1"/>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pPr>
      <w:bookmarkStart w:id="8" w:name="_heading=h.o5htwj2nygp9" w:colFirst="0" w:colLast="0"/>
      <w:bookmarkEnd w:id="8"/>
      <w:r>
        <w:br w:type="page"/>
      </w:r>
    </w:p>
    <w:p w14:paraId="04068DC2" w14:textId="77777777" w:rsidR="00603759" w:rsidRDefault="00000000">
      <w:pPr>
        <w:pStyle w:val="Heading1"/>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pPr>
      <w:bookmarkStart w:id="9" w:name="_heading=h.m1oh1qdjslxn" w:colFirst="0" w:colLast="0"/>
      <w:bookmarkEnd w:id="9"/>
      <w:r>
        <w:lastRenderedPageBreak/>
        <w:t xml:space="preserve">Conclusion </w:t>
      </w:r>
    </w:p>
    <w:p w14:paraId="0A78F690"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launch process of the new wearable health device by </w:t>
      </w:r>
      <w:proofErr w:type="gramStart"/>
      <w:r>
        <w:rPr>
          <w:rFonts w:ascii="Times New Roman" w:eastAsia="Times New Roman" w:hAnsi="Times New Roman" w:cs="Times New Roman"/>
          <w:sz w:val="24"/>
          <w:szCs w:val="24"/>
        </w:rPr>
        <w:t>the Fitbit</w:t>
      </w:r>
      <w:proofErr w:type="gramEnd"/>
      <w:r>
        <w:rPr>
          <w:rFonts w:ascii="Times New Roman" w:eastAsia="Times New Roman" w:hAnsi="Times New Roman" w:cs="Times New Roman"/>
          <w:sz w:val="24"/>
          <w:szCs w:val="24"/>
        </w:rPr>
        <w:t xml:space="preserve"> UK Ltd will heavily rely on the quality of stakeholder engagement and management in the project lifecycle. The report has shown that stakeholder identification, communication, and collaboration play a significant role in strategic alignment, operational efficiency, and the future growth of the business. The use of the structured models, namely the Power Interest Matrix by Mendelow, RACI Matrix, as well as the 4Cs model Construction, Communication, Cooperation, and Collaboration helps the project manager to involve different stakeholders in an open and systematic manner. The executive management, product developers, marketing, and operations teams are key stakeholders in </w:t>
      </w:r>
      <w:proofErr w:type="gramStart"/>
      <w:r>
        <w:rPr>
          <w:rFonts w:ascii="Times New Roman" w:eastAsia="Times New Roman" w:hAnsi="Times New Roman" w:cs="Times New Roman"/>
          <w:sz w:val="24"/>
          <w:szCs w:val="24"/>
        </w:rPr>
        <w:t>the innovation</w:t>
      </w:r>
      <w:proofErr w:type="gramEnd"/>
      <w:r>
        <w:rPr>
          <w:rFonts w:ascii="Times New Roman" w:eastAsia="Times New Roman" w:hAnsi="Times New Roman" w:cs="Times New Roman"/>
          <w:sz w:val="24"/>
          <w:szCs w:val="24"/>
        </w:rPr>
        <w:t xml:space="preserve">, quality assurance, and delivery, whereas external stakeholders like customers, healthcare partners, suppliers, and regulators bring expertise, compliance and credibility. Open-line communication channels and inclusion in decision making processes allow avoiding conflicts, fostering trust, and providing responsibility in all tiers of the project. </w:t>
      </w:r>
    </w:p>
    <w:p w14:paraId="5D97B6CC"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engagement of stakeholders can be evaluated when it comes to the business performance in terms of </w:t>
      </w:r>
      <w:proofErr w:type="gramStart"/>
      <w:r>
        <w:rPr>
          <w:rFonts w:ascii="Times New Roman" w:eastAsia="Times New Roman" w:hAnsi="Times New Roman" w:cs="Times New Roman"/>
          <w:sz w:val="24"/>
          <w:szCs w:val="24"/>
        </w:rPr>
        <w:t>the increased</w:t>
      </w:r>
      <w:proofErr w:type="gramEnd"/>
      <w:r>
        <w:rPr>
          <w:rFonts w:ascii="Times New Roman" w:eastAsia="Times New Roman" w:hAnsi="Times New Roman" w:cs="Times New Roman"/>
          <w:sz w:val="24"/>
          <w:szCs w:val="24"/>
        </w:rPr>
        <w:t xml:space="preserve"> productivity, </w:t>
      </w:r>
      <w:proofErr w:type="gramStart"/>
      <w:r>
        <w:rPr>
          <w:rFonts w:ascii="Times New Roman" w:eastAsia="Times New Roman" w:hAnsi="Times New Roman" w:cs="Times New Roman"/>
          <w:sz w:val="24"/>
          <w:szCs w:val="24"/>
        </w:rPr>
        <w:t>the innovation</w:t>
      </w:r>
      <w:proofErr w:type="gram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the enhanced</w:t>
      </w:r>
      <w:proofErr w:type="gramEnd"/>
      <w:r>
        <w:rPr>
          <w:rFonts w:ascii="Times New Roman" w:eastAsia="Times New Roman" w:hAnsi="Times New Roman" w:cs="Times New Roman"/>
          <w:sz w:val="24"/>
          <w:szCs w:val="24"/>
        </w:rPr>
        <w:t xml:space="preserve"> brand image of </w:t>
      </w:r>
      <w:proofErr w:type="gramStart"/>
      <w:r>
        <w:rPr>
          <w:rFonts w:ascii="Times New Roman" w:eastAsia="Times New Roman" w:hAnsi="Times New Roman" w:cs="Times New Roman"/>
          <w:sz w:val="24"/>
          <w:szCs w:val="24"/>
        </w:rPr>
        <w:t>the Fitbit</w:t>
      </w:r>
      <w:proofErr w:type="gramEnd"/>
      <w:r>
        <w:rPr>
          <w:rFonts w:ascii="Times New Roman" w:eastAsia="Times New Roman" w:hAnsi="Times New Roman" w:cs="Times New Roman"/>
          <w:sz w:val="24"/>
          <w:szCs w:val="24"/>
        </w:rPr>
        <w:t xml:space="preserve">. Interaction with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especially NHS, promotes clinical significance of the device, and cooperation with the investors and customers preconditions commercial and financial prosperity. Nevertheless, the issues, including clash of interests, issues of privacy and regulation should be addressed with proactive communication and constant assessment. In the future, Fitbit needs to employ stakeholder engagement as a strategic operation by integrating the engagement systems, investing in employee development, and enhancing sustainability and inclusiveness in all operations. By ensuring effective collaboration with its stakeholders and making ethical leadership decisions, Fitbit has an opportunity to conduct a successful launch of the given </w:t>
      </w:r>
      <w:proofErr w:type="gramStart"/>
      <w:r>
        <w:rPr>
          <w:rFonts w:ascii="Times New Roman" w:eastAsia="Times New Roman" w:hAnsi="Times New Roman" w:cs="Times New Roman"/>
          <w:sz w:val="24"/>
          <w:szCs w:val="24"/>
        </w:rPr>
        <w:t>product, and</w:t>
      </w:r>
      <w:proofErr w:type="gramEnd"/>
      <w:r>
        <w:rPr>
          <w:rFonts w:ascii="Times New Roman" w:eastAsia="Times New Roman" w:hAnsi="Times New Roman" w:cs="Times New Roman"/>
          <w:sz w:val="24"/>
          <w:szCs w:val="24"/>
        </w:rPr>
        <w:t xml:space="preserve"> secure its foothold in the market and extend its provision of innovative digital health-related solutions that would bring long-term value to both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its stakeholders. </w:t>
      </w:r>
    </w:p>
    <w:p w14:paraId="204C8AB3"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371BFA8" w14:textId="77777777" w:rsidR="00603759"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DD26693" w14:textId="77777777" w:rsidR="00603759" w:rsidRDefault="00000000">
      <w:pPr>
        <w:pStyle w:val="Heading1"/>
        <w:spacing w:before="0" w:after="0"/>
      </w:pPr>
      <w:bookmarkStart w:id="10" w:name="_heading=h.eu7bexdvyikj" w:colFirst="0" w:colLast="0"/>
      <w:bookmarkEnd w:id="10"/>
      <w:r>
        <w:br w:type="page"/>
      </w:r>
    </w:p>
    <w:p w14:paraId="7BB5E75F" w14:textId="77777777" w:rsidR="00603759" w:rsidRDefault="00000000">
      <w:pPr>
        <w:pStyle w:val="Heading1"/>
        <w:spacing w:before="0" w:after="0"/>
      </w:pPr>
      <w:bookmarkStart w:id="11" w:name="_heading=h.rmlww6vzbmbf" w:colFirst="0" w:colLast="0"/>
      <w:bookmarkEnd w:id="11"/>
      <w:r>
        <w:lastRenderedPageBreak/>
        <w:t>References</w:t>
      </w:r>
    </w:p>
    <w:p w14:paraId="0C7A1CC7"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Agnello, D.M., Anand-Kumar, V., An, Q., de Boer, J., </w:t>
      </w:r>
      <w:proofErr w:type="spellStart"/>
      <w:r>
        <w:rPr>
          <w:rFonts w:ascii="Times New Roman" w:eastAsia="Times New Roman" w:hAnsi="Times New Roman" w:cs="Times New Roman"/>
          <w:sz w:val="24"/>
          <w:szCs w:val="24"/>
        </w:rPr>
        <w:t>Delfmann</w:t>
      </w:r>
      <w:proofErr w:type="spellEnd"/>
      <w:r>
        <w:rPr>
          <w:rFonts w:ascii="Times New Roman" w:eastAsia="Times New Roman" w:hAnsi="Times New Roman" w:cs="Times New Roman"/>
          <w:sz w:val="24"/>
          <w:szCs w:val="24"/>
        </w:rPr>
        <w:t xml:space="preserve">, L.R., Longworth, G.R., Loisel, Q., McCaffrey, L., Steiner, A. and Chastin, S. (2025). Co-creation methods for public health research—characteristics, benefits, and challenges: a Health CASCADE scoping review. </w:t>
      </w:r>
      <w:r>
        <w:rPr>
          <w:rFonts w:ascii="Times New Roman" w:eastAsia="Times New Roman" w:hAnsi="Times New Roman" w:cs="Times New Roman"/>
          <w:i/>
          <w:sz w:val="24"/>
          <w:szCs w:val="24"/>
        </w:rPr>
        <w:t>BMC Medical Research Methodology</w:t>
      </w:r>
      <w:r>
        <w:rPr>
          <w:rFonts w:ascii="Times New Roman" w:eastAsia="Times New Roman" w:hAnsi="Times New Roman" w:cs="Times New Roman"/>
          <w:sz w:val="24"/>
          <w:szCs w:val="24"/>
        </w:rPr>
        <w:t>, 25(1), p.60.</w:t>
      </w:r>
    </w:p>
    <w:p w14:paraId="43AEBC1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Ajmal, C.S., </w:t>
      </w:r>
      <w:proofErr w:type="spellStart"/>
      <w:r>
        <w:rPr>
          <w:rFonts w:ascii="Times New Roman" w:eastAsia="Times New Roman" w:hAnsi="Times New Roman" w:cs="Times New Roman"/>
          <w:sz w:val="24"/>
          <w:szCs w:val="24"/>
        </w:rPr>
        <w:t>Yerram</w:t>
      </w:r>
      <w:proofErr w:type="spellEnd"/>
      <w:r>
        <w:rPr>
          <w:rFonts w:ascii="Times New Roman" w:eastAsia="Times New Roman" w:hAnsi="Times New Roman" w:cs="Times New Roman"/>
          <w:sz w:val="24"/>
          <w:szCs w:val="24"/>
        </w:rPr>
        <w:t xml:space="preserve">, S., Abishek, V., Nizam, V.M., Aglave, G., </w:t>
      </w:r>
      <w:proofErr w:type="spellStart"/>
      <w:r>
        <w:rPr>
          <w:rFonts w:ascii="Times New Roman" w:eastAsia="Times New Roman" w:hAnsi="Times New Roman" w:cs="Times New Roman"/>
          <w:sz w:val="24"/>
          <w:szCs w:val="24"/>
        </w:rPr>
        <w:t>Patnam</w:t>
      </w:r>
      <w:proofErr w:type="spellEnd"/>
      <w:r>
        <w:rPr>
          <w:rFonts w:ascii="Times New Roman" w:eastAsia="Times New Roman" w:hAnsi="Times New Roman" w:cs="Times New Roman"/>
          <w:sz w:val="24"/>
          <w:szCs w:val="24"/>
        </w:rPr>
        <w:t xml:space="preserve">, J.D., Raghuvanshi, R.S. and Srivastava, S. (2025). Innovative approaches in regulatory affairs: leveraging artificial intelligence and machine learning for efficient compliance and decision-making. </w:t>
      </w:r>
      <w:r>
        <w:rPr>
          <w:rFonts w:ascii="Times New Roman" w:eastAsia="Times New Roman" w:hAnsi="Times New Roman" w:cs="Times New Roman"/>
          <w:i/>
          <w:sz w:val="24"/>
          <w:szCs w:val="24"/>
        </w:rPr>
        <w:t>The AAPS Journal</w:t>
      </w:r>
      <w:r>
        <w:rPr>
          <w:rFonts w:ascii="Times New Roman" w:eastAsia="Times New Roman" w:hAnsi="Times New Roman" w:cs="Times New Roman"/>
          <w:sz w:val="24"/>
          <w:szCs w:val="24"/>
        </w:rPr>
        <w:t>, 27(1), p.22.</w:t>
      </w:r>
    </w:p>
    <w:p w14:paraId="2173526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Alam, M.W., Kumar, J.V., Awad, M., Saravanan, P., Al‐</w:t>
      </w:r>
      <w:proofErr w:type="spellStart"/>
      <w:r>
        <w:rPr>
          <w:rFonts w:ascii="Times New Roman" w:eastAsia="Times New Roman" w:hAnsi="Times New Roman" w:cs="Times New Roman"/>
          <w:sz w:val="24"/>
          <w:szCs w:val="24"/>
        </w:rPr>
        <w:t>Sowayan</w:t>
      </w:r>
      <w:proofErr w:type="spellEnd"/>
      <w:r>
        <w:rPr>
          <w:rFonts w:ascii="Times New Roman" w:eastAsia="Times New Roman" w:hAnsi="Times New Roman" w:cs="Times New Roman"/>
          <w:sz w:val="24"/>
          <w:szCs w:val="24"/>
        </w:rPr>
        <w:t xml:space="preserve">, N.S., Rosaiah, P. and Nivetha, M.S. (2025). Emerging trends in food process engineering: integrating sensing technologies for health, sustainability, and consumer preferences. </w:t>
      </w:r>
      <w:r>
        <w:rPr>
          <w:rFonts w:ascii="Times New Roman" w:eastAsia="Times New Roman" w:hAnsi="Times New Roman" w:cs="Times New Roman"/>
          <w:i/>
          <w:sz w:val="24"/>
          <w:szCs w:val="24"/>
        </w:rPr>
        <w:t>Journal of Food Process Engineering</w:t>
      </w:r>
      <w:r>
        <w:rPr>
          <w:rFonts w:ascii="Times New Roman" w:eastAsia="Times New Roman" w:hAnsi="Times New Roman" w:cs="Times New Roman"/>
          <w:sz w:val="24"/>
          <w:szCs w:val="24"/>
        </w:rPr>
        <w:t>, 48(1), p.e70035.</w:t>
      </w:r>
    </w:p>
    <w:p w14:paraId="602CA676"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Dash, S., Patel, K. and Kandasamy, M. (2025). Data Protection Regulation </w:t>
      </w:r>
      <w:proofErr w:type="gramStart"/>
      <w:r>
        <w:rPr>
          <w:rFonts w:ascii="Times New Roman" w:eastAsia="Times New Roman" w:hAnsi="Times New Roman" w:cs="Times New Roman"/>
          <w:sz w:val="24"/>
          <w:szCs w:val="24"/>
        </w:rPr>
        <w:t>for E‐</w:t>
      </w:r>
      <w:proofErr w:type="gramEnd"/>
      <w:r>
        <w:rPr>
          <w:rFonts w:ascii="Times New Roman" w:eastAsia="Times New Roman" w:hAnsi="Times New Roman" w:cs="Times New Roman"/>
          <w:sz w:val="24"/>
          <w:szCs w:val="24"/>
        </w:rPr>
        <w:t xml:space="preserve">Health Devices. </w:t>
      </w:r>
      <w:r>
        <w:rPr>
          <w:rFonts w:ascii="Times New Roman" w:eastAsia="Times New Roman" w:hAnsi="Times New Roman" w:cs="Times New Roman"/>
          <w:i/>
          <w:sz w:val="24"/>
          <w:szCs w:val="24"/>
        </w:rPr>
        <w:t>Metaverse Technologies, Security and Applications for Healthcare</w:t>
      </w:r>
      <w:r>
        <w:rPr>
          <w:rFonts w:ascii="Times New Roman" w:eastAsia="Times New Roman" w:hAnsi="Times New Roman" w:cs="Times New Roman"/>
          <w:sz w:val="24"/>
          <w:szCs w:val="24"/>
        </w:rPr>
        <w:t>, pp.219-253.</w:t>
      </w:r>
    </w:p>
    <w:p w14:paraId="2BFAD86E"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Dissanayake, D.N.A., Rathnayake, R.M.N.B. and </w:t>
      </w:r>
      <w:proofErr w:type="spellStart"/>
      <w:r>
        <w:rPr>
          <w:rFonts w:ascii="Times New Roman" w:eastAsia="Times New Roman" w:hAnsi="Times New Roman" w:cs="Times New Roman"/>
          <w:sz w:val="24"/>
          <w:szCs w:val="24"/>
        </w:rPr>
        <w:t>Indumini</w:t>
      </w:r>
      <w:proofErr w:type="spellEnd"/>
      <w:r>
        <w:rPr>
          <w:rFonts w:ascii="Times New Roman" w:eastAsia="Times New Roman" w:hAnsi="Times New Roman" w:cs="Times New Roman"/>
          <w:sz w:val="24"/>
          <w:szCs w:val="24"/>
        </w:rPr>
        <w:t xml:space="preserve">, J.D.U. (2025). Effectiveness of BPMN and RACI Frameworks for the Design and Approval Process of a Student Evaluation System: A Systematic Literature Review. </w:t>
      </w:r>
      <w:r>
        <w:rPr>
          <w:rFonts w:ascii="Times New Roman" w:eastAsia="Times New Roman" w:hAnsi="Times New Roman" w:cs="Times New Roman"/>
          <w:i/>
          <w:sz w:val="24"/>
          <w:szCs w:val="24"/>
        </w:rPr>
        <w:t>Sri Lanka Journal of Social Sciences and Humanities</w:t>
      </w:r>
      <w:r>
        <w:rPr>
          <w:rFonts w:ascii="Times New Roman" w:eastAsia="Times New Roman" w:hAnsi="Times New Roman" w:cs="Times New Roman"/>
          <w:sz w:val="24"/>
          <w:szCs w:val="24"/>
        </w:rPr>
        <w:t>, 5(2).</w:t>
      </w:r>
    </w:p>
    <w:p w14:paraId="514DCC73" w14:textId="77777777" w:rsidR="00603759"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Elshamy, M.M.N.A., </w:t>
      </w:r>
      <w:proofErr w:type="spellStart"/>
      <w:r>
        <w:rPr>
          <w:rFonts w:ascii="Times New Roman" w:eastAsia="Times New Roman" w:hAnsi="Times New Roman" w:cs="Times New Roman"/>
          <w:sz w:val="24"/>
          <w:szCs w:val="24"/>
        </w:rPr>
        <w:t>Elghaish</w:t>
      </w:r>
      <w:proofErr w:type="spellEnd"/>
      <w:r>
        <w:rPr>
          <w:rFonts w:ascii="Times New Roman" w:eastAsia="Times New Roman" w:hAnsi="Times New Roman" w:cs="Times New Roman"/>
          <w:sz w:val="24"/>
          <w:szCs w:val="24"/>
        </w:rPr>
        <w:t xml:space="preserve">, F. and Brooks, T. (2025). Exploring risk factors causing delays in mega </w:t>
      </w:r>
      <w:proofErr w:type="gramStart"/>
      <w:r>
        <w:rPr>
          <w:rFonts w:ascii="Times New Roman" w:eastAsia="Times New Roman" w:hAnsi="Times New Roman" w:cs="Times New Roman"/>
          <w:sz w:val="24"/>
          <w:szCs w:val="24"/>
        </w:rPr>
        <w:t>project</w:t>
      </w:r>
      <w:proofErr w:type="gramEnd"/>
      <w:r>
        <w:rPr>
          <w:rFonts w:ascii="Times New Roman" w:eastAsia="Times New Roman" w:hAnsi="Times New Roman" w:cs="Times New Roman"/>
          <w:sz w:val="24"/>
          <w:szCs w:val="24"/>
        </w:rPr>
        <w:t xml:space="preserve"> in Gulf region: an industrial qualitative approach. </w:t>
      </w:r>
      <w:r>
        <w:rPr>
          <w:rFonts w:ascii="Times New Roman" w:eastAsia="Times New Roman" w:hAnsi="Times New Roman" w:cs="Times New Roman"/>
          <w:i/>
          <w:sz w:val="24"/>
          <w:szCs w:val="24"/>
        </w:rPr>
        <w:t>Smart and Sustainable Built Environment.</w:t>
      </w:r>
    </w:p>
    <w:p w14:paraId="30A9457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Farouk, F.M., Siew, E.G. and Yusof, S.H. (2025). Overcoming resistance to change in a big data analytics implementation case study. </w:t>
      </w:r>
      <w:r>
        <w:rPr>
          <w:rFonts w:ascii="Times New Roman" w:eastAsia="Times New Roman" w:hAnsi="Times New Roman" w:cs="Times New Roman"/>
          <w:i/>
          <w:sz w:val="24"/>
          <w:szCs w:val="24"/>
        </w:rPr>
        <w:t>Journal of Information Technology Teaching Cases</w:t>
      </w:r>
      <w:r>
        <w:rPr>
          <w:rFonts w:ascii="Times New Roman" w:eastAsia="Times New Roman" w:hAnsi="Times New Roman" w:cs="Times New Roman"/>
          <w:sz w:val="24"/>
          <w:szCs w:val="24"/>
        </w:rPr>
        <w:t>, 15(1), pp.167-172.</w:t>
      </w:r>
    </w:p>
    <w:p w14:paraId="68DB09CC"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Fitbit Inc. (2021).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https://www.fitbit.com/sg/about</w:t>
        </w:r>
      </w:hyperlink>
      <w:r>
        <w:rPr>
          <w:rFonts w:ascii="Times New Roman" w:eastAsia="Times New Roman" w:hAnsi="Times New Roman" w:cs="Times New Roman"/>
          <w:sz w:val="24"/>
          <w:szCs w:val="24"/>
        </w:rPr>
        <w:t xml:space="preserve"> (Accessed: 5 November 2025).</w:t>
      </w:r>
    </w:p>
    <w:p w14:paraId="3613C4F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Friend, S.B., Mangus, S.M., Pullins, E.B., Davis, L. and Gilstrap, C.M. (2025). Conceptualizing an integrative typology of sales enablement strategy. </w:t>
      </w:r>
      <w:r>
        <w:rPr>
          <w:rFonts w:ascii="Times New Roman" w:eastAsia="Times New Roman" w:hAnsi="Times New Roman" w:cs="Times New Roman"/>
          <w:i/>
          <w:sz w:val="24"/>
          <w:szCs w:val="24"/>
        </w:rPr>
        <w:t>Journal of Personal Selling &amp; Sales Management</w:t>
      </w:r>
      <w:r>
        <w:rPr>
          <w:rFonts w:ascii="Times New Roman" w:eastAsia="Times New Roman" w:hAnsi="Times New Roman" w:cs="Times New Roman"/>
          <w:sz w:val="24"/>
          <w:szCs w:val="24"/>
        </w:rPr>
        <w:t>, 45(1), pp.64-81.</w:t>
      </w:r>
    </w:p>
    <w:p w14:paraId="2F77A96C" w14:textId="77777777" w:rsidR="00603759"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Gangavarapu</w:t>
      </w:r>
      <w:proofErr w:type="spellEnd"/>
      <w:r>
        <w:rPr>
          <w:rFonts w:ascii="Times New Roman" w:eastAsia="Times New Roman" w:hAnsi="Times New Roman" w:cs="Times New Roman"/>
          <w:sz w:val="24"/>
          <w:szCs w:val="24"/>
        </w:rPr>
        <w:t xml:space="preserve">, R. (2025). </w:t>
      </w:r>
      <w:r>
        <w:rPr>
          <w:rFonts w:ascii="Times New Roman" w:eastAsia="Times New Roman" w:hAnsi="Times New Roman" w:cs="Times New Roman"/>
          <w:i/>
          <w:sz w:val="24"/>
          <w:szCs w:val="24"/>
        </w:rPr>
        <w:t>Mastering AI Governance: A Guide to Building Trustworthy and Transparent AI Systems.</w:t>
      </w:r>
      <w:r>
        <w:rPr>
          <w:rFonts w:ascii="Times New Roman" w:eastAsia="Times New Roman" w:hAnsi="Times New Roman" w:cs="Times New Roman"/>
          <w:sz w:val="24"/>
          <w:szCs w:val="24"/>
        </w:rPr>
        <w:t xml:space="preserve"> Springer Nature.</w:t>
      </w:r>
    </w:p>
    <w:p w14:paraId="1CAB537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Garcés-Manzanera, A. and Roca-Marín, J.L. (2025). </w:t>
      </w:r>
      <w:r>
        <w:rPr>
          <w:rFonts w:ascii="Times New Roman" w:eastAsia="Times New Roman" w:hAnsi="Times New Roman" w:cs="Times New Roman"/>
          <w:i/>
          <w:sz w:val="24"/>
          <w:szCs w:val="24"/>
        </w:rPr>
        <w:t>Content and Language Integrated Learning in Physical Education: Motivation, Engagement and Inclusion.</w:t>
      </w:r>
      <w:r>
        <w:rPr>
          <w:rFonts w:ascii="Times New Roman" w:eastAsia="Times New Roman" w:hAnsi="Times New Roman" w:cs="Times New Roman"/>
          <w:sz w:val="24"/>
          <w:szCs w:val="24"/>
        </w:rPr>
        <w:t xml:space="preserve"> Springer Nature.</w:t>
      </w:r>
    </w:p>
    <w:p w14:paraId="73AE2E7B" w14:textId="77777777" w:rsidR="00603759"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Ghadi</w:t>
      </w:r>
      <w:proofErr w:type="spellEnd"/>
      <w:r>
        <w:rPr>
          <w:rFonts w:ascii="Times New Roman" w:eastAsia="Times New Roman" w:hAnsi="Times New Roman" w:cs="Times New Roman"/>
          <w:sz w:val="24"/>
          <w:szCs w:val="24"/>
        </w:rPr>
        <w:t xml:space="preserve">, Y.Y., Shah, S.F.A., Waheed, W., Mazhar, T., Ahmad, W., Saeed, M.M. and Hamam, H. (2025). Integration of wearable technology and artificial intelligence in digital health for remote patient care. </w:t>
      </w:r>
      <w:r>
        <w:rPr>
          <w:rFonts w:ascii="Times New Roman" w:eastAsia="Times New Roman" w:hAnsi="Times New Roman" w:cs="Times New Roman"/>
          <w:i/>
          <w:sz w:val="24"/>
          <w:szCs w:val="24"/>
        </w:rPr>
        <w:t>Journal of Cloud Computing</w:t>
      </w:r>
      <w:r>
        <w:rPr>
          <w:rFonts w:ascii="Times New Roman" w:eastAsia="Times New Roman" w:hAnsi="Times New Roman" w:cs="Times New Roman"/>
          <w:sz w:val="24"/>
          <w:szCs w:val="24"/>
        </w:rPr>
        <w:t>, 14(1), p.39.</w:t>
      </w:r>
    </w:p>
    <w:p w14:paraId="7C3A299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Iandolo, F., La Sala, A., </w:t>
      </w:r>
      <w:proofErr w:type="spellStart"/>
      <w:r>
        <w:rPr>
          <w:rFonts w:ascii="Times New Roman" w:eastAsia="Times New Roman" w:hAnsi="Times New Roman" w:cs="Times New Roman"/>
          <w:sz w:val="24"/>
          <w:szCs w:val="24"/>
        </w:rPr>
        <w:t>Turriziani</w:t>
      </w:r>
      <w:proofErr w:type="spellEnd"/>
      <w:r>
        <w:rPr>
          <w:rFonts w:ascii="Times New Roman" w:eastAsia="Times New Roman" w:hAnsi="Times New Roman" w:cs="Times New Roman"/>
          <w:sz w:val="24"/>
          <w:szCs w:val="24"/>
        </w:rPr>
        <w:t xml:space="preserve">, L. and Caputo, F. (2025). Stakeholder engagement in managing systemic risk management. </w:t>
      </w:r>
      <w:r>
        <w:rPr>
          <w:rFonts w:ascii="Times New Roman" w:eastAsia="Times New Roman" w:hAnsi="Times New Roman" w:cs="Times New Roman"/>
          <w:i/>
          <w:sz w:val="24"/>
          <w:szCs w:val="24"/>
        </w:rPr>
        <w:t>Business Ethics, the Environment &amp; Responsibility</w:t>
      </w:r>
      <w:r>
        <w:rPr>
          <w:rFonts w:ascii="Times New Roman" w:eastAsia="Times New Roman" w:hAnsi="Times New Roman" w:cs="Times New Roman"/>
          <w:sz w:val="24"/>
          <w:szCs w:val="24"/>
        </w:rPr>
        <w:t>, 34(4), pp.1069-1085.</w:t>
      </w:r>
    </w:p>
    <w:p w14:paraId="5E5B0223"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M.A., Nair, R.R., Prasad, G.J. and Chowdhury, R. (2025). The Role of Internet of Things (IoT) in Wearable Devices for Disabled Individuals. In </w:t>
      </w:r>
      <w:r>
        <w:rPr>
          <w:rFonts w:ascii="Times New Roman" w:eastAsia="Times New Roman" w:hAnsi="Times New Roman" w:cs="Times New Roman"/>
          <w:i/>
          <w:sz w:val="24"/>
          <w:szCs w:val="24"/>
        </w:rPr>
        <w:t>Remote Monitoring and Wearable Devices in Healthcare</w:t>
      </w:r>
      <w:r>
        <w:rPr>
          <w:rFonts w:ascii="Times New Roman" w:eastAsia="Times New Roman" w:hAnsi="Times New Roman" w:cs="Times New Roman"/>
          <w:sz w:val="24"/>
          <w:szCs w:val="24"/>
        </w:rPr>
        <w:t xml:space="preserve"> (pp. 237-262). Cham: Springer Nature Switzerland.</w:t>
      </w:r>
    </w:p>
    <w:p w14:paraId="646DE908"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Iyer, P., Nikolov, A.N., Sleep, S., Eskridge, B., Moke, D.M. and Hutchins, J. (2025). Navigating the AI wave for sales management: The mediating role of marketing agility.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127, pp.62-73.</w:t>
      </w:r>
    </w:p>
    <w:p w14:paraId="6791BC7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Kerzner, H. (2025). </w:t>
      </w:r>
      <w:r>
        <w:rPr>
          <w:rFonts w:ascii="Times New Roman" w:eastAsia="Times New Roman" w:hAnsi="Times New Roman" w:cs="Times New Roman"/>
          <w:i/>
          <w:sz w:val="24"/>
          <w:szCs w:val="24"/>
        </w:rPr>
        <w:t>Project Management: A Systems Approach to Planning, Scheduling, and Controlling.</w:t>
      </w:r>
      <w:r>
        <w:rPr>
          <w:rFonts w:ascii="Times New Roman" w:eastAsia="Times New Roman" w:hAnsi="Times New Roman" w:cs="Times New Roman"/>
          <w:sz w:val="24"/>
          <w:szCs w:val="24"/>
        </w:rPr>
        <w:t xml:space="preserve"> John Wiley &amp; Sons.</w:t>
      </w:r>
    </w:p>
    <w:p w14:paraId="5CF7CB9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T. and Sun, Y. (2025). Impact of ownership structure on corporate social responsibility investment: The mediating role of analyst coverage. </w:t>
      </w:r>
      <w:r>
        <w:rPr>
          <w:rFonts w:ascii="Times New Roman" w:eastAsia="Times New Roman" w:hAnsi="Times New Roman" w:cs="Times New Roman"/>
          <w:i/>
          <w:sz w:val="24"/>
          <w:szCs w:val="24"/>
        </w:rPr>
        <w:t>Finance Research Letters</w:t>
      </w:r>
      <w:r>
        <w:rPr>
          <w:rFonts w:ascii="Times New Roman" w:eastAsia="Times New Roman" w:hAnsi="Times New Roman" w:cs="Times New Roman"/>
          <w:sz w:val="24"/>
          <w:szCs w:val="24"/>
        </w:rPr>
        <w:t>, 78, p.107050.</w:t>
      </w:r>
    </w:p>
    <w:p w14:paraId="29494535"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Mammadova, F. and Abdullayeva, N. (2025). The role of communication and collaboration in business management.</w:t>
      </w:r>
    </w:p>
    <w:p w14:paraId="7AF0B953"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Olausson, J. and Ivanov, R. (2025). How Can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Certification Programs and Government Regulations Influence IoT Security in the Healthcare Sector.</w:t>
      </w:r>
    </w:p>
    <w:p w14:paraId="00029267" w14:textId="77777777" w:rsidR="00603759" w:rsidRDefault="00000000">
      <w:pPr>
        <w:spacing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Otrakji</w:t>
      </w:r>
      <w:proofErr w:type="spellEnd"/>
      <w:r>
        <w:rPr>
          <w:rFonts w:ascii="Times New Roman" w:eastAsia="Times New Roman" w:hAnsi="Times New Roman" w:cs="Times New Roman"/>
          <w:sz w:val="24"/>
          <w:szCs w:val="24"/>
        </w:rPr>
        <w:t xml:space="preserve">, C., Landis, J., Saade, R.G. and Ali Adeeb, R. (2025). Managing Conflict Resolution and Perceptions: An Approach Leveraging the Thomas‐Kilmann Conflict Mode Theory. </w:t>
      </w:r>
      <w:r>
        <w:rPr>
          <w:rFonts w:ascii="Times New Roman" w:eastAsia="Times New Roman" w:hAnsi="Times New Roman" w:cs="Times New Roman"/>
          <w:i/>
          <w:sz w:val="24"/>
          <w:szCs w:val="24"/>
        </w:rPr>
        <w:t>Conflict Resolution Quarterly.</w:t>
      </w:r>
    </w:p>
    <w:p w14:paraId="7DB72699"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Peng, C. and Jia, X. (2025). Influence of top management team faultlines on corporate digitalization. </w:t>
      </w:r>
      <w:r>
        <w:rPr>
          <w:rFonts w:ascii="Times New Roman" w:eastAsia="Times New Roman" w:hAnsi="Times New Roman" w:cs="Times New Roman"/>
          <w:i/>
          <w:sz w:val="24"/>
          <w:szCs w:val="24"/>
        </w:rPr>
        <w:t>Journal of Enterprise Information Management</w:t>
      </w:r>
      <w:r>
        <w:rPr>
          <w:rFonts w:ascii="Times New Roman" w:eastAsia="Times New Roman" w:hAnsi="Times New Roman" w:cs="Times New Roman"/>
          <w:sz w:val="24"/>
          <w:szCs w:val="24"/>
        </w:rPr>
        <w:t>, 38(1), pp.369-398.</w:t>
      </w:r>
    </w:p>
    <w:p w14:paraId="7650A9BA"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Ramirez Lopez, L.J. and Morillo Ledezma, G.G. (2025). Employing Blockchain, NFTs, and Digital Certificates for Unparalleled Authenticity and Data Protection in Source Code: A Systematic Review. </w:t>
      </w:r>
      <w:r>
        <w:rPr>
          <w:rFonts w:ascii="Times New Roman" w:eastAsia="Times New Roman" w:hAnsi="Times New Roman" w:cs="Times New Roman"/>
          <w:i/>
          <w:sz w:val="24"/>
          <w:szCs w:val="24"/>
        </w:rPr>
        <w:t>Computers</w:t>
      </w:r>
      <w:r>
        <w:rPr>
          <w:rFonts w:ascii="Times New Roman" w:eastAsia="Times New Roman" w:hAnsi="Times New Roman" w:cs="Times New Roman"/>
          <w:sz w:val="24"/>
          <w:szCs w:val="24"/>
        </w:rPr>
        <w:t>, 14(4), p.131.</w:t>
      </w:r>
    </w:p>
    <w:p w14:paraId="0F8C2CCD"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Rodrigues Coelho, F.I., </w:t>
      </w:r>
      <w:proofErr w:type="spellStart"/>
      <w:r>
        <w:rPr>
          <w:rFonts w:ascii="Times New Roman" w:eastAsia="Times New Roman" w:hAnsi="Times New Roman" w:cs="Times New Roman"/>
          <w:sz w:val="24"/>
          <w:szCs w:val="24"/>
        </w:rPr>
        <w:t>Bizarrias</w:t>
      </w:r>
      <w:proofErr w:type="spellEnd"/>
      <w:r>
        <w:rPr>
          <w:rFonts w:ascii="Times New Roman" w:eastAsia="Times New Roman" w:hAnsi="Times New Roman" w:cs="Times New Roman"/>
          <w:sz w:val="24"/>
          <w:szCs w:val="24"/>
        </w:rPr>
        <w:t xml:space="preserve">, F.S., </w:t>
      </w:r>
      <w:proofErr w:type="spellStart"/>
      <w:r>
        <w:rPr>
          <w:rFonts w:ascii="Times New Roman" w:eastAsia="Times New Roman" w:hAnsi="Times New Roman" w:cs="Times New Roman"/>
          <w:sz w:val="24"/>
          <w:szCs w:val="24"/>
        </w:rPr>
        <w:t>Rabechini</w:t>
      </w:r>
      <w:proofErr w:type="spellEnd"/>
      <w:r>
        <w:rPr>
          <w:rFonts w:ascii="Times New Roman" w:eastAsia="Times New Roman" w:hAnsi="Times New Roman" w:cs="Times New Roman"/>
          <w:sz w:val="24"/>
          <w:szCs w:val="24"/>
        </w:rPr>
        <w:t xml:space="preserve"> Jr, R., Martens, C.D.P. and Martens, M.L. (2025). Strategic alignment and value optimization: Unveiling the critical role of project portfolio management for a flexible environment. </w:t>
      </w:r>
      <w:r>
        <w:rPr>
          <w:rFonts w:ascii="Times New Roman" w:eastAsia="Times New Roman" w:hAnsi="Times New Roman" w:cs="Times New Roman"/>
          <w:i/>
          <w:sz w:val="24"/>
          <w:szCs w:val="24"/>
        </w:rPr>
        <w:t>Global Journal of Flexible Systems Management</w:t>
      </w:r>
      <w:r>
        <w:rPr>
          <w:rFonts w:ascii="Times New Roman" w:eastAsia="Times New Roman" w:hAnsi="Times New Roman" w:cs="Times New Roman"/>
          <w:sz w:val="24"/>
          <w:szCs w:val="24"/>
        </w:rPr>
        <w:t>, 26(1), pp.209-224.</w:t>
      </w:r>
    </w:p>
    <w:p w14:paraId="0F9F5B10" w14:textId="77777777" w:rsidR="006037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Santoso, J.T., Raharjo, B. and Wibowo, M.C. (2025). Agile Project Management Practice to Support Project Management Success. </w:t>
      </w:r>
      <w:r>
        <w:rPr>
          <w:rFonts w:ascii="Times New Roman" w:eastAsia="Times New Roman" w:hAnsi="Times New Roman" w:cs="Times New Roman"/>
          <w:i/>
          <w:sz w:val="24"/>
          <w:szCs w:val="24"/>
        </w:rPr>
        <w:t>Quality-Access to Success</w:t>
      </w:r>
      <w:r>
        <w:rPr>
          <w:rFonts w:ascii="Times New Roman" w:eastAsia="Times New Roman" w:hAnsi="Times New Roman" w:cs="Times New Roman"/>
          <w:sz w:val="24"/>
          <w:szCs w:val="24"/>
        </w:rPr>
        <w:t>, 26(4).</w:t>
      </w:r>
    </w:p>
    <w:sectPr w:rsidR="0060375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A7DF7" w14:textId="77777777" w:rsidR="00BA5DB7" w:rsidRDefault="00BA5DB7">
      <w:pPr>
        <w:spacing w:line="240" w:lineRule="auto"/>
      </w:pPr>
      <w:r>
        <w:separator/>
      </w:r>
    </w:p>
  </w:endnote>
  <w:endnote w:type="continuationSeparator" w:id="0">
    <w:p w14:paraId="44B69E11" w14:textId="77777777" w:rsidR="00BA5DB7" w:rsidRDefault="00BA5D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E8A9AF34-A74A-46A5-A81F-7DB5A12CA5DC}"/>
  </w:font>
  <w:font w:name="Cambria">
    <w:panose1 w:val="02040503050406030204"/>
    <w:charset w:val="00"/>
    <w:family w:val="roman"/>
    <w:pitch w:val="variable"/>
    <w:sig w:usb0="E00006FF" w:usb1="420024FF" w:usb2="02000000" w:usb3="00000000" w:csb0="0000019F" w:csb1="00000000"/>
    <w:embedRegular r:id="rId2" w:fontKey="{28BEE445-5BD8-4C65-9AC1-14BE128E5FF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895FC" w14:textId="77777777" w:rsidR="00603759" w:rsidRDefault="00000000">
    <w:pPr>
      <w:jc w:val="right"/>
    </w:pPr>
    <w:r>
      <w:fldChar w:fldCharType="begin"/>
    </w:r>
    <w:r>
      <w:instrText>PAGE</w:instrText>
    </w:r>
    <w:r>
      <w:fldChar w:fldCharType="separate"/>
    </w:r>
    <w:r w:rsidR="005C755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6687C" w14:textId="77777777" w:rsidR="00BA5DB7" w:rsidRDefault="00BA5DB7">
      <w:pPr>
        <w:spacing w:line="240" w:lineRule="auto"/>
      </w:pPr>
      <w:r>
        <w:separator/>
      </w:r>
    </w:p>
  </w:footnote>
  <w:footnote w:type="continuationSeparator" w:id="0">
    <w:p w14:paraId="3AC65E9E" w14:textId="77777777" w:rsidR="00BA5DB7" w:rsidRDefault="00BA5D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D3B6F"/>
    <w:multiLevelType w:val="multilevel"/>
    <w:tmpl w:val="85EE7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BE1179"/>
    <w:multiLevelType w:val="multilevel"/>
    <w:tmpl w:val="E7787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49A25C7"/>
    <w:multiLevelType w:val="multilevel"/>
    <w:tmpl w:val="D9787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C633FD"/>
    <w:multiLevelType w:val="multilevel"/>
    <w:tmpl w:val="831A0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54965440">
    <w:abstractNumId w:val="3"/>
  </w:num>
  <w:num w:numId="2" w16cid:durableId="1192842325">
    <w:abstractNumId w:val="1"/>
  </w:num>
  <w:num w:numId="3" w16cid:durableId="859052945">
    <w:abstractNumId w:val="0"/>
  </w:num>
  <w:num w:numId="4" w16cid:durableId="152988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759"/>
    <w:rsid w:val="005C7553"/>
    <w:rsid w:val="00603759"/>
    <w:rsid w:val="00BA5DB7"/>
    <w:rsid w:val="00DD4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540E"/>
  <w15:docId w15:val="{EBC25A3B-A659-4C73-BEEC-F95C05AAF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itbit.com/sg/abou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hie58kG5uPbzV8GJG5NIjZkLbQ==">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6137</Words>
  <Characters>34982</Characters>
  <Application>Microsoft Office Word</Application>
  <DocSecurity>0</DocSecurity>
  <Lines>291</Lines>
  <Paragraphs>82</Paragraphs>
  <ScaleCrop>false</ScaleCrop>
  <Company/>
  <LinksUpToDate>false</LinksUpToDate>
  <CharactersWithSpaces>41037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Denisa</dc:creator>
  <cp:lastModifiedBy>Lorena-Denisa Szolosi (2412292)</cp:lastModifiedBy>
  <cp:revision>2</cp:revision>
  <dcterms:created xsi:type="dcterms:W3CDTF">2025-12-16T14:31:00Z</dcterms:created>
  <dcterms:modified xsi:type="dcterms:W3CDTF">2025-12-16T14:31:00Z</dcterms:modified>
</cp:coreProperties>
</file>