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p/>
    <w:p/>
    <w:p/>
    <w:p/>
    <w:p>
      <w:pPr>
        <w:spacing w:line="240" w:lineRule="auto" w:after="240"/>
        <w:jc w:val="center"/>
      </w:pPr>
      <w:r>
        <w:rPr>
          <w:rFonts w:ascii="Arial" w:hAnsi="Arial" w:eastAsia="Arial"/>
          <w:b/>
          <w:color w:val="1F4E79"/>
          <w:sz w:val="34"/>
        </w:rPr>
        <w:t>University of Wales Trinity Saint David</w:t>
      </w:r>
    </w:p>
    <w:p>
      <w:pPr>
        <w:spacing w:line="240" w:lineRule="auto" w:after="80"/>
        <w:jc w:val="center"/>
      </w:pPr>
      <w:r>
        <w:rPr>
          <w:rFonts w:ascii="Arial" w:hAnsi="Arial" w:eastAsia="Arial"/>
          <w:b/>
          <w:color w:val="000000"/>
          <w:sz w:val="36"/>
        </w:rPr>
        <w:t>Component 2 – Written Assignment</w:t>
      </w:r>
    </w:p>
    <w:p>
      <w:pPr>
        <w:spacing w:line="240" w:lineRule="auto" w:after="480"/>
        <w:jc w:val="center"/>
      </w:pPr>
      <w:r>
        <w:rPr>
          <w:rFonts w:ascii="Arial" w:hAnsi="Arial" w:eastAsia="Arial"/>
          <w:b/>
          <w:color w:val="000000"/>
          <w:sz w:val="32"/>
        </w:rPr>
        <w:t>Mrs Thompson Case Study</w:t>
      </w:r>
    </w:p>
    <w:tbl>
      <w:tblPr>
        <w:tblW w:type="auto" w:w="0"/>
        <w:jc w:val="center"/>
        <w:tblLayout w:type="fixed"/>
        <w:tblLook w:firstColumn="1" w:firstRow="1" w:lastColumn="0" w:lastRow="0" w:noHBand="0" w:noVBand="1" w:val="04A0"/>
      </w:tblPr>
      <w:tblGrid>
        <w:gridCol w:w="2880"/>
        <w:gridCol w:w="6048"/>
      </w:tblGrid>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Student name</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Michael Camara</w:t>
            </w:r>
          </w:p>
        </w:tc>
      </w:tr>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Student ID</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2533160</w:t>
            </w:r>
          </w:p>
        </w:tc>
      </w:tr>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Programme</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Certificate of Higher Education Skills for the Workplace (Health &amp; Social Care)</w:t>
            </w:r>
          </w:p>
        </w:tc>
      </w:tr>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Module</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Introduction to Health and Social Care</w:t>
            </w:r>
          </w:p>
        </w:tc>
      </w:tr>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Module code</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LCHS4003</w:t>
            </w:r>
          </w:p>
        </w:tc>
      </w:tr>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Lecturer</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Muhammad Aliyu</w:t>
            </w:r>
          </w:p>
        </w:tc>
      </w:tr>
      <w:tr>
        <w:tc>
          <w:tcPr>
            <w:tcW w:type="dxa" w:w="2880"/>
            <w:vAlign w:val="center"/>
            <w:shd w:fill="D9EAF7"/>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b/>
                <w:sz w:val="21"/>
              </w:rPr>
              <w:t>Word count</w:t>
            </w:r>
          </w:p>
        </w:tc>
        <w:tc>
          <w:tcPr>
            <w:tcW w:type="dxa" w:w="6048"/>
            <w:vAlign w:val="center"/>
            <w:tcBorders>
              <w:top w:val="single" w:sz="4" w:color="A6A6A6"/>
              <w:left w:val="single" w:sz="4" w:color="A6A6A6"/>
              <w:bottom w:val="single" w:sz="4" w:color="A6A6A6"/>
              <w:right w:val="single" w:sz="4" w:color="A6A6A6"/>
            </w:tcBorders>
          </w:tcPr>
          <w:p>
            <w:pPr>
              <w:spacing w:after="0" w:line="276" w:lineRule="auto"/>
              <w:jc w:val="left"/>
            </w:pPr>
            <w:r>
              <w:rPr>
                <w:rFonts w:ascii="Arial" w:hAnsi="Arial" w:eastAsia="Arial"/>
                <w:sz w:val="21"/>
              </w:rPr>
              <w:t>1,535 words (excluding title page, contents and references)</w:t>
            </w:r>
          </w:p>
        </w:tc>
      </w:tr>
    </w:tbl>
    <w:p>
      <w:r>
        <w:br w:type="page"/>
      </w:r>
    </w:p>
    <w:p>
      <w:pPr>
        <w:pStyle w:val="Heading1"/>
        <w:jc w:val="left"/>
      </w:pPr>
      <w:r>
        <w:t>Table of contents</w:t>
      </w:r>
    </w:p>
    <w:p>
      <w:pPr>
        <w:tabs>
          <w:tab w:pos="8928" w:val="left"/>
        </w:tabs>
        <w:spacing w:line="276" w:lineRule="auto" w:after="100"/>
        <w:jc w:val="left"/>
      </w:pPr>
      <w:r>
        <w:t>1. Introduction</w:t>
      </w:r>
      <w:r>
        <w:tab/>
        <w:t>3</w:t>
      </w:r>
    </w:p>
    <w:p>
      <w:pPr>
        <w:tabs>
          <w:tab w:pos="8928" w:val="left"/>
        </w:tabs>
        <w:spacing w:line="276" w:lineRule="auto" w:after="100"/>
        <w:jc w:val="left"/>
      </w:pPr>
      <w:r>
        <w:t>2. Importance of effective communication</w:t>
      </w:r>
      <w:r>
        <w:tab/>
        <w:t>3</w:t>
      </w:r>
    </w:p>
    <w:p>
      <w:pPr>
        <w:tabs>
          <w:tab w:pos="8928" w:val="left"/>
        </w:tabs>
        <w:spacing w:line="276" w:lineRule="auto" w:after="100"/>
        <w:jc w:val="left"/>
      </w:pPr>
      <w:r>
        <w:t>3. Importance of good administrative skills</w:t>
      </w:r>
      <w:r>
        <w:tab/>
        <w:t>4</w:t>
      </w:r>
    </w:p>
    <w:p>
      <w:pPr>
        <w:tabs>
          <w:tab w:pos="8928" w:val="left"/>
        </w:tabs>
        <w:spacing w:line="276" w:lineRule="auto" w:after="100"/>
        <w:jc w:val="left"/>
      </w:pPr>
      <w:r>
        <w:t>4. Importance of working collaboratively</w:t>
      </w:r>
      <w:r>
        <w:tab/>
        <w:t>5</w:t>
      </w:r>
    </w:p>
    <w:p>
      <w:pPr>
        <w:tabs>
          <w:tab w:pos="8928" w:val="left"/>
        </w:tabs>
        <w:spacing w:line="276" w:lineRule="auto" w:after="100"/>
        <w:jc w:val="left"/>
      </w:pPr>
      <w:r>
        <w:t>5. Conclusion</w:t>
      </w:r>
      <w:r>
        <w:tab/>
        <w:t>6</w:t>
      </w:r>
    </w:p>
    <w:p>
      <w:pPr>
        <w:tabs>
          <w:tab w:pos="8928" w:val="left"/>
        </w:tabs>
        <w:spacing w:line="276" w:lineRule="auto" w:after="100"/>
        <w:jc w:val="left"/>
      </w:pPr>
      <w:r>
        <w:t>References</w:t>
      </w:r>
      <w:r>
        <w:tab/>
        <w:t>7</w:t>
      </w:r>
    </w:p>
    <w:p>
      <w:r>
        <w:br w:type="page"/>
      </w:r>
    </w:p>
    <w:p>
      <w:pPr>
        <w:pStyle w:val="Heading1"/>
      </w:pPr>
      <w:r>
        <w:t>1. Introduction</w:t>
      </w:r>
    </w:p>
    <w:p>
      <w:pPr>
        <w:keepLines w:val="0"/>
        <w:widowControl/>
        <w:ind w:firstLine="0"/>
      </w:pPr>
      <w:r>
        <w:t>Mrs Thompson is an 84-year-old woman with mild dementia who has recently returned to sheltered housing after treatment for pneumonia. She receives domiciliary care twice daily, but missed two days of medication, became more confused and was later found outside in cold weather without suitable clothing. These events indicate risks relating to medicine management, cognition, self-neglect and continuity of care. This report evaluates three requirements for safe, person-centred support: effective communication with Mrs Thompson and her family; accurate administration, record keeping and lawful information handling; and coordinated multi-agency working. It applies Berlo’s Sender-Message-Channel-Receiver model, the Equality Act 2010, the Mental Capacity Act 2005, the Data Protection Act 2018, Care Quality Commission standards and the Care Act 2014. The report argues that communication, records and collaboration are interdependent: weakness in one area can prevent professionals from recognising deterioration, sharing risk and acting before avoidable harm occurs.</w:t>
      </w:r>
    </w:p>
    <w:p>
      <w:pPr>
        <w:pStyle w:val="Heading1"/>
      </w:pPr>
      <w:r>
        <w:t>2. Importance of effective communication</w:t>
      </w:r>
    </w:p>
    <w:p>
      <w:pPr>
        <w:keepLines w:val="0"/>
        <w:widowControl/>
        <w:spacing w:line="360" w:lineRule="auto" w:after="120"/>
        <w:ind w:firstLine="0"/>
        <w:jc w:val="both"/>
      </w:pPr>
      <w:r>
        <w:rPr>
          <w:rFonts w:ascii="Arial" w:hAnsi="Arial" w:eastAsia="Arial"/>
          <w:sz w:val="22"/>
        </w:rPr>
        <w:t>Effective communication is essential because Mrs Thompson’s mild dementia may affect attention, memory, understanding and her ability to retain medication instructions. Communication should begin with her, rather than automatically relying on relatives. The National Institute for Health and Care Excellence (NICE, 2018) recommends enabling people with dementia to express their views and using modified methods such as simplified text or visual aids when required. Recent research also emphasises flexible communication that values emotional safety, knows the individual and adapts to the situation (Harris et al., 2025). Practitioners should therefore speak slowly in a quiet environment, use short sentences, discuss one issue at a time and allow additional processing time. After the medication review, a large-print schedule, labelled dosette box and consistent prompts could reinforce the message; personalised behavioural support has improved adherence in older adults (Jeon, Chae and Kim, 2022). Understanding should be checked through teach-back, asking Mrs Thompson to explain in her own words when and how she will take each medicine, rather than asking only whether she understands.</w:t>
      </w:r>
    </w:p>
    <w:p>
      <w:pPr>
        <w:keepLines w:val="0"/>
        <w:widowControl/>
        <w:ind w:firstLine="0"/>
      </w:pPr>
      <w:r>
        <w:t>Berlo’s SMCR model provides a useful framework. The sender may be a domiciliary carer, community nurse or GP; the message concerns medication, safety and follow-up; the channel may combine speech, written prompts and visual cues; and the receiver is Mrs Thompson (Berlo, 1960). The model highlights that communication skills, knowledge, attitude, culture and the selected channel influence understanding. In this case, staff should use consistent wording and avoid conflicting instructions. However, Berlo’s model is mainly linear and does not fully emphasise feedback. Adding teach-back and observation creates a feedback loop, allowing staff to recognise misunderstanding and revise the message.</w:t>
      </w:r>
    </w:p>
    <w:p>
      <w:pPr>
        <w:keepLines w:val="0"/>
        <w:widowControl/>
        <w:ind w:firstLine="0"/>
      </w:pPr>
      <w:r>
        <w:t>Because confusion may fluctuate after pneumonia, carers should compare verbal answers with behaviour, facial expression and medication records. Unusual drowsiness, breathlessness or inability to follow familiar prompts should be escalated as possible deterioration rather than assumed to be dementia.</w:t>
      </w:r>
    </w:p>
    <w:p>
      <w:pPr>
        <w:keepLines w:val="0"/>
        <w:widowControl/>
        <w:ind w:firstLine="0"/>
      </w:pPr>
      <w:r>
        <w:t>The Equality Act 2010 protects people from discrimination in services on grounds including age and disability. Dementia may constitute a disability where it has a substantial and long-term effect on normal activities. Reasonable adjustments should remove communication disadvantage, for example accessible written information, extra time, repetition and communication aids (Great Britain, 2010). Adjustments should support autonomy rather than infantilise Mrs Thompson.</w:t>
      </w:r>
    </w:p>
    <w:p>
      <w:pPr>
        <w:keepLines w:val="0"/>
        <w:widowControl/>
        <w:ind w:firstLine="0"/>
      </w:pPr>
      <w:r>
        <w:t>Family involvement can improve continuity by providing knowledge of routines and early changes, but Mrs Thompson’s preferences and confidentiality must be respected. Staff should ask whom she wants involved and what information may be shared, because family involvement should reflect the service user’s preferences (NICE, 2021). Mild dementia does not automatically mean incapacity. Under the Mental Capacity Act 2005, capacity is presumed and assessed for the specific decision at the relevant time after all practicable support has been offered (Great Britain, 2005). If she lacks capacity for a particular decision, family views may inform a best-interests decision, but they should not replace her voice. This balanced approach promotes safety, dignity and lawful person-centred care.</w:t>
      </w:r>
    </w:p>
    <w:p>
      <w:pPr>
        <w:pStyle w:val="Heading1"/>
      </w:pPr>
      <w:r>
        <w:t>3. Importance of good administrative skills</w:t>
      </w:r>
    </w:p>
    <w:p>
      <w:pPr>
        <w:keepLines w:val="0"/>
        <w:widowControl/>
        <w:ind w:firstLine="0"/>
      </w:pPr>
      <w:r>
        <w:t>Good administrative skills convert observations into reliable evidence for action. In Mrs Thompson’s case, the medication omissions, increased confusion, cold-weather incident, contacts with professionals and decisions made must be recorded accurately, promptly and objectively. Regulation 17 requires providers to maintain secure, accurate, complete and contemporaneous records, including care delivered and decisions about treatment (Care Quality Commission, n.d.). Records should identify the date, time, author, factual observations, action taken and outcome. Staff should distinguish fact from opinion: “Mrs Thompson was found outside at 07:30 wearing night clothes and shivering” is safer than writing “she was wandering again”. Corrections should remain traceable, and late entries should be clearly identified.</w:t>
      </w:r>
    </w:p>
    <w:p>
      <w:pPr>
        <w:keepLines w:val="0"/>
        <w:widowControl/>
        <w:ind w:firstLine="0"/>
      </w:pPr>
      <w:r>
        <w:t>The incident record should trigger practical changes rather than remain an isolated form. The medication administration record should show which doses were missed and why; the GP or pharmacist’s medication review and any revised instructions should be added; and the care plan, cognitive assessment and risk assessments should be reviewed. The outdoor incident may indicate self-neglect, disorientation or an unmet need, so the provider should document escalation to the local council safeguarding process and the agreed response. NHS England states that good records document what happened, what was decided and should be made at the time of an event or as soon as possible afterwards (NHS England, 2025a). Accurate records therefore support continuity between different carers, demonstrate accountability and allow patterns of deterioration to be recognised.</w:t>
      </w:r>
    </w:p>
    <w:p>
      <w:pPr>
        <w:keepLines w:val="0"/>
        <w:widowControl/>
        <w:ind w:firstLine="0"/>
      </w:pPr>
      <w:r>
        <w:t>The Data Protection Act 2018 operates alongside the UK GDPR to protect personal information. Mrs Thompson’s health and social care information is sensitive special-category data. Records must be processed lawfully, fairly and transparently; collected for specified purposes; limited to what is necessary; accurate and updated; retained only as required; and protected against unauthorised access (Great Britain, 2018; Information Commissioner’s Office, 2026). In practice, staff should use approved electronic systems, strong access controls and secure professional communication rather than personal email, informal messaging or unattended paper notes. Only information relevant to direct care or safeguarding should be shared.</w:t>
      </w:r>
    </w:p>
    <w:p>
      <w:pPr>
        <w:keepLines w:val="0"/>
        <w:widowControl/>
        <w:ind w:firstLine="0"/>
      </w:pPr>
      <w:r>
        <w:t>Confidentiality must not be interpreted as a reason to withhold information that is necessary for safe care. The Caldicott Principles state that the duty to share information for individual care is as important as the duty to protect confidentiality, while access should remain need-to-know and limited to the minimum necessary (National Data Guardian, 2020). Thus, the community nurse needs information about confusion and pneumonia recovery, while the GP and pharmacist need the missed-dose history. Family members should receive information according to Mrs Thompson’s consent, or through a lawful best-interests process if she lacks capacity. Effective administration therefore balances privacy with timely risk management; poor records or excessive secrecy could allow further missed medication and exposure to harm.</w:t>
      </w:r>
    </w:p>
    <w:p>
      <w:pPr>
        <w:pStyle w:val="Heading1"/>
      </w:pPr>
      <w:r>
        <w:t>4. Importance of working collaboratively</w:t>
      </w:r>
    </w:p>
    <w:p>
      <w:pPr>
        <w:keepLines w:val="0"/>
        <w:widowControl/>
        <w:ind w:firstLine="0"/>
      </w:pPr>
      <w:r>
        <w:t>Mrs Thompson’s needs cross organisational boundaries, so no single professional can manage the risks safely. Domiciliary carers observe her twice daily, prompt or administer medicines within their competence, document changes and escalate concerns. The GP should review the causes of confusion and the safety and complexity of the medication regimen. A pharmacist can assess adherence aids and possible medicine-related problems, while the community nurse monitors recovery from pneumonia, hydration and physical deterioration. The local authority social worker or safeguarding practitioner should review the cold-weather incident, care package and environmental risks. With Mrs Thompson’s agreement, family members can contribute information about her usual behaviour and routines.</w:t>
      </w:r>
    </w:p>
    <w:p>
      <w:pPr>
        <w:keepLines w:val="0"/>
        <w:widowControl/>
        <w:ind w:firstLine="0"/>
      </w:pPr>
      <w:r>
        <w:t>Collaboration should be organised around a named coordinator, a shared person-centred care plan and agreed escalation thresholds. A multidisciplinary meeting should confirm roles, medication responsibility, visit timing, emergency contacts and actions if doses are missed or Mrs Thompson leaves the building inappropriately. Structured handovers and secure shared records reduce omissions. NHS England explains that shared care records bring information from separate organisations together for authorised direct-care users (NHS England, 2025b). The Care Act guidance also requires cooperation between relevant partners and multi-agency safeguarding where an adult with care and support needs may be unable to protect herself from neglect (Department of Health and Social Care, 2025).</w:t>
      </w:r>
    </w:p>
    <w:p>
      <w:pPr>
        <w:keepLines w:val="0"/>
        <w:widowControl/>
        <w:ind w:firstLine="0"/>
      </w:pPr>
      <w:r>
        <w:t>Common barriers include incompatible record systems, workload, role uncertainty, professional hierarchies and disagreement about confidentiality. Schot, Tummers and Noordegraaf’s (2020) systematic review found that professionals support collaboration by bridging professional and task-related gaps, negotiating overlapping roles and creating spaces for joint work. For Mrs Thompson, this means regular review meetings, explicit accountability and challenge when actions are delayed. Information sharing alone is insufficient unless someone acts on it. The coordinator should track the medication review, safeguarding outcome and care-plan changes, then confirm that actions have been completed. This creates collective responsibility without allowing responsibility to become unclear.</w:t>
      </w:r>
    </w:p>
    <w:p>
      <w:pPr>
        <w:pStyle w:val="Heading1"/>
      </w:pPr>
      <w:r>
        <w:t>5. Conclusion</w:t>
      </w:r>
    </w:p>
    <w:p>
      <w:pPr>
        <w:keepLines w:val="0"/>
        <w:widowControl/>
        <w:ind w:firstLine="0"/>
      </w:pPr>
      <w:r>
        <w:t>Mrs Thompson’s case demonstrates that apparently separate failures in communication, administration and partnership working can combine to create serious risk. Effective communication should be adapted to her dementia, checked through feedback and delivered consistently, while Equality Act adjustments and Mental Capacity Act principles protect participation, dignity and autonomy. Accurate, contemporaneous records should connect the missed medicines and outdoor incident to revised risk assessments, care plans and safeguarding action. Information must be secure and proportionate, but confidentiality must not prevent necessary sharing for direct care. A coordinated multidisciplinary response should allocate clear responsibilities to domiciliary carers, the GP, pharmacist, community nurse and local authority, with family involvement based on Mrs Thompson’s wishes. Immediate priorities are completion of the medication review, review of the twice-daily care package, clear missed-dose escalation instructions and assessment of the risk of leaving the accommodation inadequately dressed. A named coordinator and scheduled review would confirm that actions are completed while protecting Mrs Thompson’s independence.</w:t>
      </w:r>
    </w:p>
    <w:p>
      <w:r>
        <w:br w:type="page"/>
      </w:r>
    </w:p>
    <w:p>
      <w:pPr>
        <w:pStyle w:val="Heading1"/>
      </w:pPr>
      <w:r>
        <w:t>References</w:t>
      </w:r>
    </w:p>
    <w:p>
      <w:pPr>
        <w:spacing w:line="360" w:lineRule="auto" w:after="160"/>
        <w:ind w:left="720" w:hanging="720"/>
        <w:jc w:val="left"/>
      </w:pPr>
      <w:r>
        <w:rPr>
          <w:rFonts w:ascii="Arial" w:hAnsi="Arial" w:eastAsia="Arial"/>
          <w:i w:val="0"/>
          <w:sz w:val="22"/>
        </w:rPr>
        <w:t xml:space="preserve">Berlo, D.K. (1960) </w:t>
      </w:r>
      <w:r>
        <w:rPr>
          <w:rFonts w:ascii="Arial" w:hAnsi="Arial" w:eastAsia="Arial"/>
          <w:i/>
          <w:sz w:val="22"/>
        </w:rPr>
        <w:t>The process of communication: An introduction to theory and practice</w:t>
      </w:r>
      <w:r>
        <w:rPr>
          <w:rFonts w:ascii="Arial" w:hAnsi="Arial" w:eastAsia="Arial"/>
          <w:i w:val="0"/>
          <w:sz w:val="22"/>
        </w:rPr>
        <w:t>. New York: Holt, Rinehart and Winston.</w:t>
      </w:r>
    </w:p>
    <w:p>
      <w:pPr>
        <w:spacing w:line="360" w:lineRule="auto" w:after="160"/>
        <w:ind w:left="720" w:hanging="720"/>
        <w:jc w:val="left"/>
      </w:pPr>
      <w:r>
        <w:rPr>
          <w:rFonts w:ascii="Arial" w:hAnsi="Arial" w:eastAsia="Arial"/>
          <w:i w:val="0"/>
          <w:sz w:val="22"/>
        </w:rPr>
        <w:t xml:space="preserve">Care Quality Commission (n.d.) </w:t>
      </w:r>
      <w:r>
        <w:rPr>
          <w:rFonts w:ascii="Arial" w:hAnsi="Arial" w:eastAsia="Arial"/>
          <w:i/>
          <w:sz w:val="22"/>
        </w:rPr>
        <w:t>Regulation 17: Good governance</w:t>
      </w:r>
      <w:r>
        <w:rPr>
          <w:rFonts w:ascii="Arial" w:hAnsi="Arial" w:eastAsia="Arial"/>
          <w:i w:val="0"/>
          <w:sz w:val="22"/>
        </w:rPr>
        <w:t>. Available at: https://www.cqc.org.uk/guidance-providers/regulations/regulation-17-good-governance (Accessed: 19 July 2026).</w:t>
      </w:r>
    </w:p>
    <w:p>
      <w:pPr>
        <w:spacing w:line="360" w:lineRule="auto" w:after="160"/>
        <w:ind w:left="720" w:hanging="720"/>
        <w:jc w:val="left"/>
      </w:pPr>
      <w:r>
        <w:rPr>
          <w:rFonts w:ascii="Arial" w:hAnsi="Arial" w:eastAsia="Arial"/>
          <w:i w:val="0"/>
          <w:sz w:val="22"/>
        </w:rPr>
        <w:t xml:space="preserve">Department of Health and Social Care (2025) </w:t>
      </w:r>
      <w:r>
        <w:rPr>
          <w:rFonts w:ascii="Arial" w:hAnsi="Arial" w:eastAsia="Arial"/>
          <w:i/>
          <w:sz w:val="22"/>
        </w:rPr>
        <w:t>Care and support statutory guidance</w:t>
      </w:r>
      <w:r>
        <w:rPr>
          <w:rFonts w:ascii="Arial" w:hAnsi="Arial" w:eastAsia="Arial"/>
          <w:i w:val="0"/>
          <w:sz w:val="22"/>
        </w:rPr>
        <w:t>. Available at: https://www.gov.uk/government/publications/care-act-statutory-guidance/care-and-support-statutory-guidance (Accessed: 19 July 2026).</w:t>
      </w:r>
    </w:p>
    <w:p>
      <w:pPr>
        <w:spacing w:line="360" w:lineRule="auto" w:after="160"/>
        <w:ind w:left="720" w:hanging="720"/>
        <w:jc w:val="left"/>
      </w:pPr>
      <w:r>
        <w:rPr>
          <w:rFonts w:ascii="Arial" w:hAnsi="Arial" w:eastAsia="Arial"/>
          <w:i w:val="0"/>
          <w:sz w:val="22"/>
        </w:rPr>
        <w:t xml:space="preserve">Great Britain (2005) </w:t>
      </w:r>
      <w:r>
        <w:rPr>
          <w:rFonts w:ascii="Arial" w:hAnsi="Arial" w:eastAsia="Arial"/>
          <w:i/>
          <w:sz w:val="22"/>
        </w:rPr>
        <w:t>Mental Capacity Act 2005</w:t>
      </w:r>
      <w:r>
        <w:rPr>
          <w:rFonts w:ascii="Arial" w:hAnsi="Arial" w:eastAsia="Arial"/>
          <w:i w:val="0"/>
          <w:sz w:val="22"/>
        </w:rPr>
        <w:t>. London: The Stationery Office. Available at: https://www.legislation.gov.uk/ukpga/2005/9/contents (Accessed: 19 July 2026).</w:t>
      </w:r>
    </w:p>
    <w:p>
      <w:pPr>
        <w:spacing w:line="360" w:lineRule="auto" w:after="160"/>
        <w:ind w:left="720" w:hanging="720"/>
        <w:jc w:val="left"/>
      </w:pPr>
      <w:r>
        <w:rPr>
          <w:rFonts w:ascii="Arial" w:hAnsi="Arial" w:eastAsia="Arial"/>
          <w:i w:val="0"/>
          <w:sz w:val="22"/>
        </w:rPr>
        <w:t xml:space="preserve">Great Britain (2010) </w:t>
      </w:r>
      <w:r>
        <w:rPr>
          <w:rFonts w:ascii="Arial" w:hAnsi="Arial" w:eastAsia="Arial"/>
          <w:i/>
          <w:sz w:val="22"/>
        </w:rPr>
        <w:t>Equality Act 2010</w:t>
      </w:r>
      <w:r>
        <w:rPr>
          <w:rFonts w:ascii="Arial" w:hAnsi="Arial" w:eastAsia="Arial"/>
          <w:i w:val="0"/>
          <w:sz w:val="22"/>
        </w:rPr>
        <w:t>. London: The Stationery Office. Available at: https://www.legislation.gov.uk/ukpga/2010/15/contents (Accessed: 19 July 2026).</w:t>
      </w:r>
    </w:p>
    <w:p>
      <w:pPr>
        <w:spacing w:line="360" w:lineRule="auto" w:after="160"/>
        <w:ind w:left="720" w:hanging="720"/>
        <w:jc w:val="left"/>
      </w:pPr>
      <w:r>
        <w:rPr>
          <w:rFonts w:ascii="Arial" w:hAnsi="Arial" w:eastAsia="Arial"/>
          <w:i w:val="0"/>
          <w:sz w:val="22"/>
        </w:rPr>
        <w:t xml:space="preserve">Great Britain (2018) </w:t>
      </w:r>
      <w:r>
        <w:rPr>
          <w:rFonts w:ascii="Arial" w:hAnsi="Arial" w:eastAsia="Arial"/>
          <w:i/>
          <w:sz w:val="22"/>
        </w:rPr>
        <w:t>Data Protection Act 2018</w:t>
      </w:r>
      <w:r>
        <w:rPr>
          <w:rFonts w:ascii="Arial" w:hAnsi="Arial" w:eastAsia="Arial"/>
          <w:i w:val="0"/>
          <w:sz w:val="22"/>
        </w:rPr>
        <w:t>. London: The Stationery Office. Available at: https://www.legislation.gov.uk/ukpga/2018/12/contents (Accessed: 19 July 2026).</w:t>
      </w:r>
    </w:p>
    <w:p>
      <w:pPr>
        <w:spacing w:line="360" w:lineRule="auto" w:after="160"/>
        <w:ind w:left="720" w:hanging="720"/>
        <w:jc w:val="left"/>
      </w:pPr>
      <w:r>
        <w:rPr>
          <w:rFonts w:ascii="Arial" w:hAnsi="Arial" w:eastAsia="Arial"/>
          <w:i w:val="0"/>
          <w:sz w:val="22"/>
        </w:rPr>
        <w:t xml:space="preserve">Harris, C., Webber, R., Livingston, G. and Beeke, S. (2025) ‘What are the communication guidelines for people with dementia and their carers on the internet and are they evidence based? A systematic review’, </w:t>
      </w:r>
      <w:r>
        <w:rPr>
          <w:rFonts w:ascii="Arial" w:hAnsi="Arial" w:eastAsia="Arial"/>
          <w:i/>
          <w:sz w:val="22"/>
        </w:rPr>
        <w:t>Dementia</w:t>
      </w:r>
      <w:r>
        <w:rPr>
          <w:rFonts w:ascii="Arial" w:hAnsi="Arial" w:eastAsia="Arial"/>
          <w:i w:val="0"/>
          <w:sz w:val="22"/>
        </w:rPr>
        <w:t>, 24(3), pp. 577–594. doi: 10.1177/14713012241292486.</w:t>
      </w:r>
    </w:p>
    <w:p>
      <w:pPr>
        <w:spacing w:line="360" w:lineRule="auto" w:after="160"/>
        <w:ind w:left="720" w:hanging="720"/>
        <w:jc w:val="left"/>
      </w:pPr>
      <w:r>
        <w:rPr>
          <w:rFonts w:ascii="Arial" w:hAnsi="Arial" w:eastAsia="Arial"/>
          <w:i w:val="0"/>
          <w:sz w:val="22"/>
        </w:rPr>
        <w:t xml:space="preserve">Information Commissioner’s Office (2026) </w:t>
      </w:r>
      <w:r>
        <w:rPr>
          <w:rFonts w:ascii="Arial" w:hAnsi="Arial" w:eastAsia="Arial"/>
          <w:i/>
          <w:sz w:val="22"/>
        </w:rPr>
        <w:t>A guide to the data protection principles</w:t>
      </w:r>
      <w:r>
        <w:rPr>
          <w:rFonts w:ascii="Arial" w:hAnsi="Arial" w:eastAsia="Arial"/>
          <w:i w:val="0"/>
          <w:sz w:val="22"/>
        </w:rPr>
        <w:t>. Available at: https://ico.org.uk/for-organisations/uk-gdpr-guidance-and-resources/data-protection-principles/a-guide-to-the-data-protection-principles/ (Accessed: 19 July 2026).</w:t>
      </w:r>
    </w:p>
    <w:p>
      <w:pPr>
        <w:spacing w:line="360" w:lineRule="auto" w:after="160"/>
        <w:ind w:left="720" w:hanging="720"/>
        <w:jc w:val="left"/>
      </w:pPr>
      <w:r>
        <w:rPr>
          <w:rFonts w:ascii="Arial" w:hAnsi="Arial" w:eastAsia="Arial"/>
          <w:i w:val="0"/>
          <w:sz w:val="22"/>
        </w:rPr>
        <w:t xml:space="preserve">Jeon, H.O., Chae, M.-O. and Kim, A. (2022) ‘Effects of medication adherence interventions for older adults with chronic illnesses: a systematic review and meta-analysis’, </w:t>
      </w:r>
      <w:r>
        <w:rPr>
          <w:rFonts w:ascii="Arial" w:hAnsi="Arial" w:eastAsia="Arial"/>
          <w:i/>
          <w:sz w:val="22"/>
        </w:rPr>
        <w:t>Osong Public Health and Research Perspectives</w:t>
      </w:r>
      <w:r>
        <w:rPr>
          <w:rFonts w:ascii="Arial" w:hAnsi="Arial" w:eastAsia="Arial"/>
          <w:i w:val="0"/>
          <w:sz w:val="22"/>
        </w:rPr>
        <w:t>, 13(5), pp. 328–340. doi: 10.24171/j.phrp.2022.0168.</w:t>
      </w:r>
    </w:p>
    <w:p>
      <w:pPr>
        <w:spacing w:line="360" w:lineRule="auto" w:after="160"/>
        <w:ind w:left="720" w:hanging="720"/>
        <w:jc w:val="left"/>
      </w:pPr>
      <w:r>
        <w:rPr>
          <w:rFonts w:ascii="Arial" w:hAnsi="Arial" w:eastAsia="Arial"/>
          <w:i w:val="0"/>
          <w:sz w:val="22"/>
        </w:rPr>
        <w:t xml:space="preserve">National Data Guardian (2020) </w:t>
      </w:r>
      <w:r>
        <w:rPr>
          <w:rFonts w:ascii="Arial" w:hAnsi="Arial" w:eastAsia="Arial"/>
          <w:i/>
          <w:sz w:val="22"/>
        </w:rPr>
        <w:t>The Caldicott Principles</w:t>
      </w:r>
      <w:r>
        <w:rPr>
          <w:rFonts w:ascii="Arial" w:hAnsi="Arial" w:eastAsia="Arial"/>
          <w:i w:val="0"/>
          <w:sz w:val="22"/>
        </w:rPr>
        <w:t>. Available at: https://www.gov.uk/government/publications/the-caldicott-principles (Accessed: 19 July 2026).</w:t>
      </w:r>
    </w:p>
    <w:p>
      <w:pPr>
        <w:spacing w:line="360" w:lineRule="auto" w:after="160"/>
        <w:ind w:left="720" w:hanging="720"/>
        <w:jc w:val="left"/>
      </w:pPr>
      <w:r>
        <w:rPr>
          <w:rFonts w:ascii="Arial" w:hAnsi="Arial" w:eastAsia="Arial"/>
          <w:i w:val="0"/>
          <w:sz w:val="22"/>
        </w:rPr>
        <w:t xml:space="preserve">National Institute for Health and Care Excellence (2018) </w:t>
      </w:r>
      <w:r>
        <w:rPr>
          <w:rFonts w:ascii="Arial" w:hAnsi="Arial" w:eastAsia="Arial"/>
          <w:i/>
          <w:sz w:val="22"/>
        </w:rPr>
        <w:t>Dementia: assessment, management and support for people living with dementia and their carers</w:t>
      </w:r>
      <w:r>
        <w:rPr>
          <w:rFonts w:ascii="Arial" w:hAnsi="Arial" w:eastAsia="Arial"/>
          <w:i w:val="0"/>
          <w:sz w:val="22"/>
        </w:rPr>
        <w:t>. NICE guideline NG97. Available at: https://www.nice.org.uk/guidance/ng97 (Accessed: 19 July 2026).</w:t>
      </w:r>
    </w:p>
    <w:p>
      <w:pPr>
        <w:spacing w:line="360" w:lineRule="auto" w:after="160"/>
        <w:ind w:left="720" w:hanging="720"/>
        <w:jc w:val="left"/>
      </w:pPr>
      <w:r>
        <w:rPr>
          <w:rFonts w:ascii="Arial" w:hAnsi="Arial" w:eastAsia="Arial"/>
          <w:i w:val="0"/>
          <w:sz w:val="22"/>
        </w:rPr>
        <w:t xml:space="preserve">National Institute for Health and Care Excellence (2021) </w:t>
      </w:r>
      <w:r>
        <w:rPr>
          <w:rFonts w:ascii="Arial" w:hAnsi="Arial" w:eastAsia="Arial"/>
          <w:i/>
          <w:sz w:val="22"/>
        </w:rPr>
        <w:t>Patient experience in adult NHS services: improving the experience of care for people using adult NHS services</w:t>
      </w:r>
      <w:r>
        <w:rPr>
          <w:rFonts w:ascii="Arial" w:hAnsi="Arial" w:eastAsia="Arial"/>
          <w:i w:val="0"/>
          <w:sz w:val="22"/>
        </w:rPr>
        <w:t>. Clinical guideline CG138. Available at: https://www.nice.org.uk/guidance/cg138 (Accessed: 19 July 2026).</w:t>
      </w:r>
    </w:p>
    <w:p>
      <w:pPr>
        <w:spacing w:line="360" w:lineRule="auto" w:after="160"/>
        <w:ind w:left="720" w:hanging="720"/>
        <w:jc w:val="left"/>
      </w:pPr>
      <w:r>
        <w:rPr>
          <w:rFonts w:ascii="Arial" w:hAnsi="Arial" w:eastAsia="Arial"/>
          <w:i w:val="0"/>
          <w:sz w:val="22"/>
        </w:rPr>
        <w:t xml:space="preserve">NHS England (2025a) </w:t>
      </w:r>
      <w:r>
        <w:rPr>
          <w:rFonts w:ascii="Arial" w:hAnsi="Arial" w:eastAsia="Arial"/>
          <w:i/>
          <w:sz w:val="22"/>
        </w:rPr>
        <w:t>Records management policy</w:t>
      </w:r>
      <w:r>
        <w:rPr>
          <w:rFonts w:ascii="Arial" w:hAnsi="Arial" w:eastAsia="Arial"/>
          <w:i w:val="0"/>
          <w:sz w:val="22"/>
        </w:rPr>
        <w:t>. Available at: https://www.england.nhs.uk/long-read/records-management-policy/ (Accessed: 19 July 2026).</w:t>
      </w:r>
    </w:p>
    <w:p>
      <w:pPr>
        <w:spacing w:line="360" w:lineRule="auto" w:after="160"/>
        <w:ind w:left="720" w:hanging="720"/>
        <w:jc w:val="left"/>
      </w:pPr>
      <w:r>
        <w:rPr>
          <w:rFonts w:ascii="Arial" w:hAnsi="Arial" w:eastAsia="Arial"/>
          <w:i w:val="0"/>
          <w:sz w:val="22"/>
        </w:rPr>
        <w:t xml:space="preserve">NHS England (2025b) </w:t>
      </w:r>
      <w:r>
        <w:rPr>
          <w:rFonts w:ascii="Arial" w:hAnsi="Arial" w:eastAsia="Arial"/>
          <w:i/>
          <w:sz w:val="22"/>
        </w:rPr>
        <w:t>Shared care records</w:t>
      </w:r>
      <w:r>
        <w:rPr>
          <w:rFonts w:ascii="Arial" w:hAnsi="Arial" w:eastAsia="Arial"/>
          <w:i w:val="0"/>
          <w:sz w:val="22"/>
        </w:rPr>
        <w:t>. Available at: https://www.england.nhs.uk/long-read/shared-care-records/ (Accessed: 19 July 2026).</w:t>
      </w:r>
    </w:p>
    <w:p>
      <w:pPr>
        <w:spacing w:line="360" w:lineRule="auto" w:after="160"/>
        <w:ind w:left="720" w:hanging="720"/>
        <w:jc w:val="left"/>
      </w:pPr>
      <w:r>
        <w:rPr>
          <w:rFonts w:ascii="Arial" w:hAnsi="Arial" w:eastAsia="Arial"/>
          <w:i w:val="0"/>
          <w:sz w:val="22"/>
        </w:rPr>
        <w:t xml:space="preserve">Schot, E., Tummers, L. and Noordegraaf, M. (2020) ‘Working on working together: a systematic review on how healthcare professionals contribute to interprofessional collaboration’, </w:t>
      </w:r>
      <w:r>
        <w:rPr>
          <w:rFonts w:ascii="Arial" w:hAnsi="Arial" w:eastAsia="Arial"/>
          <w:i/>
          <w:sz w:val="22"/>
        </w:rPr>
        <w:t>Journal of Interprofessional Care</w:t>
      </w:r>
      <w:r>
        <w:rPr>
          <w:rFonts w:ascii="Arial" w:hAnsi="Arial" w:eastAsia="Arial"/>
          <w:i w:val="0"/>
          <w:sz w:val="22"/>
        </w:rPr>
        <w:t>, 34(3), pp. 332–342. doi: 10.1080/13561820.2019.1636007.</w:t>
      </w:r>
    </w:p>
    <w:sectPr w:rsidR="001D7C03" w:rsidRPr="00CD33A8" w:rsidSect="00E620E7">
      <w:footerReference w:type="default" r:id="rId7"/>
      <w:pgSz w:w="11906" w:h="16838"/>
      <w:pgMar w:top="1224" w:right="1296" w:bottom="1152" w:left="1296"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F9F85" w14:textId="77777777" w:rsidR="00BA42C0" w:rsidRDefault="00BA42C0" w:rsidP="003E4ECF">
      <w:pPr>
        <w:spacing w:after="0" w:line="240" w:lineRule="auto"/>
      </w:pPr>
      <w:r>
        <w:separator/>
      </w:r>
    </w:p>
  </w:endnote>
  <w:endnote w:type="continuationSeparator" w:id="0">
    <w:p w14:paraId="06258A59" w14:textId="77777777" w:rsidR="00BA42C0" w:rsidRDefault="00BA42C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0F5BB" w14:textId="77777777" w:rsidR="00BA42C0" w:rsidRDefault="00BA42C0" w:rsidP="003E4ECF">
      <w:pPr>
        <w:spacing w:after="0" w:line="240" w:lineRule="auto"/>
      </w:pPr>
      <w:r>
        <w:separator/>
      </w:r>
    </w:p>
  </w:footnote>
  <w:footnote w:type="continuationSeparator" w:id="0">
    <w:p w14:paraId="65990F34" w14:textId="77777777" w:rsidR="00BA42C0" w:rsidRDefault="00BA42C0"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73EDD"/>
    <w:rsid w:val="002C3965"/>
    <w:rsid w:val="00321C4C"/>
    <w:rsid w:val="00392BBC"/>
    <w:rsid w:val="003E4ECF"/>
    <w:rsid w:val="004A736E"/>
    <w:rsid w:val="006925AA"/>
    <w:rsid w:val="006E2982"/>
    <w:rsid w:val="00725177"/>
    <w:rsid w:val="007A1B8D"/>
    <w:rsid w:val="00814A9E"/>
    <w:rsid w:val="008E3943"/>
    <w:rsid w:val="0090040D"/>
    <w:rsid w:val="009D052C"/>
    <w:rsid w:val="009D1D1E"/>
    <w:rsid w:val="00A035FD"/>
    <w:rsid w:val="00A837AD"/>
    <w:rsid w:val="00AD23A0"/>
    <w:rsid w:val="00B87E75"/>
    <w:rsid w:val="00BA42C0"/>
    <w:rsid w:val="00CB5376"/>
    <w:rsid w:val="00CD33A8"/>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after="120"/>
      <w:jc w:val="both"/>
    </w:pPr>
    <w:rPr>
      <w:rFonts w:ascii="Arial" w:hAnsi="Arial" w:eastAsia="Arial"/>
      <w:sz w:val="22"/>
    </w:rPr>
  </w:style>
  <w:style w:type="paragraph" w:styleId="Heading1">
    <w:name w:val="heading 1"/>
    <w:basedOn w:val="Normal"/>
    <w:next w:val="Normal"/>
    <w:link w:val="Heading1Char"/>
    <w:autoRedefine/>
    <w:uiPriority w:val="9"/>
    <w:qFormat/>
    <w:rsid w:val="00E620E7"/>
    <w:pPr>
      <w:keepNext/>
      <w:keepLines/>
      <w:spacing w:before="200" w:after="120" w:line="360" w:lineRule="auto"/>
      <w:outlineLvl w:val="0"/>
    </w:pPr>
    <w:rPr>
      <w:rFonts w:ascii="Arial" w:eastAsiaTheme="majorEastAsia" w:hAnsi="Arial" w:eastAsia="Arial"/>
      <w:b/>
      <w:color w:val="1F4E79"/>
      <w:sz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C3C88-E080-44EC-A648-BD03F872D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46</Words>
  <Characters>268</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Michael Junior Camara (2533160)</cp:lastModifiedBy>
  <cp:revision>2</cp:revision>
  <dcterms:created xsi:type="dcterms:W3CDTF">2026-07-19T10:20:00Z</dcterms:created>
  <dcterms:modified xsi:type="dcterms:W3CDTF">2026-07-19T10:20:00Z</dcterms:modified>
</cp:coreProperties>
</file>