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6B5F" w:rsidRDefault="000B6B5F" w:rsidP="00EF13E1">
      <w:pPr>
        <w:spacing w:line="480" w:lineRule="auto"/>
        <w:rPr>
          <w:rFonts w:ascii="Arial" w:hAnsi="Arial" w:cs="Arial"/>
          <w:sz w:val="24"/>
          <w:szCs w:val="24"/>
        </w:rPr>
      </w:pPr>
      <w:r>
        <w:rPr>
          <w:rFonts w:ascii="Arial" w:hAnsi="Arial" w:cs="Arial"/>
          <w:sz w:val="24"/>
          <w:szCs w:val="24"/>
        </w:rPr>
        <w:t xml:space="preserve">Chelsea Lauren Axon </w:t>
      </w:r>
    </w:p>
    <w:p w:rsidR="000B6B5F" w:rsidRDefault="000B6B5F" w:rsidP="00EF13E1">
      <w:pPr>
        <w:spacing w:line="480" w:lineRule="auto"/>
        <w:rPr>
          <w:rFonts w:ascii="Arial" w:hAnsi="Arial" w:cs="Arial"/>
          <w:sz w:val="24"/>
          <w:szCs w:val="24"/>
        </w:rPr>
      </w:pPr>
      <w:r>
        <w:rPr>
          <w:rFonts w:ascii="Arial" w:hAnsi="Arial" w:cs="Arial"/>
          <w:sz w:val="24"/>
          <w:szCs w:val="24"/>
        </w:rPr>
        <w:t>1300113</w:t>
      </w:r>
    </w:p>
    <w:p w:rsidR="000B6B5F" w:rsidRDefault="000B6B5F" w:rsidP="00EF13E1">
      <w:pPr>
        <w:spacing w:line="480" w:lineRule="auto"/>
        <w:rPr>
          <w:rFonts w:ascii="Arial" w:hAnsi="Arial" w:cs="Arial"/>
          <w:sz w:val="24"/>
          <w:szCs w:val="24"/>
        </w:rPr>
      </w:pPr>
      <w:r>
        <w:rPr>
          <w:rFonts w:ascii="Arial" w:hAnsi="Arial" w:cs="Arial"/>
          <w:sz w:val="24"/>
          <w:szCs w:val="24"/>
        </w:rPr>
        <w:t xml:space="preserve">ECGE4001R – Portfolio of Activities </w:t>
      </w:r>
    </w:p>
    <w:p w:rsidR="000B6B5F" w:rsidRDefault="000B6B5F" w:rsidP="00EF13E1">
      <w:pPr>
        <w:spacing w:line="480" w:lineRule="auto"/>
        <w:rPr>
          <w:rFonts w:ascii="Arial" w:hAnsi="Arial" w:cs="Arial"/>
          <w:sz w:val="24"/>
          <w:szCs w:val="24"/>
        </w:rPr>
      </w:pPr>
    </w:p>
    <w:p w:rsidR="000B6B5F" w:rsidRDefault="000B6B5F" w:rsidP="000B6B5F">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Paraphrase a section from a book chapter. </w:t>
      </w:r>
    </w:p>
    <w:p w:rsidR="000B6B5F" w:rsidRPr="000B6B5F" w:rsidRDefault="000B6B5F" w:rsidP="000B6B5F">
      <w:pPr>
        <w:pStyle w:val="ListParagraph"/>
        <w:spacing w:line="480" w:lineRule="auto"/>
        <w:rPr>
          <w:rFonts w:ascii="Arial" w:hAnsi="Arial" w:cs="Arial"/>
          <w:sz w:val="24"/>
          <w:szCs w:val="24"/>
        </w:rPr>
      </w:pPr>
    </w:p>
    <w:p w:rsidR="00EF13E1" w:rsidRDefault="00EF13E1" w:rsidP="00EF13E1">
      <w:pPr>
        <w:spacing w:line="480" w:lineRule="auto"/>
        <w:rPr>
          <w:rFonts w:ascii="Arial" w:hAnsi="Arial" w:cs="Arial"/>
          <w:sz w:val="24"/>
          <w:szCs w:val="24"/>
        </w:rPr>
      </w:pPr>
      <w:r>
        <w:rPr>
          <w:rFonts w:ascii="Arial" w:hAnsi="Arial" w:cs="Arial"/>
          <w:sz w:val="24"/>
          <w:szCs w:val="24"/>
        </w:rPr>
        <w:t xml:space="preserve">Adolescence, from the Latin </w:t>
      </w:r>
      <w:r>
        <w:rPr>
          <w:rFonts w:ascii="Arial" w:hAnsi="Arial" w:cs="Arial"/>
          <w:i/>
          <w:sz w:val="24"/>
          <w:szCs w:val="24"/>
        </w:rPr>
        <w:t xml:space="preserve">adolescere, </w:t>
      </w:r>
      <w:r>
        <w:rPr>
          <w:rFonts w:ascii="Arial" w:hAnsi="Arial" w:cs="Arial"/>
          <w:sz w:val="24"/>
          <w:szCs w:val="24"/>
        </w:rPr>
        <w:t xml:space="preserve">means to grow into maturity. This is not only a time of enormous physiological changes but of behavioural changes, expectations and relationships with parents and peers. Relationships between parents and adolescence </w:t>
      </w:r>
      <w:r w:rsidR="003555C4">
        <w:rPr>
          <w:rFonts w:ascii="Arial" w:hAnsi="Arial" w:cs="Arial"/>
          <w:sz w:val="24"/>
          <w:szCs w:val="24"/>
        </w:rPr>
        <w:t>must</w:t>
      </w:r>
      <w:r>
        <w:rPr>
          <w:rFonts w:ascii="Arial" w:hAnsi="Arial" w:cs="Arial"/>
          <w:sz w:val="24"/>
          <w:szCs w:val="24"/>
        </w:rPr>
        <w:t xml:space="preserve"> be re-evaluated to allow for more independence, these relationships can be aided by</w:t>
      </w:r>
      <w:r w:rsidR="003555C4">
        <w:rPr>
          <w:rFonts w:ascii="Arial" w:hAnsi="Arial" w:cs="Arial"/>
          <w:sz w:val="24"/>
          <w:szCs w:val="24"/>
        </w:rPr>
        <w:t xml:space="preserve"> challenging peer relationships</w:t>
      </w:r>
      <w:r>
        <w:rPr>
          <w:rFonts w:ascii="Arial" w:hAnsi="Arial" w:cs="Arial"/>
          <w:sz w:val="24"/>
          <w:szCs w:val="24"/>
        </w:rPr>
        <w:t xml:space="preserve"> (Gross</w:t>
      </w:r>
      <w:r w:rsidR="00392682">
        <w:rPr>
          <w:rFonts w:ascii="Arial" w:hAnsi="Arial" w:cs="Arial"/>
          <w:sz w:val="24"/>
          <w:szCs w:val="24"/>
        </w:rPr>
        <w:t xml:space="preserve">, </w:t>
      </w:r>
      <w:r w:rsidR="004F1AC7">
        <w:rPr>
          <w:rFonts w:ascii="Arial" w:hAnsi="Arial" w:cs="Arial"/>
          <w:sz w:val="24"/>
          <w:szCs w:val="24"/>
        </w:rPr>
        <w:t>2010</w:t>
      </w:r>
      <w:r>
        <w:rPr>
          <w:rFonts w:ascii="Arial" w:hAnsi="Arial" w:cs="Arial"/>
          <w:sz w:val="24"/>
          <w:szCs w:val="24"/>
        </w:rPr>
        <w:t xml:space="preserve">). </w:t>
      </w:r>
    </w:p>
    <w:p w:rsidR="00EF13E1" w:rsidRDefault="003555C4" w:rsidP="00EF13E1">
      <w:pPr>
        <w:spacing w:line="480" w:lineRule="auto"/>
        <w:rPr>
          <w:rFonts w:ascii="Arial" w:hAnsi="Arial" w:cs="Arial"/>
          <w:sz w:val="24"/>
          <w:szCs w:val="24"/>
        </w:rPr>
      </w:pPr>
      <w:r>
        <w:rPr>
          <w:rFonts w:ascii="Arial" w:hAnsi="Arial" w:cs="Arial"/>
          <w:sz w:val="24"/>
          <w:szCs w:val="24"/>
        </w:rPr>
        <w:t xml:space="preserve">Whilst going through this childhood to adulthood transition, adolescence face changes in education, training, employment, unemployment and living circumstances </w:t>
      </w:r>
      <w:r w:rsidR="00392682">
        <w:rPr>
          <w:rFonts w:ascii="Arial" w:hAnsi="Arial" w:cs="Arial"/>
          <w:sz w:val="24"/>
          <w:szCs w:val="24"/>
        </w:rPr>
        <w:t xml:space="preserve">(Coleman and Roker, </w:t>
      </w:r>
      <w:r w:rsidR="000B6B5F">
        <w:rPr>
          <w:rFonts w:ascii="Arial" w:hAnsi="Arial" w:cs="Arial"/>
          <w:sz w:val="24"/>
          <w:szCs w:val="24"/>
        </w:rPr>
        <w:t>1998,</w:t>
      </w:r>
      <w:r>
        <w:rPr>
          <w:rFonts w:ascii="Arial" w:hAnsi="Arial" w:cs="Arial"/>
          <w:sz w:val="24"/>
          <w:szCs w:val="24"/>
        </w:rPr>
        <w:t xml:space="preserve"> as cited in Gross</w:t>
      </w:r>
      <w:r w:rsidR="00392682">
        <w:rPr>
          <w:rFonts w:ascii="Arial" w:hAnsi="Arial" w:cs="Arial"/>
          <w:sz w:val="24"/>
          <w:szCs w:val="24"/>
        </w:rPr>
        <w:t xml:space="preserve">, </w:t>
      </w:r>
      <w:r w:rsidR="004F1AC7">
        <w:rPr>
          <w:rFonts w:ascii="Arial" w:hAnsi="Arial" w:cs="Arial"/>
          <w:sz w:val="24"/>
          <w:szCs w:val="24"/>
        </w:rPr>
        <w:t>2010</w:t>
      </w:r>
      <w:r>
        <w:rPr>
          <w:rFonts w:ascii="Arial" w:hAnsi="Arial" w:cs="Arial"/>
          <w:sz w:val="24"/>
          <w:szCs w:val="24"/>
        </w:rPr>
        <w:t xml:space="preserve">). This change in perspectives can reflect changes in adolescence experiences from that of older generations, it may start five years earlier, marriage can take up to seven years later than previously and co-habiting is </w:t>
      </w:r>
      <w:r w:rsidR="00392682">
        <w:rPr>
          <w:rFonts w:ascii="Arial" w:hAnsi="Arial" w:cs="Arial"/>
          <w:sz w:val="24"/>
          <w:szCs w:val="24"/>
        </w:rPr>
        <w:t xml:space="preserve">increasing (Coleman and Hendry, </w:t>
      </w:r>
      <w:r w:rsidR="000B6B5F">
        <w:rPr>
          <w:rFonts w:ascii="Arial" w:hAnsi="Arial" w:cs="Arial"/>
          <w:sz w:val="24"/>
          <w:szCs w:val="24"/>
        </w:rPr>
        <w:t>1990,</w:t>
      </w:r>
      <w:r>
        <w:rPr>
          <w:rFonts w:ascii="Arial" w:hAnsi="Arial" w:cs="Arial"/>
          <w:sz w:val="24"/>
          <w:szCs w:val="24"/>
        </w:rPr>
        <w:t xml:space="preserve"> as cited in Gross</w:t>
      </w:r>
      <w:r w:rsidR="004F1AC7">
        <w:rPr>
          <w:rFonts w:ascii="Arial" w:hAnsi="Arial" w:cs="Arial"/>
          <w:sz w:val="24"/>
          <w:szCs w:val="24"/>
        </w:rPr>
        <w:t>, 2010</w:t>
      </w:r>
      <w:r>
        <w:rPr>
          <w:rFonts w:ascii="Arial" w:hAnsi="Arial" w:cs="Arial"/>
          <w:sz w:val="24"/>
          <w:szCs w:val="24"/>
        </w:rPr>
        <w:t xml:space="preserve">). </w:t>
      </w:r>
    </w:p>
    <w:p w:rsidR="003341A8" w:rsidRDefault="003341A8" w:rsidP="00EF13E1">
      <w:pPr>
        <w:spacing w:line="480" w:lineRule="auto"/>
        <w:rPr>
          <w:rFonts w:ascii="Arial" w:hAnsi="Arial" w:cs="Arial"/>
          <w:sz w:val="24"/>
          <w:szCs w:val="24"/>
        </w:rPr>
      </w:pPr>
      <w:r>
        <w:rPr>
          <w:rFonts w:ascii="Arial" w:hAnsi="Arial" w:cs="Arial"/>
          <w:sz w:val="24"/>
          <w:szCs w:val="24"/>
        </w:rPr>
        <w:t xml:space="preserve">Puberty is an important adjustment that adolescence </w:t>
      </w:r>
      <w:proofErr w:type="gramStart"/>
      <w:r>
        <w:rPr>
          <w:rFonts w:ascii="Arial" w:hAnsi="Arial" w:cs="Arial"/>
          <w:sz w:val="24"/>
          <w:szCs w:val="24"/>
        </w:rPr>
        <w:t>have to</w:t>
      </w:r>
      <w:proofErr w:type="gramEnd"/>
      <w:r>
        <w:rPr>
          <w:rFonts w:ascii="Arial" w:hAnsi="Arial" w:cs="Arial"/>
          <w:sz w:val="24"/>
          <w:szCs w:val="24"/>
        </w:rPr>
        <w:t xml:space="preserve"> make (</w:t>
      </w:r>
      <w:r w:rsidR="000B6B5F">
        <w:rPr>
          <w:rFonts w:ascii="Arial" w:hAnsi="Arial" w:cs="Arial"/>
          <w:sz w:val="24"/>
          <w:szCs w:val="24"/>
        </w:rPr>
        <w:t>Coleman and Hendry, 1990,</w:t>
      </w:r>
      <w:r w:rsidR="002F1E7E">
        <w:rPr>
          <w:rFonts w:ascii="Arial" w:hAnsi="Arial" w:cs="Arial"/>
          <w:sz w:val="24"/>
          <w:szCs w:val="24"/>
        </w:rPr>
        <w:t xml:space="preserve"> as cited in Gross, 2010). Although a purely biological process, puberty isn’t simple. Bodily changes for</w:t>
      </w:r>
      <w:r w:rsidR="00503645">
        <w:rPr>
          <w:rFonts w:ascii="Arial" w:hAnsi="Arial" w:cs="Arial"/>
          <w:sz w:val="24"/>
          <w:szCs w:val="24"/>
        </w:rPr>
        <w:t xml:space="preserve"> individuals can vary;</w:t>
      </w:r>
      <w:r w:rsidR="002F1E7E">
        <w:rPr>
          <w:rFonts w:ascii="Arial" w:hAnsi="Arial" w:cs="Arial"/>
          <w:sz w:val="24"/>
          <w:szCs w:val="24"/>
        </w:rPr>
        <w:t xml:space="preserve"> for some girls may happen earlier on in puberty, for others</w:t>
      </w:r>
      <w:r w:rsidR="00503645">
        <w:rPr>
          <w:rFonts w:ascii="Arial" w:hAnsi="Arial" w:cs="Arial"/>
          <w:sz w:val="24"/>
          <w:szCs w:val="24"/>
        </w:rPr>
        <w:t xml:space="preserve"> after other changes have occurred (</w:t>
      </w:r>
      <w:proofErr w:type="spellStart"/>
      <w:r w:rsidR="00A80693">
        <w:rPr>
          <w:rFonts w:ascii="Arial" w:hAnsi="Arial" w:cs="Arial"/>
          <w:i/>
          <w:sz w:val="24"/>
          <w:szCs w:val="24"/>
        </w:rPr>
        <w:t>intraindividual</w:t>
      </w:r>
      <w:proofErr w:type="spellEnd"/>
      <w:r w:rsidR="00A80693">
        <w:rPr>
          <w:rFonts w:ascii="Arial" w:hAnsi="Arial" w:cs="Arial"/>
          <w:i/>
          <w:sz w:val="24"/>
          <w:szCs w:val="24"/>
        </w:rPr>
        <w:t xml:space="preserve"> a</w:t>
      </w:r>
      <w:r w:rsidR="00503645">
        <w:rPr>
          <w:rFonts w:ascii="Arial" w:hAnsi="Arial" w:cs="Arial"/>
          <w:i/>
          <w:sz w:val="24"/>
          <w:szCs w:val="24"/>
        </w:rPr>
        <w:t xml:space="preserve">synchronies; </w:t>
      </w:r>
      <w:proofErr w:type="spellStart"/>
      <w:r w:rsidR="000B6B5F">
        <w:rPr>
          <w:rFonts w:ascii="Arial" w:hAnsi="Arial" w:cs="Arial"/>
          <w:sz w:val="24"/>
          <w:szCs w:val="24"/>
        </w:rPr>
        <w:t>Alsaker</w:t>
      </w:r>
      <w:proofErr w:type="spellEnd"/>
      <w:r w:rsidR="000B6B5F">
        <w:rPr>
          <w:rFonts w:ascii="Arial" w:hAnsi="Arial" w:cs="Arial"/>
          <w:sz w:val="24"/>
          <w:szCs w:val="24"/>
        </w:rPr>
        <w:t>, 1996,</w:t>
      </w:r>
      <w:r w:rsidR="00503645">
        <w:rPr>
          <w:rFonts w:ascii="Arial" w:hAnsi="Arial" w:cs="Arial"/>
          <w:sz w:val="24"/>
          <w:szCs w:val="24"/>
        </w:rPr>
        <w:t xml:space="preserve"> as cited by Gross, 2010). Puberty begins in males </w:t>
      </w:r>
      <w:r w:rsidR="00503645">
        <w:rPr>
          <w:rFonts w:ascii="Arial" w:hAnsi="Arial" w:cs="Arial"/>
          <w:sz w:val="24"/>
          <w:szCs w:val="24"/>
        </w:rPr>
        <w:lastRenderedPageBreak/>
        <w:t xml:space="preserve">when the seminal vesicles and prostate gland enlarge and in females when the ovaries enlarge. </w:t>
      </w:r>
      <w:r w:rsidR="00801FC8">
        <w:rPr>
          <w:rFonts w:ascii="Arial" w:hAnsi="Arial" w:cs="Arial"/>
          <w:sz w:val="24"/>
          <w:szCs w:val="24"/>
        </w:rPr>
        <w:t xml:space="preserve">Male secondary sex characteristics include growth of pubic, chest and facial hair and sperm production. In </w:t>
      </w:r>
      <w:proofErr w:type="gramStart"/>
      <w:r w:rsidR="00801FC8">
        <w:rPr>
          <w:rFonts w:ascii="Arial" w:hAnsi="Arial" w:cs="Arial"/>
          <w:sz w:val="24"/>
          <w:szCs w:val="24"/>
        </w:rPr>
        <w:t>females</w:t>
      </w:r>
      <w:proofErr w:type="gramEnd"/>
      <w:r w:rsidR="00801FC8">
        <w:rPr>
          <w:rFonts w:ascii="Arial" w:hAnsi="Arial" w:cs="Arial"/>
          <w:sz w:val="24"/>
          <w:szCs w:val="24"/>
        </w:rPr>
        <w:t xml:space="preserve"> breast size increases, pubic hair grows and menstruation increases (Gross, 2010). </w:t>
      </w:r>
    </w:p>
    <w:p w:rsidR="00392682" w:rsidRDefault="0008729C" w:rsidP="00EF13E1">
      <w:pPr>
        <w:spacing w:line="480" w:lineRule="auto"/>
        <w:rPr>
          <w:rFonts w:ascii="Arial" w:hAnsi="Arial" w:cs="Arial"/>
          <w:sz w:val="24"/>
          <w:szCs w:val="24"/>
        </w:rPr>
      </w:pPr>
      <w:r>
        <w:rPr>
          <w:rFonts w:ascii="Arial" w:hAnsi="Arial" w:cs="Arial"/>
          <w:sz w:val="24"/>
          <w:szCs w:val="24"/>
        </w:rPr>
        <w:t xml:space="preserve">According </w:t>
      </w:r>
      <w:r w:rsidR="000B6B5F">
        <w:rPr>
          <w:rFonts w:ascii="Arial" w:hAnsi="Arial" w:cs="Arial"/>
          <w:sz w:val="24"/>
          <w:szCs w:val="24"/>
        </w:rPr>
        <w:t xml:space="preserve">to Coleman (1995, </w:t>
      </w:r>
      <w:r>
        <w:rPr>
          <w:rFonts w:ascii="Arial" w:hAnsi="Arial" w:cs="Arial"/>
          <w:sz w:val="24"/>
          <w:szCs w:val="24"/>
        </w:rPr>
        <w:t xml:space="preserve">as cited by Gross, 2010) sociologists believe that role change is an important part of adolescent development. Everything from changing school, leaving home and starting </w:t>
      </w:r>
      <w:proofErr w:type="gramStart"/>
      <w:r>
        <w:rPr>
          <w:rFonts w:ascii="Arial" w:hAnsi="Arial" w:cs="Arial"/>
          <w:sz w:val="24"/>
          <w:szCs w:val="24"/>
        </w:rPr>
        <w:t>a new job</w:t>
      </w:r>
      <w:proofErr w:type="gramEnd"/>
      <w:r w:rsidR="002A35EB">
        <w:rPr>
          <w:rFonts w:ascii="Arial" w:hAnsi="Arial" w:cs="Arial"/>
          <w:sz w:val="24"/>
          <w:szCs w:val="24"/>
        </w:rPr>
        <w:t xml:space="preserve"> all need new forms of relationships that produce different and greater expectations. These expectations call for a key reassessment of the self-concept and advance the socialisation process. Adolescents can find this problematic due to the wide variety of competing socialising agencies, that </w:t>
      </w:r>
      <w:proofErr w:type="gramStart"/>
      <w:r w:rsidR="002A35EB">
        <w:rPr>
          <w:rFonts w:ascii="Arial" w:hAnsi="Arial" w:cs="Arial"/>
          <w:sz w:val="24"/>
          <w:szCs w:val="24"/>
        </w:rPr>
        <w:t>often present</w:t>
      </w:r>
      <w:proofErr w:type="gramEnd"/>
      <w:r w:rsidR="002A35EB">
        <w:rPr>
          <w:rFonts w:ascii="Arial" w:hAnsi="Arial" w:cs="Arial"/>
          <w:sz w:val="24"/>
          <w:szCs w:val="24"/>
        </w:rPr>
        <w:t xml:space="preserve"> contrary values and demands (Gross, 2010). </w:t>
      </w:r>
      <w:r w:rsidR="00A80693">
        <w:rPr>
          <w:rFonts w:ascii="Arial" w:hAnsi="Arial" w:cs="Arial"/>
          <w:sz w:val="24"/>
          <w:szCs w:val="24"/>
        </w:rPr>
        <w:t xml:space="preserve">Socialisation </w:t>
      </w:r>
      <w:proofErr w:type="gramStart"/>
      <w:r w:rsidR="00A80693">
        <w:rPr>
          <w:rFonts w:ascii="Arial" w:hAnsi="Arial" w:cs="Arial"/>
          <w:sz w:val="24"/>
          <w:szCs w:val="24"/>
        </w:rPr>
        <w:t>can be seen as</w:t>
      </w:r>
      <w:proofErr w:type="gramEnd"/>
      <w:r w:rsidR="00A80693">
        <w:rPr>
          <w:rFonts w:ascii="Arial" w:hAnsi="Arial" w:cs="Arial"/>
          <w:sz w:val="24"/>
          <w:szCs w:val="24"/>
        </w:rPr>
        <w:t xml:space="preserve"> being more dependent on the adolescent’s own generation that on the family or other social institutions (</w:t>
      </w:r>
      <w:r w:rsidR="00A80693">
        <w:rPr>
          <w:rFonts w:ascii="Arial" w:hAnsi="Arial" w:cs="Arial"/>
          <w:i/>
          <w:sz w:val="24"/>
          <w:szCs w:val="24"/>
        </w:rPr>
        <w:t>auto-socialisation;</w:t>
      </w:r>
      <w:r w:rsidR="000B6B5F">
        <w:rPr>
          <w:rFonts w:ascii="Arial" w:hAnsi="Arial" w:cs="Arial"/>
          <w:sz w:val="24"/>
          <w:szCs w:val="24"/>
        </w:rPr>
        <w:t xml:space="preserve"> </w:t>
      </w:r>
      <w:proofErr w:type="spellStart"/>
      <w:r w:rsidR="000B6B5F">
        <w:rPr>
          <w:rFonts w:ascii="Arial" w:hAnsi="Arial" w:cs="Arial"/>
          <w:sz w:val="24"/>
          <w:szCs w:val="24"/>
        </w:rPr>
        <w:t>Marsland</w:t>
      </w:r>
      <w:proofErr w:type="spellEnd"/>
      <w:r w:rsidR="000B6B5F">
        <w:rPr>
          <w:rFonts w:ascii="Arial" w:hAnsi="Arial" w:cs="Arial"/>
          <w:sz w:val="24"/>
          <w:szCs w:val="24"/>
        </w:rPr>
        <w:t>, 1987,</w:t>
      </w:r>
      <w:r w:rsidR="00A80693">
        <w:rPr>
          <w:rFonts w:ascii="Arial" w:hAnsi="Arial" w:cs="Arial"/>
          <w:sz w:val="24"/>
          <w:szCs w:val="24"/>
        </w:rPr>
        <w:t xml:space="preserve"> as cited by Gross, 2010).</w:t>
      </w:r>
      <w:r w:rsidR="002A35EB">
        <w:rPr>
          <w:rFonts w:ascii="Arial" w:hAnsi="Arial" w:cs="Arial"/>
          <w:sz w:val="24"/>
          <w:szCs w:val="24"/>
        </w:rPr>
        <w:t xml:space="preserve"> </w:t>
      </w:r>
      <w:proofErr w:type="spellStart"/>
      <w:r w:rsidR="00A80693">
        <w:rPr>
          <w:rFonts w:ascii="Arial" w:hAnsi="Arial" w:cs="Arial"/>
          <w:sz w:val="24"/>
          <w:szCs w:val="24"/>
        </w:rPr>
        <w:t>Marsland</w:t>
      </w:r>
      <w:proofErr w:type="spellEnd"/>
      <w:r w:rsidR="00A80693">
        <w:rPr>
          <w:rFonts w:ascii="Arial" w:hAnsi="Arial" w:cs="Arial"/>
          <w:sz w:val="24"/>
          <w:szCs w:val="24"/>
        </w:rPr>
        <w:t xml:space="preserve"> stat</w:t>
      </w:r>
      <w:r w:rsidR="00122826">
        <w:rPr>
          <w:rFonts w:ascii="Arial" w:hAnsi="Arial" w:cs="Arial"/>
          <w:sz w:val="24"/>
          <w:szCs w:val="24"/>
        </w:rPr>
        <w:t>e</w:t>
      </w:r>
      <w:bookmarkStart w:id="0" w:name="_GoBack"/>
      <w:bookmarkEnd w:id="0"/>
      <w:r w:rsidR="00A80693">
        <w:rPr>
          <w:rFonts w:ascii="Arial" w:hAnsi="Arial" w:cs="Arial"/>
          <w:sz w:val="24"/>
          <w:szCs w:val="24"/>
        </w:rPr>
        <w:t>s that the crucial meaning of youth is withdrawal from adult control</w:t>
      </w:r>
      <w:r w:rsidR="00800851">
        <w:rPr>
          <w:rFonts w:ascii="Arial" w:hAnsi="Arial" w:cs="Arial"/>
          <w:sz w:val="24"/>
          <w:szCs w:val="24"/>
        </w:rPr>
        <w:t xml:space="preserve"> and influence compared with childhood. Young people often withdraw into their peer groups, this withdrawal is accepted by adults. This is known as the generation gap (Gross, 2010). </w:t>
      </w:r>
    </w:p>
    <w:p w:rsidR="00816AB8" w:rsidRDefault="00C5167D" w:rsidP="00EF13E1">
      <w:pPr>
        <w:spacing w:line="480" w:lineRule="auto"/>
        <w:rPr>
          <w:rFonts w:ascii="Arial" w:hAnsi="Arial" w:cs="Arial"/>
          <w:sz w:val="24"/>
          <w:szCs w:val="24"/>
        </w:rPr>
      </w:pPr>
      <w:r>
        <w:rPr>
          <w:rFonts w:ascii="Arial" w:hAnsi="Arial" w:cs="Arial"/>
          <w:sz w:val="24"/>
          <w:szCs w:val="24"/>
        </w:rPr>
        <w:t xml:space="preserve">Hendry (1999, </w:t>
      </w:r>
      <w:r w:rsidR="00816AB8">
        <w:rPr>
          <w:rFonts w:ascii="Arial" w:hAnsi="Arial" w:cs="Arial"/>
          <w:sz w:val="24"/>
          <w:szCs w:val="24"/>
        </w:rPr>
        <w:t>as cited by Gross, 2010) states that adolescence, a transition from childhood to adulthood, requires changes from a child-parent to a young adult-parent relationship. Failure to</w:t>
      </w:r>
      <w:r w:rsidR="00024A9A">
        <w:rPr>
          <w:rFonts w:ascii="Arial" w:hAnsi="Arial" w:cs="Arial"/>
          <w:sz w:val="24"/>
          <w:szCs w:val="24"/>
        </w:rPr>
        <w:t xml:space="preserve"> form these new relationships with parents, or having highly critical or rejection parents, can make adolescents adopt a</w:t>
      </w:r>
      <w:r>
        <w:rPr>
          <w:rFonts w:ascii="Arial" w:hAnsi="Arial" w:cs="Arial"/>
          <w:sz w:val="24"/>
          <w:szCs w:val="24"/>
        </w:rPr>
        <w:t xml:space="preserve"> negative identity (Curry, 1998,</w:t>
      </w:r>
      <w:r w:rsidR="00024A9A">
        <w:rPr>
          <w:rFonts w:ascii="Arial" w:hAnsi="Arial" w:cs="Arial"/>
          <w:sz w:val="24"/>
          <w:szCs w:val="24"/>
        </w:rPr>
        <w:t xml:space="preserve"> as cited by Gross, 2010). </w:t>
      </w:r>
      <w:r w:rsidR="00B0097F">
        <w:rPr>
          <w:rFonts w:ascii="Arial" w:hAnsi="Arial" w:cs="Arial"/>
          <w:sz w:val="24"/>
          <w:szCs w:val="24"/>
        </w:rPr>
        <w:t>Parents of adolescents are often themselves going th</w:t>
      </w:r>
      <w:r w:rsidR="00CD648C">
        <w:rPr>
          <w:rFonts w:ascii="Arial" w:hAnsi="Arial" w:cs="Arial"/>
          <w:sz w:val="24"/>
          <w:szCs w:val="24"/>
        </w:rPr>
        <w:t xml:space="preserve">rough a transition of change, readdressing their life goals, career and family ambitions and determining whether they have fulfilled </w:t>
      </w:r>
      <w:r w:rsidR="00195E94">
        <w:rPr>
          <w:rFonts w:ascii="Arial" w:hAnsi="Arial" w:cs="Arial"/>
          <w:sz w:val="24"/>
          <w:szCs w:val="24"/>
        </w:rPr>
        <w:t>their</w:t>
      </w:r>
      <w:r w:rsidR="00CD648C">
        <w:rPr>
          <w:rFonts w:ascii="Arial" w:hAnsi="Arial" w:cs="Arial"/>
          <w:sz w:val="24"/>
          <w:szCs w:val="24"/>
        </w:rPr>
        <w:t xml:space="preserve"> expectations are parents (Gross, 2010). </w:t>
      </w:r>
      <w:r w:rsidR="00195E94">
        <w:rPr>
          <w:rFonts w:ascii="Arial" w:hAnsi="Arial" w:cs="Arial"/>
          <w:sz w:val="24"/>
          <w:szCs w:val="24"/>
        </w:rPr>
        <w:t xml:space="preserve">For most adolescents however, relationships with parents become </w:t>
      </w:r>
      <w:r w:rsidR="00195E94">
        <w:rPr>
          <w:rFonts w:ascii="Arial" w:hAnsi="Arial" w:cs="Arial"/>
          <w:sz w:val="24"/>
          <w:szCs w:val="24"/>
        </w:rPr>
        <w:lastRenderedPageBreak/>
        <w:t xml:space="preserve">more equal and reciprocal and parental authority comes to </w:t>
      </w:r>
      <w:proofErr w:type="gramStart"/>
      <w:r w:rsidR="00195E94">
        <w:rPr>
          <w:rFonts w:ascii="Arial" w:hAnsi="Arial" w:cs="Arial"/>
          <w:sz w:val="24"/>
          <w:szCs w:val="24"/>
        </w:rPr>
        <w:t>be seen as</w:t>
      </w:r>
      <w:proofErr w:type="gramEnd"/>
      <w:r w:rsidR="00195E94">
        <w:rPr>
          <w:rFonts w:ascii="Arial" w:hAnsi="Arial" w:cs="Arial"/>
          <w:sz w:val="24"/>
          <w:szCs w:val="24"/>
        </w:rPr>
        <w:t xml:space="preserve"> open to discussion and negotiation (Gross, 2010). </w:t>
      </w:r>
    </w:p>
    <w:p w:rsidR="000B6B5F" w:rsidRDefault="00C5167D" w:rsidP="00EF13E1">
      <w:pPr>
        <w:spacing w:line="480" w:lineRule="auto"/>
        <w:rPr>
          <w:rFonts w:ascii="Arial" w:hAnsi="Arial" w:cs="Arial"/>
          <w:sz w:val="24"/>
          <w:szCs w:val="24"/>
        </w:rPr>
      </w:pPr>
      <w:r>
        <w:rPr>
          <w:rFonts w:ascii="Arial" w:hAnsi="Arial" w:cs="Arial"/>
          <w:sz w:val="24"/>
          <w:szCs w:val="24"/>
        </w:rPr>
        <w:t xml:space="preserve">Gross, R. (2010). </w:t>
      </w:r>
      <w:r w:rsidR="001B23FC">
        <w:rPr>
          <w:rFonts w:ascii="Arial" w:hAnsi="Arial" w:cs="Arial"/>
          <w:i/>
          <w:sz w:val="24"/>
          <w:szCs w:val="24"/>
        </w:rPr>
        <w:t xml:space="preserve">Adolescence. </w:t>
      </w:r>
      <w:r w:rsidRPr="001B23FC">
        <w:rPr>
          <w:rFonts w:ascii="Arial" w:hAnsi="Arial" w:cs="Arial"/>
          <w:sz w:val="24"/>
          <w:szCs w:val="24"/>
        </w:rPr>
        <w:t>Psychology: The Science of Mind and Behaviour 6</w:t>
      </w:r>
      <w:r w:rsidRPr="001B23FC">
        <w:rPr>
          <w:rFonts w:ascii="Arial" w:hAnsi="Arial" w:cs="Arial"/>
          <w:sz w:val="24"/>
          <w:szCs w:val="24"/>
          <w:vertAlign w:val="superscript"/>
        </w:rPr>
        <w:t>th</w:t>
      </w:r>
      <w:r w:rsidRPr="001B23FC">
        <w:rPr>
          <w:rFonts w:ascii="Arial" w:hAnsi="Arial" w:cs="Arial"/>
          <w:sz w:val="24"/>
          <w:szCs w:val="24"/>
        </w:rPr>
        <w:t xml:space="preserve"> edition</w:t>
      </w:r>
      <w:r w:rsidR="001B23FC">
        <w:rPr>
          <w:rFonts w:ascii="Arial" w:hAnsi="Arial" w:cs="Arial"/>
          <w:i/>
          <w:sz w:val="24"/>
          <w:szCs w:val="24"/>
        </w:rPr>
        <w:t xml:space="preserve"> </w:t>
      </w:r>
      <w:r w:rsidR="001B23FC">
        <w:rPr>
          <w:rFonts w:ascii="Arial" w:hAnsi="Arial" w:cs="Arial"/>
          <w:sz w:val="24"/>
          <w:szCs w:val="24"/>
        </w:rPr>
        <w:t>(pp, 577-590).</w:t>
      </w:r>
      <w:r>
        <w:rPr>
          <w:rFonts w:ascii="Arial" w:hAnsi="Arial" w:cs="Arial"/>
          <w:i/>
          <w:sz w:val="24"/>
          <w:szCs w:val="24"/>
        </w:rPr>
        <w:t xml:space="preserve"> </w:t>
      </w:r>
      <w:r>
        <w:rPr>
          <w:rFonts w:ascii="Arial" w:hAnsi="Arial" w:cs="Arial"/>
          <w:sz w:val="24"/>
          <w:szCs w:val="24"/>
        </w:rPr>
        <w:t xml:space="preserve">Hodder Education. </w:t>
      </w:r>
    </w:p>
    <w:p w:rsidR="001B23FC" w:rsidRDefault="001B23FC" w:rsidP="00EF13E1">
      <w:pPr>
        <w:spacing w:line="480" w:lineRule="auto"/>
        <w:rPr>
          <w:rFonts w:ascii="Arial" w:hAnsi="Arial" w:cs="Arial"/>
          <w:sz w:val="24"/>
          <w:szCs w:val="24"/>
        </w:rPr>
      </w:pPr>
    </w:p>
    <w:p w:rsidR="001B23FC" w:rsidRPr="001B23FC" w:rsidRDefault="001B23FC" w:rsidP="001B23FC">
      <w:pPr>
        <w:pStyle w:val="ListParagraph"/>
        <w:numPr>
          <w:ilvl w:val="0"/>
          <w:numId w:val="2"/>
        </w:numPr>
        <w:spacing w:line="480" w:lineRule="auto"/>
        <w:rPr>
          <w:rFonts w:ascii="Arial" w:hAnsi="Arial" w:cs="Arial"/>
          <w:i/>
          <w:sz w:val="24"/>
          <w:szCs w:val="24"/>
        </w:rPr>
      </w:pPr>
      <w:r>
        <w:rPr>
          <w:rFonts w:ascii="Arial" w:hAnsi="Arial" w:cs="Arial"/>
          <w:sz w:val="24"/>
          <w:szCs w:val="24"/>
        </w:rPr>
        <w:t xml:space="preserve">Summaries a selected journal paper into an abstract. </w:t>
      </w:r>
    </w:p>
    <w:p w:rsidR="001B23FC" w:rsidRPr="001B23FC" w:rsidRDefault="001B23FC" w:rsidP="001B23FC">
      <w:pPr>
        <w:pStyle w:val="ListParagraph"/>
        <w:spacing w:line="480" w:lineRule="auto"/>
        <w:ind w:left="1210"/>
        <w:rPr>
          <w:rFonts w:ascii="Arial" w:hAnsi="Arial" w:cs="Arial"/>
          <w:i/>
          <w:sz w:val="24"/>
          <w:szCs w:val="24"/>
        </w:rPr>
      </w:pPr>
    </w:p>
    <w:p w:rsidR="001B23FC" w:rsidRPr="001B23FC" w:rsidRDefault="001B23FC" w:rsidP="001B23FC">
      <w:pPr>
        <w:spacing w:line="480" w:lineRule="auto"/>
        <w:rPr>
          <w:rFonts w:ascii="Arial" w:hAnsi="Arial" w:cs="Arial"/>
          <w:sz w:val="24"/>
          <w:szCs w:val="24"/>
        </w:rPr>
      </w:pPr>
      <w:r w:rsidRPr="001B23FC">
        <w:rPr>
          <w:rFonts w:ascii="Arial" w:hAnsi="Arial" w:cs="Arial"/>
          <w:sz w:val="24"/>
          <w:szCs w:val="24"/>
        </w:rPr>
        <w:t xml:space="preserve">Young people who suffer anxiety or depression is said to be at risk for low performances academically. It has been shown that anxiety can have a negative </w:t>
      </w:r>
      <w:r w:rsidRPr="001B23FC">
        <w:rPr>
          <w:rFonts w:ascii="Arial" w:hAnsi="Arial" w:cs="Arial"/>
          <w:sz w:val="24"/>
          <w:szCs w:val="24"/>
        </w:rPr>
        <w:t>effect</w:t>
      </w:r>
      <w:r w:rsidRPr="001B23FC">
        <w:rPr>
          <w:rFonts w:ascii="Arial" w:hAnsi="Arial" w:cs="Arial"/>
          <w:sz w:val="24"/>
          <w:szCs w:val="24"/>
        </w:rPr>
        <w:t xml:space="preserve"> on coursework grades and worry with written exam performance. The current study aimed to test to two possible systems so that useful interventions can be developed and improved. First the relationship between anxiety and depression and academic test performance was tested in young people of school age. During study 1 worry about tests was suggested to settle the relationship </w:t>
      </w:r>
      <w:r>
        <w:rPr>
          <w:rFonts w:ascii="Arial" w:hAnsi="Arial" w:cs="Arial"/>
          <w:sz w:val="24"/>
          <w:szCs w:val="24"/>
        </w:rPr>
        <w:t>between negative e</w:t>
      </w:r>
      <w:r w:rsidRPr="001B23FC">
        <w:rPr>
          <w:rFonts w:ascii="Arial" w:hAnsi="Arial" w:cs="Arial"/>
          <w:sz w:val="24"/>
          <w:szCs w:val="24"/>
        </w:rPr>
        <w:t xml:space="preserve">ffect and test performances academically. Study 2 looks at the mediating influence of the central executive versus visuospatial or phonological loop processes of working memory. </w:t>
      </w:r>
    </w:p>
    <w:p w:rsidR="001B23FC" w:rsidRPr="001B23FC" w:rsidRDefault="001B23FC" w:rsidP="001B23FC">
      <w:pPr>
        <w:spacing w:line="480" w:lineRule="auto"/>
        <w:rPr>
          <w:rFonts w:ascii="Arial" w:hAnsi="Arial" w:cs="Arial"/>
          <w:sz w:val="24"/>
          <w:szCs w:val="24"/>
        </w:rPr>
      </w:pPr>
      <w:r w:rsidRPr="001B23FC">
        <w:rPr>
          <w:rFonts w:ascii="Arial" w:hAnsi="Arial" w:cs="Arial"/>
          <w:sz w:val="24"/>
          <w:szCs w:val="24"/>
        </w:rPr>
        <w:t xml:space="preserve">Study 1 – Eighty participants from one secondary school aged 12-13 years old carried out a self-report questionnaire pack at the start of the day. This showed the children’s anxiety, depression and worry about taking tests. The results showed that higher levels of anxiety and depression were related to lower academic performance. The implied effects show that anxiety and depression both correlate with high levels of worry and this means that worry can be related to a lower academic performance. </w:t>
      </w:r>
    </w:p>
    <w:p w:rsidR="001B23FC" w:rsidRPr="001B23FC" w:rsidRDefault="001B23FC" w:rsidP="001B23FC">
      <w:pPr>
        <w:spacing w:line="480" w:lineRule="auto"/>
        <w:rPr>
          <w:rFonts w:ascii="Arial" w:hAnsi="Arial" w:cs="Arial"/>
          <w:sz w:val="24"/>
          <w:szCs w:val="24"/>
        </w:rPr>
      </w:pPr>
      <w:r w:rsidRPr="001B23FC">
        <w:rPr>
          <w:rFonts w:ascii="Arial" w:hAnsi="Arial" w:cs="Arial"/>
          <w:sz w:val="24"/>
          <w:szCs w:val="24"/>
        </w:rPr>
        <w:lastRenderedPageBreak/>
        <w:t xml:space="preserve">Study 2 – </w:t>
      </w:r>
      <w:r w:rsidRPr="001B23FC">
        <w:rPr>
          <w:rFonts w:ascii="Arial" w:hAnsi="Arial" w:cs="Arial"/>
          <w:sz w:val="24"/>
          <w:szCs w:val="24"/>
        </w:rPr>
        <w:t>Thirty-one</w:t>
      </w:r>
      <w:r w:rsidRPr="001B23FC">
        <w:rPr>
          <w:rFonts w:ascii="Arial" w:hAnsi="Arial" w:cs="Arial"/>
          <w:sz w:val="24"/>
          <w:szCs w:val="24"/>
        </w:rPr>
        <w:t xml:space="preserve"> participants from one school aged 12-13 years old were drawn as a sample and given the same self-report as study 1. The participants were tested on the working memory battery individually; counterbalanced so that half the were tested in the morning and half in the afternoon. The results showed that even though all aspects for the working memory were linked with better test performances academically, the effect was larger for the central executive processes when compared with phonological loop and visuospatial tests. Higher negative effect was linked to the decrease in central executive working memory performance for both anxiety and depression, and they were both similarly linked to more worry about taking the tests. There was an important secondary effect if anxiety on academic performance and central executive memory and a similar trend for depression, but in comparison with the phonological or visuospatial variable no evidence acted as a mediator of anxiety. </w:t>
      </w:r>
    </w:p>
    <w:p w:rsidR="001B23FC" w:rsidRDefault="001B23FC" w:rsidP="001B23FC">
      <w:pPr>
        <w:spacing w:line="480" w:lineRule="auto"/>
        <w:rPr>
          <w:rFonts w:ascii="Arial" w:hAnsi="Arial" w:cs="Arial"/>
          <w:sz w:val="24"/>
          <w:szCs w:val="24"/>
        </w:rPr>
      </w:pPr>
      <w:r w:rsidRPr="001B23FC">
        <w:rPr>
          <w:rFonts w:ascii="Arial" w:hAnsi="Arial" w:cs="Arial"/>
          <w:sz w:val="24"/>
          <w:szCs w:val="24"/>
        </w:rPr>
        <w:t>There are several limitations to the studies that should be addressed. Study 2 detected indirect effects from both anxiety and depression through working memory and worry, this could be due to the reduced statistical power stemming from the somewhat small sample. Yet this issue needs to be clarified in a repeat study with a larger sample size. Secondly, both studies presented used a cross-sectional design to test the validity of the models. This design automatically limits the conclusions that can be drawn to do with causality. Experimental methods and longitudinal studies will help with this issue. There is also a possible limitation in carrying out research into both anxiety and depression together as they tend to be highly correlated and were in the present study. To look at the relationship between and performance in more detail, future studies should focus on groups of ‘pure’ clinically anxious and depressed young people.</w:t>
      </w:r>
    </w:p>
    <w:p w:rsidR="00C47785" w:rsidRDefault="00C47785" w:rsidP="001B23FC">
      <w:pPr>
        <w:spacing w:line="480" w:lineRule="auto"/>
        <w:rPr>
          <w:rFonts w:ascii="Arial" w:hAnsi="Arial" w:cs="Arial"/>
          <w:sz w:val="24"/>
          <w:szCs w:val="24"/>
        </w:rPr>
      </w:pPr>
      <w:r w:rsidRPr="00C47785">
        <w:rPr>
          <w:rFonts w:ascii="Arial" w:hAnsi="Arial" w:cs="Arial"/>
          <w:sz w:val="24"/>
          <w:szCs w:val="24"/>
        </w:rPr>
        <w:lastRenderedPageBreak/>
        <w:t xml:space="preserve">Owens, M., Stevenson, J., </w:t>
      </w:r>
      <w:proofErr w:type="spellStart"/>
      <w:r w:rsidRPr="00C47785">
        <w:rPr>
          <w:rFonts w:ascii="Arial" w:hAnsi="Arial" w:cs="Arial"/>
          <w:sz w:val="24"/>
          <w:szCs w:val="24"/>
        </w:rPr>
        <w:t>Hadwin</w:t>
      </w:r>
      <w:proofErr w:type="spellEnd"/>
      <w:r w:rsidRPr="00C47785">
        <w:rPr>
          <w:rFonts w:ascii="Arial" w:hAnsi="Arial" w:cs="Arial"/>
          <w:sz w:val="24"/>
          <w:szCs w:val="24"/>
        </w:rPr>
        <w:t xml:space="preserve">, J. A., &amp; </w:t>
      </w:r>
      <w:proofErr w:type="spellStart"/>
      <w:r w:rsidRPr="00C47785">
        <w:rPr>
          <w:rFonts w:ascii="Arial" w:hAnsi="Arial" w:cs="Arial"/>
          <w:sz w:val="24"/>
          <w:szCs w:val="24"/>
        </w:rPr>
        <w:t>Norgate</w:t>
      </w:r>
      <w:proofErr w:type="spellEnd"/>
      <w:r w:rsidRPr="00C47785">
        <w:rPr>
          <w:rFonts w:ascii="Arial" w:hAnsi="Arial" w:cs="Arial"/>
          <w:sz w:val="24"/>
          <w:szCs w:val="24"/>
        </w:rPr>
        <w:t xml:space="preserve">, R. (2012). Anxiety and depression in academic performance: An exploration of the mediating factors of worry and working memory. </w:t>
      </w:r>
      <w:r w:rsidRPr="00C47785">
        <w:rPr>
          <w:rFonts w:ascii="Arial" w:hAnsi="Arial" w:cs="Arial"/>
          <w:i/>
          <w:sz w:val="24"/>
          <w:szCs w:val="24"/>
        </w:rPr>
        <w:t>School Psychology International</w:t>
      </w:r>
      <w:r w:rsidRPr="00C47785">
        <w:rPr>
          <w:rFonts w:ascii="Arial" w:hAnsi="Arial" w:cs="Arial"/>
          <w:sz w:val="24"/>
          <w:szCs w:val="24"/>
        </w:rPr>
        <w:t>, 33(4), 433-449.</w:t>
      </w:r>
    </w:p>
    <w:p w:rsidR="001B23FC" w:rsidRDefault="001B23FC" w:rsidP="001B23FC">
      <w:pPr>
        <w:spacing w:line="480" w:lineRule="auto"/>
        <w:rPr>
          <w:rFonts w:ascii="Arial" w:hAnsi="Arial" w:cs="Arial"/>
          <w:sz w:val="24"/>
          <w:szCs w:val="24"/>
        </w:rPr>
      </w:pPr>
    </w:p>
    <w:p w:rsidR="001B23FC" w:rsidRDefault="001B23FC" w:rsidP="001B23FC">
      <w:pPr>
        <w:spacing w:line="480" w:lineRule="auto"/>
        <w:rPr>
          <w:rFonts w:ascii="Arial" w:hAnsi="Arial" w:cs="Arial"/>
          <w:sz w:val="24"/>
          <w:szCs w:val="24"/>
        </w:rPr>
      </w:pPr>
    </w:p>
    <w:p w:rsidR="001B23FC" w:rsidRDefault="001B23FC" w:rsidP="001B23FC">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Rearrange a jumbled reference list. </w:t>
      </w:r>
    </w:p>
    <w:p w:rsidR="001B23FC" w:rsidRDefault="001B23FC" w:rsidP="001B23FC">
      <w:pPr>
        <w:spacing w:line="480" w:lineRule="auto"/>
        <w:rPr>
          <w:rFonts w:ascii="Arial" w:hAnsi="Arial" w:cs="Arial"/>
          <w:sz w:val="24"/>
          <w:szCs w:val="24"/>
        </w:rPr>
      </w:pPr>
    </w:p>
    <w:p w:rsidR="001B23FC" w:rsidRDefault="001B23FC" w:rsidP="001B23FC">
      <w:pPr>
        <w:pStyle w:val="ListParagraph"/>
        <w:numPr>
          <w:ilvl w:val="0"/>
          <w:numId w:val="4"/>
        </w:numPr>
        <w:spacing w:line="360" w:lineRule="auto"/>
        <w:rPr>
          <w:rFonts w:ascii="Arial" w:hAnsi="Arial" w:cs="Arial"/>
          <w:sz w:val="24"/>
          <w:szCs w:val="24"/>
        </w:rPr>
      </w:pPr>
      <w:proofErr w:type="spellStart"/>
      <w:r w:rsidRPr="001B23FC">
        <w:rPr>
          <w:rFonts w:ascii="Arial" w:hAnsi="Arial" w:cs="Arial"/>
          <w:sz w:val="24"/>
          <w:szCs w:val="24"/>
        </w:rPr>
        <w:t>Bzdok</w:t>
      </w:r>
      <w:proofErr w:type="spellEnd"/>
      <w:r w:rsidRPr="001B23FC">
        <w:rPr>
          <w:rFonts w:ascii="Arial" w:hAnsi="Arial" w:cs="Arial"/>
          <w:sz w:val="24"/>
          <w:szCs w:val="24"/>
        </w:rPr>
        <w:t xml:space="preserve">, D., </w:t>
      </w:r>
      <w:proofErr w:type="spellStart"/>
      <w:r w:rsidRPr="001B23FC">
        <w:rPr>
          <w:rFonts w:ascii="Arial" w:hAnsi="Arial" w:cs="Arial"/>
          <w:sz w:val="24"/>
          <w:szCs w:val="24"/>
        </w:rPr>
        <w:t>Hartwigsen</w:t>
      </w:r>
      <w:proofErr w:type="spellEnd"/>
      <w:r w:rsidRPr="001B23FC">
        <w:rPr>
          <w:rFonts w:ascii="Arial" w:hAnsi="Arial" w:cs="Arial"/>
          <w:sz w:val="24"/>
          <w:szCs w:val="24"/>
        </w:rPr>
        <w:t xml:space="preserve">, G., Reid, A., Laird, A. R., Fox, P. T., &amp; Eickhoff, S. B. (2016). Left inferior parietal lobe engagement in social cognition and language. Neuroscience &amp; </w:t>
      </w:r>
      <w:proofErr w:type="spellStart"/>
      <w:r w:rsidRPr="001B23FC">
        <w:rPr>
          <w:rFonts w:ascii="Arial" w:hAnsi="Arial" w:cs="Arial"/>
          <w:sz w:val="24"/>
          <w:szCs w:val="24"/>
        </w:rPr>
        <w:t>Biobehavioral</w:t>
      </w:r>
      <w:proofErr w:type="spellEnd"/>
      <w:r w:rsidRPr="001B23FC">
        <w:rPr>
          <w:rFonts w:ascii="Arial" w:hAnsi="Arial" w:cs="Arial"/>
          <w:sz w:val="24"/>
          <w:szCs w:val="24"/>
        </w:rPr>
        <w:t xml:space="preserve"> Reviews, 68, (pp.319-334). </w:t>
      </w:r>
      <w:proofErr w:type="spellStart"/>
      <w:r w:rsidRPr="001B23FC">
        <w:rPr>
          <w:rFonts w:ascii="Arial" w:hAnsi="Arial" w:cs="Arial"/>
          <w:sz w:val="24"/>
          <w:szCs w:val="24"/>
        </w:rPr>
        <w:t>doi</w:t>
      </w:r>
      <w:proofErr w:type="spellEnd"/>
      <w:r w:rsidRPr="001B23FC">
        <w:rPr>
          <w:rFonts w:ascii="Arial" w:hAnsi="Arial" w:cs="Arial"/>
          <w:sz w:val="24"/>
          <w:szCs w:val="24"/>
        </w:rPr>
        <w:t>: 10.1016/j.neubiorev.2016.02.024.</w:t>
      </w:r>
    </w:p>
    <w:p w:rsidR="001E593B" w:rsidRPr="001E593B" w:rsidRDefault="001E593B" w:rsidP="001E593B">
      <w:pPr>
        <w:pStyle w:val="ListParagraph"/>
        <w:spacing w:line="360" w:lineRule="auto"/>
        <w:ind w:left="785"/>
        <w:rPr>
          <w:rFonts w:ascii="Arial" w:hAnsi="Arial" w:cs="Arial"/>
          <w:sz w:val="24"/>
          <w:szCs w:val="24"/>
        </w:rPr>
      </w:pPr>
    </w:p>
    <w:p w:rsidR="001B23FC" w:rsidRDefault="001B23FC" w:rsidP="001B23FC">
      <w:pPr>
        <w:pStyle w:val="ListParagraph"/>
        <w:numPr>
          <w:ilvl w:val="0"/>
          <w:numId w:val="4"/>
        </w:numPr>
        <w:spacing w:line="360" w:lineRule="auto"/>
        <w:rPr>
          <w:rFonts w:ascii="Arial" w:hAnsi="Arial" w:cs="Arial"/>
          <w:sz w:val="24"/>
          <w:szCs w:val="24"/>
        </w:rPr>
      </w:pPr>
      <w:proofErr w:type="spellStart"/>
      <w:r w:rsidRPr="001B23FC">
        <w:rPr>
          <w:rFonts w:ascii="Arial" w:hAnsi="Arial" w:cs="Arial"/>
          <w:sz w:val="24"/>
          <w:szCs w:val="24"/>
        </w:rPr>
        <w:t>Comby</w:t>
      </w:r>
      <w:proofErr w:type="spellEnd"/>
      <w:r w:rsidRPr="001B23FC">
        <w:rPr>
          <w:rFonts w:ascii="Arial" w:hAnsi="Arial" w:cs="Arial"/>
          <w:sz w:val="24"/>
          <w:szCs w:val="24"/>
        </w:rPr>
        <w:t xml:space="preserve">, J., Harper, D., &amp; </w:t>
      </w:r>
      <w:proofErr w:type="spellStart"/>
      <w:r w:rsidRPr="001B23FC">
        <w:rPr>
          <w:rFonts w:ascii="Arial" w:hAnsi="Arial" w:cs="Arial"/>
          <w:sz w:val="24"/>
          <w:szCs w:val="24"/>
        </w:rPr>
        <w:t>Reavey</w:t>
      </w:r>
      <w:proofErr w:type="spellEnd"/>
      <w:r w:rsidRPr="001B23FC">
        <w:rPr>
          <w:rFonts w:ascii="Arial" w:hAnsi="Arial" w:cs="Arial"/>
          <w:sz w:val="24"/>
          <w:szCs w:val="24"/>
        </w:rPr>
        <w:t xml:space="preserve">, P. (2013). Psychology, Mental Health and Distress. Basingstoke. Palgrave Macmillan. </w:t>
      </w:r>
    </w:p>
    <w:p w:rsidR="001B23FC" w:rsidRPr="001B23FC" w:rsidRDefault="001B23FC" w:rsidP="001B23FC">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sidRPr="00FC4587">
        <w:rPr>
          <w:rFonts w:ascii="Arial" w:hAnsi="Arial" w:cs="Arial"/>
          <w:sz w:val="24"/>
          <w:szCs w:val="24"/>
        </w:rPr>
        <w:t>Davey, G. (2014) Psychopathology: Research, Assessment, and Treatment in Clinical Psychology. (2nd ed.). Oxford, Blackwell.</w:t>
      </w:r>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sidRPr="00FC4587">
        <w:rPr>
          <w:rFonts w:ascii="Arial" w:hAnsi="Arial" w:cs="Arial"/>
          <w:sz w:val="24"/>
          <w:szCs w:val="24"/>
        </w:rPr>
        <w:t xml:space="preserve">Day, S. (2015, September 9-11). Families Experience of Poverty Stigma in Education. Developmental Psychological Section. British Psychological Society, University of Central Lancashire. </w:t>
      </w:r>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sidRPr="00FC4587">
        <w:rPr>
          <w:rFonts w:ascii="Arial" w:hAnsi="Arial" w:cs="Arial"/>
          <w:sz w:val="24"/>
          <w:szCs w:val="24"/>
        </w:rPr>
        <w:t xml:space="preserve">Evans, L., Mitchell, </w:t>
      </w:r>
      <w:proofErr w:type="gramStart"/>
      <w:r w:rsidRPr="00FC4587">
        <w:rPr>
          <w:rFonts w:ascii="Arial" w:hAnsi="Arial" w:cs="Arial"/>
          <w:sz w:val="24"/>
          <w:szCs w:val="24"/>
        </w:rPr>
        <w:t>I,D.</w:t>
      </w:r>
      <w:proofErr w:type="gramEnd"/>
      <w:r w:rsidRPr="00FC4587">
        <w:rPr>
          <w:rFonts w:ascii="Arial" w:hAnsi="Arial" w:cs="Arial"/>
          <w:sz w:val="24"/>
          <w:szCs w:val="24"/>
        </w:rPr>
        <w:t xml:space="preserve"> &amp; Jones, S. (2006). Psychological Response to Sport Injury. In </w:t>
      </w:r>
      <w:proofErr w:type="spellStart"/>
      <w:proofErr w:type="gramStart"/>
      <w:r w:rsidRPr="00FC4587">
        <w:rPr>
          <w:rFonts w:ascii="Arial" w:hAnsi="Arial" w:cs="Arial"/>
          <w:sz w:val="24"/>
          <w:szCs w:val="24"/>
        </w:rPr>
        <w:t>S.Hanton</w:t>
      </w:r>
      <w:proofErr w:type="spellEnd"/>
      <w:proofErr w:type="gramEnd"/>
      <w:r w:rsidRPr="00FC4587">
        <w:rPr>
          <w:rFonts w:ascii="Arial" w:hAnsi="Arial" w:cs="Arial"/>
          <w:sz w:val="24"/>
          <w:szCs w:val="24"/>
        </w:rPr>
        <w:t xml:space="preserve">. and </w:t>
      </w:r>
      <w:proofErr w:type="spellStart"/>
      <w:r w:rsidRPr="00FC4587">
        <w:rPr>
          <w:rFonts w:ascii="Arial" w:hAnsi="Arial" w:cs="Arial"/>
          <w:sz w:val="24"/>
          <w:szCs w:val="24"/>
        </w:rPr>
        <w:t>S.</w:t>
      </w:r>
      <w:proofErr w:type="gramStart"/>
      <w:r w:rsidRPr="00FC4587">
        <w:rPr>
          <w:rFonts w:ascii="Arial" w:hAnsi="Arial" w:cs="Arial"/>
          <w:sz w:val="24"/>
          <w:szCs w:val="24"/>
        </w:rPr>
        <w:t>D.Mellalieu</w:t>
      </w:r>
      <w:proofErr w:type="spellEnd"/>
      <w:proofErr w:type="gramEnd"/>
      <w:r w:rsidRPr="00FC4587">
        <w:rPr>
          <w:rFonts w:ascii="Arial" w:hAnsi="Arial" w:cs="Arial"/>
          <w:sz w:val="24"/>
          <w:szCs w:val="24"/>
        </w:rPr>
        <w:t xml:space="preserve"> (Eds.), Literature reviews in Sport Psychology. (pp. 289-319). </w:t>
      </w:r>
      <w:proofErr w:type="spellStart"/>
      <w:r w:rsidRPr="00FC4587">
        <w:rPr>
          <w:rFonts w:ascii="Arial" w:hAnsi="Arial" w:cs="Arial"/>
          <w:sz w:val="24"/>
          <w:szCs w:val="24"/>
        </w:rPr>
        <w:t>Hauppage</w:t>
      </w:r>
      <w:proofErr w:type="spellEnd"/>
      <w:r w:rsidRPr="00FC4587">
        <w:rPr>
          <w:rFonts w:ascii="Arial" w:hAnsi="Arial" w:cs="Arial"/>
          <w:sz w:val="24"/>
          <w:szCs w:val="24"/>
        </w:rPr>
        <w:t xml:space="preserve">, NY. Nova Science Publications. </w:t>
      </w:r>
    </w:p>
    <w:p w:rsidR="00FC4587" w:rsidRPr="00FC4587" w:rsidRDefault="00FC4587" w:rsidP="00FC4587">
      <w:pPr>
        <w:pStyle w:val="ListParagraph"/>
        <w:rPr>
          <w:rFonts w:ascii="Arial" w:hAnsi="Arial" w:cs="Arial"/>
          <w:sz w:val="24"/>
          <w:szCs w:val="24"/>
        </w:rPr>
      </w:pPr>
    </w:p>
    <w:p w:rsidR="00FC4587" w:rsidRPr="00FC4587" w:rsidRDefault="00FC4587" w:rsidP="00FC4587">
      <w:pPr>
        <w:pStyle w:val="ListParagraph"/>
        <w:numPr>
          <w:ilvl w:val="0"/>
          <w:numId w:val="4"/>
        </w:numPr>
        <w:rPr>
          <w:rFonts w:ascii="Arial" w:hAnsi="Arial" w:cs="Arial"/>
          <w:sz w:val="24"/>
          <w:szCs w:val="24"/>
        </w:rPr>
      </w:pPr>
      <w:proofErr w:type="spellStart"/>
      <w:r w:rsidRPr="00FC4587">
        <w:rPr>
          <w:rFonts w:ascii="Arial" w:hAnsi="Arial" w:cs="Arial"/>
          <w:sz w:val="24"/>
          <w:szCs w:val="24"/>
        </w:rPr>
        <w:t>Geekie</w:t>
      </w:r>
      <w:proofErr w:type="spellEnd"/>
      <w:r w:rsidRPr="00FC4587">
        <w:rPr>
          <w:rFonts w:ascii="Arial" w:hAnsi="Arial" w:cs="Arial"/>
          <w:sz w:val="24"/>
          <w:szCs w:val="24"/>
        </w:rPr>
        <w:t xml:space="preserve">, J., &amp; Read, J. (2009). Making Sense of Madness: Contesting the Meaning of Schizophrenia. London. Routledge: Taylor &amp; Francis. Available from: http://www.tandfebooks.com/doi/view/10.4324/9780203878422 </w:t>
      </w:r>
    </w:p>
    <w:p w:rsidR="00FC4587" w:rsidRPr="00FC4587" w:rsidRDefault="00FC4587" w:rsidP="00FC4587">
      <w:pPr>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sidRPr="00FC4587">
        <w:rPr>
          <w:rFonts w:ascii="Arial" w:hAnsi="Arial" w:cs="Arial"/>
          <w:sz w:val="24"/>
          <w:szCs w:val="24"/>
        </w:rPr>
        <w:t>Gigliotti, D (producer)., &amp; Russell, D (director). (2012). Silver Linings Playbook. US. The Weinstein Company.</w:t>
      </w:r>
    </w:p>
    <w:p w:rsidR="00FC4587" w:rsidRPr="00FC4587" w:rsidRDefault="00FC4587" w:rsidP="00FC4587">
      <w:pPr>
        <w:pStyle w:val="ListParagraph"/>
        <w:rPr>
          <w:rFonts w:ascii="Arial" w:hAnsi="Arial" w:cs="Arial"/>
          <w:sz w:val="24"/>
          <w:szCs w:val="24"/>
        </w:rPr>
      </w:pPr>
    </w:p>
    <w:p w:rsidR="00FC4587" w:rsidRPr="00FC4587" w:rsidRDefault="00FC4587" w:rsidP="00FC4587">
      <w:pPr>
        <w:pStyle w:val="ListParagraph"/>
        <w:numPr>
          <w:ilvl w:val="0"/>
          <w:numId w:val="4"/>
        </w:numPr>
        <w:rPr>
          <w:rFonts w:ascii="Arial" w:hAnsi="Arial" w:cs="Arial"/>
          <w:sz w:val="24"/>
          <w:szCs w:val="24"/>
        </w:rPr>
      </w:pPr>
      <w:proofErr w:type="spellStart"/>
      <w:r w:rsidRPr="00FC4587">
        <w:rPr>
          <w:rFonts w:ascii="Arial" w:hAnsi="Arial" w:cs="Arial"/>
          <w:sz w:val="24"/>
          <w:szCs w:val="24"/>
        </w:rPr>
        <w:lastRenderedPageBreak/>
        <w:t>Hefferon</w:t>
      </w:r>
      <w:proofErr w:type="spellEnd"/>
      <w:r w:rsidRPr="00FC4587">
        <w:rPr>
          <w:rFonts w:ascii="Arial" w:hAnsi="Arial" w:cs="Arial"/>
          <w:sz w:val="24"/>
          <w:szCs w:val="24"/>
        </w:rPr>
        <w:t xml:space="preserve">, K., &amp; </w:t>
      </w:r>
      <w:proofErr w:type="spellStart"/>
      <w:r w:rsidRPr="00FC4587">
        <w:rPr>
          <w:rFonts w:ascii="Arial" w:hAnsi="Arial" w:cs="Arial"/>
          <w:sz w:val="24"/>
          <w:szCs w:val="24"/>
        </w:rPr>
        <w:t>Boniwell</w:t>
      </w:r>
      <w:proofErr w:type="spellEnd"/>
      <w:r w:rsidRPr="00FC4587">
        <w:rPr>
          <w:rFonts w:ascii="Arial" w:hAnsi="Arial" w:cs="Arial"/>
          <w:sz w:val="24"/>
          <w:szCs w:val="24"/>
        </w:rPr>
        <w:t xml:space="preserve">, I. (2011). Positive Psychology: Theory, Research and Applications. New York, New York: Open Press University. </w:t>
      </w:r>
    </w:p>
    <w:p w:rsidR="00FC4587" w:rsidRPr="00FC4587" w:rsidRDefault="00FC4587" w:rsidP="00FC4587">
      <w:pPr>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proofErr w:type="spellStart"/>
      <w:r w:rsidRPr="00FC4587">
        <w:rPr>
          <w:rFonts w:ascii="Arial" w:hAnsi="Arial" w:cs="Arial"/>
          <w:sz w:val="24"/>
          <w:szCs w:val="24"/>
        </w:rPr>
        <w:t>Hefferon</w:t>
      </w:r>
      <w:proofErr w:type="spellEnd"/>
      <w:r w:rsidRPr="00FC4587">
        <w:rPr>
          <w:rFonts w:ascii="Arial" w:hAnsi="Arial" w:cs="Arial"/>
          <w:sz w:val="24"/>
          <w:szCs w:val="24"/>
        </w:rPr>
        <w:t xml:space="preserve">, K., &amp; </w:t>
      </w:r>
      <w:proofErr w:type="spellStart"/>
      <w:r w:rsidRPr="00FC4587">
        <w:rPr>
          <w:rFonts w:ascii="Arial" w:hAnsi="Arial" w:cs="Arial"/>
          <w:sz w:val="24"/>
          <w:szCs w:val="24"/>
        </w:rPr>
        <w:t>Boniwell</w:t>
      </w:r>
      <w:proofErr w:type="spellEnd"/>
      <w:r w:rsidRPr="00FC4587">
        <w:rPr>
          <w:rFonts w:ascii="Arial" w:hAnsi="Arial" w:cs="Arial"/>
          <w:sz w:val="24"/>
          <w:szCs w:val="24"/>
        </w:rPr>
        <w:t xml:space="preserve">, I. (2011). Happiness and Subjective Wellbeing Across Nations (pp. 44-75). Positive Psychology: Theory, Research and Applications. New York, New York: Open University Press. </w:t>
      </w:r>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Pr>
          <w:rFonts w:ascii="Arial" w:hAnsi="Arial" w:cs="Arial"/>
          <w:sz w:val="24"/>
          <w:szCs w:val="24"/>
        </w:rPr>
        <w:t xml:space="preserve"> </w:t>
      </w:r>
      <w:r w:rsidRPr="00FC4587">
        <w:rPr>
          <w:rFonts w:ascii="Arial" w:hAnsi="Arial" w:cs="Arial"/>
          <w:sz w:val="24"/>
          <w:szCs w:val="24"/>
        </w:rPr>
        <w:t xml:space="preserve">Holt, M. (2017, August 11). Bullying and suicide: What's the </w:t>
      </w:r>
      <w:proofErr w:type="gramStart"/>
      <w:r w:rsidRPr="00FC4587">
        <w:rPr>
          <w:rFonts w:ascii="Arial" w:hAnsi="Arial" w:cs="Arial"/>
          <w:sz w:val="24"/>
          <w:szCs w:val="24"/>
        </w:rPr>
        <w:t>connection?.</w:t>
      </w:r>
      <w:proofErr w:type="gramEnd"/>
      <w:r w:rsidRPr="00FC4587">
        <w:rPr>
          <w:rFonts w:ascii="Arial" w:hAnsi="Arial" w:cs="Arial"/>
          <w:sz w:val="24"/>
          <w:szCs w:val="24"/>
        </w:rPr>
        <w:t xml:space="preserve"> The Conversation. Available from </w:t>
      </w:r>
      <w:hyperlink r:id="rId5" w:history="1">
        <w:r w:rsidRPr="00135C66">
          <w:rPr>
            <w:rStyle w:val="Hyperlink"/>
            <w:rFonts w:ascii="Arial" w:hAnsi="Arial" w:cs="Arial"/>
            <w:sz w:val="24"/>
            <w:szCs w:val="24"/>
          </w:rPr>
          <w:t>http://theconversation.com/bullying-and-suicide-whats-the-connection-82353</w:t>
        </w:r>
      </w:hyperlink>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Pr>
          <w:rFonts w:ascii="Arial" w:hAnsi="Arial" w:cs="Arial"/>
          <w:sz w:val="24"/>
          <w:szCs w:val="24"/>
        </w:rPr>
        <w:t xml:space="preserve"> </w:t>
      </w:r>
      <w:r w:rsidRPr="00FC4587">
        <w:rPr>
          <w:rFonts w:ascii="Arial" w:hAnsi="Arial" w:cs="Arial"/>
          <w:sz w:val="24"/>
          <w:szCs w:val="24"/>
        </w:rPr>
        <w:t xml:space="preserve">Mental Health Foundation. (Producer). (2017, September 10). Computerised Cognitive Behavioural Therapy [Audio Podcast]. Available from: </w:t>
      </w:r>
      <w:hyperlink r:id="rId6" w:history="1">
        <w:r w:rsidRPr="00135C66">
          <w:rPr>
            <w:rStyle w:val="Hyperlink"/>
            <w:rFonts w:ascii="Arial" w:hAnsi="Arial" w:cs="Arial"/>
            <w:sz w:val="24"/>
            <w:szCs w:val="24"/>
          </w:rPr>
          <w:t>http://www.mentalhealth.org.uk/podcasts-and-videos/computerised-cognitive-behavioural-therapy</w:t>
        </w:r>
      </w:hyperlink>
      <w:r w:rsidRPr="00FC4587">
        <w:rPr>
          <w:rFonts w:ascii="Arial" w:hAnsi="Arial" w:cs="Arial"/>
          <w:sz w:val="24"/>
          <w:szCs w:val="24"/>
        </w:rPr>
        <w:t xml:space="preserve"> </w:t>
      </w:r>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Pr>
          <w:rFonts w:ascii="Arial" w:hAnsi="Arial" w:cs="Arial"/>
          <w:sz w:val="24"/>
          <w:szCs w:val="24"/>
        </w:rPr>
        <w:t xml:space="preserve"> </w:t>
      </w:r>
      <w:r w:rsidRPr="00FC4587">
        <w:rPr>
          <w:rFonts w:ascii="Arial" w:hAnsi="Arial" w:cs="Arial"/>
          <w:sz w:val="24"/>
          <w:szCs w:val="24"/>
        </w:rPr>
        <w:t>Mohamed, S. (2011). Stigma and Mental Illness: Are There Cultural Differences? (</w:t>
      </w:r>
      <w:proofErr w:type="spellStart"/>
      <w:r w:rsidRPr="00FC4587">
        <w:rPr>
          <w:rFonts w:ascii="Arial" w:hAnsi="Arial" w:cs="Arial"/>
          <w:sz w:val="24"/>
          <w:szCs w:val="24"/>
        </w:rPr>
        <w:t>Doctorial</w:t>
      </w:r>
      <w:proofErr w:type="spellEnd"/>
      <w:r w:rsidRPr="00FC4587">
        <w:rPr>
          <w:rFonts w:ascii="Arial" w:hAnsi="Arial" w:cs="Arial"/>
          <w:sz w:val="24"/>
          <w:szCs w:val="24"/>
        </w:rPr>
        <w:t xml:space="preserve"> Dissertation). Retrieved from: University of East Anglia, </w:t>
      </w:r>
      <w:proofErr w:type="spellStart"/>
      <w:r w:rsidRPr="00FC4587">
        <w:rPr>
          <w:rFonts w:ascii="Arial" w:hAnsi="Arial" w:cs="Arial"/>
          <w:sz w:val="24"/>
          <w:szCs w:val="24"/>
        </w:rPr>
        <w:t>EThOS</w:t>
      </w:r>
      <w:proofErr w:type="spellEnd"/>
      <w:r w:rsidRPr="00FC4587">
        <w:rPr>
          <w:rFonts w:ascii="Arial" w:hAnsi="Arial" w:cs="Arial"/>
          <w:sz w:val="24"/>
          <w:szCs w:val="24"/>
        </w:rPr>
        <w:t>. (</w:t>
      </w:r>
      <w:proofErr w:type="gramStart"/>
      <w:r w:rsidRPr="00FC4587">
        <w:rPr>
          <w:rFonts w:ascii="Arial" w:hAnsi="Arial" w:cs="Arial"/>
          <w:sz w:val="24"/>
          <w:szCs w:val="24"/>
        </w:rPr>
        <w:t>uk.bl.ethos</w:t>
      </w:r>
      <w:proofErr w:type="gramEnd"/>
      <w:r w:rsidRPr="00FC4587">
        <w:rPr>
          <w:rFonts w:ascii="Arial" w:hAnsi="Arial" w:cs="Arial"/>
          <w:sz w:val="24"/>
          <w:szCs w:val="24"/>
        </w:rPr>
        <w:t xml:space="preserve">.573771). </w:t>
      </w:r>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Pr>
          <w:rFonts w:ascii="Arial" w:hAnsi="Arial" w:cs="Arial"/>
          <w:sz w:val="24"/>
          <w:szCs w:val="24"/>
        </w:rPr>
        <w:t xml:space="preserve"> </w:t>
      </w:r>
      <w:r w:rsidRPr="00FC4587">
        <w:rPr>
          <w:rFonts w:ascii="Arial" w:hAnsi="Arial" w:cs="Arial"/>
          <w:sz w:val="24"/>
          <w:szCs w:val="24"/>
        </w:rPr>
        <w:t xml:space="preserve">National Institute of Clinical Excellence. (2017, June 6). Social and Emotional Wellbeing of Vulnerable Children Under 5. Available from: </w:t>
      </w:r>
      <w:hyperlink r:id="rId7" w:history="1">
        <w:r w:rsidRPr="00135C66">
          <w:rPr>
            <w:rStyle w:val="Hyperlink"/>
            <w:rFonts w:ascii="Arial" w:hAnsi="Arial" w:cs="Arial"/>
            <w:sz w:val="24"/>
            <w:szCs w:val="24"/>
          </w:rPr>
          <w:t>https://pathways.nice.org.uk/pathways/social-and-emotional-wellbeing-for-children-and-young-people</w:t>
        </w:r>
      </w:hyperlink>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sidRPr="00FC4587">
        <w:rPr>
          <w:rFonts w:ascii="Arial" w:hAnsi="Arial" w:cs="Arial"/>
          <w:sz w:val="24"/>
          <w:szCs w:val="24"/>
        </w:rPr>
        <w:t xml:space="preserve"> Office for National Statistics. (2016, May 3). Adult drinking habits in Great Britain: 2005 to 2016 [electronic]. Available from: https://www.ons.gov.uk/peoplepopulationandcommunity/healthandsocialcare/drugusealcoholandsmoking/bulletins/opinionsandlifestylesurveyadultdrinkinghabit </w:t>
      </w:r>
      <w:proofErr w:type="spellStart"/>
      <w:r w:rsidRPr="00FC4587">
        <w:rPr>
          <w:rFonts w:ascii="Arial" w:hAnsi="Arial" w:cs="Arial"/>
          <w:sz w:val="24"/>
          <w:szCs w:val="24"/>
        </w:rPr>
        <w:t>singreatbritain</w:t>
      </w:r>
      <w:proofErr w:type="spellEnd"/>
      <w:r w:rsidRPr="00FC4587">
        <w:rPr>
          <w:rFonts w:ascii="Arial" w:hAnsi="Arial" w:cs="Arial"/>
          <w:sz w:val="24"/>
          <w:szCs w:val="24"/>
        </w:rPr>
        <w:t xml:space="preserve">/2005to2016 </w:t>
      </w:r>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Pr>
          <w:rFonts w:ascii="Arial" w:hAnsi="Arial" w:cs="Arial"/>
          <w:sz w:val="24"/>
          <w:szCs w:val="24"/>
        </w:rPr>
        <w:t xml:space="preserve"> </w:t>
      </w:r>
      <w:r w:rsidRPr="00FC4587">
        <w:rPr>
          <w:rFonts w:ascii="Arial" w:hAnsi="Arial" w:cs="Arial"/>
          <w:sz w:val="24"/>
          <w:szCs w:val="24"/>
        </w:rPr>
        <w:t xml:space="preserve">Oliver, E. J., </w:t>
      </w:r>
      <w:proofErr w:type="spellStart"/>
      <w:r w:rsidRPr="00FC4587">
        <w:rPr>
          <w:rFonts w:ascii="Arial" w:hAnsi="Arial" w:cs="Arial"/>
          <w:sz w:val="24"/>
          <w:szCs w:val="24"/>
        </w:rPr>
        <w:t>Mawn</w:t>
      </w:r>
      <w:proofErr w:type="spellEnd"/>
      <w:r w:rsidRPr="00FC4587">
        <w:rPr>
          <w:rFonts w:ascii="Arial" w:hAnsi="Arial" w:cs="Arial"/>
          <w:sz w:val="24"/>
          <w:szCs w:val="24"/>
        </w:rPr>
        <w:t xml:space="preserve">, L., Stain, H. J., </w:t>
      </w:r>
      <w:proofErr w:type="spellStart"/>
      <w:r w:rsidRPr="00FC4587">
        <w:rPr>
          <w:rFonts w:ascii="Arial" w:hAnsi="Arial" w:cs="Arial"/>
          <w:sz w:val="24"/>
          <w:szCs w:val="24"/>
        </w:rPr>
        <w:t>Bambra</w:t>
      </w:r>
      <w:proofErr w:type="spellEnd"/>
      <w:r w:rsidRPr="00FC4587">
        <w:rPr>
          <w:rFonts w:ascii="Arial" w:hAnsi="Arial" w:cs="Arial"/>
          <w:sz w:val="24"/>
          <w:szCs w:val="24"/>
        </w:rPr>
        <w:t xml:space="preserve">, C. L., </w:t>
      </w:r>
      <w:proofErr w:type="spellStart"/>
      <w:r w:rsidRPr="00FC4587">
        <w:rPr>
          <w:rFonts w:ascii="Arial" w:hAnsi="Arial" w:cs="Arial"/>
          <w:sz w:val="24"/>
          <w:szCs w:val="24"/>
        </w:rPr>
        <w:t>Torgerson</w:t>
      </w:r>
      <w:proofErr w:type="spellEnd"/>
      <w:r w:rsidRPr="00FC4587">
        <w:rPr>
          <w:rFonts w:ascii="Arial" w:hAnsi="Arial" w:cs="Arial"/>
          <w:sz w:val="24"/>
          <w:szCs w:val="24"/>
        </w:rPr>
        <w:t xml:space="preserve">, C., Oliver, A., &amp; Bridle, C. (2014). Should We ‘Hug a Hoodie?’ Protocol for a Systematic Review and Meta-analysis of Interventions with Young People Not in Employment, Education or Training (So-called NEETS). Systematic Reviews, 3(1), 73. </w:t>
      </w:r>
      <w:proofErr w:type="spellStart"/>
      <w:r w:rsidRPr="00FC4587">
        <w:rPr>
          <w:rFonts w:ascii="Arial" w:hAnsi="Arial" w:cs="Arial"/>
          <w:sz w:val="24"/>
          <w:szCs w:val="24"/>
        </w:rPr>
        <w:t>doi</w:t>
      </w:r>
      <w:proofErr w:type="spellEnd"/>
      <w:r w:rsidRPr="00FC4587">
        <w:rPr>
          <w:rFonts w:ascii="Arial" w:hAnsi="Arial" w:cs="Arial"/>
          <w:sz w:val="24"/>
          <w:szCs w:val="24"/>
        </w:rPr>
        <w:t>: 10.1186/2046-4053-3-73</w:t>
      </w:r>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Pr>
          <w:rFonts w:ascii="Arial" w:hAnsi="Arial" w:cs="Arial"/>
          <w:sz w:val="24"/>
          <w:szCs w:val="24"/>
        </w:rPr>
        <w:t xml:space="preserve"> </w:t>
      </w:r>
      <w:r w:rsidRPr="00FC4587">
        <w:rPr>
          <w:rFonts w:ascii="Arial" w:hAnsi="Arial" w:cs="Arial"/>
          <w:sz w:val="24"/>
          <w:szCs w:val="24"/>
        </w:rPr>
        <w:t xml:space="preserve">Phelps, C., </w:t>
      </w:r>
      <w:proofErr w:type="spellStart"/>
      <w:r w:rsidRPr="00FC4587">
        <w:rPr>
          <w:rFonts w:ascii="Arial" w:hAnsi="Arial" w:cs="Arial"/>
          <w:sz w:val="24"/>
          <w:szCs w:val="24"/>
        </w:rPr>
        <w:t>Minou</w:t>
      </w:r>
      <w:proofErr w:type="spellEnd"/>
      <w:r w:rsidRPr="00FC4587">
        <w:rPr>
          <w:rFonts w:ascii="Arial" w:hAnsi="Arial" w:cs="Arial"/>
          <w:sz w:val="24"/>
          <w:szCs w:val="24"/>
        </w:rPr>
        <w:t>, M., Baker, A., Hughes, C., French, H., &amp; Hawkins, W. et al. (2016). Necessary but not sufficient? Engaging young people in the development of an avatar-based online intervention designed to provide psychosocial support to young people affected by their own or a family member's cancer diagnosis. Health Expectations, 20(3), (pp. 459-470).</w:t>
      </w:r>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sidRPr="00FC4587">
        <w:rPr>
          <w:rFonts w:ascii="Arial" w:hAnsi="Arial" w:cs="Arial"/>
          <w:sz w:val="24"/>
          <w:szCs w:val="24"/>
        </w:rPr>
        <w:t xml:space="preserve"> </w:t>
      </w:r>
      <w:r w:rsidRPr="00FC4587">
        <w:rPr>
          <w:rFonts w:ascii="Arial" w:hAnsi="Arial" w:cs="Arial"/>
          <w:sz w:val="24"/>
          <w:szCs w:val="24"/>
        </w:rPr>
        <w:t xml:space="preserve">The Guardian. (2017, July 31). Eating Disorders in Men Rise By 70% in NHS Figures. Available from: </w:t>
      </w:r>
      <w:hyperlink r:id="rId8" w:history="1">
        <w:r w:rsidRPr="00135C66">
          <w:rPr>
            <w:rStyle w:val="Hyperlink"/>
            <w:rFonts w:ascii="Arial" w:hAnsi="Arial" w:cs="Arial"/>
            <w:sz w:val="24"/>
            <w:szCs w:val="24"/>
          </w:rPr>
          <w:t>https://www.theguardian.com/society/2017/jul/31/eating-disorders-in-men-rise-by-70-in-nhs-figures</w:t>
        </w:r>
      </w:hyperlink>
      <w:r>
        <w:rPr>
          <w:rFonts w:ascii="Arial" w:hAnsi="Arial" w:cs="Arial"/>
          <w:sz w:val="24"/>
          <w:szCs w:val="24"/>
        </w:rPr>
        <w:t xml:space="preserve"> </w:t>
      </w:r>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Pr>
          <w:rFonts w:ascii="Arial" w:hAnsi="Arial" w:cs="Arial"/>
          <w:sz w:val="24"/>
          <w:szCs w:val="24"/>
        </w:rPr>
        <w:t xml:space="preserve"> </w:t>
      </w:r>
      <w:proofErr w:type="spellStart"/>
      <w:r w:rsidRPr="00FC4587">
        <w:rPr>
          <w:rFonts w:ascii="Arial" w:hAnsi="Arial" w:cs="Arial"/>
          <w:sz w:val="24"/>
          <w:szCs w:val="24"/>
        </w:rPr>
        <w:t>Vartanian</w:t>
      </w:r>
      <w:proofErr w:type="spellEnd"/>
      <w:r w:rsidRPr="00FC4587">
        <w:rPr>
          <w:rFonts w:ascii="Arial" w:hAnsi="Arial" w:cs="Arial"/>
          <w:sz w:val="24"/>
          <w:szCs w:val="24"/>
        </w:rPr>
        <w:t xml:space="preserve">, L. R., </w:t>
      </w:r>
      <w:proofErr w:type="spellStart"/>
      <w:r w:rsidRPr="00FC4587">
        <w:rPr>
          <w:rFonts w:ascii="Arial" w:hAnsi="Arial" w:cs="Arial"/>
          <w:sz w:val="24"/>
          <w:szCs w:val="24"/>
        </w:rPr>
        <w:t>Trewarth</w:t>
      </w:r>
      <w:proofErr w:type="spellEnd"/>
      <w:r w:rsidRPr="00FC4587">
        <w:rPr>
          <w:rFonts w:ascii="Arial" w:hAnsi="Arial" w:cs="Arial"/>
          <w:sz w:val="24"/>
          <w:szCs w:val="24"/>
        </w:rPr>
        <w:t xml:space="preserve">, T. &amp; </w:t>
      </w:r>
      <w:proofErr w:type="spellStart"/>
      <w:r w:rsidRPr="00FC4587">
        <w:rPr>
          <w:rFonts w:ascii="Arial" w:hAnsi="Arial" w:cs="Arial"/>
          <w:sz w:val="24"/>
          <w:szCs w:val="24"/>
        </w:rPr>
        <w:t>Vanman</w:t>
      </w:r>
      <w:proofErr w:type="spellEnd"/>
      <w:r w:rsidRPr="00FC4587">
        <w:rPr>
          <w:rFonts w:ascii="Arial" w:hAnsi="Arial" w:cs="Arial"/>
          <w:sz w:val="24"/>
          <w:szCs w:val="24"/>
        </w:rPr>
        <w:t xml:space="preserve">, E. J. (2016). “Disgust Predicts Prejudice and Discrimination Towards Individuals with Obesity.”  Journal of Applied Social Psychology, 46(6), (pp. 369-375). </w:t>
      </w:r>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Pr>
          <w:rFonts w:ascii="Arial" w:hAnsi="Arial" w:cs="Arial"/>
          <w:sz w:val="24"/>
          <w:szCs w:val="24"/>
        </w:rPr>
        <w:t xml:space="preserve"> </w:t>
      </w:r>
      <w:r w:rsidRPr="00FC4587">
        <w:rPr>
          <w:rFonts w:ascii="Arial" w:hAnsi="Arial" w:cs="Arial"/>
          <w:sz w:val="24"/>
          <w:szCs w:val="24"/>
        </w:rPr>
        <w:t xml:space="preserve">Williamson, H. (2016, October 12-14). Supporting adolescents struggling with appearance-altering conditions: the feasibility of using an online psychosocial intervention (YP Face IT) in primary care. Poster session presented at the Annual Primary Care Conference, Royal College of General </w:t>
      </w:r>
      <w:proofErr w:type="spellStart"/>
      <w:r w:rsidRPr="00FC4587">
        <w:rPr>
          <w:rFonts w:ascii="Arial" w:hAnsi="Arial" w:cs="Arial"/>
          <w:sz w:val="24"/>
          <w:szCs w:val="24"/>
        </w:rPr>
        <w:t>Practioners</w:t>
      </w:r>
      <w:proofErr w:type="spellEnd"/>
      <w:r w:rsidRPr="00FC4587">
        <w:rPr>
          <w:rFonts w:ascii="Arial" w:hAnsi="Arial" w:cs="Arial"/>
          <w:sz w:val="24"/>
          <w:szCs w:val="24"/>
        </w:rPr>
        <w:t>. Centre for Appearance Research, University of the West of England.</w:t>
      </w:r>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Pr>
          <w:rFonts w:ascii="Arial" w:hAnsi="Arial" w:cs="Arial"/>
          <w:sz w:val="24"/>
          <w:szCs w:val="24"/>
        </w:rPr>
        <w:t xml:space="preserve"> </w:t>
      </w:r>
      <w:r w:rsidRPr="00FC4587">
        <w:rPr>
          <w:rFonts w:ascii="Arial" w:hAnsi="Arial" w:cs="Arial"/>
          <w:sz w:val="24"/>
          <w:szCs w:val="24"/>
        </w:rPr>
        <w:t xml:space="preserve">Young, E. (2017, September 18). Women Know Better Than Men What Other Women are Thinking and Feeling. The British Psychological Society. Research Digest. Available from: </w:t>
      </w:r>
      <w:hyperlink r:id="rId9" w:history="1">
        <w:r w:rsidRPr="00135C66">
          <w:rPr>
            <w:rStyle w:val="Hyperlink"/>
            <w:rFonts w:ascii="Arial" w:hAnsi="Arial" w:cs="Arial"/>
            <w:sz w:val="24"/>
            <w:szCs w:val="24"/>
          </w:rPr>
          <w:t>https://digest.bps.org.uk/2017/09/18/women-know-better-than-men-what-other-women-are-thinking-and-feeling/</w:t>
        </w:r>
      </w:hyperlink>
      <w:r w:rsidRPr="00FC4587">
        <w:rPr>
          <w:rFonts w:ascii="Arial" w:hAnsi="Arial" w:cs="Arial"/>
          <w:sz w:val="24"/>
          <w:szCs w:val="24"/>
        </w:rPr>
        <w:t xml:space="preserve"> </w:t>
      </w:r>
    </w:p>
    <w:p w:rsidR="00FC4587" w:rsidRPr="00FC4587" w:rsidRDefault="00FC4587" w:rsidP="00FC4587">
      <w:pPr>
        <w:pStyle w:val="ListParagraph"/>
        <w:rPr>
          <w:rFonts w:ascii="Arial" w:hAnsi="Arial" w:cs="Arial"/>
          <w:sz w:val="24"/>
          <w:szCs w:val="24"/>
        </w:rPr>
      </w:pPr>
    </w:p>
    <w:p w:rsidR="00FC4587" w:rsidRPr="00FC4587" w:rsidRDefault="00FC4587" w:rsidP="00FC4587">
      <w:pPr>
        <w:pStyle w:val="ListParagraph"/>
        <w:ind w:left="785"/>
        <w:rPr>
          <w:rFonts w:ascii="Arial" w:hAnsi="Arial" w:cs="Arial"/>
          <w:sz w:val="24"/>
          <w:szCs w:val="24"/>
        </w:rPr>
      </w:pPr>
    </w:p>
    <w:p w:rsidR="001B23FC" w:rsidRPr="00FC4587" w:rsidRDefault="001B23FC" w:rsidP="00FC4587">
      <w:pPr>
        <w:rPr>
          <w:rFonts w:ascii="Arial" w:hAnsi="Arial" w:cs="Arial"/>
          <w:sz w:val="24"/>
          <w:szCs w:val="24"/>
        </w:rPr>
      </w:pPr>
    </w:p>
    <w:sectPr w:rsidR="001B23FC" w:rsidRPr="00FC45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2F6A19"/>
    <w:multiLevelType w:val="hybridMultilevel"/>
    <w:tmpl w:val="042EA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DA7EF0"/>
    <w:multiLevelType w:val="hybridMultilevel"/>
    <w:tmpl w:val="B1C2084C"/>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472DCE"/>
    <w:multiLevelType w:val="hybridMultilevel"/>
    <w:tmpl w:val="7722E8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485ABB"/>
    <w:multiLevelType w:val="hybridMultilevel"/>
    <w:tmpl w:val="BD3C4A80"/>
    <w:lvl w:ilvl="0" w:tplc="6E06578A">
      <w:start w:val="1"/>
      <w:numFmt w:val="decimal"/>
      <w:lvlText w:val="%1."/>
      <w:lvlJc w:val="left"/>
      <w:pPr>
        <w:ind w:left="121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3E1"/>
    <w:rsid w:val="00024A9A"/>
    <w:rsid w:val="0008729C"/>
    <w:rsid w:val="000B6B5F"/>
    <w:rsid w:val="00122826"/>
    <w:rsid w:val="00195E94"/>
    <w:rsid w:val="001B23FC"/>
    <w:rsid w:val="001E593B"/>
    <w:rsid w:val="002A35EB"/>
    <w:rsid w:val="002F1E7E"/>
    <w:rsid w:val="003341A8"/>
    <w:rsid w:val="003555C4"/>
    <w:rsid w:val="00392682"/>
    <w:rsid w:val="004F1AC7"/>
    <w:rsid w:val="00503645"/>
    <w:rsid w:val="00800851"/>
    <w:rsid w:val="00801FC8"/>
    <w:rsid w:val="00816AB8"/>
    <w:rsid w:val="009A5BE3"/>
    <w:rsid w:val="00A61153"/>
    <w:rsid w:val="00A80693"/>
    <w:rsid w:val="00B0097F"/>
    <w:rsid w:val="00C47785"/>
    <w:rsid w:val="00C5167D"/>
    <w:rsid w:val="00CD648C"/>
    <w:rsid w:val="00EF13E1"/>
    <w:rsid w:val="00FC45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B0BFF"/>
  <w15:chartTrackingRefBased/>
  <w15:docId w15:val="{0F3A8B3A-8C1F-43A3-9E82-DACDF2722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1AC7"/>
    <w:pPr>
      <w:ind w:left="720"/>
      <w:contextualSpacing/>
    </w:pPr>
  </w:style>
  <w:style w:type="character" w:styleId="Hyperlink">
    <w:name w:val="Hyperlink"/>
    <w:basedOn w:val="DefaultParagraphFont"/>
    <w:uiPriority w:val="99"/>
    <w:unhideWhenUsed/>
    <w:rsid w:val="00FC4587"/>
    <w:rPr>
      <w:color w:val="0563C1" w:themeColor="hyperlink"/>
      <w:u w:val="single"/>
    </w:rPr>
  </w:style>
  <w:style w:type="character" w:styleId="UnresolvedMention">
    <w:name w:val="Unresolved Mention"/>
    <w:basedOn w:val="DefaultParagraphFont"/>
    <w:uiPriority w:val="99"/>
    <w:semiHidden/>
    <w:unhideWhenUsed/>
    <w:rsid w:val="00FC458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17/jul/31/eating-disorders-in-men-rise-by-70-in-nhs-figures" TargetMode="External"/><Relationship Id="rId3" Type="http://schemas.openxmlformats.org/officeDocument/2006/relationships/settings" Target="settings.xml"/><Relationship Id="rId7" Type="http://schemas.openxmlformats.org/officeDocument/2006/relationships/hyperlink" Target="https://pathways.nice.org.uk/pathways/social-and-emotional-wellbeing-for-children-and-young-peop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entalhealth.org.uk/podcasts-and-videos/computerised-cognitive-behavioural-therapy" TargetMode="External"/><Relationship Id="rId11" Type="http://schemas.openxmlformats.org/officeDocument/2006/relationships/theme" Target="theme/theme1.xml"/><Relationship Id="rId5" Type="http://schemas.openxmlformats.org/officeDocument/2006/relationships/hyperlink" Target="http://theconversation.com/bullying-and-suicide-whats-the-connection-82353"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igest.bps.org.uk/2017/09/18/women-know-better-than-men-what-other-women-are-thinking-and-fee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7</Pages>
  <Words>1813</Words>
  <Characters>10335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Axon</dc:creator>
  <cp:keywords/>
  <dc:description/>
  <cp:lastModifiedBy>Chelsea Axon</cp:lastModifiedBy>
  <cp:revision>8</cp:revision>
  <dcterms:created xsi:type="dcterms:W3CDTF">2017-11-06T14:56:00Z</dcterms:created>
  <dcterms:modified xsi:type="dcterms:W3CDTF">2017-11-12T22:33:00Z</dcterms:modified>
</cp:coreProperties>
</file>