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8103740"/>
        <w:docPartObj>
          <w:docPartGallery w:val="Cover Pages"/>
          <w:docPartUnique/>
        </w:docPartObj>
      </w:sdtPr>
      <w:sdtEndPr>
        <w:rPr>
          <w:rFonts w:ascii="Times New Roman" w:eastAsia="Times New Roman" w:hAnsi="Times New Roman" w:cs="Times New Roman"/>
          <w:color w:val="000000"/>
          <w:kern w:val="0"/>
          <w:lang w:eastAsia="en-GB"/>
          <w14:ligatures w14:val="none"/>
        </w:rPr>
      </w:sdtEndPr>
      <w:sdtContent>
        <w:p w14:paraId="6FB9C7BE" w14:textId="1BC0348E" w:rsidR="001B361D" w:rsidRDefault="001B361D"/>
        <w:p w14:paraId="08EDF8C2" w14:textId="363432E8" w:rsidR="001B361D" w:rsidRDefault="001B361D">
          <w:pPr>
            <w:rPr>
              <w:rFonts w:ascii="Times New Roman" w:eastAsia="Times New Roman" w:hAnsi="Times New Roman" w:cs="Times New Roman"/>
              <w:color w:val="000000"/>
              <w:kern w:val="0"/>
              <w:lang w:eastAsia="en-GB"/>
              <w14:ligatures w14:val="none"/>
            </w:rPr>
          </w:pPr>
          <w:r>
            <w:rPr>
              <w:noProof/>
              <w:lang w:eastAsia="zh-CN"/>
            </w:rPr>
            <mc:AlternateContent>
              <mc:Choice Requires="wps">
                <w:drawing>
                  <wp:anchor distT="0" distB="0" distL="182880" distR="182880" simplePos="0" relativeHeight="251660288" behindDoc="0" locked="0" layoutInCell="1" allowOverlap="1" wp14:anchorId="7B5A9170" wp14:editId="5C8A65E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E8947" w14:textId="0109294D" w:rsidR="001B361D" w:rsidRPr="001B361D" w:rsidRDefault="00000000">
                                <w:pPr>
                                  <w:pStyle w:val="NoSpacing"/>
                                  <w:spacing w:before="40" w:after="560" w:line="216" w:lineRule="auto"/>
                                  <w:rPr>
                                    <w:color w:val="156082" w:themeColor="accent1"/>
                                    <w:sz w:val="40"/>
                                    <w:szCs w:val="40"/>
                                  </w:rPr>
                                </w:pPr>
                                <w:sdt>
                                  <w:sdtPr>
                                    <w:rPr>
                                      <w:rFonts w:ascii="Times New Roman" w:eastAsia="Times New Roman" w:hAnsi="Times New Roman" w:cs="Times New Roman"/>
                                      <w:color w:val="000000"/>
                                      <w:sz w:val="40"/>
                                      <w:szCs w:val="40"/>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B361D" w:rsidRPr="001B361D">
                                      <w:rPr>
                                        <w:rFonts w:ascii="Times New Roman" w:eastAsia="Times New Roman" w:hAnsi="Times New Roman" w:cs="Times New Roman"/>
                                        <w:color w:val="000000"/>
                                        <w:sz w:val="40"/>
                                        <w:szCs w:val="40"/>
                                        <w:lang w:eastAsia="en-GB"/>
                                      </w:rPr>
                                      <w:t>Digital Childhood in Transition: A Critical Analysis of How Emerging Technologies Shape Development, Wellbeing and Social Experiences Among Children and Young People</w:t>
                                    </w:r>
                                  </w:sdtContent>
                                </w:sdt>
                              </w:p>
                              <w:p w14:paraId="120529E9" w14:textId="114B51B0" w:rsidR="001B361D" w:rsidRPr="00267545" w:rsidRDefault="00000000">
                                <w:pPr>
                                  <w:pStyle w:val="NoSpacing"/>
                                  <w:spacing w:before="40" w:after="40"/>
                                  <w:rPr>
                                    <w:rFonts w:ascii="Times New Roman" w:hAnsi="Times New Roman" w:cs="Times New Roman"/>
                                    <w:bCs/>
                                    <w:caps/>
                                    <w:color w:val="501549" w:themeColor="accent5" w:themeShade="80"/>
                                    <w:sz w:val="28"/>
                                    <w:szCs w:val="28"/>
                                  </w:rPr>
                                </w:pPr>
                                <w:sdt>
                                  <w:sdtPr>
                                    <w:rPr>
                                      <w:rFonts w:ascii="Times New Roman" w:hAnsi="Times New Roman" w:cs="Times New Roman"/>
                                      <w:bC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267545" w:rsidRPr="00267545">
                                      <w:rPr>
                                        <w:rFonts w:ascii="Times New Roman" w:hAnsi="Times New Roman" w:cs="Times New Roman"/>
                                        <w:bCs/>
                                      </w:rPr>
                                      <w:t>Children Young People and Emerging Technologies</w:t>
                                    </w:r>
                                  </w:sdtContent>
                                </w:sdt>
                                <w:r w:rsidR="00267545" w:rsidRPr="00267545">
                                  <w:rPr>
                                    <w:rFonts w:ascii="Times New Roman" w:hAnsi="Times New Roman" w:cs="Times New Roman"/>
                                    <w:bCs/>
                                  </w:rPr>
                                  <w:t xml:space="preserve"> (BMHP6023)</w:t>
                                </w:r>
                              </w:p>
                              <w:sdt>
                                <w:sdtPr>
                                  <w:rPr>
                                    <w:rFonts w:ascii="Arial" w:hAnsi="Arial" w:cs="Arial"/>
                                    <w:color w:val="242130"/>
                                    <w:shd w:val="clear" w:color="auto" w:fill="FFFFFF"/>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B257D33" w14:textId="6194C540" w:rsidR="001B361D" w:rsidRPr="001B361D" w:rsidRDefault="001B361D">
                                    <w:pPr>
                                      <w:pStyle w:val="NoSpacing"/>
                                      <w:spacing w:before="80" w:after="40"/>
                                      <w:rPr>
                                        <w:caps/>
                                        <w:color w:val="000000" w:themeColor="text1"/>
                                        <w:sz w:val="24"/>
                                        <w:szCs w:val="24"/>
                                      </w:rPr>
                                    </w:pPr>
                                    <w:r w:rsidRPr="001B361D">
                                      <w:rPr>
                                        <w:rFonts w:ascii="Arial" w:hAnsi="Arial" w:cs="Arial"/>
                                        <w:color w:val="242130"/>
                                        <w:shd w:val="clear" w:color="auto" w:fill="FFFFFF"/>
                                      </w:rPr>
                                      <w:t xml:space="preserve">Katarzyna </w:t>
                                    </w:r>
                                    <w:r w:rsidR="00267545">
                                      <w:rPr>
                                        <w:rFonts w:ascii="Arial" w:hAnsi="Arial" w:cs="Arial"/>
                                        <w:color w:val="242130"/>
                                        <w:shd w:val="clear" w:color="auto" w:fill="FFFFFF"/>
                                      </w:rPr>
                                      <w:t>T</w:t>
                                    </w:r>
                                    <w:r w:rsidRPr="001B361D">
                                      <w:rPr>
                                        <w:rFonts w:ascii="Arial" w:hAnsi="Arial" w:cs="Arial"/>
                                        <w:color w:val="242130"/>
                                        <w:shd w:val="clear" w:color="auto" w:fill="FFFFFF"/>
                                      </w:rPr>
                                      <w:t>raczewska (2215838</w:t>
                                    </w:r>
                                    <w:r>
                                      <w:rPr>
                                        <w:rFonts w:ascii="Arial" w:hAnsi="Arial" w:cs="Arial"/>
                                        <w:color w:val="242130"/>
                                        <w:shd w:val="clear" w:color="auto" w:fill="FFFFFF"/>
                                      </w:rPr>
                                      <w: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5A9170"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399E8947" w14:textId="0109294D" w:rsidR="001B361D" w:rsidRPr="001B361D" w:rsidRDefault="00000000">
                          <w:pPr>
                            <w:pStyle w:val="NoSpacing"/>
                            <w:spacing w:before="40" w:after="560" w:line="216" w:lineRule="auto"/>
                            <w:rPr>
                              <w:color w:val="156082" w:themeColor="accent1"/>
                              <w:sz w:val="40"/>
                              <w:szCs w:val="40"/>
                            </w:rPr>
                          </w:pPr>
                          <w:sdt>
                            <w:sdtPr>
                              <w:rPr>
                                <w:rFonts w:ascii="Times New Roman" w:eastAsia="Times New Roman" w:hAnsi="Times New Roman" w:cs="Times New Roman"/>
                                <w:color w:val="000000"/>
                                <w:sz w:val="40"/>
                                <w:szCs w:val="40"/>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B361D" w:rsidRPr="001B361D">
                                <w:rPr>
                                  <w:rFonts w:ascii="Times New Roman" w:eastAsia="Times New Roman" w:hAnsi="Times New Roman" w:cs="Times New Roman"/>
                                  <w:color w:val="000000"/>
                                  <w:sz w:val="40"/>
                                  <w:szCs w:val="40"/>
                                  <w:lang w:eastAsia="en-GB"/>
                                </w:rPr>
                                <w:t>Digital Childhood in Transition: A Critical Analysis of How Emerging Technologies Shape Development, Wellbeing and Social Experiences Among Children and Young People</w:t>
                              </w:r>
                            </w:sdtContent>
                          </w:sdt>
                        </w:p>
                        <w:p w14:paraId="120529E9" w14:textId="114B51B0" w:rsidR="001B361D" w:rsidRPr="00267545" w:rsidRDefault="00000000">
                          <w:pPr>
                            <w:pStyle w:val="NoSpacing"/>
                            <w:spacing w:before="40" w:after="40"/>
                            <w:rPr>
                              <w:rFonts w:ascii="Times New Roman" w:hAnsi="Times New Roman" w:cs="Times New Roman"/>
                              <w:bCs/>
                              <w:caps/>
                              <w:color w:val="501549" w:themeColor="accent5" w:themeShade="80"/>
                              <w:sz w:val="28"/>
                              <w:szCs w:val="28"/>
                            </w:rPr>
                          </w:pPr>
                          <w:sdt>
                            <w:sdtPr>
                              <w:rPr>
                                <w:rFonts w:ascii="Times New Roman" w:hAnsi="Times New Roman" w:cs="Times New Roman"/>
                                <w:bC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267545" w:rsidRPr="00267545">
                                <w:rPr>
                                  <w:rFonts w:ascii="Times New Roman" w:hAnsi="Times New Roman" w:cs="Times New Roman"/>
                                  <w:bCs/>
                                </w:rPr>
                                <w:t>Children Young People and Emerging Technologies</w:t>
                              </w:r>
                            </w:sdtContent>
                          </w:sdt>
                          <w:r w:rsidR="00267545" w:rsidRPr="00267545">
                            <w:rPr>
                              <w:rFonts w:ascii="Times New Roman" w:hAnsi="Times New Roman" w:cs="Times New Roman"/>
                              <w:bCs/>
                            </w:rPr>
                            <w:t xml:space="preserve"> (BMHP6023)</w:t>
                          </w:r>
                        </w:p>
                        <w:sdt>
                          <w:sdtPr>
                            <w:rPr>
                              <w:rFonts w:ascii="Arial" w:hAnsi="Arial" w:cs="Arial"/>
                              <w:color w:val="242130"/>
                              <w:shd w:val="clear" w:color="auto" w:fill="FFFFFF"/>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B257D33" w14:textId="6194C540" w:rsidR="001B361D" w:rsidRPr="001B361D" w:rsidRDefault="001B361D">
                              <w:pPr>
                                <w:pStyle w:val="NoSpacing"/>
                                <w:spacing w:before="80" w:after="40"/>
                                <w:rPr>
                                  <w:caps/>
                                  <w:color w:val="000000" w:themeColor="text1"/>
                                  <w:sz w:val="24"/>
                                  <w:szCs w:val="24"/>
                                </w:rPr>
                              </w:pPr>
                              <w:r w:rsidRPr="001B361D">
                                <w:rPr>
                                  <w:rFonts w:ascii="Arial" w:hAnsi="Arial" w:cs="Arial"/>
                                  <w:color w:val="242130"/>
                                  <w:shd w:val="clear" w:color="auto" w:fill="FFFFFF"/>
                                </w:rPr>
                                <w:t xml:space="preserve">Katarzyna </w:t>
                              </w:r>
                              <w:r w:rsidR="00267545">
                                <w:rPr>
                                  <w:rFonts w:ascii="Arial" w:hAnsi="Arial" w:cs="Arial"/>
                                  <w:color w:val="242130"/>
                                  <w:shd w:val="clear" w:color="auto" w:fill="FFFFFF"/>
                                </w:rPr>
                                <w:t>T</w:t>
                              </w:r>
                              <w:r w:rsidRPr="001B361D">
                                <w:rPr>
                                  <w:rFonts w:ascii="Arial" w:hAnsi="Arial" w:cs="Arial"/>
                                  <w:color w:val="242130"/>
                                  <w:shd w:val="clear" w:color="auto" w:fill="FFFFFF"/>
                                </w:rPr>
                                <w:t>raczewska (2215838</w:t>
                              </w:r>
                              <w:r>
                                <w:rPr>
                                  <w:rFonts w:ascii="Arial" w:hAnsi="Arial" w:cs="Arial"/>
                                  <w:color w:val="242130"/>
                                  <w:shd w:val="clear" w:color="auto" w:fill="FFFFFF"/>
                                </w:rPr>
                                <w:t>)</w:t>
                              </w:r>
                            </w:p>
                          </w:sdtContent>
                        </w:sdt>
                      </w:txbxContent>
                    </v:textbox>
                    <w10:wrap type="square" anchorx="margin" anchory="page"/>
                  </v:shape>
                </w:pict>
              </mc:Fallback>
            </mc:AlternateContent>
          </w:r>
          <w:r>
            <w:rPr>
              <w:rFonts w:ascii="Times New Roman" w:eastAsia="Times New Roman" w:hAnsi="Times New Roman" w:cs="Times New Roman"/>
              <w:color w:val="000000"/>
              <w:kern w:val="0"/>
              <w:lang w:eastAsia="en-GB"/>
              <w14:ligatures w14:val="none"/>
            </w:rPr>
            <w:br w:type="page"/>
          </w:r>
        </w:p>
      </w:sdtContent>
    </w:sdt>
    <w:p w14:paraId="4E2697E7" w14:textId="77777777" w:rsidR="004A6540" w:rsidRPr="004A6540" w:rsidRDefault="004A6540" w:rsidP="004A6540">
      <w:pPr>
        <w:spacing w:before="100" w:beforeAutospacing="1" w:after="100" w:afterAutospacing="1"/>
        <w:rPr>
          <w:rFonts w:ascii="Times New Roman" w:eastAsia="Times New Roman" w:hAnsi="Times New Roman" w:cs="Times New Roman"/>
          <w:color w:val="000000"/>
          <w:kern w:val="0"/>
          <w:lang w:eastAsia="en-GB"/>
          <w14:ligatures w14:val="none"/>
        </w:rPr>
      </w:pPr>
    </w:p>
    <w:p w14:paraId="5E0F3137" w14:textId="5603311A"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The rapid expansion of emerging technologies has reshaped childhood in the UK and globally, with social media, online gaming communities, algorithm</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driven content feeds, wearable devices and digital learning environments now woven into everyday routines. Children and young people do not merely “use” technology; they grow up inside digitally mediated ecosystems that influence communication, learning, peer status, identity work and access to support (Livingstone and </w:t>
      </w:r>
      <w:proofErr w:type="spellStart"/>
      <w:r w:rsidRPr="004A6540">
        <w:rPr>
          <w:rFonts w:ascii="Times New Roman" w:eastAsia="Times New Roman" w:hAnsi="Times New Roman" w:cs="Times New Roman"/>
          <w:color w:val="000000"/>
          <w:kern w:val="0"/>
          <w:lang w:eastAsia="en-GB"/>
          <w14:ligatures w14:val="none"/>
        </w:rPr>
        <w:t>Stoilova</w:t>
      </w:r>
      <w:proofErr w:type="spellEnd"/>
      <w:r w:rsidRPr="004A6540">
        <w:rPr>
          <w:rFonts w:ascii="Times New Roman" w:eastAsia="Times New Roman" w:hAnsi="Times New Roman" w:cs="Times New Roman"/>
          <w:color w:val="000000"/>
          <w:kern w:val="0"/>
          <w:lang w:eastAsia="en-GB"/>
          <w14:ligatures w14:val="none"/>
        </w:rPr>
        <w:t>, 2021). Public debate often swings between moral panic and techno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optimism, yet research increasingly suggests that impacts are contingent: outcomes depend on what young people do online, why they do it, with whom, and under which social and developmental conditions (Odgers and Jensen, 2020). This essay critically examines how emerging technologies shape development, learning, behaviour, socialisation and wellbeing. It argues that digital childhood is best understood as a double-edged phenomenon: digital environments can extend opportunities for participation, learning and health promotion, while also amplifying risks linked to persuasive design, inequality, datafication and mental health stressors. For practitioners in health and care, the practical challenge is not to decide whether technology is “good” or “bad”, but to identify when and for whom specific digital conditions become protective or harmful, and to intervene proportionately.</w:t>
      </w:r>
    </w:p>
    <w:p w14:paraId="07DFF7EE" w14:textId="768018FF"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A strong analysis requires a framework that can hold complexity. Bronfenbrenner’s ecological systems theory remains useful because it locates development within nested systems</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micro (family, peers), </w:t>
      </w:r>
      <w:proofErr w:type="spellStart"/>
      <w:r w:rsidRPr="004A6540">
        <w:rPr>
          <w:rFonts w:ascii="Times New Roman" w:eastAsia="Times New Roman" w:hAnsi="Times New Roman" w:cs="Times New Roman"/>
          <w:color w:val="000000"/>
          <w:kern w:val="0"/>
          <w:lang w:eastAsia="en-GB"/>
          <w14:ligatures w14:val="none"/>
        </w:rPr>
        <w:t>meso</w:t>
      </w:r>
      <w:proofErr w:type="spellEnd"/>
      <w:r w:rsidRPr="004A6540">
        <w:rPr>
          <w:rFonts w:ascii="Times New Roman" w:eastAsia="Times New Roman" w:hAnsi="Times New Roman" w:cs="Times New Roman"/>
          <w:color w:val="000000"/>
          <w:kern w:val="0"/>
          <w:lang w:eastAsia="en-GB"/>
          <w14:ligatures w14:val="none"/>
        </w:rPr>
        <w:t xml:space="preserve"> (connections between settings), </w:t>
      </w:r>
      <w:proofErr w:type="spellStart"/>
      <w:r w:rsidRPr="004A6540">
        <w:rPr>
          <w:rFonts w:ascii="Times New Roman" w:eastAsia="Times New Roman" w:hAnsi="Times New Roman" w:cs="Times New Roman"/>
          <w:color w:val="000000"/>
          <w:kern w:val="0"/>
          <w:lang w:eastAsia="en-GB"/>
          <w14:ligatures w14:val="none"/>
        </w:rPr>
        <w:t>exo</w:t>
      </w:r>
      <w:proofErr w:type="spellEnd"/>
      <w:r w:rsidRPr="004A6540">
        <w:rPr>
          <w:rFonts w:ascii="Times New Roman" w:eastAsia="Times New Roman" w:hAnsi="Times New Roman" w:cs="Times New Roman"/>
          <w:color w:val="000000"/>
          <w:kern w:val="0"/>
          <w:lang w:eastAsia="en-GB"/>
          <w14:ligatures w14:val="none"/>
        </w:rPr>
        <w:t xml:space="preserve"> (parents’ work, local services), macro (culture, economy, norms) and chrono (historical time and change) (Bronfenbrenner, 1979). In contemporary childhood, technology permeates each layer, shaping parenting practices, school expectations and peer cultures. Johnson and </w:t>
      </w:r>
      <w:proofErr w:type="spellStart"/>
      <w:r w:rsidRPr="004A6540">
        <w:rPr>
          <w:rFonts w:ascii="Times New Roman" w:eastAsia="Times New Roman" w:hAnsi="Times New Roman" w:cs="Times New Roman"/>
          <w:color w:val="000000"/>
          <w:kern w:val="0"/>
          <w:lang w:eastAsia="en-GB"/>
          <w14:ligatures w14:val="none"/>
        </w:rPr>
        <w:t>Puplampu</w:t>
      </w:r>
      <w:proofErr w:type="spellEnd"/>
      <w:r w:rsidRPr="004A6540">
        <w:rPr>
          <w:rFonts w:ascii="Times New Roman" w:eastAsia="Times New Roman" w:hAnsi="Times New Roman" w:cs="Times New Roman"/>
          <w:color w:val="000000"/>
          <w:kern w:val="0"/>
          <w:lang w:eastAsia="en-GB"/>
          <w14:ligatures w14:val="none"/>
        </w:rPr>
        <w:t xml:space="preserve"> (2008) propose an “ecological techno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subsystem”, emphasising that digital tools are not external add</w:t>
      </w:r>
      <w:r w:rsidR="00F1275E">
        <w:rPr>
          <w:rFonts w:ascii="Times New Roman" w:eastAsia="Times New Roman" w:hAnsi="Times New Roman" w:cs="Times New Roman"/>
          <w:color w:val="000000"/>
          <w:kern w:val="0"/>
          <w:lang w:eastAsia="en-GB"/>
          <w14:ligatures w14:val="none"/>
        </w:rPr>
        <w:t xml:space="preserve"> </w:t>
      </w:r>
      <w:proofErr w:type="spellStart"/>
      <w:r w:rsidRPr="004A6540">
        <w:rPr>
          <w:rFonts w:ascii="Times New Roman" w:eastAsia="Times New Roman" w:hAnsi="Times New Roman" w:cs="Times New Roman"/>
          <w:color w:val="000000"/>
          <w:kern w:val="0"/>
          <w:lang w:eastAsia="en-GB"/>
          <w14:ligatures w14:val="none"/>
        </w:rPr>
        <w:t>ons</w:t>
      </w:r>
      <w:proofErr w:type="spellEnd"/>
      <w:r w:rsidRPr="004A6540">
        <w:rPr>
          <w:rFonts w:ascii="Times New Roman" w:eastAsia="Times New Roman" w:hAnsi="Times New Roman" w:cs="Times New Roman"/>
          <w:color w:val="000000"/>
          <w:kern w:val="0"/>
          <w:lang w:eastAsia="en-GB"/>
          <w14:ligatures w14:val="none"/>
        </w:rPr>
        <w:t xml:space="preserve"> but part of the child’s immediate environment. This helps explain why “screen time” is a blunt metric: it misses whether digital activity is co-viewed or isolating, creative or passive, supportive or risky (Orben and Przybylski, 2019). The chrono-system is especially relevant because platform design and content moderation change rapidly; professional practice, law and public understanding often </w:t>
      </w:r>
      <w:proofErr w:type="gramStart"/>
      <w:r w:rsidRPr="004A6540">
        <w:rPr>
          <w:rFonts w:ascii="Times New Roman" w:eastAsia="Times New Roman" w:hAnsi="Times New Roman" w:cs="Times New Roman"/>
          <w:color w:val="000000"/>
          <w:kern w:val="0"/>
          <w:lang w:eastAsia="en-GB"/>
          <w14:ligatures w14:val="none"/>
        </w:rPr>
        <w:t>lag behind</w:t>
      </w:r>
      <w:proofErr w:type="gramEnd"/>
      <w:r w:rsidRPr="004A6540">
        <w:rPr>
          <w:rFonts w:ascii="Times New Roman" w:eastAsia="Times New Roman" w:hAnsi="Times New Roman" w:cs="Times New Roman"/>
          <w:color w:val="000000"/>
          <w:kern w:val="0"/>
          <w:lang w:eastAsia="en-GB"/>
          <w14:ligatures w14:val="none"/>
        </w:rPr>
        <w:t xml:space="preserve"> innovation (OECD, 2021). A key implication is that assessment and intervention should focus on the quality, purpose and relational context of digital engagement rather than on duration alone.</w:t>
      </w:r>
    </w:p>
    <w:p w14:paraId="36371CFC" w14:textId="69B9602F"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lastRenderedPageBreak/>
        <w:t>Within the microsystem, family relationships can be strengthened or strained by technology. Co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use of media can support communication, shared interests and learning, especially when adults scaffold children’s understanding and model boundaries (Nathanson, 2015). Yet research on “</w:t>
      </w:r>
      <w:proofErr w:type="spellStart"/>
      <w:r w:rsidRPr="004A6540">
        <w:rPr>
          <w:rFonts w:ascii="Times New Roman" w:eastAsia="Times New Roman" w:hAnsi="Times New Roman" w:cs="Times New Roman"/>
          <w:color w:val="000000"/>
          <w:kern w:val="0"/>
          <w:lang w:eastAsia="en-GB"/>
          <w14:ligatures w14:val="none"/>
        </w:rPr>
        <w:t>technoference</w:t>
      </w:r>
      <w:proofErr w:type="spellEnd"/>
      <w:r w:rsidRPr="004A6540">
        <w:rPr>
          <w:rFonts w:ascii="Times New Roman" w:eastAsia="Times New Roman" w:hAnsi="Times New Roman" w:cs="Times New Roman"/>
          <w:color w:val="000000"/>
          <w:kern w:val="0"/>
          <w:lang w:eastAsia="en-GB"/>
          <w14:ligatures w14:val="none"/>
        </w:rPr>
        <w:t>” suggests that adult device distraction can disrupt parent</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child interaction and is associated with child behaviour difficulties, potentially because it fragments attention and reduces sensitive responsiveness (McDaniel and Radesky, 2018). This does not mean parental phone use “causes” behavioural problems; it does suggest that technology can alter interaction patterns in ways that matter for emotional regulation and attachment. For practitioners, a practical approach is to explore how devices function in family life</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are they tools for connection, coping, conflict avoidance, or surveillance</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and to support routines that protect sleep, play and conversation (Radesky and Christakis, 2016). Importantly, the burden should not fall solely on families; macro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level conditions such as precarious work, cost</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of</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living pressures and reduced community services shape how households rely on screens for childcare, connection and respite (OECD, 2021).</w:t>
      </w:r>
    </w:p>
    <w:p w14:paraId="7B5FB9DF" w14:textId="38E3AA74"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Education is another domain where emerging technologies produce uneven effects. Digital platforms can widen access to information, enable differentiated instruction and support learners with additional needs through assistive technologies (Selwyn, 2016). During periods of disruption, remote learning can provide continuity and a sense of structure. However, evidence also shows that digital education can deepen inequalities when access, quiet study space, adult support and digital confidence are unevenly distributed (UNICEF, 2017). Helsper (2021) argues that the “second</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level digital divide” concerns skills and meaningful use, not just hardware. OECD (2021) similarly notes that young people with greater social and cultural capital are more able to translate online opportunities into offline advantage (e.g., enrichment activities, networking, portfolio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building), while others are pushed toward entertainment</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dominated use. For a health and care lens, this matters because educational exclusion links to wellbeing through stress, </w:t>
      </w:r>
      <w:proofErr w:type="gramStart"/>
      <w:r w:rsidRPr="004A6540">
        <w:rPr>
          <w:rFonts w:ascii="Times New Roman" w:eastAsia="Times New Roman" w:hAnsi="Times New Roman" w:cs="Times New Roman"/>
          <w:color w:val="000000"/>
          <w:kern w:val="0"/>
          <w:lang w:eastAsia="en-GB"/>
          <w14:ligatures w14:val="none"/>
        </w:rPr>
        <w:t>future prospects</w:t>
      </w:r>
      <w:proofErr w:type="gramEnd"/>
      <w:r w:rsidRPr="004A6540">
        <w:rPr>
          <w:rFonts w:ascii="Times New Roman" w:eastAsia="Times New Roman" w:hAnsi="Times New Roman" w:cs="Times New Roman"/>
          <w:color w:val="000000"/>
          <w:kern w:val="0"/>
          <w:lang w:eastAsia="en-GB"/>
          <w14:ligatures w14:val="none"/>
        </w:rPr>
        <w:t xml:space="preserve"> and self-efficacy. A critical stance therefore recognises that technology is not automatically an equaliser; without inclusive design and targeted support, it can reproduce disadvantage.</w:t>
      </w:r>
    </w:p>
    <w:p w14:paraId="226AA769" w14:textId="59F1D9E6"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Digital communities reshape socialisation by extending peer networks beyond local geography. Networked publics allow young people to maintain friendships, explore interests and gain peer recognition (</w:t>
      </w:r>
      <w:proofErr w:type="spellStart"/>
      <w:r w:rsidRPr="004A6540">
        <w:rPr>
          <w:rFonts w:ascii="Times New Roman" w:eastAsia="Times New Roman" w:hAnsi="Times New Roman" w:cs="Times New Roman"/>
          <w:color w:val="000000"/>
          <w:kern w:val="0"/>
          <w:lang w:eastAsia="en-GB"/>
          <w14:ligatures w14:val="none"/>
        </w:rPr>
        <w:t>boyd</w:t>
      </w:r>
      <w:proofErr w:type="spellEnd"/>
      <w:r w:rsidRPr="004A6540">
        <w:rPr>
          <w:rFonts w:ascii="Times New Roman" w:eastAsia="Times New Roman" w:hAnsi="Times New Roman" w:cs="Times New Roman"/>
          <w:color w:val="000000"/>
          <w:kern w:val="0"/>
          <w:lang w:eastAsia="en-GB"/>
          <w14:ligatures w14:val="none"/>
        </w:rPr>
        <w:t xml:space="preserve">, 2014). For some, especially those who feel marginalised offline, online communities can provide identity affirmation and social support (UNICEF, </w:t>
      </w:r>
      <w:r w:rsidRPr="004A6540">
        <w:rPr>
          <w:rFonts w:ascii="Times New Roman" w:eastAsia="Times New Roman" w:hAnsi="Times New Roman" w:cs="Times New Roman"/>
          <w:color w:val="000000"/>
          <w:kern w:val="0"/>
          <w:lang w:eastAsia="en-GB"/>
          <w14:ligatures w14:val="none"/>
        </w:rPr>
        <w:lastRenderedPageBreak/>
        <w:t xml:space="preserve">2017). This can be protective for wellbeing, offering belonging and information that may not be available in immediate environments. Yet online sociality also brings new pressures. Goffman’s (1959) concept of </w:t>
      </w:r>
      <w:r w:rsidR="00F1275E" w:rsidRPr="004A6540">
        <w:rPr>
          <w:rFonts w:ascii="Times New Roman" w:eastAsia="Times New Roman" w:hAnsi="Times New Roman" w:cs="Times New Roman"/>
          <w:color w:val="000000"/>
          <w:kern w:val="0"/>
          <w:lang w:eastAsia="en-GB"/>
          <w14:ligatures w14:val="none"/>
        </w:rPr>
        <w:t>self</w:t>
      </w:r>
      <w:r w:rsidR="00F1275E">
        <w:rPr>
          <w:rFonts w:ascii="Times New Roman" w:eastAsia="Times New Roman" w:hAnsi="Times New Roman" w:cs="Times New Roman"/>
          <w:color w:val="000000"/>
          <w:kern w:val="0"/>
          <w:lang w:eastAsia="en-GB"/>
          <w14:ligatures w14:val="none"/>
        </w:rPr>
        <w:t>-</w:t>
      </w:r>
      <w:r w:rsidR="00F1275E" w:rsidRPr="004A6540">
        <w:rPr>
          <w:rFonts w:ascii="Times New Roman" w:eastAsia="Times New Roman" w:hAnsi="Times New Roman" w:cs="Times New Roman"/>
          <w:color w:val="000000"/>
          <w:kern w:val="0"/>
          <w:lang w:eastAsia="en-GB"/>
          <w14:ligatures w14:val="none"/>
        </w:rPr>
        <w:t>presentation</w:t>
      </w:r>
      <w:r w:rsidRPr="004A6540">
        <w:rPr>
          <w:rFonts w:ascii="Times New Roman" w:eastAsia="Times New Roman" w:hAnsi="Times New Roman" w:cs="Times New Roman"/>
          <w:color w:val="000000"/>
          <w:kern w:val="0"/>
          <w:lang w:eastAsia="en-GB"/>
          <w14:ligatures w14:val="none"/>
        </w:rPr>
        <w:t xml:space="preserve"> is intensified in social media contexts where audiences are persistent, searchable and scalable. Young people may feel compelled to curate images, manage impressions and monitor feedback. Social comparison processes</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already salient in adolescence</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can become algorithmically amplified when platforms prioritise content that drives engagement (Vogel et al., 2014). Evidence links certain patterns of social media use (e.g., passive scrolling, appearance</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focused comparison) to lower </w:t>
      </w:r>
      <w:r w:rsidR="00F1275E" w:rsidRPr="004A6540">
        <w:rPr>
          <w:rFonts w:ascii="Times New Roman" w:eastAsia="Times New Roman" w:hAnsi="Times New Roman" w:cs="Times New Roman"/>
          <w:color w:val="000000"/>
          <w:kern w:val="0"/>
          <w:lang w:eastAsia="en-GB"/>
          <w14:ligatures w14:val="none"/>
        </w:rPr>
        <w:t>self</w:t>
      </w:r>
      <w:r w:rsidR="00F1275E">
        <w:rPr>
          <w:rFonts w:ascii="Times New Roman" w:eastAsia="Times New Roman" w:hAnsi="Times New Roman" w:cs="Times New Roman"/>
          <w:color w:val="000000"/>
          <w:kern w:val="0"/>
          <w:lang w:eastAsia="en-GB"/>
          <w14:ligatures w14:val="none"/>
        </w:rPr>
        <w:t>-</w:t>
      </w:r>
      <w:r w:rsidR="00F1275E" w:rsidRPr="004A6540">
        <w:rPr>
          <w:rFonts w:ascii="Times New Roman" w:eastAsia="Times New Roman" w:hAnsi="Times New Roman" w:cs="Times New Roman"/>
          <w:color w:val="000000"/>
          <w:kern w:val="0"/>
          <w:lang w:eastAsia="en-GB"/>
          <w14:ligatures w14:val="none"/>
        </w:rPr>
        <w:t>esteem</w:t>
      </w:r>
      <w:r w:rsidRPr="004A6540">
        <w:rPr>
          <w:rFonts w:ascii="Times New Roman" w:eastAsia="Times New Roman" w:hAnsi="Times New Roman" w:cs="Times New Roman"/>
          <w:color w:val="000000"/>
          <w:kern w:val="0"/>
          <w:lang w:eastAsia="en-GB"/>
          <w14:ligatures w14:val="none"/>
        </w:rPr>
        <w:t xml:space="preserve"> and body dissatisfaction, though effects vary by individual vulnerability and context (</w:t>
      </w:r>
      <w:proofErr w:type="spellStart"/>
      <w:r w:rsidRPr="004A6540">
        <w:rPr>
          <w:rFonts w:ascii="Times New Roman" w:eastAsia="Times New Roman" w:hAnsi="Times New Roman" w:cs="Times New Roman"/>
          <w:color w:val="000000"/>
          <w:kern w:val="0"/>
          <w:lang w:eastAsia="en-GB"/>
          <w14:ligatures w14:val="none"/>
        </w:rPr>
        <w:t>Bozzola</w:t>
      </w:r>
      <w:proofErr w:type="spellEnd"/>
      <w:r w:rsidRPr="004A6540">
        <w:rPr>
          <w:rFonts w:ascii="Times New Roman" w:eastAsia="Times New Roman" w:hAnsi="Times New Roman" w:cs="Times New Roman"/>
          <w:color w:val="000000"/>
          <w:kern w:val="0"/>
          <w:lang w:eastAsia="en-GB"/>
          <w14:ligatures w14:val="none"/>
        </w:rPr>
        <w:t xml:space="preserve"> et al., 2022). This indicates the need to examine “how” young people use platforms, not just “how much”.</w:t>
      </w:r>
    </w:p>
    <w:p w14:paraId="70A5234F" w14:textId="3B5569A2"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 xml:space="preserve">The debate around social media and mental health illustrates why work must engage with uncertainty. Twenge (2017) argues that rising smartphone use correlates with increased adolescent distress, while other scholars emphasise small effect sizes and methodological limitations, including </w:t>
      </w:r>
      <w:r w:rsidR="00F1275E" w:rsidRPr="004A6540">
        <w:rPr>
          <w:rFonts w:ascii="Times New Roman" w:eastAsia="Times New Roman" w:hAnsi="Times New Roman" w:cs="Times New Roman"/>
          <w:color w:val="000000"/>
          <w:kern w:val="0"/>
          <w:lang w:eastAsia="en-GB"/>
          <w14:ligatures w14:val="none"/>
        </w:rPr>
        <w:t>self</w:t>
      </w:r>
      <w:r w:rsidR="00F1275E">
        <w:rPr>
          <w:rFonts w:ascii="Times New Roman" w:eastAsia="Times New Roman" w:hAnsi="Times New Roman" w:cs="Times New Roman"/>
          <w:color w:val="000000"/>
          <w:kern w:val="0"/>
          <w:lang w:eastAsia="en-GB"/>
          <w14:ligatures w14:val="none"/>
        </w:rPr>
        <w:t>-</w:t>
      </w:r>
      <w:r w:rsidR="00F1275E" w:rsidRPr="004A6540">
        <w:rPr>
          <w:rFonts w:ascii="Times New Roman" w:eastAsia="Times New Roman" w:hAnsi="Times New Roman" w:cs="Times New Roman"/>
          <w:color w:val="000000"/>
          <w:kern w:val="0"/>
          <w:lang w:eastAsia="en-GB"/>
          <w14:ligatures w14:val="none"/>
        </w:rPr>
        <w:t>report</w:t>
      </w:r>
      <w:r w:rsidRPr="004A6540">
        <w:rPr>
          <w:rFonts w:ascii="Times New Roman" w:eastAsia="Times New Roman" w:hAnsi="Times New Roman" w:cs="Times New Roman"/>
          <w:color w:val="000000"/>
          <w:kern w:val="0"/>
          <w:lang w:eastAsia="en-GB"/>
          <w14:ligatures w14:val="none"/>
        </w:rPr>
        <w:t xml:space="preserve"> bias and correlational design (Odgers and Jensen, 2020). Orben and Przybylski (2019) show that associations between technology use and wellbeing are often small and sensitive to analytic choices. A defensible conclusion is not that technology has no impact, but that impact is heterogeneous and interacts with </w:t>
      </w:r>
      <w:r w:rsidR="00F1275E" w:rsidRPr="004A6540">
        <w:rPr>
          <w:rFonts w:ascii="Times New Roman" w:eastAsia="Times New Roman" w:hAnsi="Times New Roman" w:cs="Times New Roman"/>
          <w:color w:val="000000"/>
          <w:kern w:val="0"/>
          <w:lang w:eastAsia="en-GB"/>
          <w14:ligatures w14:val="none"/>
        </w:rPr>
        <w:t>pre</w:t>
      </w:r>
      <w:r w:rsidR="00F1275E">
        <w:rPr>
          <w:rFonts w:ascii="Times New Roman" w:eastAsia="Times New Roman" w:hAnsi="Times New Roman" w:cs="Times New Roman"/>
          <w:color w:val="000000"/>
          <w:kern w:val="0"/>
          <w:lang w:eastAsia="en-GB"/>
          <w14:ligatures w14:val="none"/>
        </w:rPr>
        <w:t>-</w:t>
      </w:r>
      <w:r w:rsidR="00F1275E" w:rsidRPr="004A6540">
        <w:rPr>
          <w:rFonts w:ascii="Times New Roman" w:eastAsia="Times New Roman" w:hAnsi="Times New Roman" w:cs="Times New Roman"/>
          <w:color w:val="000000"/>
          <w:kern w:val="0"/>
          <w:lang w:eastAsia="en-GB"/>
          <w14:ligatures w14:val="none"/>
        </w:rPr>
        <w:t>existing</w:t>
      </w:r>
      <w:r w:rsidRPr="004A6540">
        <w:rPr>
          <w:rFonts w:ascii="Times New Roman" w:eastAsia="Times New Roman" w:hAnsi="Times New Roman" w:cs="Times New Roman"/>
          <w:color w:val="000000"/>
          <w:kern w:val="0"/>
          <w:lang w:eastAsia="en-GB"/>
          <w14:ligatures w14:val="none"/>
        </w:rPr>
        <w:t xml:space="preserve"> mental health, family support and offline stressors. For practitioners, this implies that digital engagement may be a coping strategy for some young people rather than a primary cause of distress; assessment should therefore include motivations, patterns of use and offline stress context.</w:t>
      </w:r>
    </w:p>
    <w:p w14:paraId="0A48886F" w14:textId="246FF1F1"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 xml:space="preserve">Persuasive design and the “attention economy” add another layer of risk. Many platforms deploy features such as infinite scroll, variable rewards, streaks and push notifications to maximise engagement time (Montag and Diefenbach, 2018). From a developmental standpoint, adolescents may be more sensitive to social rewards and novelty because neurodevelopment of impulse control and planning continues into early adulthood (Viner et al., 2019). This does not </w:t>
      </w:r>
      <w:proofErr w:type="spellStart"/>
      <w:r w:rsidRPr="004A6540">
        <w:rPr>
          <w:rFonts w:ascii="Times New Roman" w:eastAsia="Times New Roman" w:hAnsi="Times New Roman" w:cs="Times New Roman"/>
          <w:color w:val="000000"/>
          <w:kern w:val="0"/>
          <w:lang w:eastAsia="en-GB"/>
          <w14:ligatures w14:val="none"/>
        </w:rPr>
        <w:t>pathologise</w:t>
      </w:r>
      <w:proofErr w:type="spellEnd"/>
      <w:r w:rsidRPr="004A6540">
        <w:rPr>
          <w:rFonts w:ascii="Times New Roman" w:eastAsia="Times New Roman" w:hAnsi="Times New Roman" w:cs="Times New Roman"/>
          <w:color w:val="000000"/>
          <w:kern w:val="0"/>
          <w:lang w:eastAsia="en-GB"/>
          <w14:ligatures w14:val="none"/>
        </w:rPr>
        <w:t xml:space="preserve"> normal adolescent behaviour; it highlights why platform incentives matter. Research suggests that sleep disruption is a key pathway linking late</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night device use and poorer mental health outcomes, including mood and concentration difficulties (Przybylski and Weinstein, 2019). Therefore, intervention priorities may include sleep hygiene, boundary</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setting around nighttime use, and supporting families and schools to create </w:t>
      </w:r>
      <w:r w:rsidRPr="004A6540">
        <w:rPr>
          <w:rFonts w:ascii="Times New Roman" w:eastAsia="Times New Roman" w:hAnsi="Times New Roman" w:cs="Times New Roman"/>
          <w:color w:val="000000"/>
          <w:kern w:val="0"/>
          <w:lang w:eastAsia="en-GB"/>
          <w14:ligatures w14:val="none"/>
        </w:rPr>
        <w:lastRenderedPageBreak/>
        <w:t>realistic routines. At the same time, it is important to avoid framing children as uniquely “addicted” in ways that remove agency. Problematic use is better conceptualised as a pattern where engagement becomes compulsive, interferes with functioning and is tied to unmet needs, stress or social pressure (Kuss and Griffiths, 2017).</w:t>
      </w:r>
    </w:p>
    <w:p w14:paraId="1BA6D208" w14:textId="29FE8810"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 xml:space="preserve">Emerging technologies also create distinct safeguarding concerns. Cyberbullying, harassment, grooming, </w:t>
      </w:r>
      <w:r w:rsidR="00F1275E" w:rsidRPr="004A6540">
        <w:rPr>
          <w:rFonts w:ascii="Times New Roman" w:eastAsia="Times New Roman" w:hAnsi="Times New Roman" w:cs="Times New Roman"/>
          <w:color w:val="000000"/>
          <w:kern w:val="0"/>
          <w:lang w:eastAsia="en-GB"/>
          <w14:ligatures w14:val="none"/>
        </w:rPr>
        <w:t>image</w:t>
      </w:r>
      <w:r w:rsidR="00F1275E">
        <w:rPr>
          <w:rFonts w:ascii="Times New Roman" w:eastAsia="Times New Roman" w:hAnsi="Times New Roman" w:cs="Times New Roman"/>
          <w:color w:val="000000"/>
          <w:kern w:val="0"/>
          <w:lang w:eastAsia="en-GB"/>
          <w14:ligatures w14:val="none"/>
        </w:rPr>
        <w:t>-based</w:t>
      </w:r>
      <w:r w:rsidRPr="004A6540">
        <w:rPr>
          <w:rFonts w:ascii="Times New Roman" w:eastAsia="Times New Roman" w:hAnsi="Times New Roman" w:cs="Times New Roman"/>
          <w:color w:val="000000"/>
          <w:kern w:val="0"/>
          <w:lang w:eastAsia="en-GB"/>
          <w14:ligatures w14:val="none"/>
        </w:rPr>
        <w:t xml:space="preserve"> abuse and exposure to harmful content can occur at scale and with persistence beyond school hours (Hinduja and Patchin, 201</w:t>
      </w:r>
      <w:r w:rsidR="00441CAB">
        <w:rPr>
          <w:rFonts w:ascii="Times New Roman" w:eastAsia="Times New Roman" w:hAnsi="Times New Roman" w:cs="Times New Roman"/>
          <w:color w:val="000000"/>
          <w:kern w:val="0"/>
          <w:lang w:eastAsia="en-GB"/>
          <w14:ligatures w14:val="none"/>
        </w:rPr>
        <w:t>9</w:t>
      </w:r>
      <w:r w:rsidRPr="004A6540">
        <w:rPr>
          <w:rFonts w:ascii="Times New Roman" w:eastAsia="Times New Roman" w:hAnsi="Times New Roman" w:cs="Times New Roman"/>
          <w:color w:val="000000"/>
          <w:kern w:val="0"/>
          <w:lang w:eastAsia="en-GB"/>
          <w14:ligatures w14:val="none"/>
        </w:rPr>
        <w:t>). The professional challenge is balancing protection with participation. A purely restrictive approach can limit opportunities for learning and social connection and may push activity into less visible spaces. UK guidance emphasises that safeguarding is a whole-system responsibility, requiring consistent policy, staff training and open dialogue with young people (UK Council for Internet Safety, 2020). From a rights-based lens, children’s digital participation should be supported alongside protection, reflecting the UN Convention on the Rights of the Child principles of provision, protection and participation (Livingstone, 2016). This suggests co</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regulation: collaboratively setting boundaries, discussing risks and building skills, rather than only monitoring or banning.</w:t>
      </w:r>
    </w:p>
    <w:p w14:paraId="69D45039" w14:textId="77777777"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Datafication and privacy raise further ethical issues. Digital platforms extract behavioural data, profile users and shape experiences through opaque algorithms (OECD, 2021). For children and young people, this creates risks linked to commercial exploitation, targeted advertising, and reduced autonomy when content feeds steer attention and preferences. While detailed legal analysis is beyond the scope of this essay, the practical implication for health and care professionals is clear: digital environments are not neutral spaces. When practitioners recommend apps, digital interventions or online resources, they should consider data privacy, credibility and potential harms, and support young people to understand how platforms monetise attention (UK Council for Internet Safety, 2020). This is part of digital literacy as a protective factor.</w:t>
      </w:r>
    </w:p>
    <w:p w14:paraId="11169A50" w14:textId="11DC28CA" w:rsidR="004A6540" w:rsidRPr="004A6540" w:rsidRDefault="00D300C7"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D300C7">
        <w:rPr>
          <w:rFonts w:ascii="Times New Roman" w:hAnsi="Times New Roman" w:cs="Times New Roman"/>
          <w:color w:val="000000"/>
        </w:rPr>
        <w:t>Systematic reviews indicate that digital mental health interventions for young people can improve outcomes such as anxiety and depression symptoms, particularly when interventions are structured and supported, though engagement and retention can be challenges</w:t>
      </w:r>
      <w:r w:rsidRPr="00D300C7">
        <w:rPr>
          <w:rStyle w:val="apple-converted-space"/>
          <w:rFonts w:ascii="Times New Roman" w:hAnsi="Times New Roman" w:cs="Times New Roman"/>
          <w:color w:val="000000"/>
        </w:rPr>
        <w:t> </w:t>
      </w:r>
      <w:r w:rsidRPr="00D300C7">
        <w:rPr>
          <w:rStyle w:val="Strong"/>
          <w:rFonts w:ascii="Times New Roman" w:hAnsi="Times New Roman" w:cs="Times New Roman"/>
          <w:b w:val="0"/>
          <w:bCs w:val="0"/>
          <w:color w:val="000000"/>
        </w:rPr>
        <w:t>(Firth et al., 2017).</w:t>
      </w:r>
      <w:r>
        <w:rPr>
          <w:rStyle w:val="Strong"/>
          <w:color w:val="000000"/>
        </w:rPr>
        <w:t xml:space="preserve"> </w:t>
      </w:r>
      <w:r w:rsidR="004A6540" w:rsidRPr="004A6540">
        <w:rPr>
          <w:rFonts w:ascii="Times New Roman" w:eastAsia="Times New Roman" w:hAnsi="Times New Roman" w:cs="Times New Roman"/>
          <w:color w:val="000000"/>
          <w:kern w:val="0"/>
          <w:lang w:eastAsia="en-GB"/>
          <w14:ligatures w14:val="none"/>
        </w:rPr>
        <w:t xml:space="preserve">The World Health Organization has highlighted digital approaches as one route to expanding access to mental health support and prevention at scale, while stressing the need for quality, safety and equity (World Health Organization, 2020). In practice, digital tools </w:t>
      </w:r>
      <w:r w:rsidR="004A6540" w:rsidRPr="004A6540">
        <w:rPr>
          <w:rFonts w:ascii="Times New Roman" w:eastAsia="Times New Roman" w:hAnsi="Times New Roman" w:cs="Times New Roman"/>
          <w:color w:val="000000"/>
          <w:kern w:val="0"/>
          <w:lang w:eastAsia="en-GB"/>
          <w14:ligatures w14:val="none"/>
        </w:rPr>
        <w:lastRenderedPageBreak/>
        <w:t>may be especially valuable for young people who fear stigma or face barriers to in-person services, but they should not be treated as a universal substitute for relational support and specialist care.</w:t>
      </w:r>
    </w:p>
    <w:p w14:paraId="2B2AAF5A" w14:textId="6C329320"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Digital inequality cuts across all domains. Van Dijk (2020) emphasises that the divide is not only about access but also about skills and outcomes; unequal digital participation can translate into unequal educational achievement, social capital and health literacy. Cost</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of</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 xml:space="preserve">living pressures can limit data, device quality and private space for study, which in turn affects stress, family conflict and school engagement (OECD, 2021). For practitioners, this means that “digital wellbeing” advice must be realistic: recommending paid apps, multiple devices or constant parental supervision may be unworkable for many families. A </w:t>
      </w:r>
      <w:proofErr w:type="gramStart"/>
      <w:r w:rsidRPr="004A6540">
        <w:rPr>
          <w:rFonts w:ascii="Times New Roman" w:eastAsia="Times New Roman" w:hAnsi="Times New Roman" w:cs="Times New Roman"/>
          <w:color w:val="000000"/>
          <w:kern w:val="0"/>
          <w:lang w:eastAsia="en-GB"/>
          <w14:ligatures w14:val="none"/>
        </w:rPr>
        <w:t>strengths</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based</w:t>
      </w:r>
      <w:proofErr w:type="gramEnd"/>
      <w:r w:rsidRPr="004A6540">
        <w:rPr>
          <w:rFonts w:ascii="Times New Roman" w:eastAsia="Times New Roman" w:hAnsi="Times New Roman" w:cs="Times New Roman"/>
          <w:color w:val="000000"/>
          <w:kern w:val="0"/>
          <w:lang w:eastAsia="en-GB"/>
          <w14:ligatures w14:val="none"/>
        </w:rPr>
        <w:t xml:space="preserve"> approach explores what resources are available, identifies barriers, and advocates for inclusive provision through schools, local services and community supports.</w:t>
      </w:r>
    </w:p>
    <w:p w14:paraId="1F95E3B1" w14:textId="0B59653A"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Implications for professional practice in health and care follow directly from this complexity. First, practitioners should treat digital life as a legitimate domain of assessment: asking about online routines, platforms used, peer interactions, exposure to risk, and the role of technology in sleep, mood and family conflict (Hinduja and Patchin, 201</w:t>
      </w:r>
      <w:r w:rsidR="00441CAB">
        <w:rPr>
          <w:rFonts w:ascii="Times New Roman" w:eastAsia="Times New Roman" w:hAnsi="Times New Roman" w:cs="Times New Roman"/>
          <w:color w:val="000000"/>
          <w:kern w:val="0"/>
          <w:lang w:eastAsia="en-GB"/>
          <w14:ligatures w14:val="none"/>
        </w:rPr>
        <w:t>9</w:t>
      </w:r>
      <w:r w:rsidRPr="004A6540">
        <w:rPr>
          <w:rFonts w:ascii="Times New Roman" w:eastAsia="Times New Roman" w:hAnsi="Times New Roman" w:cs="Times New Roman"/>
          <w:color w:val="000000"/>
          <w:kern w:val="0"/>
          <w:lang w:eastAsia="en-GB"/>
          <w14:ligatures w14:val="none"/>
        </w:rPr>
        <w:t>). Second, practitioners can support digital resilience by building skills rather than relying solely on restrictions. The UKCIS framework “Education for a Connected World” offers a structured map of competencies including online relationships, privacy, managing information, and health and wellbeing (UK Council for Internet Safety, 2020). Third, safeguarding practice should be proactive and relational: creating environments where young people feel safe to disclose, involving caregivers where appropriate, and linking online harms to broader psychosocial needs rather than treating them as isolated incidents. Finally, professionals should remain reflexive about uncertainty in the evidence base; where research is mixed, practitioners can prioritise low-regret strategies (sleep protection, supportive communication, critical literacy) while monitoring emerging evidence (Odgers and Jensen, 2020).</w:t>
      </w:r>
    </w:p>
    <w:p w14:paraId="20B5CAF9" w14:textId="7C98CA22" w:rsidR="004A6540" w:rsidRPr="004A6540" w:rsidRDefault="004A6540" w:rsidP="001B361D">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t xml:space="preserve">In conclusion, emerging technologies shape childhood and adolescence through intertwined effects on development, learning, socialisation and wellbeing. The evidence base does not support simplistic claims that technology is uniformly damaging or uniformly beneficial. Instead, digital environments operate as </w:t>
      </w:r>
      <w:r w:rsidR="00F1275E" w:rsidRPr="004A6540">
        <w:rPr>
          <w:rFonts w:ascii="Times New Roman" w:eastAsia="Times New Roman" w:hAnsi="Times New Roman" w:cs="Times New Roman"/>
          <w:color w:val="000000"/>
          <w:kern w:val="0"/>
          <w:lang w:eastAsia="en-GB"/>
          <w14:ligatures w14:val="none"/>
        </w:rPr>
        <w:t>double</w:t>
      </w:r>
      <w:r w:rsidR="00F1275E">
        <w:rPr>
          <w:rFonts w:ascii="Times New Roman" w:eastAsia="Times New Roman" w:hAnsi="Times New Roman" w:cs="Times New Roman"/>
          <w:color w:val="000000"/>
          <w:kern w:val="0"/>
          <w:lang w:eastAsia="en-GB"/>
          <w14:ligatures w14:val="none"/>
        </w:rPr>
        <w:t>-edged</w:t>
      </w:r>
      <w:r w:rsidRPr="004A6540">
        <w:rPr>
          <w:rFonts w:ascii="Times New Roman" w:eastAsia="Times New Roman" w:hAnsi="Times New Roman" w:cs="Times New Roman"/>
          <w:color w:val="000000"/>
          <w:kern w:val="0"/>
          <w:lang w:eastAsia="en-GB"/>
          <w14:ligatures w14:val="none"/>
        </w:rPr>
        <w:t xml:space="preserve"> ecosystems: they can facilitate learning, connection and health promotion, while also intensifying social comparison, persuasive engagement loops, safeguarding risks and inequality. A understanding therefore </w:t>
      </w:r>
      <w:r w:rsidRPr="004A6540">
        <w:rPr>
          <w:rFonts w:ascii="Times New Roman" w:eastAsia="Times New Roman" w:hAnsi="Times New Roman" w:cs="Times New Roman"/>
          <w:color w:val="000000"/>
          <w:kern w:val="0"/>
          <w:lang w:eastAsia="en-GB"/>
          <w14:ligatures w14:val="none"/>
        </w:rPr>
        <w:lastRenderedPageBreak/>
        <w:t>centres on context, mechanisms and heterogeneity. For health and care professionals, the task is to integrate digital realities into assessment and support, balancing protection and empowerment through evidence</w:t>
      </w:r>
      <w:r w:rsidR="00F1275E">
        <w:rPr>
          <w:rFonts w:ascii="Times New Roman" w:eastAsia="Times New Roman" w:hAnsi="Times New Roman" w:cs="Times New Roman"/>
          <w:color w:val="000000"/>
          <w:kern w:val="0"/>
          <w:lang w:eastAsia="en-GB"/>
          <w14:ligatures w14:val="none"/>
        </w:rPr>
        <w:t xml:space="preserve"> i</w:t>
      </w:r>
      <w:r w:rsidRPr="004A6540">
        <w:rPr>
          <w:rFonts w:ascii="Times New Roman" w:eastAsia="Times New Roman" w:hAnsi="Times New Roman" w:cs="Times New Roman"/>
          <w:color w:val="000000"/>
          <w:kern w:val="0"/>
          <w:lang w:eastAsia="en-GB"/>
          <w14:ligatures w14:val="none"/>
        </w:rPr>
        <w:t>nformed, rights</w:t>
      </w:r>
      <w:r w:rsidR="00F1275E">
        <w:rPr>
          <w:rFonts w:ascii="Times New Roman" w:eastAsia="Times New Roman" w:hAnsi="Times New Roman" w:cs="Times New Roman"/>
          <w:color w:val="000000"/>
          <w:kern w:val="0"/>
          <w:lang w:eastAsia="en-GB"/>
          <w14:ligatures w14:val="none"/>
        </w:rPr>
        <w:t xml:space="preserve"> </w:t>
      </w:r>
      <w:r w:rsidRPr="004A6540">
        <w:rPr>
          <w:rFonts w:ascii="Times New Roman" w:eastAsia="Times New Roman" w:hAnsi="Times New Roman" w:cs="Times New Roman"/>
          <w:color w:val="000000"/>
          <w:kern w:val="0"/>
          <w:lang w:eastAsia="en-GB"/>
          <w14:ligatures w14:val="none"/>
        </w:rPr>
        <w:t>respecting and equitable practice. When practitioners focus on the quality of engagement, the design of platforms and the child’s wider ecology, they are better positioned to reduce harm, strengthen resilience and support young people to thrive in a digitally mediated world.</w:t>
      </w:r>
    </w:p>
    <w:p w14:paraId="4463F8EA" w14:textId="77777777" w:rsidR="001B361D" w:rsidRDefault="001B361D">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br w:type="page"/>
      </w:r>
    </w:p>
    <w:p w14:paraId="79386375" w14:textId="160B23AA" w:rsidR="004A6540" w:rsidRDefault="004A6540" w:rsidP="004A6540">
      <w:pPr>
        <w:spacing w:before="100" w:beforeAutospacing="1" w:after="100" w:afterAutospacing="1"/>
        <w:rPr>
          <w:rFonts w:ascii="Times New Roman" w:eastAsia="Times New Roman" w:hAnsi="Times New Roman" w:cs="Times New Roman"/>
          <w:color w:val="000000"/>
          <w:kern w:val="0"/>
          <w:lang w:eastAsia="en-GB"/>
          <w14:ligatures w14:val="none"/>
        </w:rPr>
      </w:pPr>
      <w:r w:rsidRPr="004A6540">
        <w:rPr>
          <w:rFonts w:ascii="Times New Roman" w:eastAsia="Times New Roman" w:hAnsi="Times New Roman" w:cs="Times New Roman"/>
          <w:color w:val="000000"/>
          <w:kern w:val="0"/>
          <w:lang w:eastAsia="en-GB"/>
          <w14:ligatures w14:val="none"/>
        </w:rPr>
        <w:lastRenderedPageBreak/>
        <w:t xml:space="preserve">References </w:t>
      </w:r>
    </w:p>
    <w:p w14:paraId="4D5F539C" w14:textId="77777777" w:rsidR="009A3138" w:rsidRPr="009A3138" w:rsidRDefault="009A3138" w:rsidP="001B361D">
      <w:pPr>
        <w:pStyle w:val="NormalWeb"/>
        <w:rPr>
          <w:rStyle w:val="bzpyqfadein"/>
          <w:rFonts w:eastAsiaTheme="majorEastAsia"/>
          <w:color w:val="000000"/>
        </w:rPr>
      </w:pPr>
      <w:r w:rsidRPr="009A3138">
        <w:rPr>
          <w:rStyle w:val="bzpyqfadein"/>
          <w:rFonts w:eastAsiaTheme="majorEastAsia"/>
          <w:color w:val="000000"/>
        </w:rPr>
        <w:t>Bozzola,</w:t>
      </w:r>
      <w:r w:rsidRPr="009A3138">
        <w:rPr>
          <w:rStyle w:val="apple-converted-space"/>
          <w:rFonts w:eastAsiaTheme="majorEastAsia"/>
          <w:color w:val="000000"/>
        </w:rPr>
        <w:t> </w:t>
      </w:r>
      <w:r w:rsidRPr="009A3138">
        <w:rPr>
          <w:rStyle w:val="bzpyqfadein"/>
          <w:rFonts w:eastAsiaTheme="majorEastAsia"/>
          <w:color w:val="000000"/>
        </w:rPr>
        <w:t>E.,</w:t>
      </w:r>
      <w:r w:rsidRPr="009A3138">
        <w:rPr>
          <w:rStyle w:val="apple-converted-space"/>
          <w:rFonts w:eastAsiaTheme="majorEastAsia"/>
          <w:color w:val="000000"/>
        </w:rPr>
        <w:t> </w:t>
      </w:r>
      <w:r w:rsidRPr="009A3138">
        <w:rPr>
          <w:rStyle w:val="bzpyqfadein"/>
          <w:rFonts w:eastAsiaTheme="majorEastAsia"/>
          <w:color w:val="000000"/>
        </w:rPr>
        <w:t>Spina,</w:t>
      </w:r>
      <w:r w:rsidRPr="009A3138">
        <w:rPr>
          <w:rStyle w:val="apple-converted-space"/>
          <w:rFonts w:eastAsiaTheme="majorEastAsia"/>
          <w:color w:val="000000"/>
        </w:rPr>
        <w:t> </w:t>
      </w:r>
      <w:r w:rsidRPr="009A3138">
        <w:rPr>
          <w:rStyle w:val="bzpyqfadein"/>
          <w:rFonts w:eastAsiaTheme="majorEastAsia"/>
          <w:color w:val="000000"/>
        </w:rPr>
        <w:t>G.,</w:t>
      </w:r>
      <w:r w:rsidRPr="009A3138">
        <w:rPr>
          <w:rStyle w:val="apple-converted-space"/>
          <w:rFonts w:eastAsiaTheme="majorEastAsia"/>
          <w:color w:val="000000"/>
        </w:rPr>
        <w:t> </w:t>
      </w:r>
      <w:r w:rsidRPr="009A3138">
        <w:rPr>
          <w:rStyle w:val="bzpyqfadein"/>
          <w:rFonts w:eastAsiaTheme="majorEastAsia"/>
          <w:color w:val="000000"/>
        </w:rPr>
        <w:t>Agostiniani,</w:t>
      </w:r>
      <w:r w:rsidRPr="009A3138">
        <w:rPr>
          <w:rStyle w:val="apple-converted-space"/>
          <w:rFonts w:eastAsiaTheme="majorEastAsia"/>
          <w:color w:val="000000"/>
        </w:rPr>
        <w:t> </w:t>
      </w:r>
      <w:r w:rsidRPr="009A3138">
        <w:rPr>
          <w:rStyle w:val="bzpyqfadein"/>
          <w:rFonts w:eastAsiaTheme="majorEastAsia"/>
          <w:color w:val="000000"/>
        </w:rPr>
        <w:t>R.,</w:t>
      </w:r>
      <w:r w:rsidRPr="009A3138">
        <w:rPr>
          <w:rStyle w:val="apple-converted-space"/>
          <w:rFonts w:eastAsiaTheme="majorEastAsia"/>
          <w:color w:val="000000"/>
        </w:rPr>
        <w:t> </w:t>
      </w:r>
      <w:r w:rsidRPr="009A3138">
        <w:rPr>
          <w:rStyle w:val="bzpyqfadein"/>
          <w:rFonts w:eastAsiaTheme="majorEastAsia"/>
          <w:color w:val="000000"/>
        </w:rPr>
        <w:t>Barni,</w:t>
      </w:r>
      <w:r w:rsidRPr="009A3138">
        <w:rPr>
          <w:rStyle w:val="apple-converted-space"/>
          <w:rFonts w:eastAsiaTheme="majorEastAsia"/>
          <w:color w:val="000000"/>
        </w:rPr>
        <w:t> </w:t>
      </w:r>
      <w:r w:rsidRPr="009A3138">
        <w:rPr>
          <w:rStyle w:val="bzpyqfadein"/>
          <w:rFonts w:eastAsiaTheme="majorEastAsia"/>
          <w:color w:val="000000"/>
        </w:rPr>
        <w:t>S.,</w:t>
      </w:r>
      <w:r w:rsidRPr="009A3138">
        <w:rPr>
          <w:rStyle w:val="apple-converted-space"/>
          <w:rFonts w:eastAsiaTheme="majorEastAsia"/>
          <w:color w:val="000000"/>
        </w:rPr>
        <w:t> </w:t>
      </w:r>
      <w:r w:rsidRPr="009A3138">
        <w:rPr>
          <w:rStyle w:val="bzpyqfadein"/>
          <w:rFonts w:eastAsiaTheme="majorEastAsia"/>
          <w:color w:val="000000"/>
        </w:rPr>
        <w:t>Russo,</w:t>
      </w:r>
      <w:r w:rsidRPr="009A3138">
        <w:rPr>
          <w:rStyle w:val="apple-converted-space"/>
          <w:rFonts w:eastAsiaTheme="majorEastAsia"/>
          <w:color w:val="000000"/>
        </w:rPr>
        <w:t> </w:t>
      </w:r>
      <w:r w:rsidRPr="009A3138">
        <w:rPr>
          <w:rStyle w:val="bzpyqfadein"/>
          <w:rFonts w:eastAsiaTheme="majorEastAsia"/>
          <w:color w:val="000000"/>
        </w:rPr>
        <w:t>R.,</w:t>
      </w:r>
      <w:r w:rsidRPr="009A3138">
        <w:rPr>
          <w:rStyle w:val="apple-converted-space"/>
          <w:rFonts w:eastAsiaTheme="majorEastAsia"/>
          <w:color w:val="000000"/>
        </w:rPr>
        <w:t> </w:t>
      </w:r>
      <w:r w:rsidRPr="009A3138">
        <w:rPr>
          <w:rStyle w:val="bzpyqfadein"/>
          <w:rFonts w:eastAsiaTheme="majorEastAsia"/>
          <w:color w:val="000000"/>
        </w:rPr>
        <w:t>Scarpato,</w:t>
      </w:r>
      <w:r w:rsidRPr="009A3138">
        <w:rPr>
          <w:rStyle w:val="apple-converted-space"/>
          <w:rFonts w:eastAsiaTheme="majorEastAsia"/>
          <w:color w:val="000000"/>
        </w:rPr>
        <w:t> </w:t>
      </w:r>
      <w:r w:rsidRPr="009A3138">
        <w:rPr>
          <w:rStyle w:val="bzpyqfadein"/>
          <w:rFonts w:eastAsiaTheme="majorEastAsia"/>
          <w:color w:val="000000"/>
        </w:rPr>
        <w:t>E.,</w:t>
      </w:r>
      <w:r w:rsidRPr="009A3138">
        <w:rPr>
          <w:rStyle w:val="apple-converted-space"/>
          <w:rFonts w:eastAsiaTheme="majorEastAsia"/>
          <w:color w:val="000000"/>
        </w:rPr>
        <w:t> </w:t>
      </w:r>
      <w:r w:rsidRPr="009A3138">
        <w:rPr>
          <w:rStyle w:val="bzpyqfadein"/>
          <w:rFonts w:eastAsiaTheme="majorEastAsia"/>
          <w:color w:val="000000"/>
        </w:rPr>
        <w:t>Di</w:t>
      </w:r>
      <w:r w:rsidRPr="009A3138">
        <w:rPr>
          <w:rStyle w:val="apple-converted-space"/>
          <w:rFonts w:eastAsiaTheme="majorEastAsia"/>
          <w:color w:val="000000"/>
        </w:rPr>
        <w:t> </w:t>
      </w:r>
      <w:r w:rsidRPr="009A3138">
        <w:rPr>
          <w:rStyle w:val="bzpyqfadein"/>
          <w:rFonts w:eastAsiaTheme="majorEastAsia"/>
          <w:color w:val="000000"/>
        </w:rPr>
        <w:t>Mauro,</w:t>
      </w:r>
      <w:r w:rsidRPr="009A3138">
        <w:rPr>
          <w:rStyle w:val="apple-converted-space"/>
          <w:rFonts w:eastAsiaTheme="majorEastAsia"/>
          <w:color w:val="000000"/>
        </w:rPr>
        <w:t> </w:t>
      </w:r>
      <w:r w:rsidRPr="009A3138">
        <w:rPr>
          <w:rStyle w:val="bzpyqfadein"/>
          <w:rFonts w:eastAsiaTheme="majorEastAsia"/>
          <w:color w:val="000000"/>
        </w:rPr>
        <w:t>A.,</w:t>
      </w:r>
      <w:r w:rsidRPr="009A3138">
        <w:rPr>
          <w:rStyle w:val="apple-converted-space"/>
          <w:rFonts w:eastAsiaTheme="majorEastAsia"/>
          <w:color w:val="000000"/>
        </w:rPr>
        <w:t> </w:t>
      </w:r>
      <w:r w:rsidRPr="009A3138">
        <w:rPr>
          <w:rStyle w:val="bzpyqfadein"/>
          <w:rFonts w:eastAsiaTheme="majorEastAsia"/>
          <w:color w:val="000000"/>
        </w:rPr>
        <w:t>Di</w:t>
      </w:r>
      <w:r w:rsidRPr="009A3138">
        <w:rPr>
          <w:rStyle w:val="apple-converted-space"/>
          <w:rFonts w:eastAsiaTheme="majorEastAsia"/>
          <w:color w:val="000000"/>
        </w:rPr>
        <w:t> </w:t>
      </w:r>
      <w:r w:rsidRPr="009A3138">
        <w:rPr>
          <w:rStyle w:val="bzpyqfadein"/>
          <w:rFonts w:eastAsiaTheme="majorEastAsia"/>
          <w:color w:val="000000"/>
        </w:rPr>
        <w:t>Stefano,</w:t>
      </w:r>
      <w:r w:rsidRPr="009A3138">
        <w:rPr>
          <w:rStyle w:val="apple-converted-space"/>
          <w:rFonts w:eastAsiaTheme="majorEastAsia"/>
          <w:color w:val="000000"/>
        </w:rPr>
        <w:t> </w:t>
      </w:r>
      <w:r w:rsidRPr="009A3138">
        <w:rPr>
          <w:rStyle w:val="bzpyqfadein"/>
          <w:rFonts w:eastAsiaTheme="majorEastAsia"/>
          <w:color w:val="000000"/>
        </w:rPr>
        <w:t>A.,</w:t>
      </w:r>
      <w:r w:rsidRPr="009A3138">
        <w:rPr>
          <w:rStyle w:val="apple-converted-space"/>
          <w:rFonts w:eastAsiaTheme="majorEastAsia"/>
          <w:color w:val="000000"/>
        </w:rPr>
        <w:t> </w:t>
      </w:r>
      <w:r w:rsidRPr="009A3138">
        <w:rPr>
          <w:rStyle w:val="bzpyqfadein"/>
          <w:rFonts w:eastAsiaTheme="majorEastAsia"/>
          <w:color w:val="000000"/>
        </w:rPr>
        <w:t>Caruso,</w:t>
      </w:r>
      <w:r w:rsidRPr="009A3138">
        <w:rPr>
          <w:rStyle w:val="apple-converted-space"/>
          <w:rFonts w:eastAsiaTheme="majorEastAsia"/>
          <w:color w:val="000000"/>
        </w:rPr>
        <w:t> </w:t>
      </w:r>
      <w:r w:rsidRPr="009A3138">
        <w:rPr>
          <w:rStyle w:val="bzpyqfadein"/>
          <w:rFonts w:eastAsiaTheme="majorEastAsia"/>
          <w:color w:val="000000"/>
        </w:rPr>
        <w:t>C.,</w:t>
      </w:r>
      <w:r w:rsidRPr="009A3138">
        <w:rPr>
          <w:rStyle w:val="apple-converted-space"/>
          <w:rFonts w:eastAsiaTheme="majorEastAsia"/>
          <w:color w:val="000000"/>
        </w:rPr>
        <w:t> </w:t>
      </w:r>
      <w:r w:rsidRPr="009A3138">
        <w:rPr>
          <w:rStyle w:val="bzpyqfadein"/>
          <w:rFonts w:eastAsiaTheme="majorEastAsia"/>
          <w:color w:val="000000"/>
        </w:rPr>
        <w:t>Corsello,</w:t>
      </w:r>
      <w:r w:rsidRPr="009A3138">
        <w:rPr>
          <w:rStyle w:val="apple-converted-space"/>
          <w:rFonts w:eastAsiaTheme="majorEastAsia"/>
          <w:color w:val="000000"/>
        </w:rPr>
        <w:t> </w:t>
      </w:r>
      <w:r w:rsidRPr="009A3138">
        <w:rPr>
          <w:rStyle w:val="bzpyqfadein"/>
          <w:rFonts w:eastAsiaTheme="majorEastAsia"/>
          <w:color w:val="000000"/>
        </w:rPr>
        <w:t>G.</w:t>
      </w:r>
      <w:r w:rsidRPr="009A3138">
        <w:rPr>
          <w:rStyle w:val="apple-converted-space"/>
          <w:rFonts w:eastAsiaTheme="majorEastAsia"/>
          <w:color w:val="000000"/>
        </w:rPr>
        <w:t> </w:t>
      </w:r>
      <w:r w:rsidRPr="009A3138">
        <w:rPr>
          <w:rStyle w:val="bzpyqfadein"/>
          <w:rFonts w:eastAsiaTheme="majorEastAsia"/>
          <w:color w:val="000000"/>
        </w:rPr>
        <w:t>and</w:t>
      </w:r>
      <w:r w:rsidRPr="009A3138">
        <w:rPr>
          <w:rStyle w:val="apple-converted-space"/>
          <w:rFonts w:eastAsiaTheme="majorEastAsia"/>
          <w:color w:val="000000"/>
        </w:rPr>
        <w:t> </w:t>
      </w:r>
      <w:r w:rsidRPr="009A3138">
        <w:rPr>
          <w:rStyle w:val="bzpyqfadein"/>
          <w:rFonts w:eastAsiaTheme="majorEastAsia"/>
          <w:color w:val="000000"/>
        </w:rPr>
        <w:t>Staiano,</w:t>
      </w:r>
      <w:r w:rsidRPr="009A3138">
        <w:rPr>
          <w:rStyle w:val="apple-converted-space"/>
          <w:rFonts w:eastAsiaTheme="majorEastAsia"/>
          <w:color w:val="000000"/>
        </w:rPr>
        <w:t> </w:t>
      </w:r>
      <w:r w:rsidRPr="009A3138">
        <w:rPr>
          <w:rStyle w:val="bzpyqfadein"/>
          <w:rFonts w:eastAsiaTheme="majorEastAsia"/>
          <w:color w:val="000000"/>
        </w:rPr>
        <w:t>A. (2022)</w:t>
      </w:r>
      <w:r w:rsidRPr="009A3138">
        <w:rPr>
          <w:color w:val="000000"/>
        </w:rPr>
        <w:br/>
      </w:r>
      <w:r w:rsidRPr="009A3138">
        <w:rPr>
          <w:rStyle w:val="bzpyqfadein"/>
          <w:rFonts w:eastAsiaTheme="majorEastAsia"/>
          <w:i/>
          <w:iCs/>
          <w:color w:val="000000"/>
        </w:rPr>
        <w:t>The</w:t>
      </w:r>
      <w:r w:rsidRPr="009A3138">
        <w:rPr>
          <w:rStyle w:val="apple-converted-space"/>
          <w:rFonts w:eastAsiaTheme="majorEastAsia"/>
          <w:i/>
          <w:iCs/>
          <w:color w:val="000000"/>
        </w:rPr>
        <w:t> </w:t>
      </w:r>
      <w:r w:rsidRPr="009A3138">
        <w:rPr>
          <w:rStyle w:val="bzpyqfadein"/>
          <w:rFonts w:eastAsiaTheme="majorEastAsia"/>
          <w:i/>
          <w:iCs/>
          <w:color w:val="000000"/>
        </w:rPr>
        <w:t>use</w:t>
      </w:r>
      <w:r w:rsidRPr="009A3138">
        <w:rPr>
          <w:rStyle w:val="apple-converted-space"/>
          <w:rFonts w:eastAsiaTheme="majorEastAsia"/>
          <w:i/>
          <w:iCs/>
          <w:color w:val="000000"/>
        </w:rPr>
        <w:t> </w:t>
      </w:r>
      <w:r w:rsidRPr="009A3138">
        <w:rPr>
          <w:rStyle w:val="bzpyqfadein"/>
          <w:rFonts w:eastAsiaTheme="majorEastAsia"/>
          <w:i/>
          <w:iCs/>
          <w:color w:val="000000"/>
        </w:rPr>
        <w:t>of</w:t>
      </w:r>
      <w:r w:rsidRPr="009A3138">
        <w:rPr>
          <w:rStyle w:val="apple-converted-space"/>
          <w:rFonts w:eastAsiaTheme="majorEastAsia"/>
          <w:i/>
          <w:iCs/>
          <w:color w:val="000000"/>
        </w:rPr>
        <w:t> </w:t>
      </w:r>
      <w:r w:rsidRPr="009A3138">
        <w:rPr>
          <w:rStyle w:val="bzpyqfadein"/>
          <w:rFonts w:eastAsiaTheme="majorEastAsia"/>
          <w:i/>
          <w:iCs/>
          <w:color w:val="000000"/>
        </w:rPr>
        <w:t>social</w:t>
      </w:r>
      <w:r w:rsidRPr="009A3138">
        <w:rPr>
          <w:rStyle w:val="apple-converted-space"/>
          <w:rFonts w:eastAsiaTheme="majorEastAsia"/>
          <w:i/>
          <w:iCs/>
          <w:color w:val="000000"/>
        </w:rPr>
        <w:t> </w:t>
      </w:r>
      <w:r w:rsidRPr="009A3138">
        <w:rPr>
          <w:rStyle w:val="bzpyqfadein"/>
          <w:rFonts w:eastAsiaTheme="majorEastAsia"/>
          <w:i/>
          <w:iCs/>
          <w:color w:val="000000"/>
        </w:rPr>
        <w:t>media</w:t>
      </w:r>
      <w:r w:rsidRPr="009A3138">
        <w:rPr>
          <w:rStyle w:val="apple-converted-space"/>
          <w:rFonts w:eastAsiaTheme="majorEastAsia"/>
          <w:i/>
          <w:iCs/>
          <w:color w:val="000000"/>
        </w:rPr>
        <w:t> </w:t>
      </w:r>
      <w:r w:rsidRPr="009A3138">
        <w:rPr>
          <w:rStyle w:val="bzpyqfadein"/>
          <w:rFonts w:eastAsiaTheme="majorEastAsia"/>
          <w:i/>
          <w:iCs/>
          <w:color w:val="000000"/>
        </w:rPr>
        <w:t>in</w:t>
      </w:r>
      <w:r w:rsidRPr="009A3138">
        <w:rPr>
          <w:rStyle w:val="apple-converted-space"/>
          <w:rFonts w:eastAsiaTheme="majorEastAsia"/>
          <w:i/>
          <w:iCs/>
          <w:color w:val="000000"/>
        </w:rPr>
        <w:t> </w:t>
      </w:r>
      <w:r w:rsidRPr="009A3138">
        <w:rPr>
          <w:rStyle w:val="bzpyqfadein"/>
          <w:rFonts w:eastAsiaTheme="majorEastAsia"/>
          <w:i/>
          <w:iCs/>
          <w:color w:val="000000"/>
        </w:rPr>
        <w:t>children</w:t>
      </w:r>
      <w:r w:rsidRPr="009A3138">
        <w:rPr>
          <w:rStyle w:val="apple-converted-space"/>
          <w:rFonts w:eastAsiaTheme="majorEastAsia"/>
          <w:i/>
          <w:iCs/>
          <w:color w:val="000000"/>
        </w:rPr>
        <w:t> </w:t>
      </w:r>
      <w:r w:rsidRPr="009A3138">
        <w:rPr>
          <w:rStyle w:val="bzpyqfadein"/>
          <w:rFonts w:eastAsiaTheme="majorEastAsia"/>
          <w:i/>
          <w:iCs/>
          <w:color w:val="000000"/>
        </w:rPr>
        <w:t>and</w:t>
      </w:r>
      <w:r w:rsidRPr="009A3138">
        <w:rPr>
          <w:rStyle w:val="apple-converted-space"/>
          <w:rFonts w:eastAsiaTheme="majorEastAsia"/>
          <w:i/>
          <w:iCs/>
          <w:color w:val="000000"/>
        </w:rPr>
        <w:t> </w:t>
      </w:r>
      <w:r w:rsidRPr="009A3138">
        <w:rPr>
          <w:rStyle w:val="bzpyqfadein"/>
          <w:rFonts w:eastAsiaTheme="majorEastAsia"/>
          <w:i/>
          <w:iCs/>
          <w:color w:val="000000"/>
        </w:rPr>
        <w:t>adolescents:</w:t>
      </w:r>
      <w:r w:rsidRPr="009A3138">
        <w:rPr>
          <w:rStyle w:val="apple-converted-space"/>
          <w:rFonts w:eastAsiaTheme="majorEastAsia"/>
          <w:i/>
          <w:iCs/>
          <w:color w:val="000000"/>
        </w:rPr>
        <w:t> </w:t>
      </w:r>
      <w:r w:rsidRPr="009A3138">
        <w:rPr>
          <w:rStyle w:val="bzpyqfadein"/>
          <w:rFonts w:eastAsiaTheme="majorEastAsia"/>
          <w:i/>
          <w:iCs/>
          <w:color w:val="000000"/>
        </w:rPr>
        <w:t>Scoping</w:t>
      </w:r>
      <w:r w:rsidRPr="009A3138">
        <w:rPr>
          <w:rStyle w:val="apple-converted-space"/>
          <w:rFonts w:eastAsiaTheme="majorEastAsia"/>
          <w:i/>
          <w:iCs/>
          <w:color w:val="000000"/>
        </w:rPr>
        <w:t> </w:t>
      </w:r>
      <w:r w:rsidRPr="009A3138">
        <w:rPr>
          <w:rStyle w:val="bzpyqfadein"/>
          <w:rFonts w:eastAsiaTheme="majorEastAsia"/>
          <w:i/>
          <w:iCs/>
          <w:color w:val="000000"/>
        </w:rPr>
        <w:t>review</w:t>
      </w:r>
      <w:r w:rsidRPr="009A3138">
        <w:rPr>
          <w:rStyle w:val="apple-converted-space"/>
          <w:rFonts w:eastAsiaTheme="majorEastAsia"/>
          <w:i/>
          <w:iCs/>
          <w:color w:val="000000"/>
        </w:rPr>
        <w:t> </w:t>
      </w:r>
      <w:r w:rsidRPr="009A3138">
        <w:rPr>
          <w:rStyle w:val="bzpyqfadein"/>
          <w:rFonts w:eastAsiaTheme="majorEastAsia"/>
          <w:i/>
          <w:iCs/>
          <w:color w:val="000000"/>
        </w:rPr>
        <w:t>on</w:t>
      </w:r>
      <w:r w:rsidRPr="009A3138">
        <w:rPr>
          <w:rStyle w:val="apple-converted-space"/>
          <w:rFonts w:eastAsiaTheme="majorEastAsia"/>
          <w:i/>
          <w:iCs/>
          <w:color w:val="000000"/>
        </w:rPr>
        <w:t> </w:t>
      </w:r>
      <w:r w:rsidRPr="009A3138">
        <w:rPr>
          <w:rStyle w:val="bzpyqfadein"/>
          <w:rFonts w:eastAsiaTheme="majorEastAsia"/>
          <w:i/>
          <w:iCs/>
          <w:color w:val="000000"/>
        </w:rPr>
        <w:t>the</w:t>
      </w:r>
      <w:r w:rsidRPr="009A3138">
        <w:rPr>
          <w:rStyle w:val="apple-converted-space"/>
          <w:rFonts w:eastAsiaTheme="majorEastAsia"/>
          <w:i/>
          <w:iCs/>
          <w:color w:val="000000"/>
        </w:rPr>
        <w:t> </w:t>
      </w:r>
      <w:r w:rsidRPr="009A3138">
        <w:rPr>
          <w:rStyle w:val="bzpyqfadein"/>
          <w:rFonts w:eastAsiaTheme="majorEastAsia"/>
          <w:i/>
          <w:iCs/>
          <w:color w:val="000000"/>
        </w:rPr>
        <w:t>potential</w:t>
      </w:r>
      <w:r w:rsidRPr="009A3138">
        <w:rPr>
          <w:rStyle w:val="apple-converted-space"/>
          <w:rFonts w:eastAsiaTheme="majorEastAsia"/>
          <w:i/>
          <w:iCs/>
          <w:color w:val="000000"/>
        </w:rPr>
        <w:t> </w:t>
      </w:r>
      <w:r w:rsidRPr="009A3138">
        <w:rPr>
          <w:rStyle w:val="bzpyqfadein"/>
          <w:rFonts w:eastAsiaTheme="majorEastAsia"/>
          <w:i/>
          <w:iCs/>
          <w:color w:val="000000"/>
        </w:rPr>
        <w:t>risks</w:t>
      </w:r>
      <w:r w:rsidRPr="009A3138">
        <w:rPr>
          <w:rStyle w:val="bzpyqfadein"/>
          <w:rFonts w:eastAsiaTheme="majorEastAsia"/>
          <w:color w:val="000000"/>
        </w:rPr>
        <w:t>.</w:t>
      </w:r>
      <w:r w:rsidRPr="009A3138">
        <w:rPr>
          <w:color w:val="000000"/>
        </w:rPr>
        <w:br/>
      </w:r>
      <w:r w:rsidRPr="009A3138">
        <w:rPr>
          <w:rStyle w:val="bzpyqfadein"/>
          <w:rFonts w:eastAsiaTheme="majorEastAsia"/>
          <w:color w:val="000000"/>
        </w:rPr>
        <w:t>International</w:t>
      </w:r>
      <w:r w:rsidRPr="009A3138">
        <w:rPr>
          <w:rStyle w:val="apple-converted-space"/>
          <w:rFonts w:eastAsiaTheme="majorEastAsia"/>
          <w:color w:val="000000"/>
        </w:rPr>
        <w:t> </w:t>
      </w:r>
      <w:r w:rsidRPr="009A3138">
        <w:rPr>
          <w:rStyle w:val="bzpyqfadein"/>
          <w:rFonts w:eastAsiaTheme="majorEastAsia"/>
          <w:color w:val="000000"/>
        </w:rPr>
        <w:t>Journal</w:t>
      </w:r>
      <w:r w:rsidRPr="009A3138">
        <w:rPr>
          <w:rStyle w:val="apple-converted-space"/>
          <w:rFonts w:eastAsiaTheme="majorEastAsia"/>
          <w:color w:val="000000"/>
        </w:rPr>
        <w:t> </w:t>
      </w:r>
      <w:r w:rsidRPr="009A3138">
        <w:rPr>
          <w:rStyle w:val="bzpyqfadein"/>
          <w:rFonts w:eastAsiaTheme="majorEastAsia"/>
          <w:color w:val="000000"/>
        </w:rPr>
        <w:t>of</w:t>
      </w:r>
      <w:r w:rsidRPr="009A3138">
        <w:rPr>
          <w:rStyle w:val="apple-converted-space"/>
          <w:rFonts w:eastAsiaTheme="majorEastAsia"/>
          <w:color w:val="000000"/>
        </w:rPr>
        <w:t> </w:t>
      </w:r>
      <w:r w:rsidRPr="009A3138">
        <w:rPr>
          <w:rStyle w:val="bzpyqfadein"/>
          <w:rFonts w:eastAsiaTheme="majorEastAsia"/>
          <w:color w:val="000000"/>
        </w:rPr>
        <w:t>Environmental</w:t>
      </w:r>
      <w:r w:rsidRPr="009A3138">
        <w:rPr>
          <w:rStyle w:val="apple-converted-space"/>
          <w:rFonts w:eastAsiaTheme="majorEastAsia"/>
          <w:color w:val="000000"/>
        </w:rPr>
        <w:t> </w:t>
      </w:r>
      <w:r w:rsidRPr="009A3138">
        <w:rPr>
          <w:rStyle w:val="bzpyqfadein"/>
          <w:rFonts w:eastAsiaTheme="majorEastAsia"/>
          <w:color w:val="000000"/>
        </w:rPr>
        <w:t>Research</w:t>
      </w:r>
      <w:r w:rsidRPr="009A3138">
        <w:rPr>
          <w:rStyle w:val="apple-converted-space"/>
          <w:rFonts w:eastAsiaTheme="majorEastAsia"/>
          <w:color w:val="000000"/>
        </w:rPr>
        <w:t> </w:t>
      </w:r>
      <w:r w:rsidRPr="009A3138">
        <w:rPr>
          <w:rStyle w:val="bzpyqfadein"/>
          <w:rFonts w:eastAsiaTheme="majorEastAsia"/>
          <w:color w:val="000000"/>
        </w:rPr>
        <w:t>and</w:t>
      </w:r>
      <w:r w:rsidRPr="009A3138">
        <w:rPr>
          <w:rStyle w:val="apple-converted-space"/>
          <w:rFonts w:eastAsiaTheme="majorEastAsia"/>
          <w:color w:val="000000"/>
        </w:rPr>
        <w:t> </w:t>
      </w:r>
      <w:r w:rsidRPr="009A3138">
        <w:rPr>
          <w:rStyle w:val="bzpyqfadein"/>
          <w:rFonts w:eastAsiaTheme="majorEastAsia"/>
          <w:color w:val="000000"/>
        </w:rPr>
        <w:t>Public</w:t>
      </w:r>
      <w:r w:rsidRPr="009A3138">
        <w:rPr>
          <w:rStyle w:val="apple-converted-space"/>
          <w:rFonts w:eastAsiaTheme="majorEastAsia"/>
          <w:color w:val="000000"/>
        </w:rPr>
        <w:t> </w:t>
      </w:r>
      <w:r w:rsidRPr="009A3138">
        <w:rPr>
          <w:rStyle w:val="bzpyqfadein"/>
          <w:rFonts w:eastAsiaTheme="majorEastAsia"/>
          <w:color w:val="000000"/>
        </w:rPr>
        <w:t>Health, 19(16),</w:t>
      </w:r>
      <w:r w:rsidRPr="009A3138">
        <w:rPr>
          <w:rStyle w:val="apple-converted-space"/>
          <w:rFonts w:eastAsiaTheme="majorEastAsia"/>
          <w:color w:val="000000"/>
        </w:rPr>
        <w:t> </w:t>
      </w:r>
      <w:r w:rsidRPr="009A3138">
        <w:rPr>
          <w:rStyle w:val="bzpyqfadein"/>
          <w:rFonts w:eastAsiaTheme="majorEastAsia"/>
          <w:color w:val="000000"/>
        </w:rPr>
        <w:t>Article 9960.</w:t>
      </w:r>
    </w:p>
    <w:p w14:paraId="094969E2" w14:textId="5061A763" w:rsidR="001B361D" w:rsidRDefault="001B361D" w:rsidP="001B361D">
      <w:pPr>
        <w:pStyle w:val="NormalWeb"/>
      </w:pPr>
      <w:proofErr w:type="spellStart"/>
      <w:r>
        <w:t>boyd</w:t>
      </w:r>
      <w:proofErr w:type="spellEnd"/>
      <w:r>
        <w:t xml:space="preserve">, d. (2014) </w:t>
      </w:r>
      <w:r>
        <w:rPr>
          <w:rStyle w:val="Emphasis"/>
          <w:rFonts w:eastAsiaTheme="majorEastAsia"/>
        </w:rPr>
        <w:t>It’s Complicated: The Social Lives of Networked Teens</w:t>
      </w:r>
      <w:r>
        <w:t>. New Haven: Yale University Press.</w:t>
      </w:r>
    </w:p>
    <w:p w14:paraId="606FC08B" w14:textId="77777777" w:rsidR="001B361D" w:rsidRDefault="001B361D" w:rsidP="001B361D">
      <w:pPr>
        <w:pStyle w:val="NormalWeb"/>
      </w:pPr>
      <w:r>
        <w:t xml:space="preserve">Bronfenbrenner, U. (1979) </w:t>
      </w:r>
      <w:r>
        <w:rPr>
          <w:rStyle w:val="Emphasis"/>
          <w:rFonts w:eastAsiaTheme="majorEastAsia"/>
        </w:rPr>
        <w:t>The Ecology of Human Development: Experiments by Nature and Design</w:t>
      </w:r>
      <w:r>
        <w:t>. Cambridge, MA: Harvard University Press.</w:t>
      </w:r>
    </w:p>
    <w:p w14:paraId="3A3A6C3D" w14:textId="052E0996" w:rsidR="001B361D" w:rsidRDefault="001B361D" w:rsidP="001B361D">
      <w:pPr>
        <w:pStyle w:val="NormalWeb"/>
      </w:pPr>
      <w:r>
        <w:t xml:space="preserve">Firth, J., </w:t>
      </w:r>
      <w:proofErr w:type="spellStart"/>
      <w:r>
        <w:t>Torous</w:t>
      </w:r>
      <w:proofErr w:type="spellEnd"/>
      <w:r>
        <w:t xml:space="preserve">, J., Nicholas, J., Carney, R., Rosenbaum, S. and Sarris, J. (2017) ‘The efficacy of smartphone-based mental health interventions for depressive symptoms: A meta-analysis of randomized controlled trials’, </w:t>
      </w:r>
      <w:r>
        <w:rPr>
          <w:rStyle w:val="Emphasis"/>
          <w:rFonts w:eastAsiaTheme="majorEastAsia"/>
        </w:rPr>
        <w:t>World Psychiatry</w:t>
      </w:r>
      <w:r>
        <w:t xml:space="preserve">, 16(3), pp. 287–298. </w:t>
      </w:r>
    </w:p>
    <w:p w14:paraId="6E572E88" w14:textId="77777777" w:rsidR="001B361D" w:rsidRDefault="001B361D" w:rsidP="001B361D">
      <w:pPr>
        <w:pStyle w:val="NormalWeb"/>
      </w:pPr>
      <w:r>
        <w:t xml:space="preserve">Goffman, E. (1959) </w:t>
      </w:r>
      <w:r>
        <w:rPr>
          <w:rStyle w:val="Emphasis"/>
          <w:rFonts w:eastAsiaTheme="majorEastAsia"/>
        </w:rPr>
        <w:t>The Presentation of Self in Everyday Life</w:t>
      </w:r>
      <w:r>
        <w:t>. Garden City, NY: Doubleday.</w:t>
      </w:r>
    </w:p>
    <w:p w14:paraId="21A11776" w14:textId="77777777" w:rsidR="001B361D" w:rsidRDefault="001B361D" w:rsidP="001B361D">
      <w:pPr>
        <w:pStyle w:val="NormalWeb"/>
      </w:pPr>
      <w:r>
        <w:t xml:space="preserve">Helsper, E. (2021) </w:t>
      </w:r>
      <w:r>
        <w:rPr>
          <w:rStyle w:val="Emphasis"/>
          <w:rFonts w:eastAsiaTheme="majorEastAsia"/>
        </w:rPr>
        <w:t>The Digital Disconnect: The Social Causes and Consequences of Digital Inequalities</w:t>
      </w:r>
      <w:r>
        <w:t>. London: SAGE.</w:t>
      </w:r>
    </w:p>
    <w:p w14:paraId="3C0DCDAE" w14:textId="523276F0" w:rsidR="001B361D" w:rsidRDefault="001B361D" w:rsidP="001B361D">
      <w:pPr>
        <w:pStyle w:val="NormalWeb"/>
      </w:pPr>
      <w:r>
        <w:t xml:space="preserve">Hinduja, S. and Patchin, J.W. (2019) ‘Connecting adolescent suicide to the severity of bullying and cyberbullying’, </w:t>
      </w:r>
      <w:r>
        <w:rPr>
          <w:rStyle w:val="Emphasis"/>
          <w:rFonts w:eastAsiaTheme="majorEastAsia"/>
        </w:rPr>
        <w:t>Journal of School Violence</w:t>
      </w:r>
      <w:r>
        <w:t xml:space="preserve">, 18(3), pp. 333–346. </w:t>
      </w:r>
    </w:p>
    <w:p w14:paraId="78984E72" w14:textId="77777777" w:rsidR="001B361D" w:rsidRDefault="001B361D" w:rsidP="001B361D">
      <w:pPr>
        <w:pStyle w:val="NormalWeb"/>
      </w:pPr>
      <w:r>
        <w:t xml:space="preserve">Johnson, G.M. and </w:t>
      </w:r>
      <w:proofErr w:type="spellStart"/>
      <w:r>
        <w:t>Puplampu</w:t>
      </w:r>
      <w:proofErr w:type="spellEnd"/>
      <w:r>
        <w:t xml:space="preserve">, K.P. (2008) ‘Internet use during childhood and the ecological techno-subsystem’, </w:t>
      </w:r>
      <w:r>
        <w:rPr>
          <w:rStyle w:val="Emphasis"/>
          <w:rFonts w:eastAsiaTheme="majorEastAsia"/>
        </w:rPr>
        <w:t>Canadian Journal of Learning and Technology</w:t>
      </w:r>
      <w:r>
        <w:t>, 34(1).</w:t>
      </w:r>
    </w:p>
    <w:p w14:paraId="06065B23" w14:textId="7509BEE9" w:rsidR="001B361D" w:rsidRDefault="001B361D" w:rsidP="001B361D">
      <w:pPr>
        <w:pStyle w:val="NormalWeb"/>
      </w:pPr>
      <w:r>
        <w:t xml:space="preserve">Kuss, D.J. and Griffiths, M.D. (2017) ‘Social networking sites and addiction: Ten lessons learned’, </w:t>
      </w:r>
      <w:r>
        <w:rPr>
          <w:rStyle w:val="Emphasis"/>
          <w:rFonts w:eastAsiaTheme="majorEastAsia"/>
        </w:rPr>
        <w:t>International Journal of Environmental Research and Public Health</w:t>
      </w:r>
      <w:r>
        <w:t xml:space="preserve">, 14(3), 311. </w:t>
      </w:r>
    </w:p>
    <w:p w14:paraId="3CE2FA99" w14:textId="77777777" w:rsidR="001B361D" w:rsidRDefault="001B361D" w:rsidP="001B361D">
      <w:pPr>
        <w:pStyle w:val="NormalWeb"/>
      </w:pPr>
      <w:r>
        <w:t xml:space="preserve">Livingstone, S. (2016) </w:t>
      </w:r>
      <w:r>
        <w:rPr>
          <w:rStyle w:val="Emphasis"/>
          <w:rFonts w:eastAsiaTheme="majorEastAsia"/>
        </w:rPr>
        <w:t>A Framework for Researching Global Kids Online</w:t>
      </w:r>
      <w:r>
        <w:t>. Florence: UNICEF Office of Research – Innocenti.</w:t>
      </w:r>
    </w:p>
    <w:p w14:paraId="6AB491DA" w14:textId="77777777" w:rsidR="001B361D" w:rsidRDefault="001B361D" w:rsidP="001B361D">
      <w:pPr>
        <w:pStyle w:val="NormalWeb"/>
      </w:pPr>
      <w:r>
        <w:t xml:space="preserve">Livingstone, S. and </w:t>
      </w:r>
      <w:proofErr w:type="spellStart"/>
      <w:r>
        <w:t>Stoilova</w:t>
      </w:r>
      <w:proofErr w:type="spellEnd"/>
      <w:r>
        <w:t xml:space="preserve">, M. (2021) </w:t>
      </w:r>
      <w:r>
        <w:rPr>
          <w:rStyle w:val="Emphasis"/>
          <w:rFonts w:eastAsiaTheme="majorEastAsia"/>
        </w:rPr>
        <w:t>The 4Cs: Classifying Online Risk to Children</w:t>
      </w:r>
      <w:r>
        <w:t>. Hamburg: Leibniz Institute for Media Research.</w:t>
      </w:r>
    </w:p>
    <w:p w14:paraId="2C4C42F8" w14:textId="11EDD5CD" w:rsidR="001B361D" w:rsidRDefault="001B361D" w:rsidP="001B361D">
      <w:pPr>
        <w:pStyle w:val="NormalWeb"/>
      </w:pPr>
      <w:r>
        <w:t>McDaniel, B.T. and Radesky, J.S. (2018) ‘</w:t>
      </w:r>
      <w:proofErr w:type="spellStart"/>
      <w:r>
        <w:t>Technoference</w:t>
      </w:r>
      <w:proofErr w:type="spellEnd"/>
      <w:r>
        <w:t xml:space="preserve">: Parent distraction with technology and associations with child </w:t>
      </w:r>
      <w:proofErr w:type="spellStart"/>
      <w:r>
        <w:t>behavior</w:t>
      </w:r>
      <w:proofErr w:type="spellEnd"/>
      <w:r>
        <w:t xml:space="preserve"> problems’, </w:t>
      </w:r>
      <w:r>
        <w:rPr>
          <w:rStyle w:val="Emphasis"/>
          <w:rFonts w:eastAsiaTheme="majorEastAsia"/>
        </w:rPr>
        <w:t>Child Development</w:t>
      </w:r>
      <w:r>
        <w:t xml:space="preserve">, 89(1), pp. 100–109. </w:t>
      </w:r>
    </w:p>
    <w:p w14:paraId="04B1F7B8" w14:textId="6C2FD530" w:rsidR="001B361D" w:rsidRDefault="001B361D" w:rsidP="001B361D">
      <w:pPr>
        <w:pStyle w:val="NormalWeb"/>
      </w:pPr>
      <w:r>
        <w:t xml:space="preserve">Montag, C. and Diefenbach, S. (2018) ‘Towards Homo Digitalis: Important research issues for psychology and the neurosciences at the dawn of the internet of things’, </w:t>
      </w:r>
      <w:r>
        <w:rPr>
          <w:rStyle w:val="Emphasis"/>
          <w:rFonts w:eastAsiaTheme="majorEastAsia"/>
        </w:rPr>
        <w:t>Sustainability</w:t>
      </w:r>
      <w:r>
        <w:t xml:space="preserve">, 10(2), 415. </w:t>
      </w:r>
    </w:p>
    <w:p w14:paraId="3A78F63B" w14:textId="6E06B78A" w:rsidR="001B361D" w:rsidRDefault="001B361D" w:rsidP="001B361D">
      <w:pPr>
        <w:pStyle w:val="NormalWeb"/>
      </w:pPr>
      <w:r>
        <w:t xml:space="preserve">Nathanson, A.I. (2015) ‘Media and the family: Reflections and future directions’, </w:t>
      </w:r>
      <w:r>
        <w:rPr>
          <w:rStyle w:val="Emphasis"/>
          <w:rFonts w:eastAsiaTheme="majorEastAsia"/>
        </w:rPr>
        <w:t>Journal of Children and Media</w:t>
      </w:r>
      <w:r>
        <w:t>, 9(1), pp. 133–139.</w:t>
      </w:r>
    </w:p>
    <w:p w14:paraId="4D8B0B9A" w14:textId="021289BA" w:rsidR="001B361D" w:rsidRDefault="001B361D" w:rsidP="001B361D">
      <w:pPr>
        <w:pStyle w:val="NormalWeb"/>
      </w:pPr>
      <w:r>
        <w:t xml:space="preserve">OECD (2021) </w:t>
      </w:r>
      <w:r>
        <w:rPr>
          <w:rStyle w:val="Emphasis"/>
          <w:rFonts w:eastAsiaTheme="majorEastAsia"/>
        </w:rPr>
        <w:t>Children in the Digital Environment: Opportunities, Risks and Policy Responses</w:t>
      </w:r>
      <w:r>
        <w:t xml:space="preserve">. Paris: OECD Publishing. </w:t>
      </w:r>
    </w:p>
    <w:p w14:paraId="6A48E870" w14:textId="1C3A5EA4" w:rsidR="001B361D" w:rsidRDefault="001B361D" w:rsidP="001B361D">
      <w:pPr>
        <w:pStyle w:val="NormalWeb"/>
      </w:pPr>
      <w:r>
        <w:lastRenderedPageBreak/>
        <w:t xml:space="preserve">Odgers, C.L. and Jensen, M.R. (2020) ‘Annual research review: Adolescent mental health in the digital age: Facts, fears, and future directions’, </w:t>
      </w:r>
      <w:r>
        <w:rPr>
          <w:rStyle w:val="Emphasis"/>
          <w:rFonts w:eastAsiaTheme="majorEastAsia"/>
        </w:rPr>
        <w:t>Journal of Child Psychology and Psychiatry</w:t>
      </w:r>
      <w:r>
        <w:t xml:space="preserve">, 61(3), pp. 336–348. </w:t>
      </w:r>
    </w:p>
    <w:p w14:paraId="0A09F432" w14:textId="064D8AA8" w:rsidR="001B361D" w:rsidRDefault="001B361D" w:rsidP="001B361D">
      <w:pPr>
        <w:pStyle w:val="NormalWeb"/>
      </w:pPr>
      <w:r>
        <w:t xml:space="preserve">Orben, A. and Przybylski, A.K. (2019) ‘The association between adolescent well-being and digital technology use’, </w:t>
      </w:r>
      <w:r>
        <w:rPr>
          <w:rStyle w:val="Emphasis"/>
          <w:rFonts w:eastAsiaTheme="majorEastAsia"/>
        </w:rPr>
        <w:t>Nature Human Behaviour</w:t>
      </w:r>
      <w:r>
        <w:t xml:space="preserve">, 3(2), pp. 173–182. </w:t>
      </w:r>
    </w:p>
    <w:p w14:paraId="3AE9DE08" w14:textId="67CD07AD" w:rsidR="001B361D" w:rsidRDefault="001B361D" w:rsidP="001B361D">
      <w:pPr>
        <w:pStyle w:val="NormalWeb"/>
      </w:pPr>
      <w:r>
        <w:t xml:space="preserve">Przybylski, A.K. and Weinstein, N. (2019) ‘Digital screen time limits and young children's psychological well-being: Evidence from a population-based study’, </w:t>
      </w:r>
      <w:r>
        <w:rPr>
          <w:rStyle w:val="Emphasis"/>
          <w:rFonts w:eastAsiaTheme="majorEastAsia"/>
        </w:rPr>
        <w:t>Child Development</w:t>
      </w:r>
      <w:r>
        <w:t xml:space="preserve">, 90(1), pp. e56–e65. </w:t>
      </w:r>
    </w:p>
    <w:p w14:paraId="38F7B7C4" w14:textId="0254106C" w:rsidR="001B361D" w:rsidRDefault="001B361D" w:rsidP="001B361D">
      <w:pPr>
        <w:pStyle w:val="NormalWeb"/>
      </w:pPr>
      <w:r>
        <w:t xml:space="preserve">Radesky, J.S. and Christakis, D.A. (2016) ‘Increased screen time: Implications for early childhood development and </w:t>
      </w:r>
      <w:proofErr w:type="spellStart"/>
      <w:r>
        <w:t>behavior</w:t>
      </w:r>
      <w:proofErr w:type="spellEnd"/>
      <w:r>
        <w:t xml:space="preserve">’, </w:t>
      </w:r>
      <w:proofErr w:type="spellStart"/>
      <w:r>
        <w:rPr>
          <w:rStyle w:val="Emphasis"/>
          <w:rFonts w:eastAsiaTheme="majorEastAsia"/>
        </w:rPr>
        <w:t>Pediatric</w:t>
      </w:r>
      <w:proofErr w:type="spellEnd"/>
      <w:r>
        <w:rPr>
          <w:rStyle w:val="Emphasis"/>
          <w:rFonts w:eastAsiaTheme="majorEastAsia"/>
        </w:rPr>
        <w:t xml:space="preserve"> Clinics of North America</w:t>
      </w:r>
      <w:r>
        <w:t xml:space="preserve">, 63(5), pp. 827–839. </w:t>
      </w:r>
    </w:p>
    <w:p w14:paraId="1251B266" w14:textId="77777777" w:rsidR="001B361D" w:rsidRDefault="001B361D" w:rsidP="001B361D">
      <w:pPr>
        <w:pStyle w:val="NormalWeb"/>
      </w:pPr>
      <w:r>
        <w:t xml:space="preserve">Selwyn, N. (2016) </w:t>
      </w:r>
      <w:r>
        <w:rPr>
          <w:rStyle w:val="Emphasis"/>
          <w:rFonts w:eastAsiaTheme="majorEastAsia"/>
        </w:rPr>
        <w:t>Education and Technology: Key Issues and Debates</w:t>
      </w:r>
      <w:r>
        <w:t xml:space="preserve">. 2nd </w:t>
      </w:r>
      <w:proofErr w:type="spellStart"/>
      <w:r>
        <w:t>edn</w:t>
      </w:r>
      <w:proofErr w:type="spellEnd"/>
      <w:r>
        <w:t>. London: Bloomsbury Academic.</w:t>
      </w:r>
    </w:p>
    <w:p w14:paraId="63359E83" w14:textId="77777777" w:rsidR="001B361D" w:rsidRDefault="001B361D" w:rsidP="001B361D">
      <w:pPr>
        <w:pStyle w:val="NormalWeb"/>
      </w:pPr>
      <w:r>
        <w:t xml:space="preserve">Twenge, J.M. (2017) </w:t>
      </w:r>
      <w:proofErr w:type="spellStart"/>
      <w:r>
        <w:rPr>
          <w:rStyle w:val="Emphasis"/>
          <w:rFonts w:eastAsiaTheme="majorEastAsia"/>
        </w:rPr>
        <w:t>iGen</w:t>
      </w:r>
      <w:proofErr w:type="spellEnd"/>
      <w:r>
        <w:rPr>
          <w:rStyle w:val="Emphasis"/>
          <w:rFonts w:eastAsiaTheme="majorEastAsia"/>
        </w:rPr>
        <w:t>: Why Today’s Super-Connected Kids Are Growing Up Less Rebellious, More Tolerant, Less Happy—and Completely Unprepared for Adulthood</w:t>
      </w:r>
      <w:r>
        <w:t>. New York: Atria Books.</w:t>
      </w:r>
    </w:p>
    <w:p w14:paraId="1B0EEEEB" w14:textId="77777777" w:rsidR="001B361D" w:rsidRDefault="001B361D" w:rsidP="001B361D">
      <w:pPr>
        <w:pStyle w:val="NormalWeb"/>
      </w:pPr>
      <w:r>
        <w:t xml:space="preserve">UK Council for Internet Safety (2020) </w:t>
      </w:r>
      <w:r>
        <w:rPr>
          <w:rStyle w:val="Emphasis"/>
          <w:rFonts w:eastAsiaTheme="majorEastAsia"/>
        </w:rPr>
        <w:t>Education for a Connected World: A Framework to Equip Children and Young People for Digital Life</w:t>
      </w:r>
      <w:r>
        <w:t>. London: Department for Education.</w:t>
      </w:r>
    </w:p>
    <w:p w14:paraId="26F0735B" w14:textId="77777777" w:rsidR="001B361D" w:rsidRDefault="001B361D" w:rsidP="001B361D">
      <w:pPr>
        <w:pStyle w:val="NormalWeb"/>
      </w:pPr>
      <w:r>
        <w:t xml:space="preserve">UNICEF (2017) </w:t>
      </w:r>
      <w:r>
        <w:rPr>
          <w:rStyle w:val="Emphasis"/>
          <w:rFonts w:eastAsiaTheme="majorEastAsia"/>
        </w:rPr>
        <w:t>The State of the World’s Children 2017: Children in a Digital World</w:t>
      </w:r>
      <w:r>
        <w:t>. New York: UNICEF.</w:t>
      </w:r>
    </w:p>
    <w:p w14:paraId="7186368F" w14:textId="77777777" w:rsidR="001B361D" w:rsidRDefault="001B361D" w:rsidP="001B361D">
      <w:pPr>
        <w:pStyle w:val="NormalWeb"/>
      </w:pPr>
      <w:r>
        <w:t xml:space="preserve">Van Dijk, J. (2020) </w:t>
      </w:r>
      <w:r>
        <w:rPr>
          <w:rStyle w:val="Emphasis"/>
          <w:rFonts w:eastAsiaTheme="majorEastAsia"/>
        </w:rPr>
        <w:t>The Digital Divide</w:t>
      </w:r>
      <w:r>
        <w:t xml:space="preserve">. 2nd </w:t>
      </w:r>
      <w:proofErr w:type="spellStart"/>
      <w:r>
        <w:t>edn</w:t>
      </w:r>
      <w:proofErr w:type="spellEnd"/>
      <w:r>
        <w:t>. Cambridge: Polity Press.</w:t>
      </w:r>
    </w:p>
    <w:p w14:paraId="44E7F73F" w14:textId="1A45C99B" w:rsidR="001B361D" w:rsidRDefault="001B361D" w:rsidP="001B361D">
      <w:pPr>
        <w:pStyle w:val="NormalWeb"/>
      </w:pPr>
      <w:r>
        <w:t xml:space="preserve">Viner, R.M., Gireesh, A., Stiglic, N., Hudson, L.D., </w:t>
      </w:r>
      <w:proofErr w:type="spellStart"/>
      <w:r>
        <w:t>Goddings</w:t>
      </w:r>
      <w:proofErr w:type="spellEnd"/>
      <w:r>
        <w:t xml:space="preserve">, A.L., Ward, J.L. and Nicholls, D.E. (2019) ‘Roles of cyberbullying, sleep, and physical activity in mediating the effects of social media use on mental health and wellbeing among young people in England’, </w:t>
      </w:r>
      <w:r>
        <w:rPr>
          <w:rStyle w:val="Emphasis"/>
          <w:rFonts w:eastAsiaTheme="majorEastAsia"/>
        </w:rPr>
        <w:t>The Lancet Child &amp; Adolescent Health</w:t>
      </w:r>
      <w:r>
        <w:t xml:space="preserve">, 3(10), pp. 685–696. </w:t>
      </w:r>
    </w:p>
    <w:p w14:paraId="120509ED" w14:textId="3FAC5DFA" w:rsidR="001B361D" w:rsidRDefault="001B361D" w:rsidP="001B361D">
      <w:pPr>
        <w:pStyle w:val="NormalWeb"/>
      </w:pPr>
      <w:r>
        <w:t xml:space="preserve">Vogel, E.A., Rose, J.P., Roberts, L.R. and Eckles, K. (2014) ‘Social comparison, social media, and self-esteem’, </w:t>
      </w:r>
      <w:r>
        <w:rPr>
          <w:rStyle w:val="Emphasis"/>
          <w:rFonts w:eastAsiaTheme="majorEastAsia"/>
        </w:rPr>
        <w:t>Psychology of Popular Media Culture</w:t>
      </w:r>
      <w:r>
        <w:t xml:space="preserve">, 3(4), pp. 206–222. </w:t>
      </w:r>
    </w:p>
    <w:p w14:paraId="665A7AFF" w14:textId="77777777" w:rsidR="001B361D" w:rsidRDefault="001B361D" w:rsidP="001B361D">
      <w:pPr>
        <w:pStyle w:val="NormalWeb"/>
      </w:pPr>
      <w:r>
        <w:t xml:space="preserve">World Health Organization (2020) </w:t>
      </w:r>
      <w:r>
        <w:rPr>
          <w:rStyle w:val="Emphasis"/>
          <w:rFonts w:eastAsiaTheme="majorEastAsia"/>
        </w:rPr>
        <w:t>Guidelines on Mental Health Promotive Interventions for Adolescents</w:t>
      </w:r>
      <w:r>
        <w:t>. Geneva: World Health Organization.</w:t>
      </w:r>
    </w:p>
    <w:p w14:paraId="207135CF" w14:textId="77777777" w:rsidR="001B361D" w:rsidRPr="004A6540" w:rsidRDefault="001B361D" w:rsidP="004A6540">
      <w:pPr>
        <w:spacing w:before="100" w:beforeAutospacing="1" w:after="100" w:afterAutospacing="1"/>
        <w:rPr>
          <w:rFonts w:ascii="Times New Roman" w:eastAsia="Times New Roman" w:hAnsi="Times New Roman" w:cs="Times New Roman"/>
          <w:color w:val="000000"/>
          <w:kern w:val="0"/>
          <w:lang w:eastAsia="en-GB"/>
          <w14:ligatures w14:val="none"/>
        </w:rPr>
      </w:pPr>
    </w:p>
    <w:p w14:paraId="4CF7F1C5" w14:textId="77777777" w:rsidR="00FF0274" w:rsidRPr="00190D68" w:rsidRDefault="00FF0274" w:rsidP="004A6540">
      <w:pPr>
        <w:rPr>
          <w:color w:val="EE0000"/>
        </w:rPr>
      </w:pPr>
    </w:p>
    <w:sectPr w:rsidR="00FF0274" w:rsidRPr="00190D68" w:rsidSect="001B36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138F4"/>
    <w:multiLevelType w:val="multilevel"/>
    <w:tmpl w:val="4C524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0088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C"/>
    <w:rsid w:val="001675DB"/>
    <w:rsid w:val="00190D68"/>
    <w:rsid w:val="00192398"/>
    <w:rsid w:val="001A396D"/>
    <w:rsid w:val="001B361D"/>
    <w:rsid w:val="00265936"/>
    <w:rsid w:val="00267545"/>
    <w:rsid w:val="00317C29"/>
    <w:rsid w:val="00335461"/>
    <w:rsid w:val="003D007A"/>
    <w:rsid w:val="00441CAB"/>
    <w:rsid w:val="004A6540"/>
    <w:rsid w:val="00544A69"/>
    <w:rsid w:val="006120B3"/>
    <w:rsid w:val="00753F8A"/>
    <w:rsid w:val="00770327"/>
    <w:rsid w:val="009A3138"/>
    <w:rsid w:val="00BE0C3A"/>
    <w:rsid w:val="00BE23A5"/>
    <w:rsid w:val="00BE2AAC"/>
    <w:rsid w:val="00C5229B"/>
    <w:rsid w:val="00C56101"/>
    <w:rsid w:val="00C72F98"/>
    <w:rsid w:val="00CF5CEC"/>
    <w:rsid w:val="00D300C7"/>
    <w:rsid w:val="00E26392"/>
    <w:rsid w:val="00EE1D26"/>
    <w:rsid w:val="00F1275E"/>
    <w:rsid w:val="00FF0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25C7"/>
  <w15:chartTrackingRefBased/>
  <w15:docId w15:val="{82427A88-5E74-8149-A159-8F403EDE5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A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A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2A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A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A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A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A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A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A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A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A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2A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A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A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A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A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A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AAC"/>
    <w:rPr>
      <w:rFonts w:eastAsiaTheme="majorEastAsia" w:cstheme="majorBidi"/>
      <w:color w:val="272727" w:themeColor="text1" w:themeTint="D8"/>
    </w:rPr>
  </w:style>
  <w:style w:type="paragraph" w:styleId="Title">
    <w:name w:val="Title"/>
    <w:basedOn w:val="Normal"/>
    <w:next w:val="Normal"/>
    <w:link w:val="TitleChar"/>
    <w:uiPriority w:val="10"/>
    <w:qFormat/>
    <w:rsid w:val="00BE2A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A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A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A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A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2AAC"/>
    <w:rPr>
      <w:i/>
      <w:iCs/>
      <w:color w:val="404040" w:themeColor="text1" w:themeTint="BF"/>
    </w:rPr>
  </w:style>
  <w:style w:type="paragraph" w:styleId="ListParagraph">
    <w:name w:val="List Paragraph"/>
    <w:basedOn w:val="Normal"/>
    <w:uiPriority w:val="34"/>
    <w:qFormat/>
    <w:rsid w:val="00BE2AAC"/>
    <w:pPr>
      <w:ind w:left="720"/>
      <w:contextualSpacing/>
    </w:pPr>
  </w:style>
  <w:style w:type="character" w:styleId="IntenseEmphasis">
    <w:name w:val="Intense Emphasis"/>
    <w:basedOn w:val="DefaultParagraphFont"/>
    <w:uiPriority w:val="21"/>
    <w:qFormat/>
    <w:rsid w:val="00BE2AAC"/>
    <w:rPr>
      <w:i/>
      <w:iCs/>
      <w:color w:val="0F4761" w:themeColor="accent1" w:themeShade="BF"/>
    </w:rPr>
  </w:style>
  <w:style w:type="paragraph" w:styleId="IntenseQuote">
    <w:name w:val="Intense Quote"/>
    <w:basedOn w:val="Normal"/>
    <w:next w:val="Normal"/>
    <w:link w:val="IntenseQuoteChar"/>
    <w:uiPriority w:val="30"/>
    <w:qFormat/>
    <w:rsid w:val="00BE2A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AAC"/>
    <w:rPr>
      <w:i/>
      <w:iCs/>
      <w:color w:val="0F4761" w:themeColor="accent1" w:themeShade="BF"/>
    </w:rPr>
  </w:style>
  <w:style w:type="character" w:styleId="IntenseReference">
    <w:name w:val="Intense Reference"/>
    <w:basedOn w:val="DefaultParagraphFont"/>
    <w:uiPriority w:val="32"/>
    <w:qFormat/>
    <w:rsid w:val="00BE2AAC"/>
    <w:rPr>
      <w:b/>
      <w:bCs/>
      <w:smallCaps/>
      <w:color w:val="0F4761" w:themeColor="accent1" w:themeShade="BF"/>
      <w:spacing w:val="5"/>
    </w:rPr>
  </w:style>
  <w:style w:type="paragraph" w:styleId="NormalWeb">
    <w:name w:val="Normal (Web)"/>
    <w:basedOn w:val="Normal"/>
    <w:uiPriority w:val="99"/>
    <w:semiHidden/>
    <w:unhideWhenUsed/>
    <w:rsid w:val="00BE2AA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E2AAC"/>
  </w:style>
  <w:style w:type="character" w:styleId="Emphasis">
    <w:name w:val="Emphasis"/>
    <w:basedOn w:val="DefaultParagraphFont"/>
    <w:uiPriority w:val="20"/>
    <w:qFormat/>
    <w:rsid w:val="004A6540"/>
    <w:rPr>
      <w:i/>
      <w:iCs/>
    </w:rPr>
  </w:style>
  <w:style w:type="character" w:styleId="Hyperlink">
    <w:name w:val="Hyperlink"/>
    <w:basedOn w:val="DefaultParagraphFont"/>
    <w:uiPriority w:val="99"/>
    <w:semiHidden/>
    <w:unhideWhenUsed/>
    <w:rsid w:val="00753F8A"/>
    <w:rPr>
      <w:color w:val="0000FF"/>
      <w:u w:val="single"/>
    </w:rPr>
  </w:style>
  <w:style w:type="character" w:styleId="Strong">
    <w:name w:val="Strong"/>
    <w:basedOn w:val="DefaultParagraphFont"/>
    <w:uiPriority w:val="22"/>
    <w:qFormat/>
    <w:rsid w:val="00D300C7"/>
    <w:rPr>
      <w:b/>
      <w:bCs/>
    </w:rPr>
  </w:style>
  <w:style w:type="character" w:styleId="FollowedHyperlink">
    <w:name w:val="FollowedHyperlink"/>
    <w:basedOn w:val="DefaultParagraphFont"/>
    <w:uiPriority w:val="99"/>
    <w:semiHidden/>
    <w:unhideWhenUsed/>
    <w:rsid w:val="001B361D"/>
    <w:rPr>
      <w:color w:val="96607D" w:themeColor="followedHyperlink"/>
      <w:u w:val="single"/>
    </w:rPr>
  </w:style>
  <w:style w:type="paragraph" w:styleId="NoSpacing">
    <w:name w:val="No Spacing"/>
    <w:link w:val="NoSpacingChar"/>
    <w:uiPriority w:val="1"/>
    <w:qFormat/>
    <w:rsid w:val="001B361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B361D"/>
    <w:rPr>
      <w:rFonts w:eastAsiaTheme="minorEastAsia"/>
      <w:kern w:val="0"/>
      <w:sz w:val="22"/>
      <w:szCs w:val="22"/>
      <w:lang w:val="en-US" w:eastAsia="zh-CN"/>
      <w14:ligatures w14:val="none"/>
    </w:rPr>
  </w:style>
  <w:style w:type="character" w:customStyle="1" w:styleId="bzpyqfadein">
    <w:name w:val="bz_pyq_fadein"/>
    <w:basedOn w:val="DefaultParagraphFont"/>
    <w:rsid w:val="009A3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Childhood in Transition: A Critical Analysis of How Emerging Technologies Shape Development, Wellbeing and Social Experiences Among Children and Young People</dc:title>
  <dc:subject>Children Young People and Emerging Technologies</dc:subject>
  <dc:creator>Katarzyna Traczewska (2215838)</dc:creator>
  <cp:keywords/>
  <dc:description/>
  <cp:lastModifiedBy>Victoria Traczewska</cp:lastModifiedBy>
  <cp:revision>2</cp:revision>
  <dcterms:created xsi:type="dcterms:W3CDTF">2026-03-16T11:30:00Z</dcterms:created>
  <dcterms:modified xsi:type="dcterms:W3CDTF">2026-03-16T11:30:00Z</dcterms:modified>
</cp:coreProperties>
</file>