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4A6B7" w14:textId="77777777" w:rsidR="00773A36" w:rsidRDefault="00773A36" w:rsidP="00773A36">
      <w:pPr>
        <w:jc w:val="center"/>
        <w:rPr>
          <w:rFonts w:ascii="Arial" w:hAnsi="Arial" w:cs="Arial"/>
          <w:sz w:val="28"/>
          <w:szCs w:val="28"/>
          <w:u w:val="single"/>
        </w:rPr>
      </w:pPr>
    </w:p>
    <w:p w14:paraId="4CB906C7" w14:textId="77777777" w:rsidR="00773A36" w:rsidRDefault="00773A36" w:rsidP="00773A36">
      <w:pPr>
        <w:jc w:val="center"/>
        <w:rPr>
          <w:rFonts w:ascii="Arial" w:hAnsi="Arial" w:cs="Arial"/>
          <w:sz w:val="28"/>
          <w:szCs w:val="28"/>
          <w:u w:val="single"/>
        </w:rPr>
      </w:pPr>
    </w:p>
    <w:p w14:paraId="1DC8B34E" w14:textId="77777777" w:rsidR="00773A36" w:rsidRDefault="00773A36" w:rsidP="00773A36">
      <w:pPr>
        <w:jc w:val="center"/>
        <w:rPr>
          <w:rFonts w:ascii="Arial" w:hAnsi="Arial" w:cs="Arial"/>
          <w:sz w:val="28"/>
          <w:szCs w:val="28"/>
          <w:u w:val="single"/>
        </w:rPr>
      </w:pPr>
    </w:p>
    <w:p w14:paraId="2F586982" w14:textId="3C3A1657" w:rsidR="00773A36" w:rsidRDefault="00773A36" w:rsidP="00773A36">
      <w:pPr>
        <w:jc w:val="center"/>
        <w:rPr>
          <w:rFonts w:ascii="Arial" w:hAnsi="Arial" w:cs="Arial"/>
          <w:sz w:val="28"/>
          <w:szCs w:val="28"/>
          <w:u w:val="single"/>
        </w:rPr>
      </w:pPr>
    </w:p>
    <w:p w14:paraId="1B77E040" w14:textId="60E2A627" w:rsidR="00773A36" w:rsidRDefault="00773A36" w:rsidP="00773A36">
      <w:pPr>
        <w:jc w:val="center"/>
        <w:rPr>
          <w:rFonts w:ascii="Arial" w:hAnsi="Arial" w:cs="Arial"/>
          <w:sz w:val="28"/>
          <w:szCs w:val="28"/>
          <w:u w:val="single"/>
        </w:rPr>
      </w:pPr>
    </w:p>
    <w:p w14:paraId="720D1B21" w14:textId="77777777" w:rsidR="00773A36" w:rsidRDefault="00773A36" w:rsidP="00773A36">
      <w:pPr>
        <w:jc w:val="center"/>
        <w:rPr>
          <w:rFonts w:ascii="Arial" w:hAnsi="Arial" w:cs="Arial"/>
          <w:sz w:val="28"/>
          <w:szCs w:val="28"/>
          <w:u w:val="single"/>
        </w:rPr>
      </w:pPr>
    </w:p>
    <w:p w14:paraId="0C4F6643" w14:textId="5D12DD59" w:rsidR="00773A36" w:rsidRDefault="00773A36" w:rsidP="00773A36">
      <w:pPr>
        <w:jc w:val="center"/>
        <w:rPr>
          <w:rFonts w:ascii="Arial" w:hAnsi="Arial" w:cs="Arial"/>
          <w:sz w:val="28"/>
          <w:szCs w:val="28"/>
          <w:u w:val="single"/>
        </w:rPr>
      </w:pPr>
    </w:p>
    <w:p w14:paraId="37C28456" w14:textId="77777777" w:rsidR="00773A36" w:rsidRDefault="00773A36" w:rsidP="00773A36">
      <w:pPr>
        <w:jc w:val="center"/>
        <w:rPr>
          <w:rFonts w:ascii="Arial" w:hAnsi="Arial" w:cs="Arial"/>
          <w:sz w:val="28"/>
          <w:szCs w:val="28"/>
          <w:u w:val="single"/>
        </w:rPr>
      </w:pPr>
    </w:p>
    <w:p w14:paraId="0B0573BB" w14:textId="51B10BFC" w:rsidR="00773A36" w:rsidRDefault="00773A36" w:rsidP="00773A36">
      <w:pPr>
        <w:jc w:val="center"/>
        <w:rPr>
          <w:rFonts w:ascii="Arial" w:hAnsi="Arial" w:cs="Arial"/>
          <w:sz w:val="28"/>
          <w:szCs w:val="28"/>
          <w:u w:val="single"/>
        </w:rPr>
      </w:pPr>
      <w:r>
        <w:rPr>
          <w:noProof/>
        </w:rPr>
        <w:drawing>
          <wp:inline distT="0" distB="0" distL="0" distR="0" wp14:anchorId="0BA57CBF" wp14:editId="4D36FDBD">
            <wp:extent cx="3476625" cy="1152525"/>
            <wp:effectExtent l="0" t="0" r="9525" b="9525"/>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6625" cy="1152525"/>
                    </a:xfrm>
                    <a:prstGeom prst="rect">
                      <a:avLst/>
                    </a:prstGeom>
                    <a:noFill/>
                    <a:ln>
                      <a:noFill/>
                    </a:ln>
                  </pic:spPr>
                </pic:pic>
              </a:graphicData>
            </a:graphic>
          </wp:inline>
        </w:drawing>
      </w:r>
    </w:p>
    <w:p w14:paraId="7FC27FD8" w14:textId="77777777" w:rsidR="00773A36" w:rsidRDefault="00773A36" w:rsidP="00773A36">
      <w:pPr>
        <w:jc w:val="center"/>
        <w:rPr>
          <w:rFonts w:ascii="Arial" w:hAnsi="Arial" w:cs="Arial"/>
          <w:sz w:val="28"/>
          <w:szCs w:val="28"/>
          <w:u w:val="single"/>
        </w:rPr>
      </w:pPr>
    </w:p>
    <w:p w14:paraId="614D5B5D" w14:textId="3A00ECC8" w:rsidR="00773A36" w:rsidRPr="00773A36" w:rsidRDefault="00773A36" w:rsidP="00773A36">
      <w:pPr>
        <w:spacing w:line="480" w:lineRule="auto"/>
        <w:jc w:val="center"/>
        <w:rPr>
          <w:rFonts w:ascii="Arial" w:hAnsi="Arial" w:cs="Arial"/>
          <w:sz w:val="32"/>
          <w:szCs w:val="32"/>
          <w:u w:val="single"/>
        </w:rPr>
      </w:pPr>
      <w:r w:rsidRPr="00773A36">
        <w:rPr>
          <w:rFonts w:ascii="Arial" w:hAnsi="Arial" w:cs="Arial"/>
          <w:sz w:val="32"/>
          <w:szCs w:val="32"/>
          <w:u w:val="single"/>
        </w:rPr>
        <w:t>Prejudice and discrimination-M6X00916</w:t>
      </w:r>
    </w:p>
    <w:p w14:paraId="50887D69" w14:textId="559727C1" w:rsidR="00773A36" w:rsidRPr="00773A36" w:rsidRDefault="00773A36" w:rsidP="00773A36">
      <w:pPr>
        <w:spacing w:line="480" w:lineRule="auto"/>
        <w:jc w:val="center"/>
        <w:rPr>
          <w:rFonts w:ascii="Arial" w:hAnsi="Arial" w:cs="Arial"/>
          <w:sz w:val="32"/>
          <w:szCs w:val="32"/>
          <w:u w:val="single"/>
        </w:rPr>
      </w:pPr>
      <w:r w:rsidRPr="00773A36">
        <w:rPr>
          <w:rFonts w:ascii="Arial" w:hAnsi="Arial" w:cs="Arial"/>
          <w:sz w:val="32"/>
          <w:szCs w:val="32"/>
          <w:u w:val="single"/>
        </w:rPr>
        <w:t>John Rees-1703876</w:t>
      </w:r>
    </w:p>
    <w:p w14:paraId="58923667" w14:textId="77777777" w:rsidR="00773A36" w:rsidRPr="00773A36" w:rsidRDefault="00773A36" w:rsidP="00773A36">
      <w:pPr>
        <w:spacing w:line="480" w:lineRule="auto"/>
        <w:jc w:val="center"/>
        <w:rPr>
          <w:rFonts w:ascii="Arial" w:hAnsi="Arial" w:cs="Arial"/>
          <w:sz w:val="32"/>
          <w:szCs w:val="32"/>
          <w:u w:val="single"/>
        </w:rPr>
      </w:pPr>
    </w:p>
    <w:p w14:paraId="5B491B8D" w14:textId="004321EA" w:rsidR="00314029" w:rsidRDefault="00773A36" w:rsidP="00773A36">
      <w:pPr>
        <w:spacing w:line="480" w:lineRule="auto"/>
        <w:jc w:val="center"/>
        <w:rPr>
          <w:rFonts w:ascii="Arial" w:hAnsi="Arial" w:cs="Arial"/>
          <w:sz w:val="32"/>
          <w:szCs w:val="32"/>
          <w:u w:val="single"/>
        </w:rPr>
      </w:pPr>
      <w:r w:rsidRPr="00773A36">
        <w:rPr>
          <w:rFonts w:ascii="Arial" w:hAnsi="Arial" w:cs="Arial"/>
          <w:sz w:val="32"/>
          <w:szCs w:val="32"/>
          <w:u w:val="single"/>
        </w:rPr>
        <w:t>Brexit: Did intergroup attitudes have a part to play?</w:t>
      </w:r>
    </w:p>
    <w:p w14:paraId="2A78CB73" w14:textId="7721D284" w:rsidR="00773A36" w:rsidRDefault="00773A36" w:rsidP="00773A36">
      <w:pPr>
        <w:spacing w:line="480" w:lineRule="auto"/>
        <w:jc w:val="center"/>
        <w:rPr>
          <w:rFonts w:ascii="Arial" w:hAnsi="Arial" w:cs="Arial"/>
          <w:sz w:val="32"/>
          <w:szCs w:val="32"/>
          <w:u w:val="single"/>
        </w:rPr>
      </w:pPr>
    </w:p>
    <w:p w14:paraId="67961513" w14:textId="03B37550" w:rsidR="00773A36" w:rsidRDefault="00773A36" w:rsidP="00773A36">
      <w:pPr>
        <w:spacing w:line="480" w:lineRule="auto"/>
        <w:jc w:val="center"/>
        <w:rPr>
          <w:rFonts w:ascii="Arial" w:hAnsi="Arial" w:cs="Arial"/>
          <w:sz w:val="32"/>
          <w:szCs w:val="32"/>
          <w:u w:val="single"/>
        </w:rPr>
      </w:pPr>
    </w:p>
    <w:p w14:paraId="16A837C3" w14:textId="4E6FE212" w:rsidR="00773A36" w:rsidRDefault="00773A36" w:rsidP="00773A36">
      <w:pPr>
        <w:spacing w:line="480" w:lineRule="auto"/>
        <w:jc w:val="center"/>
        <w:rPr>
          <w:rFonts w:ascii="Arial" w:hAnsi="Arial" w:cs="Arial"/>
          <w:sz w:val="32"/>
          <w:szCs w:val="32"/>
          <w:u w:val="single"/>
        </w:rPr>
      </w:pPr>
    </w:p>
    <w:p w14:paraId="3540A927" w14:textId="0CA60421" w:rsidR="00773A36" w:rsidRDefault="00773A36" w:rsidP="00773A36">
      <w:pPr>
        <w:spacing w:line="480" w:lineRule="auto"/>
        <w:jc w:val="center"/>
        <w:rPr>
          <w:rFonts w:ascii="Arial" w:hAnsi="Arial" w:cs="Arial"/>
          <w:sz w:val="32"/>
          <w:szCs w:val="32"/>
          <w:u w:val="single"/>
        </w:rPr>
      </w:pPr>
    </w:p>
    <w:p w14:paraId="57F919FD" w14:textId="0A66DB00" w:rsidR="00773A36" w:rsidRDefault="00773A36" w:rsidP="00773A36">
      <w:pPr>
        <w:spacing w:line="480" w:lineRule="auto"/>
        <w:jc w:val="center"/>
        <w:rPr>
          <w:rFonts w:ascii="Arial" w:hAnsi="Arial" w:cs="Arial"/>
          <w:sz w:val="32"/>
          <w:szCs w:val="32"/>
          <w:u w:val="single"/>
        </w:rPr>
      </w:pPr>
    </w:p>
    <w:p w14:paraId="26EC4B8B" w14:textId="7223A6A5" w:rsidR="00773A36" w:rsidRDefault="00773A36" w:rsidP="007361F7">
      <w:pPr>
        <w:spacing w:line="480" w:lineRule="auto"/>
        <w:ind w:firstLine="720"/>
        <w:rPr>
          <w:rFonts w:ascii="Arial" w:hAnsi="Arial" w:cs="Arial"/>
          <w:sz w:val="24"/>
          <w:szCs w:val="24"/>
        </w:rPr>
      </w:pPr>
      <w:r>
        <w:rPr>
          <w:rFonts w:ascii="Arial" w:hAnsi="Arial" w:cs="Arial"/>
          <w:sz w:val="24"/>
          <w:szCs w:val="24"/>
        </w:rPr>
        <w:lastRenderedPageBreak/>
        <w:t>June 2016</w:t>
      </w:r>
      <w:r w:rsidR="007361F7">
        <w:rPr>
          <w:rFonts w:ascii="Arial" w:hAnsi="Arial" w:cs="Arial"/>
          <w:sz w:val="24"/>
          <w:szCs w:val="24"/>
        </w:rPr>
        <w:t xml:space="preserve"> will be remembered as a monumental part of British history for many years to come as during this time, a referendum was held to allow the British public to vote to leave the European Union (EU) or remain part of its organisation; 72.2% of eligible British citizens partook in the voting process, with final results showing that 52% voted to leave the EU. As stated by Goodwin and Heath (2016), societal divides were identified and reflected by the referendum, highlighting the willingness of some to</w:t>
      </w:r>
      <w:r w:rsidR="0019182C">
        <w:rPr>
          <w:rFonts w:ascii="Arial" w:hAnsi="Arial" w:cs="Arial"/>
          <w:sz w:val="24"/>
          <w:szCs w:val="24"/>
        </w:rPr>
        <w:t xml:space="preserve"> embrace ‘modern globalisation’ and in contrast, the reluctance of others at danger or fear of being ‘left behind’ as a result of th</w:t>
      </w:r>
      <w:r w:rsidR="00217CF0">
        <w:rPr>
          <w:rFonts w:ascii="Arial" w:hAnsi="Arial" w:cs="Arial"/>
          <w:sz w:val="24"/>
          <w:szCs w:val="24"/>
        </w:rPr>
        <w:t xml:space="preserve">e policies, expectations and economic impacts that materialise from being a member of the European Union. British politics was rather unsettled at this time, with a vast and diverse collection of views and opinion from both left-wing and right-wing political parties clashing with this agreement and opposition, as well as discontent and divide within the Conservative party. These factors have led many to question whether Brexit </w:t>
      </w:r>
      <w:r w:rsidR="000E269D">
        <w:rPr>
          <w:rFonts w:ascii="Arial" w:hAnsi="Arial" w:cs="Arial"/>
          <w:sz w:val="24"/>
          <w:szCs w:val="24"/>
        </w:rPr>
        <w:t>was simply a rebellious tool used to fight authority and a solution to dampen public concern and disapproval in relation to the current political state of affairs, democracy, sovereignty, devolution and policies such as immigration and border control, or in fact a racist expression (</w:t>
      </w:r>
      <w:proofErr w:type="spellStart"/>
      <w:r w:rsidR="000E269D">
        <w:rPr>
          <w:rFonts w:ascii="Arial" w:hAnsi="Arial" w:cs="Arial"/>
          <w:sz w:val="24"/>
          <w:szCs w:val="24"/>
        </w:rPr>
        <w:t>Hobolt</w:t>
      </w:r>
      <w:proofErr w:type="spellEnd"/>
      <w:r w:rsidR="000E269D">
        <w:rPr>
          <w:rFonts w:ascii="Arial" w:hAnsi="Arial" w:cs="Arial"/>
          <w:sz w:val="24"/>
          <w:szCs w:val="24"/>
        </w:rPr>
        <w:t xml:space="preserve">, 2016). </w:t>
      </w:r>
      <w:r w:rsidR="00556A6B">
        <w:rPr>
          <w:rFonts w:ascii="Arial" w:hAnsi="Arial" w:cs="Arial"/>
          <w:sz w:val="24"/>
          <w:szCs w:val="24"/>
        </w:rPr>
        <w:t>For the purpose of this essay, issues such as economic status, ethnicity and diversity within British society, education, voter age and potential prejudice will be critically evaluated and discussed.</w:t>
      </w:r>
    </w:p>
    <w:p w14:paraId="5CBD0C30" w14:textId="6BB1CC15" w:rsidR="00556A6B" w:rsidRDefault="00556A6B" w:rsidP="007361F7">
      <w:pPr>
        <w:spacing w:line="480" w:lineRule="auto"/>
        <w:ind w:firstLine="720"/>
        <w:rPr>
          <w:rFonts w:ascii="Arial" w:hAnsi="Arial" w:cs="Arial"/>
          <w:sz w:val="24"/>
          <w:szCs w:val="24"/>
        </w:rPr>
      </w:pPr>
      <w:r>
        <w:rPr>
          <w:rFonts w:ascii="Arial" w:hAnsi="Arial" w:cs="Arial"/>
          <w:sz w:val="24"/>
          <w:szCs w:val="24"/>
        </w:rPr>
        <w:t xml:space="preserve">Many factors have been voiced that could have contributed to the decision to hold a European referendum, one of which was the </w:t>
      </w:r>
      <w:r w:rsidR="0061050B">
        <w:rPr>
          <w:rFonts w:ascii="Arial" w:hAnsi="Arial" w:cs="Arial"/>
          <w:sz w:val="24"/>
          <w:szCs w:val="24"/>
        </w:rPr>
        <w:t xml:space="preserve">increasing momentum of negative attitudes and prejudice aimed at ethnic minorities and subsiding motivation to remain part of the European Union and wider international community. This particular factor has been suggested in numerous studies since the 2016 referendum </w:t>
      </w:r>
      <w:r w:rsidR="0061050B">
        <w:rPr>
          <w:rFonts w:ascii="Arial" w:hAnsi="Arial" w:cs="Arial"/>
          <w:sz w:val="24"/>
          <w:szCs w:val="24"/>
        </w:rPr>
        <w:lastRenderedPageBreak/>
        <w:t xml:space="preserve">(Clark et al. 2016). As reiterated by </w:t>
      </w:r>
      <w:proofErr w:type="spellStart"/>
      <w:r w:rsidR="0061050B">
        <w:rPr>
          <w:rFonts w:ascii="Arial" w:hAnsi="Arial" w:cs="Arial"/>
          <w:sz w:val="24"/>
          <w:szCs w:val="24"/>
        </w:rPr>
        <w:t>Hobolt</w:t>
      </w:r>
      <w:proofErr w:type="spellEnd"/>
      <w:r w:rsidR="0061050B">
        <w:rPr>
          <w:rFonts w:ascii="Arial" w:hAnsi="Arial" w:cs="Arial"/>
          <w:sz w:val="24"/>
          <w:szCs w:val="24"/>
        </w:rPr>
        <w:t xml:space="preserve"> (2016), </w:t>
      </w:r>
      <w:r w:rsidR="00B92542">
        <w:rPr>
          <w:rFonts w:ascii="Arial" w:hAnsi="Arial" w:cs="Arial"/>
          <w:sz w:val="24"/>
          <w:szCs w:val="24"/>
        </w:rPr>
        <w:t>much of the Brexit voting sample had the assumption that voting to leave the European Union would offer more protection to the UK by placing restrictions on immigration and limiting access through its borders. The Conservative party added weight to this assumption and used it as ammunition in their mission to influence the British public to vote to leave the EU and support their Eurosceptic campaign.</w:t>
      </w:r>
      <w:r w:rsidR="00330A6B">
        <w:rPr>
          <w:rFonts w:ascii="Arial" w:hAnsi="Arial" w:cs="Arial"/>
          <w:sz w:val="24"/>
          <w:szCs w:val="24"/>
        </w:rPr>
        <w:t xml:space="preserve"> They went about this by placing their most popular party member at the head of their Brexit campaign, and portrayed heavy emphasis on immigration threats to security and alleged risks to the nations sovereignty.</w:t>
      </w:r>
    </w:p>
    <w:p w14:paraId="77A40DC9" w14:textId="4B01CFA1" w:rsidR="00330A6B" w:rsidRDefault="00330A6B" w:rsidP="007361F7">
      <w:pPr>
        <w:spacing w:line="480" w:lineRule="auto"/>
        <w:ind w:firstLine="720"/>
        <w:rPr>
          <w:rFonts w:ascii="Arial" w:hAnsi="Arial" w:cs="Arial"/>
          <w:sz w:val="24"/>
          <w:szCs w:val="24"/>
        </w:rPr>
      </w:pPr>
      <w:r>
        <w:rPr>
          <w:rFonts w:ascii="Arial" w:hAnsi="Arial" w:cs="Arial"/>
          <w:sz w:val="24"/>
          <w:szCs w:val="24"/>
        </w:rPr>
        <w:t>The resulting impacts from these actions created and in-group/out-group dynamic across the country and led much of the British public to associate ethnic minorities with the</w:t>
      </w:r>
      <w:r w:rsidR="005635EC">
        <w:rPr>
          <w:rFonts w:ascii="Arial" w:hAnsi="Arial" w:cs="Arial"/>
          <w:sz w:val="24"/>
          <w:szCs w:val="24"/>
        </w:rPr>
        <w:t xml:space="preserve"> difficulties the countries faced and exacerbated immigration issues. However, in contradiction to this, numerous opposing parties spotlighted concerns and implications to the British economy that they felt would likely arise as a result of forfeiting membership to the EU. In conjunction to this, British voters opinion on potential implications of Brexit were sought, and findings identified that only 4% agreed with expert opinion of the above-mentioned concerns, compared to 78% of remainers disagreeing (</w:t>
      </w:r>
      <w:proofErr w:type="spellStart"/>
      <w:r w:rsidR="005635EC">
        <w:rPr>
          <w:rFonts w:ascii="Arial" w:hAnsi="Arial" w:cs="Arial"/>
          <w:sz w:val="24"/>
          <w:szCs w:val="24"/>
        </w:rPr>
        <w:t>Hobolt</w:t>
      </w:r>
      <w:proofErr w:type="spellEnd"/>
      <w:r w:rsidR="005635EC">
        <w:rPr>
          <w:rFonts w:ascii="Arial" w:hAnsi="Arial" w:cs="Arial"/>
          <w:sz w:val="24"/>
          <w:szCs w:val="24"/>
        </w:rPr>
        <w:t xml:space="preserve">, 2016). </w:t>
      </w:r>
    </w:p>
    <w:p w14:paraId="1F8728D5" w14:textId="446E968F" w:rsidR="005635EC" w:rsidRDefault="005635EC" w:rsidP="007361F7">
      <w:pPr>
        <w:spacing w:line="480" w:lineRule="auto"/>
        <w:ind w:firstLine="720"/>
        <w:rPr>
          <w:rFonts w:ascii="Arial" w:hAnsi="Arial" w:cs="Arial"/>
          <w:sz w:val="24"/>
          <w:szCs w:val="24"/>
        </w:rPr>
      </w:pPr>
      <w:r>
        <w:rPr>
          <w:rFonts w:ascii="Arial" w:hAnsi="Arial" w:cs="Arial"/>
          <w:sz w:val="24"/>
          <w:szCs w:val="24"/>
        </w:rPr>
        <w:t xml:space="preserve">A suggestion was made by Gilmore, Meeks &amp; </w:t>
      </w:r>
      <w:proofErr w:type="spellStart"/>
      <w:r>
        <w:rPr>
          <w:rFonts w:ascii="Arial" w:hAnsi="Arial" w:cs="Arial"/>
          <w:sz w:val="24"/>
          <w:szCs w:val="24"/>
        </w:rPr>
        <w:t>Domke</w:t>
      </w:r>
      <w:proofErr w:type="spellEnd"/>
      <w:r>
        <w:rPr>
          <w:rFonts w:ascii="Arial" w:hAnsi="Arial" w:cs="Arial"/>
          <w:sz w:val="24"/>
          <w:szCs w:val="24"/>
        </w:rPr>
        <w:t xml:space="preserve"> (2013), whereby they state that media coverage that presents certain issues and topics in a more positive and favourable manner,</w:t>
      </w:r>
      <w:r w:rsidR="006920E2">
        <w:rPr>
          <w:rFonts w:ascii="Arial" w:hAnsi="Arial" w:cs="Arial"/>
          <w:sz w:val="24"/>
          <w:szCs w:val="24"/>
        </w:rPr>
        <w:t xml:space="preserve"> attract positive reaction and support from relatable in-groups; this adds weight to further theory arguing that an </w:t>
      </w:r>
      <w:proofErr w:type="spellStart"/>
      <w:r w:rsidR="006920E2">
        <w:rPr>
          <w:rFonts w:ascii="Arial" w:hAnsi="Arial" w:cs="Arial"/>
          <w:sz w:val="24"/>
          <w:szCs w:val="24"/>
        </w:rPr>
        <w:t>individuals</w:t>
      </w:r>
      <w:proofErr w:type="spellEnd"/>
      <w:r w:rsidR="006920E2">
        <w:rPr>
          <w:rFonts w:ascii="Arial" w:hAnsi="Arial" w:cs="Arial"/>
          <w:sz w:val="24"/>
          <w:szCs w:val="24"/>
        </w:rPr>
        <w:t xml:space="preserve"> arousal and response to messages associated to personal attitudes or their favoured political stance, can be a bi-product of ‘confirmation </w:t>
      </w:r>
      <w:proofErr w:type="spellStart"/>
      <w:r w:rsidR="006920E2">
        <w:rPr>
          <w:rFonts w:ascii="Arial" w:hAnsi="Arial" w:cs="Arial"/>
          <w:sz w:val="24"/>
          <w:szCs w:val="24"/>
        </w:rPr>
        <w:t>bias’</w:t>
      </w:r>
      <w:proofErr w:type="spellEnd"/>
      <w:r w:rsidR="00490025">
        <w:rPr>
          <w:rFonts w:ascii="Arial" w:hAnsi="Arial" w:cs="Arial"/>
          <w:sz w:val="24"/>
          <w:szCs w:val="24"/>
        </w:rPr>
        <w:t xml:space="preserve"> and in many instances, promotes political polarisation (Knobloch-</w:t>
      </w:r>
      <w:proofErr w:type="spellStart"/>
      <w:r w:rsidR="00490025">
        <w:rPr>
          <w:rFonts w:ascii="Arial" w:hAnsi="Arial" w:cs="Arial"/>
          <w:sz w:val="24"/>
          <w:szCs w:val="24"/>
        </w:rPr>
        <w:t>Westerwick</w:t>
      </w:r>
      <w:proofErr w:type="spellEnd"/>
      <w:r w:rsidR="00490025">
        <w:rPr>
          <w:rFonts w:ascii="Arial" w:hAnsi="Arial" w:cs="Arial"/>
          <w:sz w:val="24"/>
          <w:szCs w:val="24"/>
        </w:rPr>
        <w:t xml:space="preserve">, 2015). This could indeed provide some </w:t>
      </w:r>
      <w:r w:rsidR="00490025">
        <w:rPr>
          <w:rFonts w:ascii="Arial" w:hAnsi="Arial" w:cs="Arial"/>
          <w:sz w:val="24"/>
          <w:szCs w:val="24"/>
        </w:rPr>
        <w:lastRenderedPageBreak/>
        <w:t>explanation towards the progress and outcome of some of the political parties Brexit campaign. For instance, the Conservative party clearly dominated media coverage during the campaign leading up to the EU referendum</w:t>
      </w:r>
      <w:r w:rsidR="00071FA7">
        <w:rPr>
          <w:rFonts w:ascii="Arial" w:hAnsi="Arial" w:cs="Arial"/>
          <w:sz w:val="24"/>
          <w:szCs w:val="24"/>
        </w:rPr>
        <w:t xml:space="preserve"> in both the leave and remain capacity, with the party leader David Cameron a popular remain advocate and fellow conservative member Boris Johnson a popular leave advocate. Approximately two thirds of the media coverage for the EU referendum consisted of conservative material, creating an apparent disadvantage for the Labour leader Jeremy Corbyn with much less media coverage and commentary, resulting in his remain campaign lacking attraction, influence and impact (</w:t>
      </w:r>
      <w:proofErr w:type="spellStart"/>
      <w:r w:rsidR="00071FA7">
        <w:rPr>
          <w:rFonts w:ascii="Arial" w:hAnsi="Arial" w:cs="Arial"/>
          <w:sz w:val="24"/>
          <w:szCs w:val="24"/>
        </w:rPr>
        <w:t>Hobolt</w:t>
      </w:r>
      <w:proofErr w:type="spellEnd"/>
      <w:r w:rsidR="00071FA7">
        <w:rPr>
          <w:rFonts w:ascii="Arial" w:hAnsi="Arial" w:cs="Arial"/>
          <w:sz w:val="24"/>
          <w:szCs w:val="24"/>
        </w:rPr>
        <w:t xml:space="preserve">, 2016). </w:t>
      </w:r>
      <w:r w:rsidR="005354A8">
        <w:rPr>
          <w:rFonts w:ascii="Arial" w:hAnsi="Arial" w:cs="Arial"/>
          <w:sz w:val="24"/>
          <w:szCs w:val="24"/>
        </w:rPr>
        <w:t xml:space="preserve">These circumstances could provide evidence that significantly dominated media coverage along with in-group bias, associated with political polarisation and confirmation bias, can all interlink and influence voting patterns, as well as create prejudices, intended or unintended. </w:t>
      </w:r>
    </w:p>
    <w:p w14:paraId="3E5733DF" w14:textId="0E1FA4D2" w:rsidR="006511B6" w:rsidRDefault="006511B6" w:rsidP="007361F7">
      <w:pPr>
        <w:spacing w:line="480" w:lineRule="auto"/>
        <w:ind w:firstLine="720"/>
        <w:rPr>
          <w:rFonts w:ascii="Arial" w:hAnsi="Arial" w:cs="Arial"/>
          <w:sz w:val="24"/>
          <w:szCs w:val="24"/>
        </w:rPr>
      </w:pPr>
      <w:r>
        <w:rPr>
          <w:rFonts w:ascii="Arial" w:hAnsi="Arial" w:cs="Arial"/>
          <w:sz w:val="24"/>
          <w:szCs w:val="24"/>
        </w:rPr>
        <w:t>As mentioned by Hutchings and Sullivan (201</w:t>
      </w:r>
      <w:r w:rsidR="002F7D8E">
        <w:rPr>
          <w:rFonts w:ascii="Arial" w:hAnsi="Arial" w:cs="Arial"/>
          <w:sz w:val="24"/>
          <w:szCs w:val="24"/>
        </w:rPr>
        <w:t>9</w:t>
      </w:r>
      <w:r>
        <w:rPr>
          <w:rFonts w:ascii="Arial" w:hAnsi="Arial" w:cs="Arial"/>
          <w:sz w:val="24"/>
          <w:szCs w:val="24"/>
        </w:rPr>
        <w:t xml:space="preserve">), despite prejudice seemingly having declined dramatically over the past five decades, unconscious prejudice may certainly still exist and be evident in present day British society, and </w:t>
      </w:r>
      <w:r w:rsidR="0027293B">
        <w:rPr>
          <w:rFonts w:ascii="Arial" w:hAnsi="Arial" w:cs="Arial"/>
          <w:sz w:val="24"/>
          <w:szCs w:val="24"/>
        </w:rPr>
        <w:t xml:space="preserve">the presence of </w:t>
      </w:r>
      <w:r>
        <w:rPr>
          <w:rFonts w:ascii="Arial" w:hAnsi="Arial" w:cs="Arial"/>
          <w:sz w:val="24"/>
          <w:szCs w:val="24"/>
        </w:rPr>
        <w:t>these behaviours and judgements can promote a social hierarchy.</w:t>
      </w:r>
      <w:r w:rsidR="0027293B">
        <w:rPr>
          <w:rFonts w:ascii="Arial" w:hAnsi="Arial" w:cs="Arial"/>
          <w:sz w:val="24"/>
          <w:szCs w:val="24"/>
        </w:rPr>
        <w:t xml:space="preserve"> Kite and Whitely (2016) also state that t</w:t>
      </w:r>
      <w:r w:rsidR="002B1844">
        <w:rPr>
          <w:rFonts w:ascii="Arial" w:hAnsi="Arial" w:cs="Arial"/>
          <w:sz w:val="24"/>
          <w:szCs w:val="24"/>
        </w:rPr>
        <w:t>w</w:t>
      </w:r>
      <w:r w:rsidR="0027293B">
        <w:rPr>
          <w:rFonts w:ascii="Arial" w:hAnsi="Arial" w:cs="Arial"/>
          <w:sz w:val="24"/>
          <w:szCs w:val="24"/>
        </w:rPr>
        <w:t>o particular types of prejudice are fundamental in in-group and out-group attitudes. For instance, ‘explicit prejudice’ is a negative perception towards a particular social group</w:t>
      </w:r>
      <w:r w:rsidR="002B1844">
        <w:rPr>
          <w:rFonts w:ascii="Arial" w:hAnsi="Arial" w:cs="Arial"/>
          <w:sz w:val="24"/>
          <w:szCs w:val="24"/>
        </w:rPr>
        <w:t>/out-group</w:t>
      </w:r>
      <w:r w:rsidR="0027293B">
        <w:rPr>
          <w:rFonts w:ascii="Arial" w:hAnsi="Arial" w:cs="Arial"/>
          <w:sz w:val="24"/>
          <w:szCs w:val="24"/>
        </w:rPr>
        <w:t xml:space="preserve"> that is conscious to the individual</w:t>
      </w:r>
      <w:r w:rsidR="002B1844">
        <w:rPr>
          <w:rFonts w:ascii="Arial" w:hAnsi="Arial" w:cs="Arial"/>
          <w:sz w:val="24"/>
          <w:szCs w:val="24"/>
        </w:rPr>
        <w:t xml:space="preserve">, however may be withheld discreetly and not publicly portrayed (American Psychological Association, 2019); the other is ‘implicit prejudice’, which is also a negative perception towards a particular social group/out-group, however the individual is not consciously aware of these attitudes (American Psychological Association, 2019). Despite one type of prejudice being a conscious attitude and the other non-conscious attitude, both play vital roles in modern day society and </w:t>
      </w:r>
      <w:r w:rsidR="002B1844">
        <w:rPr>
          <w:rFonts w:ascii="Arial" w:hAnsi="Arial" w:cs="Arial"/>
          <w:sz w:val="24"/>
          <w:szCs w:val="24"/>
        </w:rPr>
        <w:lastRenderedPageBreak/>
        <w:t>influence things such as one’s behaviour, economic, educational and social decisions, interpersonal relations and voting</w:t>
      </w:r>
      <w:r w:rsidR="007E79DB">
        <w:rPr>
          <w:rFonts w:ascii="Arial" w:hAnsi="Arial" w:cs="Arial"/>
          <w:sz w:val="24"/>
          <w:szCs w:val="24"/>
        </w:rPr>
        <w:t xml:space="preserve"> (Kite &amp; Whitely, 2016), and can only be argued to promote stronger in-group and out-group dynamics.</w:t>
      </w:r>
    </w:p>
    <w:p w14:paraId="62157D9A" w14:textId="72B68478" w:rsidR="007E79DB" w:rsidRDefault="007E79DB" w:rsidP="004F2A8D">
      <w:pPr>
        <w:spacing w:line="480" w:lineRule="auto"/>
        <w:ind w:firstLine="720"/>
        <w:rPr>
          <w:rFonts w:ascii="Arial" w:hAnsi="Arial" w:cs="Arial"/>
          <w:sz w:val="24"/>
          <w:szCs w:val="24"/>
        </w:rPr>
      </w:pPr>
      <w:r>
        <w:rPr>
          <w:rFonts w:ascii="Arial" w:hAnsi="Arial" w:cs="Arial"/>
          <w:sz w:val="24"/>
          <w:szCs w:val="24"/>
        </w:rPr>
        <w:t xml:space="preserve">During the mid-1980s, </w:t>
      </w:r>
      <w:proofErr w:type="spellStart"/>
      <w:r>
        <w:rPr>
          <w:rFonts w:ascii="Arial" w:hAnsi="Arial" w:cs="Arial"/>
          <w:sz w:val="24"/>
          <w:szCs w:val="24"/>
        </w:rPr>
        <w:t>Taifel</w:t>
      </w:r>
      <w:proofErr w:type="spellEnd"/>
      <w:r>
        <w:rPr>
          <w:rFonts w:ascii="Arial" w:hAnsi="Arial" w:cs="Arial"/>
          <w:sz w:val="24"/>
          <w:szCs w:val="24"/>
        </w:rPr>
        <w:t xml:space="preserve"> and Turner (1986), developed the social identity theory, which hypothesises that </w:t>
      </w:r>
      <w:proofErr w:type="spellStart"/>
      <w:r w:rsidR="00E978F6">
        <w:rPr>
          <w:rFonts w:ascii="Arial" w:hAnsi="Arial" w:cs="Arial"/>
          <w:sz w:val="24"/>
          <w:szCs w:val="24"/>
        </w:rPr>
        <w:t>ones</w:t>
      </w:r>
      <w:proofErr w:type="spellEnd"/>
      <w:r w:rsidR="00E978F6">
        <w:rPr>
          <w:rFonts w:ascii="Arial" w:hAnsi="Arial" w:cs="Arial"/>
          <w:sz w:val="24"/>
          <w:szCs w:val="24"/>
        </w:rPr>
        <w:t xml:space="preserve"> self-conception is reliant to the ‘in-group’ to which they belong; this also influences their perceptions of other individuals and out-groups</w:t>
      </w:r>
      <w:r w:rsidR="00FD1D92">
        <w:rPr>
          <w:rFonts w:ascii="Arial" w:hAnsi="Arial" w:cs="Arial"/>
          <w:sz w:val="24"/>
          <w:szCs w:val="24"/>
        </w:rPr>
        <w:t xml:space="preserve">; </w:t>
      </w:r>
      <w:r w:rsidR="00E978F6">
        <w:rPr>
          <w:rFonts w:ascii="Arial" w:hAnsi="Arial" w:cs="Arial"/>
          <w:sz w:val="24"/>
          <w:szCs w:val="24"/>
        </w:rPr>
        <w:t xml:space="preserve">this is known as ‘stereotyping’. </w:t>
      </w:r>
      <w:r w:rsidR="00202EFA">
        <w:rPr>
          <w:rFonts w:ascii="Arial" w:hAnsi="Arial" w:cs="Arial"/>
          <w:sz w:val="24"/>
          <w:szCs w:val="24"/>
        </w:rPr>
        <w:t xml:space="preserve">Some negative aspects of in-group association are fearful and anxious attitudes towards out-groups and ‘unearned </w:t>
      </w:r>
      <w:r w:rsidR="00AC3D08">
        <w:rPr>
          <w:rFonts w:ascii="Arial" w:hAnsi="Arial" w:cs="Arial"/>
          <w:sz w:val="24"/>
          <w:szCs w:val="24"/>
        </w:rPr>
        <w:t>privileges</w:t>
      </w:r>
      <w:r w:rsidR="00202EFA">
        <w:rPr>
          <w:rFonts w:ascii="Arial" w:hAnsi="Arial" w:cs="Arial"/>
          <w:sz w:val="24"/>
          <w:szCs w:val="24"/>
        </w:rPr>
        <w:t>’</w:t>
      </w:r>
      <w:r w:rsidR="00FD1D92">
        <w:rPr>
          <w:rFonts w:ascii="Arial" w:hAnsi="Arial" w:cs="Arial"/>
          <w:sz w:val="24"/>
          <w:szCs w:val="24"/>
        </w:rPr>
        <w:t>. These</w:t>
      </w:r>
      <w:r w:rsidR="00202EFA">
        <w:rPr>
          <w:rFonts w:ascii="Arial" w:hAnsi="Arial" w:cs="Arial"/>
          <w:sz w:val="24"/>
          <w:szCs w:val="24"/>
        </w:rPr>
        <w:t xml:space="preserve"> are privileges and advantages that one receives</w:t>
      </w:r>
      <w:r w:rsidR="00AC5049">
        <w:rPr>
          <w:rFonts w:ascii="Arial" w:hAnsi="Arial" w:cs="Arial"/>
          <w:sz w:val="24"/>
          <w:szCs w:val="24"/>
        </w:rPr>
        <w:t xml:space="preserve"> for membership of that particular in-group, however the individual is often unaware that they hold them. When related to the EU referendum, evidence highlighted that the highest votes to leave the European Union</w:t>
      </w:r>
      <w:r w:rsidR="00526DF1">
        <w:rPr>
          <w:rFonts w:ascii="Arial" w:hAnsi="Arial" w:cs="Arial"/>
          <w:sz w:val="24"/>
          <w:szCs w:val="24"/>
        </w:rPr>
        <w:t xml:space="preserve"> were from communities consisting of little to no ethnic diversity (Lawton &amp; </w:t>
      </w:r>
      <w:proofErr w:type="spellStart"/>
      <w:r w:rsidR="00526DF1">
        <w:rPr>
          <w:rFonts w:ascii="Arial" w:hAnsi="Arial" w:cs="Arial"/>
          <w:sz w:val="24"/>
          <w:szCs w:val="24"/>
        </w:rPr>
        <w:t>Ackrill</w:t>
      </w:r>
      <w:proofErr w:type="spellEnd"/>
      <w:r w:rsidR="00526DF1">
        <w:rPr>
          <w:rFonts w:ascii="Arial" w:hAnsi="Arial" w:cs="Arial"/>
          <w:sz w:val="24"/>
          <w:szCs w:val="24"/>
        </w:rPr>
        <w:t>, 2016). Additionally, the evidence also highlighted that communities with 7% or more immigration arrivals, also saw higher numbers of leave votes.</w:t>
      </w:r>
      <w:r w:rsidR="004F2A8D">
        <w:rPr>
          <w:rFonts w:ascii="Arial" w:hAnsi="Arial" w:cs="Arial"/>
          <w:sz w:val="24"/>
          <w:szCs w:val="24"/>
        </w:rPr>
        <w:t xml:space="preserve"> In conjunction to this, a study conducted by Kaufmann &amp; Harris (2015), discovered that communities consisting of the highest number of immigrants, viewed the European Union in a more favourable light and were more likely to vote remain. </w:t>
      </w:r>
      <w:r w:rsidR="00526DF1">
        <w:rPr>
          <w:rFonts w:ascii="Arial" w:hAnsi="Arial" w:cs="Arial"/>
          <w:sz w:val="24"/>
          <w:szCs w:val="24"/>
        </w:rPr>
        <w:t>It could be argued that this evidence correlates with the social identity theory as the aforementioned</w:t>
      </w:r>
      <w:r w:rsidR="004F2A8D">
        <w:rPr>
          <w:rFonts w:ascii="Arial" w:hAnsi="Arial" w:cs="Arial"/>
          <w:sz w:val="24"/>
          <w:szCs w:val="24"/>
        </w:rPr>
        <w:t>, non-</w:t>
      </w:r>
      <w:r w:rsidR="00AC3D08">
        <w:rPr>
          <w:rFonts w:ascii="Arial" w:hAnsi="Arial" w:cs="Arial"/>
          <w:sz w:val="24"/>
          <w:szCs w:val="24"/>
        </w:rPr>
        <w:t>ethnically</w:t>
      </w:r>
      <w:r w:rsidR="004F2A8D">
        <w:rPr>
          <w:rFonts w:ascii="Arial" w:hAnsi="Arial" w:cs="Arial"/>
          <w:sz w:val="24"/>
          <w:szCs w:val="24"/>
        </w:rPr>
        <w:t xml:space="preserve"> diverse</w:t>
      </w:r>
      <w:r w:rsidR="00526DF1">
        <w:rPr>
          <w:rFonts w:ascii="Arial" w:hAnsi="Arial" w:cs="Arial"/>
          <w:sz w:val="24"/>
          <w:szCs w:val="24"/>
        </w:rPr>
        <w:t xml:space="preserve"> communities maintained negative attitudes towards ethnic diversity and immigrants and so voted to leave the EU. </w:t>
      </w:r>
      <w:r w:rsidR="00AC3D08">
        <w:rPr>
          <w:rFonts w:ascii="Arial" w:hAnsi="Arial" w:cs="Arial"/>
          <w:sz w:val="24"/>
          <w:szCs w:val="24"/>
        </w:rPr>
        <w:t>Adding to this, as Ruyter &amp; Nielsen (2018) have reiterated, the above evidence interprets the possibility that the British public potentially struggled to adapt to a fast-paced change of climate and ethnic diversity, therefore resulting in loss of identity and a confusion or even reluctance to identify as European; preferring to identify as simply ‘British’.</w:t>
      </w:r>
    </w:p>
    <w:p w14:paraId="5F04F052" w14:textId="08365150" w:rsidR="00FD1D92" w:rsidRDefault="00FD1D92" w:rsidP="004F2A8D">
      <w:pPr>
        <w:spacing w:line="480" w:lineRule="auto"/>
        <w:ind w:firstLine="720"/>
        <w:rPr>
          <w:rFonts w:ascii="Arial" w:hAnsi="Arial" w:cs="Arial"/>
          <w:sz w:val="24"/>
          <w:szCs w:val="24"/>
        </w:rPr>
      </w:pPr>
      <w:r>
        <w:rPr>
          <w:rFonts w:ascii="Arial" w:hAnsi="Arial" w:cs="Arial"/>
          <w:sz w:val="24"/>
          <w:szCs w:val="24"/>
        </w:rPr>
        <w:lastRenderedPageBreak/>
        <w:t>In contradiction to the above perceptions, the office for National statistics (2016) provides evidence showing British net immigration to be lower than various other countries with non-EU membership</w:t>
      </w:r>
      <w:r w:rsidR="006E2239">
        <w:rPr>
          <w:rFonts w:ascii="Arial" w:hAnsi="Arial" w:cs="Arial"/>
          <w:sz w:val="24"/>
          <w:szCs w:val="24"/>
        </w:rPr>
        <w:t xml:space="preserve">. According to </w:t>
      </w:r>
      <w:proofErr w:type="spellStart"/>
      <w:r w:rsidR="006E2239">
        <w:rPr>
          <w:rFonts w:ascii="Arial" w:hAnsi="Arial" w:cs="Arial"/>
          <w:sz w:val="24"/>
          <w:szCs w:val="24"/>
        </w:rPr>
        <w:t>Blee</w:t>
      </w:r>
      <w:proofErr w:type="spellEnd"/>
      <w:r w:rsidR="006E2239">
        <w:rPr>
          <w:rFonts w:ascii="Arial" w:hAnsi="Arial" w:cs="Arial"/>
          <w:sz w:val="24"/>
          <w:szCs w:val="24"/>
        </w:rPr>
        <w:t xml:space="preserve"> (2002), white discrimination and victimisation is one such perception maintained by many ‘racist’ groups, pointing blame in the direction of immigration and utilisation of state welfare as the main source of pressure and strain on the nations resources and economy.</w:t>
      </w:r>
    </w:p>
    <w:p w14:paraId="26DA15E6" w14:textId="6D8B1A20" w:rsidR="006E2239" w:rsidRDefault="006E2239" w:rsidP="003F23C6">
      <w:pPr>
        <w:spacing w:line="480" w:lineRule="auto"/>
        <w:ind w:firstLine="720"/>
        <w:rPr>
          <w:rFonts w:ascii="Arial" w:hAnsi="Arial" w:cs="Arial"/>
          <w:sz w:val="24"/>
          <w:szCs w:val="24"/>
        </w:rPr>
      </w:pPr>
      <w:r>
        <w:rPr>
          <w:rFonts w:ascii="Arial" w:hAnsi="Arial" w:cs="Arial"/>
          <w:sz w:val="24"/>
          <w:szCs w:val="24"/>
        </w:rPr>
        <w:t>Despite varying opinion, and the inability for true confirmation,</w:t>
      </w:r>
      <w:r w:rsidR="00F92F66">
        <w:rPr>
          <w:rFonts w:ascii="Arial" w:hAnsi="Arial" w:cs="Arial"/>
          <w:sz w:val="24"/>
          <w:szCs w:val="24"/>
        </w:rPr>
        <w:t xml:space="preserve"> influence on the EU referendum vote by racist attitudes must be acknowledged as a very possible circumstance. Kite &amp; Whitley (2016) argue that despite factors such as identity and other relatable processes being strong individual perceptions, they also tie in to and influence social beliefs, attitudes, identity and decision-making.</w:t>
      </w:r>
      <w:r w:rsidR="0019178A">
        <w:rPr>
          <w:rFonts w:ascii="Arial" w:hAnsi="Arial" w:cs="Arial"/>
          <w:sz w:val="24"/>
          <w:szCs w:val="24"/>
        </w:rPr>
        <w:t xml:space="preserve"> Various personalities can be associated with prejudiced subtypes including implicit and explicit prejudice. One such example is ‘Social Dominance Orientation Groups’, otherwise better known as (SDO’s). As stated by </w:t>
      </w:r>
      <w:proofErr w:type="spellStart"/>
      <w:r w:rsidR="0019178A">
        <w:rPr>
          <w:rFonts w:ascii="Arial" w:hAnsi="Arial" w:cs="Arial"/>
          <w:sz w:val="24"/>
          <w:szCs w:val="24"/>
        </w:rPr>
        <w:t>Pratto</w:t>
      </w:r>
      <w:proofErr w:type="spellEnd"/>
      <w:r w:rsidR="0019178A">
        <w:rPr>
          <w:rFonts w:ascii="Arial" w:hAnsi="Arial" w:cs="Arial"/>
          <w:sz w:val="24"/>
          <w:szCs w:val="24"/>
        </w:rPr>
        <w:t xml:space="preserve"> et al. (1994), these groups consist of individuals who strongly wish to maintain and protect ‘social hierarchies’; </w:t>
      </w:r>
      <w:r w:rsidR="003F23C6">
        <w:rPr>
          <w:rFonts w:ascii="Arial" w:hAnsi="Arial" w:cs="Arial"/>
          <w:sz w:val="24"/>
          <w:szCs w:val="24"/>
        </w:rPr>
        <w:t xml:space="preserve">their views consist of a society depicting immense competitiveness, where battles for superiority are fought at an individual and group level. These types of attitudes consequently </w:t>
      </w:r>
      <w:proofErr w:type="gramStart"/>
      <w:r w:rsidR="003F23C6">
        <w:rPr>
          <w:rFonts w:ascii="Arial" w:hAnsi="Arial" w:cs="Arial"/>
          <w:sz w:val="24"/>
          <w:szCs w:val="24"/>
        </w:rPr>
        <w:t>influences</w:t>
      </w:r>
      <w:proofErr w:type="gramEnd"/>
      <w:r w:rsidR="003F23C6">
        <w:rPr>
          <w:rFonts w:ascii="Arial" w:hAnsi="Arial" w:cs="Arial"/>
          <w:sz w:val="24"/>
          <w:szCs w:val="24"/>
        </w:rPr>
        <w:t xml:space="preserve"> out-group prejudice quite significantly, and </w:t>
      </w:r>
      <w:proofErr w:type="spellStart"/>
      <w:r w:rsidR="003F23C6">
        <w:rPr>
          <w:rFonts w:ascii="Arial" w:hAnsi="Arial" w:cs="Arial"/>
          <w:sz w:val="24"/>
          <w:szCs w:val="24"/>
        </w:rPr>
        <w:t>hightens</w:t>
      </w:r>
      <w:proofErr w:type="spellEnd"/>
      <w:r w:rsidR="003F23C6">
        <w:rPr>
          <w:rFonts w:ascii="Arial" w:hAnsi="Arial" w:cs="Arial"/>
          <w:sz w:val="24"/>
          <w:szCs w:val="24"/>
        </w:rPr>
        <w:t xml:space="preserve"> SDO’s concerns for the protection of the UK and maintaining its highest possible status. </w:t>
      </w:r>
      <w:r w:rsidR="0019178A">
        <w:rPr>
          <w:rFonts w:ascii="Arial" w:hAnsi="Arial" w:cs="Arial"/>
          <w:sz w:val="24"/>
          <w:szCs w:val="24"/>
        </w:rPr>
        <w:t>Due to</w:t>
      </w:r>
      <w:r w:rsidR="003F23C6">
        <w:rPr>
          <w:rFonts w:ascii="Arial" w:hAnsi="Arial" w:cs="Arial"/>
          <w:sz w:val="24"/>
          <w:szCs w:val="24"/>
        </w:rPr>
        <w:t xml:space="preserve"> this factors and the</w:t>
      </w:r>
      <w:r w:rsidR="0019178A">
        <w:rPr>
          <w:rFonts w:ascii="Arial" w:hAnsi="Arial" w:cs="Arial"/>
          <w:sz w:val="24"/>
          <w:szCs w:val="24"/>
        </w:rPr>
        <w:t xml:space="preserve"> perceived threat from immigration, these such groups are believed to be more </w:t>
      </w:r>
      <w:r w:rsidR="003F23C6">
        <w:rPr>
          <w:rFonts w:ascii="Arial" w:hAnsi="Arial" w:cs="Arial"/>
          <w:sz w:val="24"/>
          <w:szCs w:val="24"/>
        </w:rPr>
        <w:t>agreeable</w:t>
      </w:r>
      <w:r w:rsidR="0019178A">
        <w:rPr>
          <w:rFonts w:ascii="Arial" w:hAnsi="Arial" w:cs="Arial"/>
          <w:sz w:val="24"/>
          <w:szCs w:val="24"/>
        </w:rPr>
        <w:t xml:space="preserve"> and supportive </w:t>
      </w:r>
      <w:r w:rsidR="003F23C6">
        <w:rPr>
          <w:rFonts w:ascii="Arial" w:hAnsi="Arial" w:cs="Arial"/>
          <w:sz w:val="24"/>
          <w:szCs w:val="24"/>
        </w:rPr>
        <w:t xml:space="preserve">of </w:t>
      </w:r>
      <w:r w:rsidR="0019178A">
        <w:rPr>
          <w:rFonts w:ascii="Arial" w:hAnsi="Arial" w:cs="Arial"/>
          <w:sz w:val="24"/>
          <w:szCs w:val="24"/>
        </w:rPr>
        <w:t>the leave vote.</w:t>
      </w:r>
      <w:r w:rsidR="003F23C6">
        <w:rPr>
          <w:rFonts w:ascii="Arial" w:hAnsi="Arial" w:cs="Arial"/>
          <w:sz w:val="24"/>
          <w:szCs w:val="24"/>
        </w:rPr>
        <w:t xml:space="preserve"> </w:t>
      </w:r>
    </w:p>
    <w:p w14:paraId="4E2895A1" w14:textId="29438238" w:rsidR="0057197A" w:rsidRDefault="004E2449" w:rsidP="003F23C6">
      <w:pPr>
        <w:spacing w:line="480" w:lineRule="auto"/>
        <w:ind w:firstLine="720"/>
        <w:rPr>
          <w:rFonts w:ascii="Arial" w:hAnsi="Arial" w:cs="Arial"/>
          <w:sz w:val="24"/>
          <w:szCs w:val="24"/>
        </w:rPr>
      </w:pPr>
      <w:r>
        <w:rPr>
          <w:rFonts w:ascii="Arial" w:hAnsi="Arial" w:cs="Arial"/>
          <w:sz w:val="24"/>
          <w:szCs w:val="24"/>
        </w:rPr>
        <w:t>Another group example is the ‘Authoritarian’ group, which fights to sustain authority, advocates principles of social importance and rejects rebellious individuals (Altemeyer, 19</w:t>
      </w:r>
      <w:r w:rsidR="00554748">
        <w:rPr>
          <w:rFonts w:ascii="Arial" w:hAnsi="Arial" w:cs="Arial"/>
          <w:sz w:val="24"/>
          <w:szCs w:val="24"/>
        </w:rPr>
        <w:t>8</w:t>
      </w:r>
      <w:r>
        <w:rPr>
          <w:rFonts w:ascii="Arial" w:hAnsi="Arial" w:cs="Arial"/>
          <w:sz w:val="24"/>
          <w:szCs w:val="24"/>
        </w:rPr>
        <w:t xml:space="preserve">8). According to </w:t>
      </w:r>
      <w:proofErr w:type="spellStart"/>
      <w:r>
        <w:rPr>
          <w:rFonts w:ascii="Arial" w:hAnsi="Arial" w:cs="Arial"/>
          <w:sz w:val="24"/>
          <w:szCs w:val="24"/>
        </w:rPr>
        <w:t>Aichholzer</w:t>
      </w:r>
      <w:proofErr w:type="spellEnd"/>
      <w:r>
        <w:rPr>
          <w:rFonts w:ascii="Arial" w:hAnsi="Arial" w:cs="Arial"/>
          <w:sz w:val="24"/>
          <w:szCs w:val="24"/>
        </w:rPr>
        <w:t xml:space="preserve"> &amp; </w:t>
      </w:r>
      <w:proofErr w:type="spellStart"/>
      <w:r>
        <w:rPr>
          <w:rFonts w:ascii="Arial" w:hAnsi="Arial" w:cs="Arial"/>
          <w:sz w:val="24"/>
          <w:szCs w:val="24"/>
        </w:rPr>
        <w:t>Zandonella</w:t>
      </w:r>
      <w:proofErr w:type="spellEnd"/>
      <w:r>
        <w:rPr>
          <w:rFonts w:ascii="Arial" w:hAnsi="Arial" w:cs="Arial"/>
          <w:sz w:val="24"/>
          <w:szCs w:val="24"/>
        </w:rPr>
        <w:t xml:space="preserve"> (2016), both the Authoritarian group and SDO share similar attitudes in relation to perceived threat </w:t>
      </w:r>
      <w:r>
        <w:rPr>
          <w:rFonts w:ascii="Arial" w:hAnsi="Arial" w:cs="Arial"/>
          <w:sz w:val="24"/>
          <w:szCs w:val="24"/>
        </w:rPr>
        <w:lastRenderedPageBreak/>
        <w:t>from immigration, therefore leading to implications in support and votes for radical right-wing politics.</w:t>
      </w:r>
      <w:r w:rsidR="001C53C9">
        <w:rPr>
          <w:rFonts w:ascii="Arial" w:hAnsi="Arial" w:cs="Arial"/>
          <w:sz w:val="24"/>
          <w:szCs w:val="24"/>
        </w:rPr>
        <w:t xml:space="preserve"> As supported by Altemeyer (1998), both authoritarians and the STO share similar attitudes such as the desire for non-diverse societies, contentious behaviour towards social rebellion, authoritative capitulation and conventionalist obedience. These attitudes appear rather forceful and </w:t>
      </w:r>
      <w:r w:rsidR="0057197A">
        <w:rPr>
          <w:rFonts w:ascii="Arial" w:hAnsi="Arial" w:cs="Arial"/>
          <w:sz w:val="24"/>
          <w:szCs w:val="24"/>
        </w:rPr>
        <w:t>negative and</w:t>
      </w:r>
      <w:r w:rsidR="001C53C9">
        <w:rPr>
          <w:rFonts w:ascii="Arial" w:hAnsi="Arial" w:cs="Arial"/>
          <w:sz w:val="24"/>
          <w:szCs w:val="24"/>
        </w:rPr>
        <w:t xml:space="preserve"> promotes the perception of modern societies being unsafe environments</w:t>
      </w:r>
      <w:r w:rsidR="0057197A">
        <w:rPr>
          <w:rFonts w:ascii="Arial" w:hAnsi="Arial" w:cs="Arial"/>
          <w:sz w:val="24"/>
          <w:szCs w:val="24"/>
        </w:rPr>
        <w:t>, therefore requiring significant and immediate change.</w:t>
      </w:r>
    </w:p>
    <w:p w14:paraId="0C7628C7" w14:textId="2575410B" w:rsidR="001A4F2E" w:rsidRDefault="001C53C9" w:rsidP="003F23C6">
      <w:pPr>
        <w:spacing w:line="480" w:lineRule="auto"/>
        <w:ind w:firstLine="720"/>
        <w:rPr>
          <w:rFonts w:ascii="Arial" w:hAnsi="Arial" w:cs="Arial"/>
          <w:sz w:val="24"/>
          <w:szCs w:val="24"/>
        </w:rPr>
      </w:pPr>
      <w:r>
        <w:rPr>
          <w:rFonts w:ascii="Arial" w:hAnsi="Arial" w:cs="Arial"/>
          <w:sz w:val="24"/>
          <w:szCs w:val="24"/>
        </w:rPr>
        <w:t xml:space="preserve"> </w:t>
      </w:r>
      <w:r w:rsidR="0057197A">
        <w:rPr>
          <w:rFonts w:ascii="Arial" w:hAnsi="Arial" w:cs="Arial"/>
          <w:sz w:val="24"/>
          <w:szCs w:val="24"/>
        </w:rPr>
        <w:t xml:space="preserve">Adding to the above groups, another such one is ‘collective narcissism’. </w:t>
      </w:r>
      <w:proofErr w:type="spellStart"/>
      <w:r w:rsidR="00491C94">
        <w:rPr>
          <w:rFonts w:ascii="Arial" w:hAnsi="Arial" w:cs="Arial"/>
          <w:sz w:val="24"/>
          <w:szCs w:val="24"/>
        </w:rPr>
        <w:t>Golec</w:t>
      </w:r>
      <w:proofErr w:type="spellEnd"/>
      <w:r w:rsidR="00491C94">
        <w:rPr>
          <w:rFonts w:ascii="Arial" w:hAnsi="Arial" w:cs="Arial"/>
          <w:sz w:val="24"/>
          <w:szCs w:val="24"/>
        </w:rPr>
        <w:t xml:space="preserve"> de Zavala et al. (20</w:t>
      </w:r>
      <w:r w:rsidR="00554748">
        <w:rPr>
          <w:rFonts w:ascii="Arial" w:hAnsi="Arial" w:cs="Arial"/>
          <w:sz w:val="24"/>
          <w:szCs w:val="24"/>
        </w:rPr>
        <w:t>17</w:t>
      </w:r>
      <w:r w:rsidR="00491C94">
        <w:rPr>
          <w:rFonts w:ascii="Arial" w:hAnsi="Arial" w:cs="Arial"/>
          <w:sz w:val="24"/>
          <w:szCs w:val="24"/>
        </w:rPr>
        <w:t>), states that i</w:t>
      </w:r>
      <w:r w:rsidR="0057197A">
        <w:rPr>
          <w:rFonts w:ascii="Arial" w:hAnsi="Arial" w:cs="Arial"/>
          <w:sz w:val="24"/>
          <w:szCs w:val="24"/>
        </w:rPr>
        <w:t>ndividuals within this group, strongly believe in the greatness of their home nation, however evidence</w:t>
      </w:r>
      <w:r w:rsidR="00491C94">
        <w:rPr>
          <w:rFonts w:ascii="Arial" w:hAnsi="Arial" w:cs="Arial"/>
          <w:sz w:val="24"/>
          <w:szCs w:val="24"/>
        </w:rPr>
        <w:t xml:space="preserve"> collected by (Hermann et al. 2009)</w:t>
      </w:r>
      <w:r w:rsidR="0057197A">
        <w:rPr>
          <w:rFonts w:ascii="Arial" w:hAnsi="Arial" w:cs="Arial"/>
          <w:sz w:val="24"/>
          <w:szCs w:val="24"/>
        </w:rPr>
        <w:t xml:space="preserve"> suggests that they hold substantial rejection towards out-groups, more than their identity or relationship with their nation</w:t>
      </w:r>
      <w:r w:rsidR="00491C94">
        <w:rPr>
          <w:rFonts w:ascii="Arial" w:hAnsi="Arial" w:cs="Arial"/>
          <w:sz w:val="24"/>
          <w:szCs w:val="24"/>
        </w:rPr>
        <w:t xml:space="preserve">. </w:t>
      </w:r>
      <w:proofErr w:type="spellStart"/>
      <w:r w:rsidR="009D6B07">
        <w:rPr>
          <w:rFonts w:ascii="Arial" w:hAnsi="Arial" w:cs="Arial"/>
          <w:sz w:val="24"/>
          <w:szCs w:val="24"/>
        </w:rPr>
        <w:t>Golec</w:t>
      </w:r>
      <w:proofErr w:type="spellEnd"/>
      <w:r w:rsidR="009D6B07">
        <w:rPr>
          <w:rFonts w:ascii="Arial" w:hAnsi="Arial" w:cs="Arial"/>
          <w:sz w:val="24"/>
          <w:szCs w:val="24"/>
        </w:rPr>
        <w:t xml:space="preserve"> de Zavala et al. (20</w:t>
      </w:r>
      <w:r w:rsidR="00554748">
        <w:rPr>
          <w:rFonts w:ascii="Arial" w:hAnsi="Arial" w:cs="Arial"/>
          <w:sz w:val="24"/>
          <w:szCs w:val="24"/>
        </w:rPr>
        <w:t>17</w:t>
      </w:r>
      <w:r w:rsidR="009D6B07">
        <w:rPr>
          <w:rFonts w:ascii="Arial" w:hAnsi="Arial" w:cs="Arial"/>
          <w:sz w:val="24"/>
          <w:szCs w:val="24"/>
        </w:rPr>
        <w:t xml:space="preserve">) accompany this evidence by stating that collective narcissists possess highly beneficial and constructive in group attitudes, as well as being highly motivated by prejudice and reluctance to accept out-groups; from a collective narcissists point of view, these are necessary attitudes and behaviours to ensure the safety of their in-group. Cai &amp; </w:t>
      </w:r>
      <w:proofErr w:type="spellStart"/>
      <w:r w:rsidR="009D6B07">
        <w:rPr>
          <w:rFonts w:ascii="Arial" w:hAnsi="Arial" w:cs="Arial"/>
          <w:sz w:val="24"/>
          <w:szCs w:val="24"/>
        </w:rPr>
        <w:t>Gries</w:t>
      </w:r>
      <w:proofErr w:type="spellEnd"/>
      <w:r w:rsidR="009D6B07">
        <w:rPr>
          <w:rFonts w:ascii="Arial" w:hAnsi="Arial" w:cs="Arial"/>
          <w:sz w:val="24"/>
          <w:szCs w:val="24"/>
        </w:rPr>
        <w:t xml:space="preserve"> (2013) explained that when applying these factors</w:t>
      </w:r>
      <w:r w:rsidR="001C31C7">
        <w:rPr>
          <w:rFonts w:ascii="Arial" w:hAnsi="Arial" w:cs="Arial"/>
          <w:sz w:val="24"/>
          <w:szCs w:val="24"/>
        </w:rPr>
        <w:t xml:space="preserve"> to a national perspective, it could be perceived as significantly negative attitudes and rejection to ethnic diversity and minorities as well as a strong reluctance to acknowledge foreign and ethnic values, customs and beliefs in fear of undermining and weakening the sovereignty of the United Kingdom. </w:t>
      </w:r>
    </w:p>
    <w:p w14:paraId="45E220BD" w14:textId="5AC80E3D" w:rsidR="007B3C79" w:rsidRDefault="007B3C79" w:rsidP="003F23C6">
      <w:pPr>
        <w:spacing w:line="480" w:lineRule="auto"/>
        <w:ind w:firstLine="720"/>
        <w:rPr>
          <w:rFonts w:ascii="Arial" w:hAnsi="Arial" w:cs="Arial"/>
          <w:sz w:val="24"/>
          <w:szCs w:val="24"/>
        </w:rPr>
      </w:pPr>
      <w:r>
        <w:rPr>
          <w:rFonts w:ascii="Arial" w:hAnsi="Arial" w:cs="Arial"/>
          <w:sz w:val="24"/>
          <w:szCs w:val="24"/>
        </w:rPr>
        <w:t xml:space="preserve">In opposition to the similar attributes the aforementioned groups possess, ‘egalitarianists’ are individuals who do not prejudice implicitly or explicitly, holds no favouritism or bias between their in-groups or out-groups, and display empathetic and understanding affections towards all, regardless of their allegiances (Son Hing et </w:t>
      </w:r>
      <w:r>
        <w:rPr>
          <w:rFonts w:ascii="Arial" w:hAnsi="Arial" w:cs="Arial"/>
          <w:sz w:val="24"/>
          <w:szCs w:val="24"/>
        </w:rPr>
        <w:lastRenderedPageBreak/>
        <w:t xml:space="preserve">al. 2008). </w:t>
      </w:r>
      <w:r w:rsidR="00696A19">
        <w:rPr>
          <w:rFonts w:ascii="Arial" w:hAnsi="Arial" w:cs="Arial"/>
          <w:sz w:val="24"/>
          <w:szCs w:val="24"/>
        </w:rPr>
        <w:t>Aversive racists</w:t>
      </w:r>
      <w:r w:rsidR="008316BE">
        <w:rPr>
          <w:rFonts w:ascii="Arial" w:hAnsi="Arial" w:cs="Arial"/>
          <w:sz w:val="24"/>
          <w:szCs w:val="24"/>
        </w:rPr>
        <w:t xml:space="preserve"> implicitly prejudice towards individuals in a </w:t>
      </w:r>
      <w:r w:rsidR="00020AC2">
        <w:rPr>
          <w:rFonts w:ascii="Arial" w:hAnsi="Arial" w:cs="Arial"/>
          <w:sz w:val="24"/>
          <w:szCs w:val="24"/>
        </w:rPr>
        <w:t>high capacity</w:t>
      </w:r>
      <w:r w:rsidR="008316BE">
        <w:rPr>
          <w:rFonts w:ascii="Arial" w:hAnsi="Arial" w:cs="Arial"/>
          <w:sz w:val="24"/>
          <w:szCs w:val="24"/>
        </w:rPr>
        <w:t xml:space="preserve">, </w:t>
      </w:r>
      <w:proofErr w:type="gramStart"/>
      <w:r w:rsidR="008316BE">
        <w:rPr>
          <w:rFonts w:ascii="Arial" w:hAnsi="Arial" w:cs="Arial"/>
          <w:sz w:val="24"/>
          <w:szCs w:val="24"/>
        </w:rPr>
        <w:t>however</w:t>
      </w:r>
      <w:proofErr w:type="gramEnd"/>
      <w:r w:rsidR="008316BE">
        <w:rPr>
          <w:rFonts w:ascii="Arial" w:hAnsi="Arial" w:cs="Arial"/>
          <w:sz w:val="24"/>
          <w:szCs w:val="24"/>
        </w:rPr>
        <w:t xml:space="preserve"> are often consciously unaware that they possess these racist beliefs, therefore explicit prejudice is really experienced. Despite this, discriminative actions may materialise as a consequence of their subconscious cognitive perceptions (Dovidio &amp; Gaertner, 2004). As highlighted in the works of Hutchings and Sullivan (201</w:t>
      </w:r>
      <w:r w:rsidR="002F7D8E">
        <w:rPr>
          <w:rFonts w:ascii="Arial" w:hAnsi="Arial" w:cs="Arial"/>
          <w:sz w:val="24"/>
          <w:szCs w:val="24"/>
        </w:rPr>
        <w:t>9</w:t>
      </w:r>
      <w:r w:rsidR="008316BE">
        <w:rPr>
          <w:rFonts w:ascii="Arial" w:hAnsi="Arial" w:cs="Arial"/>
          <w:sz w:val="24"/>
          <w:szCs w:val="24"/>
        </w:rPr>
        <w:t>), despite cognitive perceptions of aversive racists being subconscious, they are still likely to lead to negativity and avoidance when interacting, which is therefore an act of discrimination; this is despite</w:t>
      </w:r>
      <w:r w:rsidR="00696A19">
        <w:rPr>
          <w:rFonts w:ascii="Arial" w:hAnsi="Arial" w:cs="Arial"/>
          <w:sz w:val="24"/>
          <w:szCs w:val="24"/>
        </w:rPr>
        <w:t xml:space="preserve"> probable feelings of disgust and denial should they be branded as racist. </w:t>
      </w:r>
    </w:p>
    <w:p w14:paraId="1A6AD0F2" w14:textId="255A254E" w:rsidR="00FD1D92" w:rsidRDefault="00020AC2" w:rsidP="004F2A8D">
      <w:pPr>
        <w:spacing w:line="480" w:lineRule="auto"/>
        <w:ind w:firstLine="720"/>
        <w:rPr>
          <w:rFonts w:ascii="Arial" w:hAnsi="Arial" w:cs="Arial"/>
          <w:sz w:val="24"/>
          <w:szCs w:val="24"/>
        </w:rPr>
      </w:pPr>
      <w:r>
        <w:rPr>
          <w:rFonts w:ascii="Arial" w:hAnsi="Arial" w:cs="Arial"/>
          <w:sz w:val="24"/>
          <w:szCs w:val="24"/>
        </w:rPr>
        <w:t xml:space="preserve">The final group to be mentioned, are the ‘principal conservatives’. This group possesses high explicit prejudice and minimal implicit prejudice. Within this group, it is strongly believed that individuals take sole responsibility for their actions and consequences, and heavily object state support to disadvantaged individuals or out groups, believing that this is unfair practice and discriminatory to their in-group. </w:t>
      </w:r>
      <w:r w:rsidR="00724A2E">
        <w:rPr>
          <w:rFonts w:ascii="Arial" w:hAnsi="Arial" w:cs="Arial"/>
          <w:sz w:val="24"/>
          <w:szCs w:val="24"/>
        </w:rPr>
        <w:t>If any interventions were to materialise in response to these values, it could be viewed as a prejudice action as society consists of various diverse groups which are not equal. Much of the prejudice displayed by these subgroups are highly likely to have influenced political opinion and votes in some way, hindering the prospect of a strong globalised economy, diverse communities and intergroup relations. This theory is supported by recent evidence collected by Hutchings and Sullivan (201</w:t>
      </w:r>
      <w:r w:rsidR="002F7D8E">
        <w:rPr>
          <w:rFonts w:ascii="Arial" w:hAnsi="Arial" w:cs="Arial"/>
          <w:sz w:val="24"/>
          <w:szCs w:val="24"/>
        </w:rPr>
        <w:t>9</w:t>
      </w:r>
      <w:bookmarkStart w:id="0" w:name="_GoBack"/>
      <w:bookmarkEnd w:id="0"/>
      <w:r w:rsidR="00724A2E">
        <w:rPr>
          <w:rFonts w:ascii="Arial" w:hAnsi="Arial" w:cs="Arial"/>
          <w:sz w:val="24"/>
          <w:szCs w:val="24"/>
        </w:rPr>
        <w:t>), indicating a clear correlation between one’s political preference, votes and their prejudice subtype.</w:t>
      </w:r>
    </w:p>
    <w:p w14:paraId="1B61D86F" w14:textId="173459CD" w:rsidR="00F01F4F" w:rsidRDefault="00F01F4F" w:rsidP="004F2A8D">
      <w:pPr>
        <w:spacing w:line="480" w:lineRule="auto"/>
        <w:ind w:firstLine="720"/>
        <w:rPr>
          <w:rFonts w:ascii="Arial" w:hAnsi="Arial" w:cs="Arial"/>
          <w:sz w:val="24"/>
          <w:szCs w:val="24"/>
        </w:rPr>
      </w:pPr>
      <w:r>
        <w:rPr>
          <w:rFonts w:ascii="Arial" w:hAnsi="Arial" w:cs="Arial"/>
          <w:sz w:val="24"/>
          <w:szCs w:val="24"/>
        </w:rPr>
        <w:t xml:space="preserve">According to Goodwin &amp; Heath (2016), the development and alterations of more diverse social climates and environments are proving to be difficult experiences for some individuals in our modern society to adapt to and flourish in, </w:t>
      </w:r>
      <w:r>
        <w:rPr>
          <w:rFonts w:ascii="Arial" w:hAnsi="Arial" w:cs="Arial"/>
          <w:sz w:val="24"/>
          <w:szCs w:val="24"/>
        </w:rPr>
        <w:lastRenderedPageBreak/>
        <w:t>and this has been evident in recent studies that identified clear correlations between the inability for progression and prejudice and deprivation (Pettigrew et al. 2008; Smith &amp; Pettigrew, 2015). As stated by Goodwin &amp; Heath (2016), approximately one third of the British population experienced or lived in financial poverty</w:t>
      </w:r>
      <w:r w:rsidR="00847664">
        <w:rPr>
          <w:rFonts w:ascii="Arial" w:hAnsi="Arial" w:cs="Arial"/>
          <w:sz w:val="24"/>
          <w:szCs w:val="24"/>
        </w:rPr>
        <w:t xml:space="preserve"> on at least one occasion in their lifetimes. Research has also shown that demographic information has various implications on poverty (Ashcroft &amp; </w:t>
      </w:r>
      <w:proofErr w:type="spellStart"/>
      <w:r w:rsidR="00847664">
        <w:rPr>
          <w:rFonts w:ascii="Arial" w:hAnsi="Arial" w:cs="Arial"/>
          <w:sz w:val="24"/>
          <w:szCs w:val="24"/>
        </w:rPr>
        <w:t>Bevir</w:t>
      </w:r>
      <w:proofErr w:type="spellEnd"/>
      <w:r w:rsidR="00847664">
        <w:rPr>
          <w:rFonts w:ascii="Arial" w:hAnsi="Arial" w:cs="Arial"/>
          <w:sz w:val="24"/>
          <w:szCs w:val="24"/>
        </w:rPr>
        <w:t>, 2016), and communities consisting of large populations of pensioners, low education figures and unskilled employees were more favourable toward the leave campaign (Goodwin &amp; Heath, 2016). This could be relatable to the ‘realist conflict theory’ (Campbell, 1965), which hypothesises that within society, competition for critical resources between in-groups and out-groups, can significantly impact on one’s attitudes; however, in conjunction to this, research argues that</w:t>
      </w:r>
      <w:r w:rsidR="0040355B">
        <w:rPr>
          <w:rFonts w:ascii="Arial" w:hAnsi="Arial" w:cs="Arial"/>
          <w:sz w:val="24"/>
          <w:szCs w:val="24"/>
        </w:rPr>
        <w:t xml:space="preserve"> financial circumstances of natives are usually impacted in a positive manner as a result of immigration (</w:t>
      </w:r>
      <w:proofErr w:type="spellStart"/>
      <w:r w:rsidR="0040355B">
        <w:rPr>
          <w:rFonts w:ascii="Arial" w:hAnsi="Arial" w:cs="Arial"/>
          <w:sz w:val="24"/>
          <w:szCs w:val="24"/>
        </w:rPr>
        <w:t>Dustmann</w:t>
      </w:r>
      <w:proofErr w:type="spellEnd"/>
      <w:r w:rsidR="0040355B">
        <w:rPr>
          <w:rFonts w:ascii="Arial" w:hAnsi="Arial" w:cs="Arial"/>
          <w:sz w:val="24"/>
          <w:szCs w:val="24"/>
        </w:rPr>
        <w:t xml:space="preserve">, Frattini &amp; </w:t>
      </w:r>
      <w:proofErr w:type="spellStart"/>
      <w:r w:rsidR="0040355B">
        <w:rPr>
          <w:rFonts w:ascii="Arial" w:hAnsi="Arial" w:cs="Arial"/>
          <w:sz w:val="24"/>
          <w:szCs w:val="24"/>
        </w:rPr>
        <w:t>Preson</w:t>
      </w:r>
      <w:proofErr w:type="spellEnd"/>
      <w:r w:rsidR="0040355B">
        <w:rPr>
          <w:rFonts w:ascii="Arial" w:hAnsi="Arial" w:cs="Arial"/>
          <w:sz w:val="24"/>
          <w:szCs w:val="24"/>
        </w:rPr>
        <w:t xml:space="preserve">, 2012). </w:t>
      </w:r>
    </w:p>
    <w:p w14:paraId="4E65D242" w14:textId="6D35DF66" w:rsidR="0040355B" w:rsidRDefault="0040355B" w:rsidP="004F2A8D">
      <w:pPr>
        <w:spacing w:line="480" w:lineRule="auto"/>
        <w:ind w:firstLine="720"/>
        <w:rPr>
          <w:rFonts w:ascii="Arial" w:hAnsi="Arial" w:cs="Arial"/>
          <w:sz w:val="24"/>
          <w:szCs w:val="24"/>
        </w:rPr>
      </w:pPr>
      <w:r>
        <w:rPr>
          <w:rFonts w:ascii="Arial" w:hAnsi="Arial" w:cs="Arial"/>
          <w:sz w:val="24"/>
          <w:szCs w:val="24"/>
        </w:rPr>
        <w:t>Pensioners and unskilled employees were believed to be the most likely to be impacted by the countries welfare and economic estate, with it being argued that homes with annual earnings below £20,000 or those above the age of 65</w:t>
      </w:r>
      <w:r w:rsidR="000572D2">
        <w:rPr>
          <w:rFonts w:ascii="Arial" w:hAnsi="Arial" w:cs="Arial"/>
          <w:sz w:val="24"/>
          <w:szCs w:val="24"/>
        </w:rPr>
        <w:t xml:space="preserve"> would be significant voters in the Brexit campaign (Goodwin &amp; Heath, 2016). Research in fact identified that voters 65 and above were not that significant in the voting counts, and issues such as lower education were in fact more influential, adding to the argument that less educated individuals may feel less capable of coping with adapting societies and economies (Ruyter &amp; Nielson, 2018).</w:t>
      </w:r>
    </w:p>
    <w:p w14:paraId="076595E3" w14:textId="77777777" w:rsidR="005D419B" w:rsidRDefault="000572D2" w:rsidP="004F2A8D">
      <w:pPr>
        <w:spacing w:line="480" w:lineRule="auto"/>
        <w:ind w:firstLine="720"/>
        <w:rPr>
          <w:rFonts w:ascii="Arial" w:hAnsi="Arial" w:cs="Arial"/>
          <w:sz w:val="24"/>
          <w:szCs w:val="24"/>
        </w:rPr>
      </w:pPr>
      <w:r>
        <w:rPr>
          <w:rFonts w:ascii="Arial" w:hAnsi="Arial" w:cs="Arial"/>
          <w:sz w:val="24"/>
          <w:szCs w:val="24"/>
        </w:rPr>
        <w:t xml:space="preserve">It has been theorised by Swami et al. (2018), that the UK has gradually becomes </w:t>
      </w:r>
      <w:r w:rsidR="005D419B">
        <w:rPr>
          <w:rFonts w:ascii="Arial" w:hAnsi="Arial" w:cs="Arial"/>
          <w:sz w:val="24"/>
          <w:szCs w:val="24"/>
        </w:rPr>
        <w:t xml:space="preserve">Islamophobic, with many Britons feeling threatened by Muslims, subsequently strengthening their in-group identity, and that this is mainly due to </w:t>
      </w:r>
      <w:r w:rsidR="005D419B">
        <w:rPr>
          <w:rFonts w:ascii="Arial" w:hAnsi="Arial" w:cs="Arial"/>
          <w:sz w:val="24"/>
          <w:szCs w:val="24"/>
        </w:rPr>
        <w:lastRenderedPageBreak/>
        <w:t xml:space="preserve">mass migration. This was utilised as a scare tactic to support leave campaigns during Brexit. </w:t>
      </w:r>
    </w:p>
    <w:p w14:paraId="6800F1FB" w14:textId="77777777" w:rsidR="001D562E" w:rsidRDefault="005D419B" w:rsidP="004F2A8D">
      <w:pPr>
        <w:spacing w:line="480" w:lineRule="auto"/>
        <w:ind w:firstLine="720"/>
        <w:rPr>
          <w:rFonts w:ascii="Arial" w:hAnsi="Arial" w:cs="Arial"/>
          <w:sz w:val="24"/>
          <w:szCs w:val="24"/>
        </w:rPr>
      </w:pPr>
      <w:r>
        <w:rPr>
          <w:rFonts w:ascii="Arial" w:hAnsi="Arial" w:cs="Arial"/>
          <w:sz w:val="24"/>
          <w:szCs w:val="24"/>
        </w:rPr>
        <w:t>Goodwin &amp; Heath (2016) have stated that individuals from more highly educated and prosperous backgrounds, were better skilled and faced with better opportunity, and subsequently offered the most support to leave campaigns</w:t>
      </w:r>
      <w:r w:rsidR="001D562E">
        <w:rPr>
          <w:rFonts w:ascii="Arial" w:hAnsi="Arial" w:cs="Arial"/>
          <w:sz w:val="24"/>
          <w:szCs w:val="24"/>
        </w:rPr>
        <w:t>; however, Ruyter &amp; Nielsen (2018) argue this case, providing evidence suggesting exiting school at sixteen, or remaining to obtain a levels was actually nonsignificant, suggesting that education is a factor to the Brexit campaign is in fact quite liberal.</w:t>
      </w:r>
    </w:p>
    <w:p w14:paraId="46C8304F" w14:textId="1CFBCDA5" w:rsidR="000572D2" w:rsidRDefault="001D562E" w:rsidP="004F2A8D">
      <w:pPr>
        <w:spacing w:line="480" w:lineRule="auto"/>
        <w:ind w:firstLine="720"/>
        <w:rPr>
          <w:rFonts w:ascii="Arial" w:hAnsi="Arial" w:cs="Arial"/>
          <w:sz w:val="24"/>
          <w:szCs w:val="24"/>
        </w:rPr>
      </w:pPr>
      <w:r>
        <w:rPr>
          <w:rFonts w:ascii="Arial" w:hAnsi="Arial" w:cs="Arial"/>
          <w:sz w:val="24"/>
          <w:szCs w:val="24"/>
        </w:rPr>
        <w:t>To conclude, it is clear to see that individuals 65 years of age and above, along with poor education, poverty and deprivation and lack of opportunity, were considerably more conservative viewed and were highly supportive of the ‘leave’ vote. In contrast, individuals who achieved a higher education, and will therefore more highly skilled and employable</w:t>
      </w:r>
      <w:r w:rsidR="00943DEA">
        <w:rPr>
          <w:rFonts w:ascii="Arial" w:hAnsi="Arial" w:cs="Arial"/>
          <w:sz w:val="24"/>
          <w:szCs w:val="24"/>
        </w:rPr>
        <w:t>, were identified as more liberal and were more supportive of the ‘remain’ vote; these two conclusions clearly portray a divide in class (Kaufman, 2016) and a real fear of being ‘left behind’, strengthening in-group and out-group dynamics. This also identifies the importance of financial status and poverty on the ability to prosper, but also adapt to economic change and social climates. This proves that higher education is vital to obtain higher skilled employment and better opportunities, which in turn enables adaptation and prosperity to be more easily achievable.</w:t>
      </w:r>
    </w:p>
    <w:p w14:paraId="030CF3E9" w14:textId="6E9E98EF" w:rsidR="000C6F82" w:rsidRDefault="00813FB8" w:rsidP="004F2A8D">
      <w:pPr>
        <w:spacing w:line="480" w:lineRule="auto"/>
        <w:ind w:firstLine="720"/>
        <w:rPr>
          <w:rFonts w:ascii="Arial" w:hAnsi="Arial" w:cs="Arial"/>
          <w:sz w:val="24"/>
          <w:szCs w:val="24"/>
        </w:rPr>
      </w:pPr>
      <w:r>
        <w:rPr>
          <w:rFonts w:ascii="Arial" w:hAnsi="Arial" w:cs="Arial"/>
          <w:sz w:val="24"/>
          <w:szCs w:val="24"/>
        </w:rPr>
        <w:t xml:space="preserve">The EU referendum resulted in the identification of clear national divides within the UK, with many subgroup types appearing influential and highly significant to in-group and out-group attitudes and behaviours, subsequently influencing the Brexit campaign. These attitudes and behaviours may well be modern expressions </w:t>
      </w:r>
      <w:r>
        <w:rPr>
          <w:rFonts w:ascii="Arial" w:hAnsi="Arial" w:cs="Arial"/>
          <w:sz w:val="24"/>
          <w:szCs w:val="24"/>
        </w:rPr>
        <w:lastRenderedPageBreak/>
        <w:t xml:space="preserve">of prejudice, however portrayed in explicit manners due to concerns of penalisation or social rejection, however thinking stereotypically is not a crime, so long as it is not acted upon. </w:t>
      </w:r>
      <w:r w:rsidR="004A2869">
        <w:rPr>
          <w:rFonts w:ascii="Arial" w:hAnsi="Arial" w:cs="Arial"/>
          <w:sz w:val="24"/>
          <w:szCs w:val="24"/>
        </w:rPr>
        <w:t>It’s also important to state that thi</w:t>
      </w:r>
      <w:r>
        <w:rPr>
          <w:rFonts w:ascii="Arial" w:hAnsi="Arial" w:cs="Arial"/>
          <w:sz w:val="24"/>
          <w:szCs w:val="24"/>
        </w:rPr>
        <w:t xml:space="preserve">s is not subjected sorely to the UK, but also occurs across other EU states. </w:t>
      </w:r>
      <w:r w:rsidR="004A2869">
        <w:rPr>
          <w:rFonts w:ascii="Arial" w:hAnsi="Arial" w:cs="Arial"/>
          <w:sz w:val="24"/>
          <w:szCs w:val="24"/>
        </w:rPr>
        <w:t>As is evident from the outcome of the Brexit campaign, euro scepticism appears to be growing, and a new movement towards a ‘people’s voice’ and governments finally taking note, appears to be gaining momentum. If a more diverse and globalised community is the view for the European Union, then it’s leaders must acknowledge the opinions of individuals who have not felt the EU to be beneficial to them</w:t>
      </w:r>
      <w:r w:rsidR="008708F2">
        <w:rPr>
          <w:rFonts w:ascii="Arial" w:hAnsi="Arial" w:cs="Arial"/>
          <w:sz w:val="24"/>
          <w:szCs w:val="24"/>
        </w:rPr>
        <w:t>, and fear that their national identity is at risk from immigration.</w:t>
      </w:r>
    </w:p>
    <w:p w14:paraId="06749396" w14:textId="414EA7C6" w:rsidR="004A2869" w:rsidRDefault="004A2869" w:rsidP="004F2A8D">
      <w:pPr>
        <w:spacing w:line="480" w:lineRule="auto"/>
        <w:ind w:firstLine="720"/>
        <w:rPr>
          <w:rFonts w:ascii="Arial" w:hAnsi="Arial" w:cs="Arial"/>
          <w:sz w:val="24"/>
          <w:szCs w:val="24"/>
        </w:rPr>
      </w:pPr>
    </w:p>
    <w:p w14:paraId="01873F4F" w14:textId="3C946E26" w:rsidR="004A2869" w:rsidRDefault="004A2869" w:rsidP="004F2A8D">
      <w:pPr>
        <w:spacing w:line="480" w:lineRule="auto"/>
        <w:ind w:firstLine="720"/>
        <w:rPr>
          <w:rFonts w:ascii="Arial" w:hAnsi="Arial" w:cs="Arial"/>
          <w:sz w:val="24"/>
          <w:szCs w:val="24"/>
        </w:rPr>
      </w:pPr>
    </w:p>
    <w:p w14:paraId="25528757" w14:textId="6A1EEA3F" w:rsidR="004A2869" w:rsidRDefault="004A2869" w:rsidP="004F2A8D">
      <w:pPr>
        <w:spacing w:line="480" w:lineRule="auto"/>
        <w:ind w:firstLine="720"/>
        <w:rPr>
          <w:rFonts w:ascii="Arial" w:hAnsi="Arial" w:cs="Arial"/>
          <w:sz w:val="24"/>
          <w:szCs w:val="24"/>
        </w:rPr>
      </w:pPr>
    </w:p>
    <w:p w14:paraId="3F0D6454" w14:textId="7FCEC480" w:rsidR="004A2869" w:rsidRDefault="004A2869" w:rsidP="004F2A8D">
      <w:pPr>
        <w:spacing w:line="480" w:lineRule="auto"/>
        <w:ind w:firstLine="720"/>
        <w:rPr>
          <w:rFonts w:ascii="Arial" w:hAnsi="Arial" w:cs="Arial"/>
          <w:sz w:val="24"/>
          <w:szCs w:val="24"/>
        </w:rPr>
      </w:pPr>
    </w:p>
    <w:p w14:paraId="3A556879" w14:textId="7995BB1A" w:rsidR="004A2869" w:rsidRDefault="004A2869" w:rsidP="004F2A8D">
      <w:pPr>
        <w:spacing w:line="480" w:lineRule="auto"/>
        <w:ind w:firstLine="720"/>
        <w:rPr>
          <w:rFonts w:ascii="Arial" w:hAnsi="Arial" w:cs="Arial"/>
          <w:sz w:val="24"/>
          <w:szCs w:val="24"/>
        </w:rPr>
      </w:pPr>
    </w:p>
    <w:p w14:paraId="0037C9CA" w14:textId="7744E8E0" w:rsidR="004A2869" w:rsidRDefault="004A2869" w:rsidP="004F2A8D">
      <w:pPr>
        <w:spacing w:line="480" w:lineRule="auto"/>
        <w:ind w:firstLine="720"/>
        <w:rPr>
          <w:rFonts w:ascii="Arial" w:hAnsi="Arial" w:cs="Arial"/>
          <w:sz w:val="24"/>
          <w:szCs w:val="24"/>
        </w:rPr>
      </w:pPr>
    </w:p>
    <w:p w14:paraId="29A6D6CF" w14:textId="008B879D" w:rsidR="004A2869" w:rsidRDefault="004A2869" w:rsidP="004F2A8D">
      <w:pPr>
        <w:spacing w:line="480" w:lineRule="auto"/>
        <w:ind w:firstLine="720"/>
        <w:rPr>
          <w:rFonts w:ascii="Arial" w:hAnsi="Arial" w:cs="Arial"/>
          <w:sz w:val="24"/>
          <w:szCs w:val="24"/>
        </w:rPr>
      </w:pPr>
    </w:p>
    <w:p w14:paraId="03DE3F4C" w14:textId="002EEF00" w:rsidR="004A2869" w:rsidRDefault="004A2869" w:rsidP="004F2A8D">
      <w:pPr>
        <w:spacing w:line="480" w:lineRule="auto"/>
        <w:ind w:firstLine="720"/>
        <w:rPr>
          <w:rFonts w:ascii="Arial" w:hAnsi="Arial" w:cs="Arial"/>
          <w:sz w:val="24"/>
          <w:szCs w:val="24"/>
        </w:rPr>
      </w:pPr>
    </w:p>
    <w:p w14:paraId="23938E4E" w14:textId="6EC6FC7C" w:rsidR="004A2869" w:rsidRDefault="004A2869" w:rsidP="004F2A8D">
      <w:pPr>
        <w:spacing w:line="480" w:lineRule="auto"/>
        <w:ind w:firstLine="720"/>
        <w:rPr>
          <w:rFonts w:ascii="Arial" w:hAnsi="Arial" w:cs="Arial"/>
          <w:sz w:val="24"/>
          <w:szCs w:val="24"/>
        </w:rPr>
      </w:pPr>
    </w:p>
    <w:p w14:paraId="62D11602" w14:textId="0A463966" w:rsidR="004A2869" w:rsidRDefault="004A2869" w:rsidP="004F2A8D">
      <w:pPr>
        <w:spacing w:line="480" w:lineRule="auto"/>
        <w:ind w:firstLine="720"/>
        <w:rPr>
          <w:rFonts w:ascii="Arial" w:hAnsi="Arial" w:cs="Arial"/>
          <w:sz w:val="24"/>
          <w:szCs w:val="24"/>
        </w:rPr>
      </w:pPr>
    </w:p>
    <w:p w14:paraId="4314BC65" w14:textId="0D8C4D54" w:rsidR="004A2869" w:rsidRDefault="004A2869" w:rsidP="004F2A8D">
      <w:pPr>
        <w:spacing w:line="480" w:lineRule="auto"/>
        <w:ind w:firstLine="720"/>
        <w:rPr>
          <w:rFonts w:ascii="Arial" w:hAnsi="Arial" w:cs="Arial"/>
          <w:sz w:val="24"/>
          <w:szCs w:val="24"/>
        </w:rPr>
      </w:pPr>
    </w:p>
    <w:p w14:paraId="55649772" w14:textId="77777777" w:rsidR="0014500C" w:rsidRDefault="0014500C" w:rsidP="0014500C">
      <w:pPr>
        <w:spacing w:line="480" w:lineRule="auto"/>
        <w:rPr>
          <w:rFonts w:ascii="Arial" w:hAnsi="Arial" w:cs="Arial"/>
          <w:sz w:val="24"/>
          <w:szCs w:val="24"/>
        </w:rPr>
      </w:pPr>
    </w:p>
    <w:p w14:paraId="10BF53A5" w14:textId="3DCC0F20" w:rsidR="004A2869" w:rsidRDefault="004A2869" w:rsidP="0014500C">
      <w:pPr>
        <w:spacing w:line="480" w:lineRule="auto"/>
        <w:rPr>
          <w:rFonts w:ascii="Arial" w:hAnsi="Arial" w:cs="Arial"/>
          <w:sz w:val="24"/>
          <w:szCs w:val="24"/>
          <w:u w:val="single"/>
        </w:rPr>
      </w:pPr>
      <w:r w:rsidRPr="004A2869">
        <w:rPr>
          <w:rFonts w:ascii="Arial" w:hAnsi="Arial" w:cs="Arial"/>
          <w:sz w:val="24"/>
          <w:szCs w:val="24"/>
          <w:u w:val="single"/>
        </w:rPr>
        <w:lastRenderedPageBreak/>
        <w:t>References</w:t>
      </w:r>
    </w:p>
    <w:p w14:paraId="586D1385" w14:textId="0596C629" w:rsidR="002B3A32" w:rsidRDefault="002B3A32" w:rsidP="0014500C">
      <w:pPr>
        <w:spacing w:line="480" w:lineRule="auto"/>
      </w:pPr>
      <w:r w:rsidRPr="002B3A32">
        <w:rPr>
          <w:rFonts w:ascii="Arial" w:hAnsi="Arial" w:cs="Arial"/>
          <w:sz w:val="20"/>
          <w:szCs w:val="20"/>
        </w:rPr>
        <w:t>American Psychological Association</w:t>
      </w:r>
      <w:r>
        <w:rPr>
          <w:rFonts w:ascii="Arial" w:hAnsi="Arial" w:cs="Arial"/>
          <w:sz w:val="20"/>
          <w:szCs w:val="20"/>
        </w:rPr>
        <w:t xml:space="preserve">. (2019) </w:t>
      </w:r>
      <w:r>
        <w:rPr>
          <w:rFonts w:ascii="Arial" w:hAnsi="Arial" w:cs="Arial"/>
          <w:i/>
          <w:iCs/>
          <w:sz w:val="20"/>
          <w:szCs w:val="20"/>
        </w:rPr>
        <w:t xml:space="preserve">Explicit Prejudice. </w:t>
      </w:r>
      <w:r>
        <w:rPr>
          <w:rFonts w:ascii="Arial" w:hAnsi="Arial" w:cs="Arial"/>
          <w:sz w:val="20"/>
          <w:szCs w:val="20"/>
        </w:rPr>
        <w:t>Retrieved from</w:t>
      </w:r>
      <w:r w:rsidR="002F7D8E">
        <w:rPr>
          <w:rFonts w:ascii="Arial" w:hAnsi="Arial" w:cs="Arial"/>
          <w:sz w:val="20"/>
          <w:szCs w:val="20"/>
        </w:rPr>
        <w:tab/>
      </w:r>
      <w:r w:rsidR="002F7D8E">
        <w:rPr>
          <w:rFonts w:ascii="Arial" w:hAnsi="Arial" w:cs="Arial"/>
          <w:sz w:val="20"/>
          <w:szCs w:val="20"/>
        </w:rPr>
        <w:tab/>
      </w:r>
      <w:r w:rsidR="002F7D8E">
        <w:rPr>
          <w:rFonts w:ascii="Arial" w:hAnsi="Arial" w:cs="Arial"/>
          <w:sz w:val="20"/>
          <w:szCs w:val="20"/>
        </w:rPr>
        <w:tab/>
      </w:r>
      <w:r w:rsidR="002F7D8E">
        <w:rPr>
          <w:rFonts w:ascii="Arial" w:hAnsi="Arial" w:cs="Arial"/>
          <w:sz w:val="20"/>
          <w:szCs w:val="20"/>
        </w:rPr>
        <w:tab/>
      </w:r>
      <w:r>
        <w:rPr>
          <w:rFonts w:ascii="Arial" w:hAnsi="Arial" w:cs="Arial"/>
          <w:sz w:val="20"/>
          <w:szCs w:val="20"/>
        </w:rPr>
        <w:t xml:space="preserve"> </w:t>
      </w:r>
      <w:hyperlink r:id="rId7" w:history="1">
        <w:r>
          <w:rPr>
            <w:rStyle w:val="Hyperlink"/>
          </w:rPr>
          <w:t>https://dictionary.apa.org/explicit-prejudice</w:t>
        </w:r>
      </w:hyperlink>
    </w:p>
    <w:p w14:paraId="6D3C5E3C" w14:textId="67800592" w:rsidR="002B3A32" w:rsidRPr="002B3A32" w:rsidRDefault="002B3A32" w:rsidP="0014500C">
      <w:pPr>
        <w:spacing w:line="480" w:lineRule="auto"/>
        <w:rPr>
          <w:rFonts w:ascii="Arial" w:hAnsi="Arial" w:cs="Arial"/>
          <w:sz w:val="20"/>
          <w:szCs w:val="20"/>
        </w:rPr>
      </w:pPr>
      <w:r w:rsidRPr="002B3A32">
        <w:rPr>
          <w:rFonts w:ascii="Arial" w:hAnsi="Arial" w:cs="Arial"/>
          <w:sz w:val="20"/>
          <w:szCs w:val="20"/>
        </w:rPr>
        <w:t>American Psychological Association</w:t>
      </w:r>
      <w:r>
        <w:rPr>
          <w:rFonts w:ascii="Arial" w:hAnsi="Arial" w:cs="Arial"/>
          <w:sz w:val="20"/>
          <w:szCs w:val="20"/>
        </w:rPr>
        <w:t xml:space="preserve">. (2019) </w:t>
      </w:r>
      <w:r>
        <w:rPr>
          <w:rFonts w:ascii="Arial" w:hAnsi="Arial" w:cs="Arial"/>
          <w:i/>
          <w:iCs/>
          <w:sz w:val="20"/>
          <w:szCs w:val="20"/>
        </w:rPr>
        <w:t>Implicit</w:t>
      </w:r>
      <w:r>
        <w:rPr>
          <w:rFonts w:ascii="Arial" w:hAnsi="Arial" w:cs="Arial"/>
          <w:i/>
          <w:iCs/>
          <w:sz w:val="20"/>
          <w:szCs w:val="20"/>
        </w:rPr>
        <w:t xml:space="preserve"> Prejudice</w:t>
      </w:r>
      <w:r>
        <w:rPr>
          <w:rFonts w:ascii="Arial" w:hAnsi="Arial" w:cs="Arial"/>
          <w:i/>
          <w:iCs/>
          <w:sz w:val="20"/>
          <w:szCs w:val="20"/>
        </w:rPr>
        <w:t xml:space="preserve">. </w:t>
      </w:r>
      <w:r>
        <w:rPr>
          <w:rFonts w:ascii="Arial" w:hAnsi="Arial" w:cs="Arial"/>
          <w:sz w:val="20"/>
          <w:szCs w:val="20"/>
        </w:rPr>
        <w:t>Retrieved from</w:t>
      </w:r>
      <w:r>
        <w:rPr>
          <w:rFonts w:ascii="Arial" w:hAnsi="Arial" w:cs="Arial"/>
          <w:sz w:val="20"/>
          <w:szCs w:val="20"/>
        </w:rPr>
        <w:t xml:space="preserve"> </w:t>
      </w:r>
      <w:r w:rsidR="002F7D8E">
        <w:rPr>
          <w:rFonts w:ascii="Arial" w:hAnsi="Arial" w:cs="Arial"/>
          <w:sz w:val="20"/>
          <w:szCs w:val="20"/>
        </w:rPr>
        <w:tab/>
      </w:r>
      <w:hyperlink r:id="rId8" w:history="1">
        <w:r w:rsidR="002F7D8E" w:rsidRPr="00754C37">
          <w:rPr>
            <w:rStyle w:val="Hyperlink"/>
          </w:rPr>
          <w:t>https://dictionary.apa.org/implicit-prejudice</w:t>
        </w:r>
      </w:hyperlink>
    </w:p>
    <w:p w14:paraId="7870690E" w14:textId="3562A594" w:rsidR="007E79DB" w:rsidRDefault="0014500C" w:rsidP="007E79DB">
      <w:pPr>
        <w:spacing w:line="48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Aichholzer</w:t>
      </w:r>
      <w:proofErr w:type="spellEnd"/>
      <w:r>
        <w:rPr>
          <w:rFonts w:ascii="Arial" w:hAnsi="Arial" w:cs="Arial"/>
          <w:color w:val="222222"/>
          <w:sz w:val="20"/>
          <w:szCs w:val="20"/>
          <w:shd w:val="clear" w:color="auto" w:fill="FFFFFF"/>
        </w:rPr>
        <w:t xml:space="preserve">, J., &amp; </w:t>
      </w:r>
      <w:proofErr w:type="spellStart"/>
      <w:r>
        <w:rPr>
          <w:rFonts w:ascii="Arial" w:hAnsi="Arial" w:cs="Arial"/>
          <w:color w:val="222222"/>
          <w:sz w:val="20"/>
          <w:szCs w:val="20"/>
          <w:shd w:val="clear" w:color="auto" w:fill="FFFFFF"/>
        </w:rPr>
        <w:t>Zandonella</w:t>
      </w:r>
      <w:proofErr w:type="spellEnd"/>
      <w:r>
        <w:rPr>
          <w:rFonts w:ascii="Arial" w:hAnsi="Arial" w:cs="Arial"/>
          <w:color w:val="222222"/>
          <w:sz w:val="20"/>
          <w:szCs w:val="20"/>
          <w:shd w:val="clear" w:color="auto" w:fill="FFFFFF"/>
        </w:rPr>
        <w:t xml:space="preserve">, M. (2016). Psychological bases of support for radical right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parties. </w:t>
      </w:r>
      <w:r>
        <w:rPr>
          <w:rFonts w:ascii="Arial" w:hAnsi="Arial" w:cs="Arial"/>
          <w:i/>
          <w:iCs/>
          <w:color w:val="222222"/>
          <w:sz w:val="20"/>
          <w:szCs w:val="20"/>
          <w:shd w:val="clear" w:color="auto" w:fill="FFFFFF"/>
        </w:rPr>
        <w:t>Personality and Individual Differences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96</w:t>
      </w:r>
      <w:r>
        <w:rPr>
          <w:rFonts w:ascii="Arial" w:hAnsi="Arial" w:cs="Arial"/>
          <w:color w:val="222222"/>
          <w:sz w:val="20"/>
          <w:szCs w:val="20"/>
          <w:shd w:val="clear" w:color="auto" w:fill="FFFFFF"/>
        </w:rPr>
        <w:t>, 185-190.</w:t>
      </w:r>
    </w:p>
    <w:p w14:paraId="7E2651B8" w14:textId="3CAFD03B" w:rsidR="0014500C" w:rsidRDefault="0014500C"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Altemeyer, B. (1988). </w:t>
      </w:r>
      <w:r>
        <w:rPr>
          <w:rFonts w:ascii="Arial" w:hAnsi="Arial" w:cs="Arial"/>
          <w:i/>
          <w:iCs/>
          <w:color w:val="222222"/>
          <w:sz w:val="20"/>
          <w:szCs w:val="20"/>
          <w:shd w:val="clear" w:color="auto" w:fill="FFFFFF"/>
        </w:rPr>
        <w:t>Enemies of freedom: Understanding right-wing authoritarianism</w:t>
      </w:r>
      <w:r>
        <w:rPr>
          <w:rFonts w:ascii="Arial" w:hAnsi="Arial" w:cs="Arial"/>
          <w:color w:val="222222"/>
          <w:sz w:val="20"/>
          <w:szCs w:val="20"/>
          <w:shd w:val="clear" w:color="auto" w:fill="FFFFFF"/>
        </w:rPr>
        <w:t>. Jossey-Bass.</w:t>
      </w:r>
    </w:p>
    <w:p w14:paraId="3FD44552" w14:textId="0B35C931" w:rsidR="0014500C" w:rsidRDefault="0014500C"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Ashcroft, R., &amp; </w:t>
      </w:r>
      <w:proofErr w:type="spellStart"/>
      <w:r>
        <w:rPr>
          <w:rFonts w:ascii="Arial" w:hAnsi="Arial" w:cs="Arial"/>
          <w:color w:val="222222"/>
          <w:sz w:val="20"/>
          <w:szCs w:val="20"/>
          <w:shd w:val="clear" w:color="auto" w:fill="FFFFFF"/>
        </w:rPr>
        <w:t>Bevir</w:t>
      </w:r>
      <w:proofErr w:type="spellEnd"/>
      <w:r>
        <w:rPr>
          <w:rFonts w:ascii="Arial" w:hAnsi="Arial" w:cs="Arial"/>
          <w:color w:val="222222"/>
          <w:sz w:val="20"/>
          <w:szCs w:val="20"/>
          <w:shd w:val="clear" w:color="auto" w:fill="FFFFFF"/>
        </w:rPr>
        <w:t>, M. (2016). Pluralism, national identity and citizenship: Britain after Brexit.</w:t>
      </w:r>
    </w:p>
    <w:p w14:paraId="7C882D80" w14:textId="61E50D11" w:rsidR="0014500C" w:rsidRDefault="0014500C" w:rsidP="007E79DB">
      <w:pPr>
        <w:spacing w:line="48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Blee</w:t>
      </w:r>
      <w:proofErr w:type="spellEnd"/>
      <w:r>
        <w:rPr>
          <w:rFonts w:ascii="Arial" w:hAnsi="Arial" w:cs="Arial"/>
          <w:color w:val="222222"/>
          <w:sz w:val="20"/>
          <w:szCs w:val="20"/>
          <w:shd w:val="clear" w:color="auto" w:fill="FFFFFF"/>
        </w:rPr>
        <w:t>, K. M. (2002). </w:t>
      </w:r>
      <w:r>
        <w:rPr>
          <w:rFonts w:ascii="Arial" w:hAnsi="Arial" w:cs="Arial"/>
          <w:i/>
          <w:iCs/>
          <w:color w:val="222222"/>
          <w:sz w:val="20"/>
          <w:szCs w:val="20"/>
          <w:shd w:val="clear" w:color="auto" w:fill="FFFFFF"/>
        </w:rPr>
        <w:t>Inside organized racism: Women in the hate movement</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Univ</w:t>
      </w:r>
      <w:proofErr w:type="spellEnd"/>
      <w:r>
        <w:rPr>
          <w:rFonts w:ascii="Arial" w:hAnsi="Arial" w:cs="Arial"/>
          <w:color w:val="222222"/>
          <w:sz w:val="20"/>
          <w:szCs w:val="20"/>
          <w:shd w:val="clear" w:color="auto" w:fill="FFFFFF"/>
        </w:rPr>
        <w:t xml:space="preserve"> of California Press</w:t>
      </w:r>
    </w:p>
    <w:p w14:paraId="797428AB" w14:textId="2476FC0E" w:rsidR="0014500C" w:rsidRDefault="0014500C"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Cai, H., &amp; </w:t>
      </w:r>
      <w:proofErr w:type="spellStart"/>
      <w:r>
        <w:rPr>
          <w:rFonts w:ascii="Arial" w:hAnsi="Arial" w:cs="Arial"/>
          <w:color w:val="222222"/>
          <w:sz w:val="20"/>
          <w:szCs w:val="20"/>
          <w:shd w:val="clear" w:color="auto" w:fill="FFFFFF"/>
        </w:rPr>
        <w:t>Gries</w:t>
      </w:r>
      <w:proofErr w:type="spellEnd"/>
      <w:r>
        <w:rPr>
          <w:rFonts w:ascii="Arial" w:hAnsi="Arial" w:cs="Arial"/>
          <w:color w:val="222222"/>
          <w:sz w:val="20"/>
          <w:szCs w:val="20"/>
          <w:shd w:val="clear" w:color="auto" w:fill="FFFFFF"/>
        </w:rPr>
        <w:t xml:space="preserve">, P. (2013). National narcissism: Internal dimensions and international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correlates. </w:t>
      </w:r>
      <w:proofErr w:type="spellStart"/>
      <w:r>
        <w:rPr>
          <w:rFonts w:ascii="Arial" w:hAnsi="Arial" w:cs="Arial"/>
          <w:i/>
          <w:iCs/>
          <w:color w:val="222222"/>
          <w:sz w:val="20"/>
          <w:szCs w:val="20"/>
          <w:shd w:val="clear" w:color="auto" w:fill="FFFFFF"/>
        </w:rPr>
        <w:t>PsyCh</w:t>
      </w:r>
      <w:proofErr w:type="spellEnd"/>
      <w:r>
        <w:rPr>
          <w:rFonts w:ascii="Arial" w:hAnsi="Arial" w:cs="Arial"/>
          <w:i/>
          <w:iCs/>
          <w:color w:val="222222"/>
          <w:sz w:val="20"/>
          <w:szCs w:val="20"/>
          <w:shd w:val="clear" w:color="auto" w:fill="FFFFFF"/>
        </w:rPr>
        <w:t xml:space="preserve">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(2), 122-132.</w:t>
      </w:r>
    </w:p>
    <w:p w14:paraId="67F0F147" w14:textId="03B05E09" w:rsidR="0014500C" w:rsidRDefault="0014500C"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Campbell, D. T. (1965). Ethnocentric and other altruistic motives. In </w:t>
      </w:r>
      <w:r>
        <w:rPr>
          <w:rFonts w:ascii="Arial" w:hAnsi="Arial" w:cs="Arial"/>
          <w:i/>
          <w:iCs/>
          <w:color w:val="222222"/>
          <w:sz w:val="20"/>
          <w:szCs w:val="20"/>
          <w:shd w:val="clear" w:color="auto" w:fill="FFFFFF"/>
        </w:rPr>
        <w:t xml:space="preserve">Nebraska symposium on </w:t>
      </w:r>
      <w:r w:rsidR="002F7D8E">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motivation</w:t>
      </w:r>
      <w:r>
        <w:rPr>
          <w:rFonts w:ascii="Arial" w:hAnsi="Arial" w:cs="Arial"/>
          <w:color w:val="222222"/>
          <w:sz w:val="20"/>
          <w:szCs w:val="20"/>
          <w:shd w:val="clear" w:color="auto" w:fill="FFFFFF"/>
        </w:rPr>
        <w:t> (Vol. 13, pp. 283-311).</w:t>
      </w:r>
    </w:p>
    <w:p w14:paraId="7D90BE01" w14:textId="2014348C" w:rsidR="0014500C" w:rsidRDefault="0014500C"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Clarke, H. D., Goodwin, M., &amp; </w:t>
      </w:r>
      <w:proofErr w:type="spellStart"/>
      <w:r>
        <w:rPr>
          <w:rFonts w:ascii="Arial" w:hAnsi="Arial" w:cs="Arial"/>
          <w:color w:val="222222"/>
          <w:sz w:val="20"/>
          <w:szCs w:val="20"/>
          <w:shd w:val="clear" w:color="auto" w:fill="FFFFFF"/>
        </w:rPr>
        <w:t>Whiteley</w:t>
      </w:r>
      <w:proofErr w:type="spellEnd"/>
      <w:r>
        <w:rPr>
          <w:rFonts w:ascii="Arial" w:hAnsi="Arial" w:cs="Arial"/>
          <w:color w:val="222222"/>
          <w:sz w:val="20"/>
          <w:szCs w:val="20"/>
          <w:shd w:val="clear" w:color="auto" w:fill="FFFFFF"/>
        </w:rPr>
        <w:t xml:space="preserve">, P. (2017). Why Britain voted for Brexit: an individual-level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analysis of the 2016 referendum vote. </w:t>
      </w:r>
      <w:r>
        <w:rPr>
          <w:rFonts w:ascii="Arial" w:hAnsi="Arial" w:cs="Arial"/>
          <w:i/>
          <w:iCs/>
          <w:color w:val="222222"/>
          <w:sz w:val="20"/>
          <w:szCs w:val="20"/>
          <w:shd w:val="clear" w:color="auto" w:fill="FFFFFF"/>
        </w:rPr>
        <w:t>Parliamentary Affairs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70</w:t>
      </w:r>
      <w:r>
        <w:rPr>
          <w:rFonts w:ascii="Arial" w:hAnsi="Arial" w:cs="Arial"/>
          <w:color w:val="222222"/>
          <w:sz w:val="20"/>
          <w:szCs w:val="20"/>
          <w:shd w:val="clear" w:color="auto" w:fill="FFFFFF"/>
        </w:rPr>
        <w:t>(3), 439-464.</w:t>
      </w:r>
    </w:p>
    <w:p w14:paraId="72B53E9B" w14:textId="5D425537" w:rsidR="0014500C" w:rsidRDefault="00EB6C01"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 Ruyter, A., &amp; Nielsen, B. (2019). Conclusion: Where Do We Go from </w:t>
      </w:r>
      <w:proofErr w:type="gramStart"/>
      <w:r>
        <w:rPr>
          <w:rFonts w:ascii="Arial" w:hAnsi="Arial" w:cs="Arial"/>
          <w:color w:val="222222"/>
          <w:sz w:val="20"/>
          <w:szCs w:val="20"/>
          <w:shd w:val="clear" w:color="auto" w:fill="FFFFFF"/>
        </w:rPr>
        <w:t>Here?.</w:t>
      </w:r>
      <w:proofErr w:type="gramEnd"/>
      <w:r>
        <w:rPr>
          <w:rFonts w:ascii="Arial" w:hAnsi="Arial" w:cs="Arial"/>
          <w:color w:val="222222"/>
          <w:sz w:val="20"/>
          <w:szCs w:val="20"/>
          <w:shd w:val="clear" w:color="auto" w:fill="FFFFFF"/>
        </w:rPr>
        <w:t xml:space="preserve"> In </w:t>
      </w:r>
      <w:r>
        <w:rPr>
          <w:rFonts w:ascii="Arial" w:hAnsi="Arial" w:cs="Arial"/>
          <w:i/>
          <w:iCs/>
          <w:color w:val="222222"/>
          <w:sz w:val="20"/>
          <w:szCs w:val="20"/>
          <w:shd w:val="clear" w:color="auto" w:fill="FFFFFF"/>
        </w:rPr>
        <w:t xml:space="preserve">Brexit Negotiations </w:t>
      </w:r>
      <w:r w:rsidR="002F7D8E">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After Article 50: Assessing Process, Progress and Impact</w:t>
      </w:r>
      <w:r>
        <w:rPr>
          <w:rFonts w:ascii="Arial" w:hAnsi="Arial" w:cs="Arial"/>
          <w:color w:val="222222"/>
          <w:sz w:val="20"/>
          <w:szCs w:val="20"/>
          <w:shd w:val="clear" w:color="auto" w:fill="FFFFFF"/>
        </w:rPr>
        <w:t xml:space="preserve"> (pp. 193-202). Emerald Publishing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Limited.</w:t>
      </w:r>
    </w:p>
    <w:p w14:paraId="693D8F77" w14:textId="54CBF632" w:rsidR="00EB6C01" w:rsidRDefault="00EB6C01"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Dovidio, J. F., &amp; Gaertner, S. L. (2004). Aversive racism. </w:t>
      </w:r>
      <w:r>
        <w:rPr>
          <w:rFonts w:ascii="Arial" w:hAnsi="Arial" w:cs="Arial"/>
          <w:i/>
          <w:iCs/>
          <w:color w:val="222222"/>
          <w:sz w:val="20"/>
          <w:szCs w:val="20"/>
          <w:shd w:val="clear" w:color="auto" w:fill="FFFFFF"/>
        </w:rPr>
        <w:t xml:space="preserve">Advances in experimental social </w:t>
      </w:r>
      <w:r w:rsidR="002F7D8E">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 4-56.</w:t>
      </w:r>
    </w:p>
    <w:p w14:paraId="6FC216CC" w14:textId="2FB0C67D" w:rsidR="00EB6C01" w:rsidRDefault="00EB6C01" w:rsidP="007E79DB">
      <w:pPr>
        <w:spacing w:line="48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Dustmann</w:t>
      </w:r>
      <w:proofErr w:type="spellEnd"/>
      <w:r>
        <w:rPr>
          <w:rFonts w:ascii="Arial" w:hAnsi="Arial" w:cs="Arial"/>
          <w:color w:val="222222"/>
          <w:sz w:val="20"/>
          <w:szCs w:val="20"/>
          <w:shd w:val="clear" w:color="auto" w:fill="FFFFFF"/>
        </w:rPr>
        <w:t xml:space="preserve">, C., Frattini, T., &amp; Preston, I. P. (2012). The effect of immigration along the distribution of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wages. </w:t>
      </w:r>
      <w:r>
        <w:rPr>
          <w:rFonts w:ascii="Arial" w:hAnsi="Arial" w:cs="Arial"/>
          <w:i/>
          <w:iCs/>
          <w:color w:val="222222"/>
          <w:sz w:val="20"/>
          <w:szCs w:val="20"/>
          <w:shd w:val="clear" w:color="auto" w:fill="FFFFFF"/>
        </w:rPr>
        <w:t>Review of Economic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80</w:t>
      </w:r>
      <w:r>
        <w:rPr>
          <w:rFonts w:ascii="Arial" w:hAnsi="Arial" w:cs="Arial"/>
          <w:color w:val="222222"/>
          <w:sz w:val="20"/>
          <w:szCs w:val="20"/>
          <w:shd w:val="clear" w:color="auto" w:fill="FFFFFF"/>
        </w:rPr>
        <w:t>(1), 145-173.</w:t>
      </w:r>
    </w:p>
    <w:p w14:paraId="46A00A9C" w14:textId="2BBB7996" w:rsidR="00EB6C01" w:rsidRDefault="00EB6C01"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Gilmore, J., Meeks, L., &amp; </w:t>
      </w:r>
      <w:proofErr w:type="spellStart"/>
      <w:r>
        <w:rPr>
          <w:rFonts w:ascii="Arial" w:hAnsi="Arial" w:cs="Arial"/>
          <w:color w:val="222222"/>
          <w:sz w:val="20"/>
          <w:szCs w:val="20"/>
          <w:shd w:val="clear" w:color="auto" w:fill="FFFFFF"/>
        </w:rPr>
        <w:t>Domke</w:t>
      </w:r>
      <w:proofErr w:type="spellEnd"/>
      <w:r>
        <w:rPr>
          <w:rFonts w:ascii="Arial" w:hAnsi="Arial" w:cs="Arial"/>
          <w:color w:val="222222"/>
          <w:sz w:val="20"/>
          <w:szCs w:val="20"/>
          <w:shd w:val="clear" w:color="auto" w:fill="FFFFFF"/>
        </w:rPr>
        <w:t xml:space="preserve">, D. (2013). Why do (we think) they hate us: Anti-Americanism,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patriotic messages, and attributions of blame. </w:t>
      </w:r>
      <w:r>
        <w:rPr>
          <w:rFonts w:ascii="Arial" w:hAnsi="Arial" w:cs="Arial"/>
          <w:i/>
          <w:iCs/>
          <w:color w:val="222222"/>
          <w:sz w:val="20"/>
          <w:szCs w:val="20"/>
          <w:shd w:val="clear" w:color="auto" w:fill="FFFFFF"/>
        </w:rPr>
        <w:t>International Journal of Communication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 21.</w:t>
      </w:r>
    </w:p>
    <w:p w14:paraId="4CB69815" w14:textId="37397E3B" w:rsidR="00EB6C01" w:rsidRDefault="00EB6C01" w:rsidP="007E79DB">
      <w:pPr>
        <w:spacing w:line="48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Golec</w:t>
      </w:r>
      <w:proofErr w:type="spellEnd"/>
      <w:r>
        <w:rPr>
          <w:rFonts w:ascii="Arial" w:hAnsi="Arial" w:cs="Arial"/>
          <w:color w:val="222222"/>
          <w:sz w:val="20"/>
          <w:szCs w:val="20"/>
          <w:shd w:val="clear" w:color="auto" w:fill="FFFFFF"/>
        </w:rPr>
        <w:t xml:space="preserve"> de Zavala, A., Guerra, R., &amp; </w:t>
      </w:r>
      <w:proofErr w:type="spellStart"/>
      <w:r>
        <w:rPr>
          <w:rFonts w:ascii="Arial" w:hAnsi="Arial" w:cs="Arial"/>
          <w:color w:val="222222"/>
          <w:sz w:val="20"/>
          <w:szCs w:val="20"/>
          <w:shd w:val="clear" w:color="auto" w:fill="FFFFFF"/>
        </w:rPr>
        <w:t>Simão</w:t>
      </w:r>
      <w:proofErr w:type="spellEnd"/>
      <w:r>
        <w:rPr>
          <w:rFonts w:ascii="Arial" w:hAnsi="Arial" w:cs="Arial"/>
          <w:color w:val="222222"/>
          <w:sz w:val="20"/>
          <w:szCs w:val="20"/>
          <w:shd w:val="clear" w:color="auto" w:fill="FFFFFF"/>
        </w:rPr>
        <w:t xml:space="preserve">, C. (2017). The relationship between the Brexit vote and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 xml:space="preserve">individual predictors of prejudice: Collective narcissism, right wing authoritarianism, social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dominance orientation.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 2023.</w:t>
      </w:r>
    </w:p>
    <w:p w14:paraId="23B4FA96" w14:textId="33AC61B2" w:rsidR="00EB6C01" w:rsidRDefault="00EB6C01"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Goodwin, M. J., &amp; Heath, O. (2016). Brexit vote explained: poverty, low skills and lack of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opportunities.</w:t>
      </w:r>
    </w:p>
    <w:p w14:paraId="7B6E39D7" w14:textId="084FC054" w:rsidR="00EB6C01" w:rsidRDefault="00EB6C01"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Herrmann, R. K., </w:t>
      </w:r>
      <w:proofErr w:type="spellStart"/>
      <w:r>
        <w:rPr>
          <w:rFonts w:ascii="Arial" w:hAnsi="Arial" w:cs="Arial"/>
          <w:color w:val="222222"/>
          <w:sz w:val="20"/>
          <w:szCs w:val="20"/>
          <w:shd w:val="clear" w:color="auto" w:fill="FFFFFF"/>
        </w:rPr>
        <w:t>Isernia</w:t>
      </w:r>
      <w:proofErr w:type="spellEnd"/>
      <w:r>
        <w:rPr>
          <w:rFonts w:ascii="Arial" w:hAnsi="Arial" w:cs="Arial"/>
          <w:color w:val="222222"/>
          <w:sz w:val="20"/>
          <w:szCs w:val="20"/>
          <w:shd w:val="clear" w:color="auto" w:fill="FFFFFF"/>
        </w:rPr>
        <w:t xml:space="preserve">, P., &amp; </w:t>
      </w:r>
      <w:proofErr w:type="spellStart"/>
      <w:r>
        <w:rPr>
          <w:rFonts w:ascii="Arial" w:hAnsi="Arial" w:cs="Arial"/>
          <w:color w:val="222222"/>
          <w:sz w:val="20"/>
          <w:szCs w:val="20"/>
          <w:shd w:val="clear" w:color="auto" w:fill="FFFFFF"/>
        </w:rPr>
        <w:t>Segatti</w:t>
      </w:r>
      <w:proofErr w:type="spellEnd"/>
      <w:r>
        <w:rPr>
          <w:rFonts w:ascii="Arial" w:hAnsi="Arial" w:cs="Arial"/>
          <w:color w:val="222222"/>
          <w:sz w:val="20"/>
          <w:szCs w:val="20"/>
          <w:shd w:val="clear" w:color="auto" w:fill="FFFFFF"/>
        </w:rPr>
        <w:t xml:space="preserve">, P. (2009). Attachment to the nation and international relations: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Dimensions of identity and their relationship to war and peace. </w:t>
      </w:r>
      <w:r>
        <w:rPr>
          <w:rFonts w:ascii="Arial" w:hAnsi="Arial" w:cs="Arial"/>
          <w:i/>
          <w:iCs/>
          <w:color w:val="222222"/>
          <w:sz w:val="20"/>
          <w:szCs w:val="20"/>
          <w:shd w:val="clear" w:color="auto" w:fill="FFFFFF"/>
        </w:rPr>
        <w:t>Political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 xml:space="preserve">(5),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721-754.</w:t>
      </w:r>
    </w:p>
    <w:p w14:paraId="66196828" w14:textId="769205A4" w:rsidR="00EB6C01" w:rsidRDefault="00EB6C01" w:rsidP="007E79DB">
      <w:pPr>
        <w:spacing w:line="48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Hobolt</w:t>
      </w:r>
      <w:proofErr w:type="spellEnd"/>
      <w:r>
        <w:rPr>
          <w:rFonts w:ascii="Arial" w:hAnsi="Arial" w:cs="Arial"/>
          <w:color w:val="222222"/>
          <w:sz w:val="20"/>
          <w:szCs w:val="20"/>
          <w:shd w:val="clear" w:color="auto" w:fill="FFFFFF"/>
        </w:rPr>
        <w:t>, S. B. (2016). The Brexit vote: a divided nation, a divided continent. </w:t>
      </w:r>
      <w:r>
        <w:rPr>
          <w:rFonts w:ascii="Arial" w:hAnsi="Arial" w:cs="Arial"/>
          <w:i/>
          <w:iCs/>
          <w:color w:val="222222"/>
          <w:sz w:val="20"/>
          <w:szCs w:val="20"/>
          <w:shd w:val="clear" w:color="auto" w:fill="FFFFFF"/>
        </w:rPr>
        <w:t xml:space="preserve">Journal of European Public </w:t>
      </w:r>
      <w:r w:rsidR="002F7D8E">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Policy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(9), 1259-1277.</w:t>
      </w:r>
    </w:p>
    <w:p w14:paraId="7EE6ED60" w14:textId="5AEF6E72" w:rsidR="00EB6C01" w:rsidRDefault="00EB6C01"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Hutchings, P. B., &amp; Sullivan, K. E. (2019). Prejudice and the Brexit vote: a tangled web. </w:t>
      </w:r>
      <w:r>
        <w:rPr>
          <w:rFonts w:ascii="Arial" w:hAnsi="Arial" w:cs="Arial"/>
          <w:i/>
          <w:iCs/>
          <w:color w:val="222222"/>
          <w:sz w:val="20"/>
          <w:szCs w:val="20"/>
          <w:shd w:val="clear" w:color="auto" w:fill="FFFFFF"/>
        </w:rPr>
        <w:t xml:space="preserve">Palgrave </w:t>
      </w:r>
      <w:r w:rsidR="002F7D8E">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Communications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(1), 5.</w:t>
      </w:r>
    </w:p>
    <w:p w14:paraId="4504AEA9" w14:textId="2E6CEDA5" w:rsidR="00EB6C01" w:rsidRDefault="00EB6C01"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Kaufmann, E. (2016). It’s NOT the economy, stupid: Brexit as a story of personal values. </w:t>
      </w:r>
      <w:r>
        <w:rPr>
          <w:rFonts w:ascii="Arial" w:hAnsi="Arial" w:cs="Arial"/>
          <w:i/>
          <w:iCs/>
          <w:color w:val="222222"/>
          <w:sz w:val="20"/>
          <w:szCs w:val="20"/>
          <w:shd w:val="clear" w:color="auto" w:fill="FFFFFF"/>
        </w:rPr>
        <w:t xml:space="preserve">British </w:t>
      </w:r>
      <w:r w:rsidR="002F7D8E">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Politics and Policy at LSE</w:t>
      </w:r>
      <w:r>
        <w:rPr>
          <w:rFonts w:ascii="Arial" w:hAnsi="Arial" w:cs="Arial"/>
          <w:color w:val="222222"/>
          <w:sz w:val="20"/>
          <w:szCs w:val="20"/>
          <w:shd w:val="clear" w:color="auto" w:fill="FFFFFF"/>
        </w:rPr>
        <w:t>.</w:t>
      </w:r>
    </w:p>
    <w:p w14:paraId="0D490CA2" w14:textId="23E5B1CD" w:rsidR="00EB6C01" w:rsidRDefault="00EB6C01"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Kaufmann, E., &amp; Harris, G. (2015). “White Flight” or positive contact? Local diversity and attitudes to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immigration in Britain. </w:t>
      </w:r>
      <w:r>
        <w:rPr>
          <w:rFonts w:ascii="Arial" w:hAnsi="Arial" w:cs="Arial"/>
          <w:i/>
          <w:iCs/>
          <w:color w:val="222222"/>
          <w:sz w:val="20"/>
          <w:szCs w:val="20"/>
          <w:shd w:val="clear" w:color="auto" w:fill="FFFFFF"/>
        </w:rPr>
        <w:t>Comparative Political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(12), 1563-1590.</w:t>
      </w:r>
    </w:p>
    <w:p w14:paraId="125B2CF5" w14:textId="435E9494" w:rsidR="00EB6C01" w:rsidRDefault="00464CB2"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Knobloch-</w:t>
      </w:r>
      <w:proofErr w:type="spellStart"/>
      <w:r>
        <w:rPr>
          <w:rFonts w:ascii="Arial" w:hAnsi="Arial" w:cs="Arial"/>
          <w:color w:val="222222"/>
          <w:sz w:val="20"/>
          <w:szCs w:val="20"/>
          <w:shd w:val="clear" w:color="auto" w:fill="FFFFFF"/>
        </w:rPr>
        <w:t>Westerwick</w:t>
      </w:r>
      <w:proofErr w:type="spellEnd"/>
      <w:r>
        <w:rPr>
          <w:rFonts w:ascii="Arial" w:hAnsi="Arial" w:cs="Arial"/>
          <w:color w:val="222222"/>
          <w:sz w:val="20"/>
          <w:szCs w:val="20"/>
          <w:shd w:val="clear" w:color="auto" w:fill="FFFFFF"/>
        </w:rPr>
        <w:t xml:space="preserve">, S. (2015). The selective exposure self-and affect-management (SESAM)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model: Applications in the realms of race, politics, and health. </w:t>
      </w:r>
      <w:r>
        <w:rPr>
          <w:rFonts w:ascii="Arial" w:hAnsi="Arial" w:cs="Arial"/>
          <w:i/>
          <w:iCs/>
          <w:color w:val="222222"/>
          <w:sz w:val="20"/>
          <w:szCs w:val="20"/>
          <w:shd w:val="clear" w:color="auto" w:fill="FFFFFF"/>
        </w:rPr>
        <w:t xml:space="preserve">Communication </w:t>
      </w:r>
      <w:r w:rsidR="002F7D8E">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(7), 959-985.</w:t>
      </w:r>
    </w:p>
    <w:p w14:paraId="06501AD0" w14:textId="1E76D918" w:rsidR="00464CB2" w:rsidRDefault="00464CB2"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Lawton, C., &amp; </w:t>
      </w:r>
      <w:proofErr w:type="spellStart"/>
      <w:r>
        <w:rPr>
          <w:rFonts w:ascii="Arial" w:hAnsi="Arial" w:cs="Arial"/>
          <w:color w:val="222222"/>
          <w:sz w:val="20"/>
          <w:szCs w:val="20"/>
          <w:shd w:val="clear" w:color="auto" w:fill="FFFFFF"/>
        </w:rPr>
        <w:t>Ackrill</w:t>
      </w:r>
      <w:proofErr w:type="spellEnd"/>
      <w:r>
        <w:rPr>
          <w:rFonts w:ascii="Arial" w:hAnsi="Arial" w:cs="Arial"/>
          <w:color w:val="222222"/>
          <w:sz w:val="20"/>
          <w:szCs w:val="20"/>
          <w:shd w:val="clear" w:color="auto" w:fill="FFFFFF"/>
        </w:rPr>
        <w:t xml:space="preserve">, R. (2016). Hard Evidence: how areas with low immigration voted mainly for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Brexit. </w:t>
      </w:r>
      <w:r>
        <w:rPr>
          <w:rFonts w:ascii="Arial" w:hAnsi="Arial" w:cs="Arial"/>
          <w:i/>
          <w:iCs/>
          <w:color w:val="222222"/>
          <w:sz w:val="20"/>
          <w:szCs w:val="20"/>
          <w:shd w:val="clear" w:color="auto" w:fill="FFFFFF"/>
        </w:rPr>
        <w:t>The Conversation</w:t>
      </w:r>
      <w:r>
        <w:rPr>
          <w:rFonts w:ascii="Arial" w:hAnsi="Arial" w:cs="Arial"/>
          <w:color w:val="222222"/>
          <w:sz w:val="20"/>
          <w:szCs w:val="20"/>
          <w:shd w:val="clear" w:color="auto" w:fill="FFFFFF"/>
        </w:rPr>
        <w:t>.</w:t>
      </w:r>
    </w:p>
    <w:p w14:paraId="3B5A208C" w14:textId="1A918712" w:rsidR="00464CB2" w:rsidRPr="002F7D8E" w:rsidRDefault="00464CB2"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Office for National Statistics. (2016). </w:t>
      </w:r>
      <w:r>
        <w:rPr>
          <w:rFonts w:ascii="Arial" w:hAnsi="Arial" w:cs="Arial"/>
          <w:i/>
          <w:iCs/>
          <w:color w:val="222222"/>
          <w:sz w:val="20"/>
          <w:szCs w:val="20"/>
          <w:shd w:val="clear" w:color="auto" w:fill="FFFFFF"/>
        </w:rPr>
        <w:t xml:space="preserve">Migration statistics quarterly report: May 2016. </w:t>
      </w:r>
      <w:r>
        <w:rPr>
          <w:rFonts w:ascii="Arial" w:hAnsi="Arial" w:cs="Arial"/>
          <w:color w:val="222222"/>
          <w:sz w:val="20"/>
          <w:szCs w:val="20"/>
          <w:shd w:val="clear" w:color="auto" w:fill="FFFFFF"/>
        </w:rPr>
        <w:t xml:space="preserve">Retrieved from </w:t>
      </w:r>
      <w:r w:rsidR="002F7D8E">
        <w:rPr>
          <w:rFonts w:ascii="Arial" w:hAnsi="Arial" w:cs="Arial"/>
          <w:color w:val="222222"/>
          <w:sz w:val="20"/>
          <w:szCs w:val="20"/>
          <w:shd w:val="clear" w:color="auto" w:fill="FFFFFF"/>
        </w:rPr>
        <w:tab/>
      </w:r>
      <w:hyperlink r:id="rId9" w:history="1">
        <w:r w:rsidR="002F7D8E" w:rsidRPr="002F7D8E">
          <w:rPr>
            <w:rStyle w:val="Hyperlink"/>
            <w:rFonts w:ascii="Arial" w:hAnsi="Arial" w:cs="Arial"/>
            <w:sz w:val="20"/>
            <w:szCs w:val="20"/>
            <w:u w:val="none"/>
            <w:shd w:val="clear" w:color="auto" w:fill="FFFFFF"/>
          </w:rPr>
          <w:t>https://www.ons.gov.uk/peoplepopulatio</w:t>
        </w:r>
        <w:r w:rsidR="002F7D8E" w:rsidRPr="002F7D8E">
          <w:rPr>
            <w:rStyle w:val="Hyperlink"/>
            <w:rFonts w:ascii="Arial" w:hAnsi="Arial" w:cs="Arial"/>
            <w:sz w:val="20"/>
            <w:szCs w:val="20"/>
            <w:u w:val="none"/>
            <w:shd w:val="clear" w:color="auto" w:fill="FFFFFF"/>
          </w:rPr>
          <w:t>n</w:t>
        </w:r>
        <w:r w:rsidR="002F7D8E" w:rsidRPr="002F7D8E">
          <w:rPr>
            <w:rStyle w:val="Hyperlink"/>
            <w:rFonts w:ascii="Arial" w:hAnsi="Arial" w:cs="Arial"/>
            <w:sz w:val="20"/>
            <w:szCs w:val="20"/>
            <w:u w:val="none"/>
            <w:shd w:val="clear" w:color="auto" w:fill="FFFFFF"/>
          </w:rPr>
          <w:t>andcommunity/populationandmigration/international</w:t>
        </w:r>
        <w:r w:rsidR="002F7D8E" w:rsidRPr="002F7D8E">
          <w:rPr>
            <w:rStyle w:val="Hyperlink"/>
            <w:rFonts w:ascii="Arial" w:hAnsi="Arial" w:cs="Arial"/>
            <w:sz w:val="20"/>
            <w:szCs w:val="20"/>
            <w:u w:val="none"/>
            <w:shd w:val="clear" w:color="auto" w:fill="FFFFFF"/>
          </w:rPr>
          <w:tab/>
          <w:t>migration/bulletins/</w:t>
        </w:r>
        <w:proofErr w:type="spellStart"/>
        <w:r w:rsidR="002F7D8E" w:rsidRPr="002F7D8E">
          <w:rPr>
            <w:rStyle w:val="Hyperlink"/>
            <w:rFonts w:ascii="Arial" w:hAnsi="Arial" w:cs="Arial"/>
            <w:sz w:val="20"/>
            <w:szCs w:val="20"/>
            <w:u w:val="none"/>
            <w:shd w:val="clear" w:color="auto" w:fill="FFFFFF"/>
          </w:rPr>
          <w:t>migrationstatisticsquarterlyreport</w:t>
        </w:r>
        <w:proofErr w:type="spellEnd"/>
        <w:r w:rsidR="002F7D8E" w:rsidRPr="002F7D8E">
          <w:rPr>
            <w:rStyle w:val="Hyperlink"/>
            <w:rFonts w:ascii="Arial" w:hAnsi="Arial" w:cs="Arial"/>
            <w:sz w:val="20"/>
            <w:szCs w:val="20"/>
            <w:u w:val="none"/>
            <w:shd w:val="clear" w:color="auto" w:fill="FFFFFF"/>
          </w:rPr>
          <w:t>/may2016</w:t>
        </w:r>
      </w:hyperlink>
      <w:r w:rsidRPr="002F7D8E">
        <w:rPr>
          <w:rFonts w:ascii="Arial" w:hAnsi="Arial" w:cs="Arial"/>
          <w:color w:val="222222"/>
          <w:sz w:val="20"/>
          <w:szCs w:val="20"/>
          <w:shd w:val="clear" w:color="auto" w:fill="FFFFFF"/>
        </w:rPr>
        <w:t xml:space="preserve">. </w:t>
      </w:r>
    </w:p>
    <w:p w14:paraId="597B5DAE" w14:textId="5BF773B6" w:rsidR="00464CB2" w:rsidRDefault="00464CB2"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Pettigrew, T. F., Christ, O., Wagner, U., </w:t>
      </w:r>
      <w:proofErr w:type="spellStart"/>
      <w:r>
        <w:rPr>
          <w:rFonts w:ascii="Arial" w:hAnsi="Arial" w:cs="Arial"/>
          <w:color w:val="222222"/>
          <w:sz w:val="20"/>
          <w:szCs w:val="20"/>
          <w:shd w:val="clear" w:color="auto" w:fill="FFFFFF"/>
        </w:rPr>
        <w:t>Meertens</w:t>
      </w:r>
      <w:proofErr w:type="spellEnd"/>
      <w:r>
        <w:rPr>
          <w:rFonts w:ascii="Arial" w:hAnsi="Arial" w:cs="Arial"/>
          <w:color w:val="222222"/>
          <w:sz w:val="20"/>
          <w:szCs w:val="20"/>
          <w:shd w:val="clear" w:color="auto" w:fill="FFFFFF"/>
        </w:rPr>
        <w:t xml:space="preserve">, R. W., Van Dick, R., &amp; </w:t>
      </w:r>
      <w:proofErr w:type="spellStart"/>
      <w:r>
        <w:rPr>
          <w:rFonts w:ascii="Arial" w:hAnsi="Arial" w:cs="Arial"/>
          <w:color w:val="222222"/>
          <w:sz w:val="20"/>
          <w:szCs w:val="20"/>
          <w:shd w:val="clear" w:color="auto" w:fill="FFFFFF"/>
        </w:rPr>
        <w:t>Zick</w:t>
      </w:r>
      <w:proofErr w:type="spellEnd"/>
      <w:r>
        <w:rPr>
          <w:rFonts w:ascii="Arial" w:hAnsi="Arial" w:cs="Arial"/>
          <w:color w:val="222222"/>
          <w:sz w:val="20"/>
          <w:szCs w:val="20"/>
          <w:shd w:val="clear" w:color="auto" w:fill="FFFFFF"/>
        </w:rPr>
        <w:t xml:space="preserve">, A. (2008). Relative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deprivation and intergroup prejudice. </w:t>
      </w:r>
      <w:r>
        <w:rPr>
          <w:rFonts w:ascii="Arial" w:hAnsi="Arial" w:cs="Arial"/>
          <w:i/>
          <w:iCs/>
          <w:color w:val="222222"/>
          <w:sz w:val="20"/>
          <w:szCs w:val="20"/>
          <w:shd w:val="clear" w:color="auto" w:fill="FFFFFF"/>
        </w:rPr>
        <w:t>Journal of Social Issues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64</w:t>
      </w:r>
      <w:r>
        <w:rPr>
          <w:rFonts w:ascii="Arial" w:hAnsi="Arial" w:cs="Arial"/>
          <w:color w:val="222222"/>
          <w:sz w:val="20"/>
          <w:szCs w:val="20"/>
          <w:shd w:val="clear" w:color="auto" w:fill="FFFFFF"/>
        </w:rPr>
        <w:t>(2), 385-401.</w:t>
      </w:r>
    </w:p>
    <w:p w14:paraId="4AB70E1E" w14:textId="216F2115" w:rsidR="00464CB2" w:rsidRDefault="00464CB2" w:rsidP="007E79DB">
      <w:pPr>
        <w:spacing w:line="48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Pratto</w:t>
      </w:r>
      <w:proofErr w:type="spellEnd"/>
      <w:r>
        <w:rPr>
          <w:rFonts w:ascii="Arial" w:hAnsi="Arial" w:cs="Arial"/>
          <w:color w:val="222222"/>
          <w:sz w:val="20"/>
          <w:szCs w:val="20"/>
          <w:shd w:val="clear" w:color="auto" w:fill="FFFFFF"/>
        </w:rPr>
        <w:t xml:space="preserve">, F., </w:t>
      </w:r>
      <w:proofErr w:type="spellStart"/>
      <w:r>
        <w:rPr>
          <w:rFonts w:ascii="Arial" w:hAnsi="Arial" w:cs="Arial"/>
          <w:color w:val="222222"/>
          <w:sz w:val="20"/>
          <w:szCs w:val="20"/>
          <w:shd w:val="clear" w:color="auto" w:fill="FFFFFF"/>
        </w:rPr>
        <w:t>Sidanius</w:t>
      </w:r>
      <w:proofErr w:type="spellEnd"/>
      <w:r>
        <w:rPr>
          <w:rFonts w:ascii="Arial" w:hAnsi="Arial" w:cs="Arial"/>
          <w:color w:val="222222"/>
          <w:sz w:val="20"/>
          <w:szCs w:val="20"/>
          <w:shd w:val="clear" w:color="auto" w:fill="FFFFFF"/>
        </w:rPr>
        <w:t xml:space="preserve">, J., Stallworth, L. M., &amp; </w:t>
      </w:r>
      <w:proofErr w:type="spellStart"/>
      <w:r>
        <w:rPr>
          <w:rFonts w:ascii="Arial" w:hAnsi="Arial" w:cs="Arial"/>
          <w:color w:val="222222"/>
          <w:sz w:val="20"/>
          <w:szCs w:val="20"/>
          <w:shd w:val="clear" w:color="auto" w:fill="FFFFFF"/>
        </w:rPr>
        <w:t>Malle</w:t>
      </w:r>
      <w:proofErr w:type="spellEnd"/>
      <w:r>
        <w:rPr>
          <w:rFonts w:ascii="Arial" w:hAnsi="Arial" w:cs="Arial"/>
          <w:color w:val="222222"/>
          <w:sz w:val="20"/>
          <w:szCs w:val="20"/>
          <w:shd w:val="clear" w:color="auto" w:fill="FFFFFF"/>
        </w:rPr>
        <w:t xml:space="preserve">, B. F. (1994). Social dominance orientation: A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personality variable predicting social and political attitudes. </w:t>
      </w:r>
      <w:r>
        <w:rPr>
          <w:rFonts w:ascii="Arial" w:hAnsi="Arial" w:cs="Arial"/>
          <w:i/>
          <w:iCs/>
          <w:color w:val="222222"/>
          <w:sz w:val="20"/>
          <w:szCs w:val="20"/>
          <w:shd w:val="clear" w:color="auto" w:fill="FFFFFF"/>
        </w:rPr>
        <w:t xml:space="preserve">Journal of personality and social </w:t>
      </w:r>
      <w:r w:rsidR="002F7D8E">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67</w:t>
      </w:r>
      <w:r>
        <w:rPr>
          <w:rFonts w:ascii="Arial" w:hAnsi="Arial" w:cs="Arial"/>
          <w:color w:val="222222"/>
          <w:sz w:val="20"/>
          <w:szCs w:val="20"/>
          <w:shd w:val="clear" w:color="auto" w:fill="FFFFFF"/>
        </w:rPr>
        <w:t>(4), 741.</w:t>
      </w:r>
    </w:p>
    <w:p w14:paraId="77EAF168" w14:textId="3F54D7FA" w:rsidR="00464CB2" w:rsidRDefault="00610477"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Smith, H. J., &amp; Pettigrew, T. F. (2015). Advances in relative deprivation theory and research. </w:t>
      </w:r>
      <w:r>
        <w:rPr>
          <w:rFonts w:ascii="Arial" w:hAnsi="Arial" w:cs="Arial"/>
          <w:i/>
          <w:iCs/>
          <w:color w:val="222222"/>
          <w:sz w:val="20"/>
          <w:szCs w:val="20"/>
          <w:shd w:val="clear" w:color="auto" w:fill="FFFFFF"/>
        </w:rPr>
        <w:t xml:space="preserve">Social </w:t>
      </w:r>
      <w:r w:rsidR="002F7D8E">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Justice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(1), 1-6.</w:t>
      </w:r>
    </w:p>
    <w:p w14:paraId="63A0259D" w14:textId="68CF5732" w:rsidR="00610477" w:rsidRDefault="00610477"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Swami, V., Barron, D., Weis, L., &amp; Furnham, A. (2018). To B </w:t>
      </w:r>
      <w:proofErr w:type="spellStart"/>
      <w:r>
        <w:rPr>
          <w:rFonts w:ascii="Arial" w:hAnsi="Arial" w:cs="Arial"/>
          <w:color w:val="222222"/>
          <w:sz w:val="20"/>
          <w:szCs w:val="20"/>
          <w:shd w:val="clear" w:color="auto" w:fill="FFFFFF"/>
        </w:rPr>
        <w:t>rexit</w:t>
      </w:r>
      <w:proofErr w:type="spellEnd"/>
      <w:r>
        <w:rPr>
          <w:rFonts w:ascii="Arial" w:hAnsi="Arial" w:cs="Arial"/>
          <w:color w:val="222222"/>
          <w:sz w:val="20"/>
          <w:szCs w:val="20"/>
          <w:shd w:val="clear" w:color="auto" w:fill="FFFFFF"/>
        </w:rPr>
        <w:t xml:space="preserve"> or not to B </w:t>
      </w:r>
      <w:proofErr w:type="spellStart"/>
      <w:r>
        <w:rPr>
          <w:rFonts w:ascii="Arial" w:hAnsi="Arial" w:cs="Arial"/>
          <w:color w:val="222222"/>
          <w:sz w:val="20"/>
          <w:szCs w:val="20"/>
          <w:shd w:val="clear" w:color="auto" w:fill="FFFFFF"/>
        </w:rPr>
        <w:t>rexit</w:t>
      </w:r>
      <w:proofErr w:type="spellEnd"/>
      <w:r>
        <w:rPr>
          <w:rFonts w:ascii="Arial" w:hAnsi="Arial" w:cs="Arial"/>
          <w:color w:val="222222"/>
          <w:sz w:val="20"/>
          <w:szCs w:val="20"/>
          <w:shd w:val="clear" w:color="auto" w:fill="FFFFFF"/>
        </w:rPr>
        <w:t xml:space="preserve">: The roles of I </w:t>
      </w:r>
      <w:r w:rsidR="002F7D8E">
        <w:rPr>
          <w:rFonts w:ascii="Arial" w:hAnsi="Arial" w:cs="Arial"/>
          <w:color w:val="222222"/>
          <w:sz w:val="20"/>
          <w:szCs w:val="20"/>
          <w:shd w:val="clear" w:color="auto" w:fill="FFFFFF"/>
        </w:rPr>
        <w:tab/>
      </w:r>
      <w:proofErr w:type="spellStart"/>
      <w:r>
        <w:rPr>
          <w:rFonts w:ascii="Arial" w:hAnsi="Arial" w:cs="Arial"/>
          <w:color w:val="222222"/>
          <w:sz w:val="20"/>
          <w:szCs w:val="20"/>
          <w:shd w:val="clear" w:color="auto" w:fill="FFFFFF"/>
        </w:rPr>
        <w:t>slamophobia</w:t>
      </w:r>
      <w:proofErr w:type="spellEnd"/>
      <w:r>
        <w:rPr>
          <w:rFonts w:ascii="Arial" w:hAnsi="Arial" w:cs="Arial"/>
          <w:color w:val="222222"/>
          <w:sz w:val="20"/>
          <w:szCs w:val="20"/>
          <w:shd w:val="clear" w:color="auto" w:fill="FFFFFF"/>
        </w:rPr>
        <w:t xml:space="preserve">, conspiracist beliefs, and integrated threat in voting intentions for the U </w:t>
      </w:r>
      <w:proofErr w:type="spellStart"/>
      <w:r>
        <w:rPr>
          <w:rFonts w:ascii="Arial" w:hAnsi="Arial" w:cs="Arial"/>
          <w:color w:val="222222"/>
          <w:sz w:val="20"/>
          <w:szCs w:val="20"/>
          <w:shd w:val="clear" w:color="auto" w:fill="FFFFFF"/>
        </w:rPr>
        <w:t>nited</w:t>
      </w:r>
      <w:proofErr w:type="spellEnd"/>
      <w:r>
        <w:rPr>
          <w:rFonts w:ascii="Arial" w:hAnsi="Arial" w:cs="Arial"/>
          <w:color w:val="222222"/>
          <w:sz w:val="20"/>
          <w:szCs w:val="20"/>
          <w:shd w:val="clear" w:color="auto" w:fill="FFFFFF"/>
        </w:rPr>
        <w:t xml:space="preserve"> K </w:t>
      </w:r>
      <w:r w:rsidR="002F7D8E">
        <w:rPr>
          <w:rFonts w:ascii="Arial" w:hAnsi="Arial" w:cs="Arial"/>
          <w:color w:val="222222"/>
          <w:sz w:val="20"/>
          <w:szCs w:val="20"/>
          <w:shd w:val="clear" w:color="auto" w:fill="FFFFFF"/>
        </w:rPr>
        <w:tab/>
      </w:r>
      <w:proofErr w:type="spellStart"/>
      <w:r>
        <w:rPr>
          <w:rFonts w:ascii="Arial" w:hAnsi="Arial" w:cs="Arial"/>
          <w:color w:val="222222"/>
          <w:sz w:val="20"/>
          <w:szCs w:val="20"/>
          <w:shd w:val="clear" w:color="auto" w:fill="FFFFFF"/>
        </w:rPr>
        <w:t>ingdom</w:t>
      </w:r>
      <w:proofErr w:type="spellEnd"/>
      <w:r>
        <w:rPr>
          <w:rFonts w:ascii="Arial" w:hAnsi="Arial" w:cs="Arial"/>
          <w:color w:val="222222"/>
          <w:sz w:val="20"/>
          <w:szCs w:val="20"/>
          <w:shd w:val="clear" w:color="auto" w:fill="FFFFFF"/>
        </w:rPr>
        <w:t xml:space="preserve"> E </w:t>
      </w:r>
      <w:proofErr w:type="spellStart"/>
      <w:r>
        <w:rPr>
          <w:rFonts w:ascii="Arial" w:hAnsi="Arial" w:cs="Arial"/>
          <w:color w:val="222222"/>
          <w:sz w:val="20"/>
          <w:szCs w:val="20"/>
          <w:shd w:val="clear" w:color="auto" w:fill="FFFFFF"/>
        </w:rPr>
        <w:t>uropean</w:t>
      </w:r>
      <w:proofErr w:type="spellEnd"/>
      <w:r>
        <w:rPr>
          <w:rFonts w:ascii="Arial" w:hAnsi="Arial" w:cs="Arial"/>
          <w:color w:val="222222"/>
          <w:sz w:val="20"/>
          <w:szCs w:val="20"/>
          <w:shd w:val="clear" w:color="auto" w:fill="FFFFFF"/>
        </w:rPr>
        <w:t xml:space="preserve"> U </w:t>
      </w:r>
      <w:proofErr w:type="spellStart"/>
      <w:r>
        <w:rPr>
          <w:rFonts w:ascii="Arial" w:hAnsi="Arial" w:cs="Arial"/>
          <w:color w:val="222222"/>
          <w:sz w:val="20"/>
          <w:szCs w:val="20"/>
          <w:shd w:val="clear" w:color="auto" w:fill="FFFFFF"/>
        </w:rPr>
        <w:t>nion</w:t>
      </w:r>
      <w:proofErr w:type="spellEnd"/>
      <w:r>
        <w:rPr>
          <w:rFonts w:ascii="Arial" w:hAnsi="Arial" w:cs="Arial"/>
          <w:color w:val="222222"/>
          <w:sz w:val="20"/>
          <w:szCs w:val="20"/>
          <w:shd w:val="clear" w:color="auto" w:fill="FFFFFF"/>
        </w:rPr>
        <w:t xml:space="preserve"> membership referendum. </w:t>
      </w:r>
      <w:r>
        <w:rPr>
          <w:rFonts w:ascii="Arial" w:hAnsi="Arial" w:cs="Arial"/>
          <w:i/>
          <w:iCs/>
          <w:color w:val="222222"/>
          <w:sz w:val="20"/>
          <w:szCs w:val="20"/>
          <w:shd w:val="clear" w:color="auto" w:fill="FFFFFF"/>
        </w:rPr>
        <w:t>British Journal of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109</w:t>
      </w:r>
      <w:r>
        <w:rPr>
          <w:rFonts w:ascii="Arial" w:hAnsi="Arial" w:cs="Arial"/>
          <w:color w:val="222222"/>
          <w:sz w:val="20"/>
          <w:szCs w:val="20"/>
          <w:shd w:val="clear" w:color="auto" w:fill="FFFFFF"/>
        </w:rPr>
        <w:t xml:space="preserve">(1), </w:t>
      </w:r>
      <w:r w:rsidR="002F7D8E">
        <w:rPr>
          <w:rFonts w:ascii="Arial" w:hAnsi="Arial" w:cs="Arial"/>
          <w:color w:val="222222"/>
          <w:sz w:val="20"/>
          <w:szCs w:val="20"/>
          <w:shd w:val="clear" w:color="auto" w:fill="FFFFFF"/>
        </w:rPr>
        <w:tab/>
      </w:r>
      <w:r>
        <w:rPr>
          <w:rFonts w:ascii="Arial" w:hAnsi="Arial" w:cs="Arial"/>
          <w:color w:val="222222"/>
          <w:sz w:val="20"/>
          <w:szCs w:val="20"/>
          <w:shd w:val="clear" w:color="auto" w:fill="FFFFFF"/>
        </w:rPr>
        <w:t>156-179.</w:t>
      </w:r>
    </w:p>
    <w:p w14:paraId="3E7F6EC1" w14:textId="7550FFF6" w:rsidR="00610477" w:rsidRDefault="00610477" w:rsidP="007E79DB">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Turner, J. C., &amp; Tajfel, H. (1986). The social identity theory of intergroup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 xml:space="preserve">Psychology of </w:t>
      </w:r>
      <w:r w:rsidR="002F7D8E">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intergroup relations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 7-24.</w:t>
      </w:r>
    </w:p>
    <w:p w14:paraId="0EC5852F" w14:textId="5D03FD4C" w:rsidR="00EB6C01" w:rsidRDefault="00EB6C01" w:rsidP="007E79DB">
      <w:pPr>
        <w:spacing w:line="480" w:lineRule="auto"/>
        <w:rPr>
          <w:rFonts w:ascii="Arial" w:hAnsi="Arial" w:cs="Arial"/>
          <w:sz w:val="24"/>
          <w:szCs w:val="24"/>
        </w:rPr>
      </w:pPr>
      <w:r>
        <w:rPr>
          <w:rFonts w:ascii="Arial" w:hAnsi="Arial" w:cs="Arial"/>
          <w:color w:val="222222"/>
          <w:sz w:val="20"/>
          <w:szCs w:val="20"/>
          <w:shd w:val="clear" w:color="auto" w:fill="FFFFFF"/>
        </w:rPr>
        <w:t>Whitley Jr, B. E., &amp; Kite, M. E. (2016). </w:t>
      </w:r>
      <w:r>
        <w:rPr>
          <w:rFonts w:ascii="Arial" w:hAnsi="Arial" w:cs="Arial"/>
          <w:i/>
          <w:iCs/>
          <w:color w:val="222222"/>
          <w:sz w:val="20"/>
          <w:szCs w:val="20"/>
          <w:shd w:val="clear" w:color="auto" w:fill="FFFFFF"/>
        </w:rPr>
        <w:t>Psychology of prejudice and discrimination</w:t>
      </w:r>
      <w:r>
        <w:rPr>
          <w:rFonts w:ascii="Arial" w:hAnsi="Arial" w:cs="Arial"/>
          <w:color w:val="222222"/>
          <w:sz w:val="20"/>
          <w:szCs w:val="20"/>
          <w:shd w:val="clear" w:color="auto" w:fill="FFFFFF"/>
        </w:rPr>
        <w:t>. Routledge.</w:t>
      </w:r>
    </w:p>
    <w:p w14:paraId="3F063B49" w14:textId="6D1D3649" w:rsidR="007E79DB" w:rsidRDefault="007E79DB" w:rsidP="007E79DB">
      <w:pPr>
        <w:spacing w:line="480" w:lineRule="auto"/>
        <w:rPr>
          <w:rFonts w:ascii="Arial" w:hAnsi="Arial" w:cs="Arial"/>
          <w:sz w:val="24"/>
          <w:szCs w:val="24"/>
        </w:rPr>
      </w:pPr>
    </w:p>
    <w:p w14:paraId="14B87566" w14:textId="037C8CAC" w:rsidR="007E79DB" w:rsidRDefault="007E79DB" w:rsidP="007E79DB">
      <w:pPr>
        <w:spacing w:line="480" w:lineRule="auto"/>
        <w:rPr>
          <w:rFonts w:ascii="Arial" w:hAnsi="Arial" w:cs="Arial"/>
          <w:sz w:val="24"/>
          <w:szCs w:val="24"/>
        </w:rPr>
      </w:pPr>
    </w:p>
    <w:p w14:paraId="5C2D41F4" w14:textId="4F481292" w:rsidR="007E79DB" w:rsidRDefault="007E79DB" w:rsidP="007E79DB">
      <w:pPr>
        <w:spacing w:line="480" w:lineRule="auto"/>
        <w:rPr>
          <w:rFonts w:ascii="Arial" w:hAnsi="Arial" w:cs="Arial"/>
          <w:sz w:val="24"/>
          <w:szCs w:val="24"/>
        </w:rPr>
      </w:pPr>
    </w:p>
    <w:p w14:paraId="1AFD3838" w14:textId="7F627343" w:rsidR="007E79DB" w:rsidRDefault="007E79DB" w:rsidP="007E79DB">
      <w:pPr>
        <w:spacing w:line="480" w:lineRule="auto"/>
        <w:rPr>
          <w:rFonts w:ascii="Arial" w:hAnsi="Arial" w:cs="Arial"/>
          <w:sz w:val="24"/>
          <w:szCs w:val="24"/>
        </w:rPr>
      </w:pPr>
    </w:p>
    <w:p w14:paraId="7EECD702" w14:textId="5F0169BA" w:rsidR="007E79DB" w:rsidRDefault="007E79DB" w:rsidP="007E79DB">
      <w:pPr>
        <w:spacing w:line="480" w:lineRule="auto"/>
        <w:rPr>
          <w:rFonts w:ascii="Arial" w:hAnsi="Arial" w:cs="Arial"/>
          <w:sz w:val="24"/>
          <w:szCs w:val="24"/>
        </w:rPr>
      </w:pPr>
    </w:p>
    <w:p w14:paraId="5441E41A" w14:textId="7ED8A9FC" w:rsidR="007E79DB" w:rsidRDefault="007E79DB" w:rsidP="007E79DB">
      <w:pPr>
        <w:spacing w:line="480" w:lineRule="auto"/>
        <w:rPr>
          <w:rFonts w:ascii="Arial" w:hAnsi="Arial" w:cs="Arial"/>
          <w:sz w:val="24"/>
          <w:szCs w:val="24"/>
        </w:rPr>
      </w:pPr>
    </w:p>
    <w:p w14:paraId="58FE2201" w14:textId="286B6B23" w:rsidR="007E79DB" w:rsidRDefault="007E79DB" w:rsidP="007E79DB">
      <w:pPr>
        <w:spacing w:line="480" w:lineRule="auto"/>
        <w:rPr>
          <w:rFonts w:ascii="Arial" w:hAnsi="Arial" w:cs="Arial"/>
          <w:sz w:val="24"/>
          <w:szCs w:val="24"/>
        </w:rPr>
      </w:pPr>
    </w:p>
    <w:p w14:paraId="3BF9F156" w14:textId="7EAC3EFD" w:rsidR="007E79DB" w:rsidRDefault="007E79DB" w:rsidP="007E79DB">
      <w:pPr>
        <w:spacing w:line="480" w:lineRule="auto"/>
        <w:rPr>
          <w:rFonts w:ascii="Arial" w:hAnsi="Arial" w:cs="Arial"/>
          <w:sz w:val="24"/>
          <w:szCs w:val="24"/>
        </w:rPr>
      </w:pPr>
    </w:p>
    <w:p w14:paraId="30F96C71" w14:textId="6BC200B1" w:rsidR="007E79DB" w:rsidRDefault="007E79DB" w:rsidP="007E79DB">
      <w:pPr>
        <w:spacing w:line="480" w:lineRule="auto"/>
        <w:rPr>
          <w:rFonts w:ascii="Arial" w:hAnsi="Arial" w:cs="Arial"/>
          <w:sz w:val="24"/>
          <w:szCs w:val="24"/>
        </w:rPr>
      </w:pPr>
    </w:p>
    <w:p w14:paraId="0CA177BF" w14:textId="297B8E2A" w:rsidR="007E79DB" w:rsidRDefault="007E79DB" w:rsidP="007E79DB">
      <w:pPr>
        <w:spacing w:line="480" w:lineRule="auto"/>
        <w:rPr>
          <w:rFonts w:ascii="Arial" w:hAnsi="Arial" w:cs="Arial"/>
          <w:sz w:val="24"/>
          <w:szCs w:val="24"/>
        </w:rPr>
      </w:pPr>
    </w:p>
    <w:p w14:paraId="0409A872" w14:textId="018FBFF6" w:rsidR="007E79DB" w:rsidRDefault="007E79DB" w:rsidP="007E79DB">
      <w:pPr>
        <w:spacing w:line="480" w:lineRule="auto"/>
        <w:rPr>
          <w:rFonts w:ascii="Arial" w:hAnsi="Arial" w:cs="Arial"/>
          <w:sz w:val="24"/>
          <w:szCs w:val="24"/>
        </w:rPr>
      </w:pPr>
    </w:p>
    <w:p w14:paraId="02C3E9BB" w14:textId="30EA689A" w:rsidR="007E79DB" w:rsidRDefault="007E79DB" w:rsidP="007E79DB">
      <w:pPr>
        <w:spacing w:line="480" w:lineRule="auto"/>
        <w:rPr>
          <w:rFonts w:ascii="Arial" w:hAnsi="Arial" w:cs="Arial"/>
          <w:sz w:val="24"/>
          <w:szCs w:val="24"/>
        </w:rPr>
      </w:pPr>
    </w:p>
    <w:p w14:paraId="2BBBADBB" w14:textId="5A049897" w:rsidR="007E79DB" w:rsidRDefault="007E79DB" w:rsidP="007E79DB">
      <w:pPr>
        <w:spacing w:line="480" w:lineRule="auto"/>
        <w:rPr>
          <w:rFonts w:ascii="Arial" w:hAnsi="Arial" w:cs="Arial"/>
          <w:sz w:val="24"/>
          <w:szCs w:val="24"/>
        </w:rPr>
      </w:pPr>
    </w:p>
    <w:p w14:paraId="7D5EBD25" w14:textId="368B2655" w:rsidR="007E79DB" w:rsidRDefault="007E79DB" w:rsidP="007E79DB">
      <w:pPr>
        <w:spacing w:line="480" w:lineRule="auto"/>
        <w:rPr>
          <w:rFonts w:ascii="Arial" w:hAnsi="Arial" w:cs="Arial"/>
          <w:sz w:val="24"/>
          <w:szCs w:val="24"/>
        </w:rPr>
      </w:pPr>
    </w:p>
    <w:p w14:paraId="134A6851" w14:textId="2890B24F" w:rsidR="007E79DB" w:rsidRDefault="007E79DB" w:rsidP="007E79DB">
      <w:pPr>
        <w:spacing w:line="480" w:lineRule="auto"/>
        <w:rPr>
          <w:rFonts w:ascii="Arial" w:hAnsi="Arial" w:cs="Arial"/>
          <w:sz w:val="24"/>
          <w:szCs w:val="24"/>
        </w:rPr>
      </w:pPr>
    </w:p>
    <w:p w14:paraId="076865A2" w14:textId="77777777" w:rsidR="007E79DB" w:rsidRDefault="007E79DB" w:rsidP="007E79DB">
      <w:pPr>
        <w:spacing w:line="480" w:lineRule="auto"/>
        <w:rPr>
          <w:rFonts w:ascii="Arial" w:hAnsi="Arial" w:cs="Arial"/>
          <w:sz w:val="24"/>
          <w:szCs w:val="24"/>
        </w:rPr>
      </w:pPr>
    </w:p>
    <w:p w14:paraId="0F990B16" w14:textId="1B6EDEDC" w:rsidR="007E79DB" w:rsidRDefault="007E79DB" w:rsidP="007E79DB">
      <w:pPr>
        <w:spacing w:line="480" w:lineRule="auto"/>
        <w:rPr>
          <w:rFonts w:ascii="Arial" w:hAnsi="Arial" w:cs="Arial"/>
          <w:sz w:val="24"/>
          <w:szCs w:val="24"/>
          <w:u w:val="single"/>
        </w:rPr>
      </w:pPr>
      <w:r w:rsidRPr="007E79DB">
        <w:rPr>
          <w:rFonts w:ascii="Arial" w:hAnsi="Arial" w:cs="Arial"/>
          <w:sz w:val="24"/>
          <w:szCs w:val="24"/>
          <w:u w:val="single"/>
        </w:rPr>
        <w:t>References</w:t>
      </w:r>
    </w:p>
    <w:p w14:paraId="37433A48" w14:textId="0D0634DF" w:rsidR="007E79DB" w:rsidRDefault="007E79DB" w:rsidP="007E79DB">
      <w:pPr>
        <w:spacing w:line="480" w:lineRule="auto"/>
      </w:pPr>
      <w:r>
        <w:t xml:space="preserve">American Psychological Association (2019). </w:t>
      </w:r>
      <w:hyperlink r:id="rId10" w:history="1">
        <w:r w:rsidRPr="00255363">
          <w:rPr>
            <w:rStyle w:val="Hyperlink"/>
          </w:rPr>
          <w:t>https://dictionary.apa.org/implicit-prejudice</w:t>
        </w:r>
      </w:hyperlink>
    </w:p>
    <w:p w14:paraId="50164BD7" w14:textId="0DB4A512" w:rsidR="007E79DB" w:rsidRPr="007E79DB" w:rsidRDefault="007E79DB" w:rsidP="007E79DB">
      <w:pPr>
        <w:spacing w:line="480" w:lineRule="auto"/>
        <w:rPr>
          <w:rFonts w:ascii="Calibri" w:hAnsi="Calibri" w:cs="Calibri"/>
          <w:szCs w:val="24"/>
        </w:rPr>
      </w:pPr>
      <w:r>
        <w:t xml:space="preserve">American Psychological Association (2019) </w:t>
      </w:r>
      <w:hyperlink r:id="rId11" w:history="1">
        <w:r>
          <w:rPr>
            <w:rStyle w:val="Hyperlink"/>
          </w:rPr>
          <w:t>https://dictionary.apa.org/explicit-prejudice</w:t>
        </w:r>
      </w:hyperlink>
    </w:p>
    <w:sectPr w:rsidR="007E79DB" w:rsidRPr="007E79D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9A6B3" w14:textId="77777777" w:rsidR="006446A6" w:rsidRDefault="006446A6" w:rsidP="0014500C">
      <w:pPr>
        <w:spacing w:after="0"/>
      </w:pPr>
      <w:r>
        <w:separator/>
      </w:r>
    </w:p>
  </w:endnote>
  <w:endnote w:type="continuationSeparator" w:id="0">
    <w:p w14:paraId="17FCD7F5" w14:textId="77777777" w:rsidR="006446A6" w:rsidRDefault="006446A6" w:rsidP="0014500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3147537"/>
      <w:docPartObj>
        <w:docPartGallery w:val="Page Numbers (Bottom of Page)"/>
        <w:docPartUnique/>
      </w:docPartObj>
    </w:sdtPr>
    <w:sdtEndPr>
      <w:rPr>
        <w:noProof/>
      </w:rPr>
    </w:sdtEndPr>
    <w:sdtContent>
      <w:p w14:paraId="76F695A4" w14:textId="29A3F563" w:rsidR="0014500C" w:rsidRDefault="001450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B48110" w14:textId="77777777" w:rsidR="0014500C" w:rsidRDefault="00145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610D0" w14:textId="77777777" w:rsidR="006446A6" w:rsidRDefault="006446A6" w:rsidP="0014500C">
      <w:pPr>
        <w:spacing w:after="0"/>
      </w:pPr>
      <w:r>
        <w:separator/>
      </w:r>
    </w:p>
  </w:footnote>
  <w:footnote w:type="continuationSeparator" w:id="0">
    <w:p w14:paraId="20DA8723" w14:textId="77777777" w:rsidR="006446A6" w:rsidRDefault="006446A6" w:rsidP="0014500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1861F38-602C-4DCF-B525-FDBC76FB8183}"/>
    <w:docVar w:name="dgnword-eventsink" w:val="285879872"/>
  </w:docVars>
  <w:rsids>
    <w:rsidRoot w:val="00773A36"/>
    <w:rsid w:val="00020AC2"/>
    <w:rsid w:val="000572D2"/>
    <w:rsid w:val="00071FA7"/>
    <w:rsid w:val="000C6F82"/>
    <w:rsid w:val="000E269D"/>
    <w:rsid w:val="0014500C"/>
    <w:rsid w:val="0019178A"/>
    <w:rsid w:val="0019182C"/>
    <w:rsid w:val="001A4F2E"/>
    <w:rsid w:val="001C31C7"/>
    <w:rsid w:val="001C53C9"/>
    <w:rsid w:val="001D562E"/>
    <w:rsid w:val="00202EFA"/>
    <w:rsid w:val="00217CF0"/>
    <w:rsid w:val="0027293B"/>
    <w:rsid w:val="002B1844"/>
    <w:rsid w:val="002B3A32"/>
    <w:rsid w:val="002F7D8E"/>
    <w:rsid w:val="00314029"/>
    <w:rsid w:val="00330A6B"/>
    <w:rsid w:val="003F23C6"/>
    <w:rsid w:val="0040355B"/>
    <w:rsid w:val="00464CB2"/>
    <w:rsid w:val="00490025"/>
    <w:rsid w:val="00491C94"/>
    <w:rsid w:val="004A2869"/>
    <w:rsid w:val="004E2449"/>
    <w:rsid w:val="004F2A8D"/>
    <w:rsid w:val="00526DF1"/>
    <w:rsid w:val="005354A8"/>
    <w:rsid w:val="00554748"/>
    <w:rsid w:val="00556A6B"/>
    <w:rsid w:val="005635EC"/>
    <w:rsid w:val="0057197A"/>
    <w:rsid w:val="005D419B"/>
    <w:rsid w:val="00610477"/>
    <w:rsid w:val="0061050B"/>
    <w:rsid w:val="006446A6"/>
    <w:rsid w:val="006511B6"/>
    <w:rsid w:val="006920E2"/>
    <w:rsid w:val="00696A19"/>
    <w:rsid w:val="006E2239"/>
    <w:rsid w:val="00724A2E"/>
    <w:rsid w:val="007361F7"/>
    <w:rsid w:val="00773A36"/>
    <w:rsid w:val="007B3C79"/>
    <w:rsid w:val="007E79DB"/>
    <w:rsid w:val="00813FB8"/>
    <w:rsid w:val="008316BE"/>
    <w:rsid w:val="00847664"/>
    <w:rsid w:val="008708F2"/>
    <w:rsid w:val="00901A34"/>
    <w:rsid w:val="00943DEA"/>
    <w:rsid w:val="009D6B07"/>
    <w:rsid w:val="00AC3D08"/>
    <w:rsid w:val="00AC5049"/>
    <w:rsid w:val="00B92542"/>
    <w:rsid w:val="00BB374E"/>
    <w:rsid w:val="00C265E5"/>
    <w:rsid w:val="00E978F6"/>
    <w:rsid w:val="00EB6C01"/>
    <w:rsid w:val="00F01F4F"/>
    <w:rsid w:val="00F360B2"/>
    <w:rsid w:val="00F92F66"/>
    <w:rsid w:val="00FD1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E997C"/>
  <w15:chartTrackingRefBased/>
  <w15:docId w15:val="{DAB59CD9-2C03-4540-BB73-FBDDB2BE4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9DB"/>
    <w:rPr>
      <w:color w:val="0000FF"/>
      <w:u w:val="single"/>
    </w:rPr>
  </w:style>
  <w:style w:type="character" w:styleId="UnresolvedMention">
    <w:name w:val="Unresolved Mention"/>
    <w:basedOn w:val="DefaultParagraphFont"/>
    <w:uiPriority w:val="99"/>
    <w:semiHidden/>
    <w:unhideWhenUsed/>
    <w:rsid w:val="007E79DB"/>
    <w:rPr>
      <w:color w:val="605E5C"/>
      <w:shd w:val="clear" w:color="auto" w:fill="E1DFDD"/>
    </w:rPr>
  </w:style>
  <w:style w:type="paragraph" w:styleId="Header">
    <w:name w:val="header"/>
    <w:basedOn w:val="Normal"/>
    <w:link w:val="HeaderChar"/>
    <w:uiPriority w:val="99"/>
    <w:unhideWhenUsed/>
    <w:rsid w:val="0014500C"/>
    <w:pPr>
      <w:tabs>
        <w:tab w:val="center" w:pos="4513"/>
        <w:tab w:val="right" w:pos="9026"/>
      </w:tabs>
      <w:spacing w:after="0"/>
    </w:pPr>
  </w:style>
  <w:style w:type="character" w:customStyle="1" w:styleId="HeaderChar">
    <w:name w:val="Header Char"/>
    <w:basedOn w:val="DefaultParagraphFont"/>
    <w:link w:val="Header"/>
    <w:uiPriority w:val="99"/>
    <w:rsid w:val="0014500C"/>
  </w:style>
  <w:style w:type="paragraph" w:styleId="Footer">
    <w:name w:val="footer"/>
    <w:basedOn w:val="Normal"/>
    <w:link w:val="FooterChar"/>
    <w:uiPriority w:val="99"/>
    <w:unhideWhenUsed/>
    <w:rsid w:val="0014500C"/>
    <w:pPr>
      <w:tabs>
        <w:tab w:val="center" w:pos="4513"/>
        <w:tab w:val="right" w:pos="9026"/>
      </w:tabs>
      <w:spacing w:after="0"/>
    </w:pPr>
  </w:style>
  <w:style w:type="character" w:customStyle="1" w:styleId="FooterChar">
    <w:name w:val="Footer Char"/>
    <w:basedOn w:val="DefaultParagraphFont"/>
    <w:link w:val="Footer"/>
    <w:uiPriority w:val="99"/>
    <w:rsid w:val="0014500C"/>
  </w:style>
  <w:style w:type="character" w:styleId="FollowedHyperlink">
    <w:name w:val="FollowedHyperlink"/>
    <w:basedOn w:val="DefaultParagraphFont"/>
    <w:uiPriority w:val="99"/>
    <w:semiHidden/>
    <w:unhideWhenUsed/>
    <w:rsid w:val="00464C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apa.org/implicit-prejudic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ictionary.apa.org/explicit-prejudice"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ictionary.apa.org/explicit-prejudice" TargetMode="External"/><Relationship Id="rId5" Type="http://schemas.openxmlformats.org/officeDocument/2006/relationships/endnotes" Target="endnotes.xml"/><Relationship Id="rId10" Type="http://schemas.openxmlformats.org/officeDocument/2006/relationships/hyperlink" Target="https://dictionary.apa.org/implicit-prejudice" TargetMode="External"/><Relationship Id="rId4" Type="http://schemas.openxmlformats.org/officeDocument/2006/relationships/footnotes" Target="footnotes.xml"/><Relationship Id="rId9" Type="http://schemas.openxmlformats.org/officeDocument/2006/relationships/hyperlink" Target="https://www.ons.gov.uk/peoplepopulationandcommunity/populationandmigration/international%09migration/bulletins/migrationstatisticsquarterlyreport/may201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3542</Words>
  <Characters>20196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2</cp:revision>
  <dcterms:created xsi:type="dcterms:W3CDTF">2019-11-19T22:13:00Z</dcterms:created>
  <dcterms:modified xsi:type="dcterms:W3CDTF">2019-11-19T22:13:00Z</dcterms:modified>
</cp:coreProperties>
</file>