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F1219" w14:textId="77777777" w:rsidR="00D82FD7" w:rsidRDefault="00D82FD7" w:rsidP="00D82FD7">
      <w:pPr>
        <w:jc w:val="center"/>
      </w:pPr>
      <w:bookmarkStart w:id="0" w:name="_Toc234747793"/>
      <w:r>
        <w:rPr>
          <w:noProof/>
        </w:rPr>
        <w:drawing>
          <wp:inline distT="0" distB="0" distL="0" distR="0" wp14:anchorId="5BD49360" wp14:editId="0526A85D">
            <wp:extent cx="2272145" cy="781414"/>
            <wp:effectExtent l="0" t="0" r="0" b="0"/>
            <wp:docPr id="382100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9706" t="16326" r="10352" b="17850"/>
                    <a:stretch>
                      <a:fillRect/>
                    </a:stretch>
                  </pic:blipFill>
                  <pic:spPr bwMode="auto">
                    <a:xfrm>
                      <a:off x="0" y="0"/>
                      <a:ext cx="2296704" cy="789860"/>
                    </a:xfrm>
                    <a:prstGeom prst="rect">
                      <a:avLst/>
                    </a:prstGeom>
                    <a:noFill/>
                    <a:ln>
                      <a:noFill/>
                    </a:ln>
                    <a:extLst>
                      <a:ext uri="{53640926-AAD7-44D8-BBD7-CCE9431645EC}">
                        <a14:shadowObscured xmlns:a14="http://schemas.microsoft.com/office/drawing/2010/main"/>
                      </a:ext>
                    </a:extLst>
                  </pic:spPr>
                </pic:pic>
              </a:graphicData>
            </a:graphic>
          </wp:inline>
        </w:drawing>
      </w:r>
    </w:p>
    <w:p w14:paraId="39C63E0C" w14:textId="77777777" w:rsidR="00D82FD7" w:rsidRDefault="00D82FD7" w:rsidP="00D82FD7">
      <w:pPr>
        <w:jc w:val="center"/>
      </w:pPr>
    </w:p>
    <w:p w14:paraId="05471A98" w14:textId="77777777" w:rsidR="00D82FD7" w:rsidRDefault="00D82FD7" w:rsidP="00D82FD7">
      <w:pPr>
        <w:jc w:val="center"/>
        <w:rPr>
          <w:b/>
          <w:bCs/>
          <w:sz w:val="28"/>
          <w:szCs w:val="28"/>
        </w:rPr>
      </w:pPr>
      <w:r w:rsidRPr="003364EF">
        <w:rPr>
          <w:b/>
          <w:bCs/>
          <w:sz w:val="28"/>
          <w:szCs w:val="28"/>
        </w:rPr>
        <w:t>Programme: Master of Business Administration</w:t>
      </w:r>
    </w:p>
    <w:p w14:paraId="13D3F098" w14:textId="77777777" w:rsidR="00D82FD7" w:rsidRPr="003364EF" w:rsidRDefault="00D82FD7" w:rsidP="00D82FD7">
      <w:pPr>
        <w:jc w:val="center"/>
        <w:rPr>
          <w:b/>
          <w:bCs/>
          <w:sz w:val="28"/>
          <w:szCs w:val="28"/>
        </w:rPr>
      </w:pPr>
    </w:p>
    <w:p w14:paraId="44C1B39C" w14:textId="77777777" w:rsidR="00D82FD7" w:rsidRPr="003364EF" w:rsidRDefault="00D82FD7" w:rsidP="00D82FD7">
      <w:pPr>
        <w:jc w:val="center"/>
        <w:rPr>
          <w:b/>
          <w:bCs/>
          <w:sz w:val="28"/>
          <w:szCs w:val="28"/>
        </w:rPr>
      </w:pPr>
      <w:r w:rsidRPr="003364EF">
        <w:rPr>
          <w:b/>
          <w:bCs/>
          <w:sz w:val="28"/>
          <w:szCs w:val="28"/>
        </w:rPr>
        <w:t xml:space="preserve">Module: </w:t>
      </w:r>
      <w:r w:rsidRPr="00D11E58">
        <w:rPr>
          <w:b/>
          <w:bCs/>
          <w:sz w:val="28"/>
          <w:szCs w:val="28"/>
        </w:rPr>
        <w:t>Financial Management</w:t>
      </w:r>
    </w:p>
    <w:p w14:paraId="561450F2" w14:textId="77777777" w:rsidR="00D82FD7" w:rsidRPr="003364EF" w:rsidRDefault="00D82FD7" w:rsidP="00D82FD7">
      <w:pPr>
        <w:jc w:val="center"/>
        <w:rPr>
          <w:b/>
          <w:bCs/>
          <w:sz w:val="28"/>
          <w:szCs w:val="28"/>
        </w:rPr>
      </w:pPr>
      <w:r w:rsidRPr="003364EF">
        <w:rPr>
          <w:b/>
          <w:bCs/>
          <w:sz w:val="28"/>
          <w:szCs w:val="28"/>
        </w:rPr>
        <w:t>Module code: LCMB70</w:t>
      </w:r>
      <w:r>
        <w:rPr>
          <w:b/>
          <w:bCs/>
          <w:sz w:val="28"/>
          <w:szCs w:val="28"/>
        </w:rPr>
        <w:t>02</w:t>
      </w:r>
    </w:p>
    <w:p w14:paraId="6472359E" w14:textId="77777777" w:rsidR="00D82FD7" w:rsidRPr="00D11E58" w:rsidRDefault="00D82FD7" w:rsidP="00D82FD7">
      <w:pPr>
        <w:jc w:val="center"/>
        <w:rPr>
          <w:b/>
          <w:bCs/>
          <w:sz w:val="28"/>
          <w:szCs w:val="28"/>
        </w:rPr>
      </w:pPr>
      <w:r w:rsidRPr="003364EF">
        <w:rPr>
          <w:b/>
          <w:bCs/>
          <w:sz w:val="28"/>
          <w:szCs w:val="28"/>
        </w:rPr>
        <w:t xml:space="preserve">Lecturer: </w:t>
      </w:r>
      <w:proofErr w:type="spellStart"/>
      <w:r w:rsidRPr="00D11E58">
        <w:rPr>
          <w:b/>
          <w:bCs/>
          <w:sz w:val="28"/>
          <w:szCs w:val="28"/>
        </w:rPr>
        <w:t>Shengfeng</w:t>
      </w:r>
      <w:proofErr w:type="spellEnd"/>
      <w:r w:rsidRPr="00D11E58">
        <w:rPr>
          <w:b/>
          <w:bCs/>
          <w:sz w:val="28"/>
          <w:szCs w:val="28"/>
        </w:rPr>
        <w:t xml:space="preserve"> Mei</w:t>
      </w:r>
    </w:p>
    <w:p w14:paraId="0C7FE936" w14:textId="77777777" w:rsidR="00D82FD7" w:rsidRDefault="00D82FD7" w:rsidP="00D82FD7">
      <w:pPr>
        <w:jc w:val="center"/>
        <w:rPr>
          <w:b/>
          <w:bCs/>
          <w:sz w:val="28"/>
          <w:szCs w:val="28"/>
        </w:rPr>
      </w:pPr>
      <w:r w:rsidRPr="00D11E58">
        <w:rPr>
          <w:b/>
          <w:bCs/>
          <w:sz w:val="28"/>
          <w:szCs w:val="28"/>
        </w:rPr>
        <w:t>Patrick Yeboah</w:t>
      </w:r>
    </w:p>
    <w:p w14:paraId="222264EE" w14:textId="77777777" w:rsidR="00D82FD7" w:rsidRDefault="00D82FD7" w:rsidP="00D82FD7">
      <w:pPr>
        <w:jc w:val="center"/>
        <w:rPr>
          <w:b/>
          <w:bCs/>
          <w:sz w:val="28"/>
          <w:szCs w:val="28"/>
        </w:rPr>
      </w:pPr>
    </w:p>
    <w:p w14:paraId="1C86CDAA" w14:textId="77777777" w:rsidR="00D82FD7" w:rsidRPr="00D11E58" w:rsidRDefault="00D82FD7" w:rsidP="00D82FD7">
      <w:pPr>
        <w:jc w:val="center"/>
        <w:rPr>
          <w:b/>
          <w:bCs/>
          <w:sz w:val="28"/>
          <w:szCs w:val="28"/>
        </w:rPr>
      </w:pPr>
      <w:r w:rsidRPr="003364EF">
        <w:rPr>
          <w:b/>
          <w:bCs/>
          <w:sz w:val="28"/>
          <w:szCs w:val="28"/>
        </w:rPr>
        <w:t xml:space="preserve">Assignment Title: </w:t>
      </w:r>
      <w:r w:rsidRPr="00D11E58">
        <w:rPr>
          <w:b/>
          <w:bCs/>
          <w:sz w:val="28"/>
          <w:szCs w:val="28"/>
        </w:rPr>
        <w:t>Assessment component:</w:t>
      </w:r>
      <w:r>
        <w:rPr>
          <w:b/>
          <w:bCs/>
          <w:sz w:val="28"/>
          <w:szCs w:val="28"/>
        </w:rPr>
        <w:t xml:space="preserve"> </w:t>
      </w:r>
      <w:r w:rsidRPr="00D11E58">
        <w:rPr>
          <w:b/>
          <w:bCs/>
          <w:sz w:val="28"/>
          <w:szCs w:val="28"/>
        </w:rPr>
        <w:t>Financial performance and</w:t>
      </w:r>
    </w:p>
    <w:p w14:paraId="7A8CA601" w14:textId="77777777" w:rsidR="00D82FD7" w:rsidRDefault="00D82FD7" w:rsidP="00D82FD7">
      <w:pPr>
        <w:jc w:val="center"/>
        <w:rPr>
          <w:b/>
          <w:bCs/>
          <w:sz w:val="28"/>
          <w:szCs w:val="28"/>
        </w:rPr>
      </w:pPr>
      <w:r w:rsidRPr="00D11E58">
        <w:rPr>
          <w:b/>
          <w:bCs/>
          <w:sz w:val="28"/>
          <w:szCs w:val="28"/>
        </w:rPr>
        <w:t>Management</w:t>
      </w:r>
    </w:p>
    <w:p w14:paraId="00C97DDC" w14:textId="77777777" w:rsidR="00D82FD7" w:rsidRDefault="00D82FD7" w:rsidP="00D82FD7">
      <w:pPr>
        <w:jc w:val="center"/>
        <w:rPr>
          <w:b/>
          <w:bCs/>
          <w:sz w:val="28"/>
          <w:szCs w:val="28"/>
        </w:rPr>
      </w:pPr>
    </w:p>
    <w:p w14:paraId="4CEE2063" w14:textId="77777777" w:rsidR="00D82FD7" w:rsidRDefault="00D82FD7" w:rsidP="00D82FD7">
      <w:pPr>
        <w:jc w:val="center"/>
        <w:rPr>
          <w:b/>
          <w:bCs/>
          <w:sz w:val="28"/>
          <w:szCs w:val="28"/>
        </w:rPr>
      </w:pPr>
      <w:r>
        <w:rPr>
          <w:b/>
          <w:bCs/>
          <w:sz w:val="28"/>
          <w:szCs w:val="28"/>
        </w:rPr>
        <w:t xml:space="preserve">Organization </w:t>
      </w:r>
      <w:proofErr w:type="gramStart"/>
      <w:r>
        <w:rPr>
          <w:b/>
          <w:bCs/>
          <w:sz w:val="28"/>
          <w:szCs w:val="28"/>
        </w:rPr>
        <w:t>Chosen :</w:t>
      </w:r>
      <w:proofErr w:type="gramEnd"/>
      <w:r>
        <w:rPr>
          <w:b/>
          <w:bCs/>
          <w:sz w:val="28"/>
          <w:szCs w:val="28"/>
        </w:rPr>
        <w:t xml:space="preserve"> Hilton </w:t>
      </w:r>
      <w:proofErr w:type="spellStart"/>
      <w:r>
        <w:rPr>
          <w:b/>
          <w:bCs/>
          <w:sz w:val="28"/>
          <w:szCs w:val="28"/>
        </w:rPr>
        <w:t>WorldWide</w:t>
      </w:r>
      <w:proofErr w:type="spellEnd"/>
    </w:p>
    <w:p w14:paraId="665D4A09" w14:textId="77777777" w:rsidR="00D82FD7" w:rsidRDefault="00D82FD7" w:rsidP="00D82FD7">
      <w:pPr>
        <w:jc w:val="center"/>
        <w:rPr>
          <w:b/>
          <w:bCs/>
          <w:sz w:val="28"/>
          <w:szCs w:val="28"/>
        </w:rPr>
      </w:pPr>
    </w:p>
    <w:p w14:paraId="23EE18EF" w14:textId="77777777" w:rsidR="00D82FD7" w:rsidRDefault="00D82FD7" w:rsidP="00D82FD7">
      <w:pPr>
        <w:jc w:val="center"/>
        <w:rPr>
          <w:b/>
          <w:bCs/>
          <w:sz w:val="28"/>
          <w:szCs w:val="28"/>
        </w:rPr>
      </w:pPr>
    </w:p>
    <w:p w14:paraId="003F3E41" w14:textId="77777777" w:rsidR="00D82FD7" w:rsidRPr="003364EF" w:rsidRDefault="00D82FD7" w:rsidP="00D82FD7">
      <w:pPr>
        <w:jc w:val="center"/>
        <w:rPr>
          <w:b/>
          <w:bCs/>
          <w:sz w:val="28"/>
          <w:szCs w:val="28"/>
        </w:rPr>
      </w:pPr>
    </w:p>
    <w:p w14:paraId="1543E449" w14:textId="77777777" w:rsidR="00D82FD7" w:rsidRPr="003364EF" w:rsidRDefault="00D82FD7" w:rsidP="00D82FD7">
      <w:pPr>
        <w:jc w:val="center"/>
        <w:rPr>
          <w:b/>
          <w:bCs/>
          <w:sz w:val="28"/>
          <w:szCs w:val="28"/>
        </w:rPr>
      </w:pPr>
      <w:r w:rsidRPr="003364EF">
        <w:rPr>
          <w:b/>
          <w:bCs/>
          <w:sz w:val="28"/>
          <w:szCs w:val="28"/>
        </w:rPr>
        <w:t xml:space="preserve">Student </w:t>
      </w:r>
      <w:r>
        <w:rPr>
          <w:b/>
          <w:bCs/>
          <w:sz w:val="28"/>
          <w:szCs w:val="28"/>
        </w:rPr>
        <w:t>N</w:t>
      </w:r>
      <w:r w:rsidRPr="003364EF">
        <w:rPr>
          <w:b/>
          <w:bCs/>
          <w:sz w:val="28"/>
          <w:szCs w:val="28"/>
        </w:rPr>
        <w:t>ame:</w:t>
      </w:r>
      <w:r>
        <w:rPr>
          <w:b/>
          <w:bCs/>
          <w:sz w:val="28"/>
          <w:szCs w:val="28"/>
        </w:rPr>
        <w:t xml:space="preserve"> </w:t>
      </w:r>
      <w:r w:rsidRPr="00D11E58">
        <w:rPr>
          <w:b/>
          <w:bCs/>
          <w:sz w:val="28"/>
          <w:szCs w:val="28"/>
        </w:rPr>
        <w:t>Janvi</w:t>
      </w:r>
      <w:r>
        <w:rPr>
          <w:b/>
          <w:bCs/>
          <w:sz w:val="28"/>
          <w:szCs w:val="28"/>
        </w:rPr>
        <w:t xml:space="preserve"> </w:t>
      </w:r>
      <w:proofErr w:type="spellStart"/>
      <w:r>
        <w:rPr>
          <w:b/>
          <w:bCs/>
          <w:sz w:val="28"/>
          <w:szCs w:val="28"/>
        </w:rPr>
        <w:t>Radadiya</w:t>
      </w:r>
      <w:proofErr w:type="spellEnd"/>
    </w:p>
    <w:p w14:paraId="68997F7D" w14:textId="77777777" w:rsidR="00D82FD7" w:rsidRPr="003364EF" w:rsidRDefault="00D82FD7" w:rsidP="00D82FD7">
      <w:pPr>
        <w:jc w:val="center"/>
        <w:rPr>
          <w:b/>
          <w:bCs/>
          <w:sz w:val="28"/>
          <w:szCs w:val="28"/>
        </w:rPr>
      </w:pPr>
      <w:r w:rsidRPr="003364EF">
        <w:rPr>
          <w:b/>
          <w:bCs/>
          <w:sz w:val="28"/>
          <w:szCs w:val="28"/>
        </w:rPr>
        <w:t xml:space="preserve">Student ID </w:t>
      </w:r>
      <w:r>
        <w:rPr>
          <w:b/>
          <w:bCs/>
          <w:sz w:val="28"/>
          <w:szCs w:val="28"/>
        </w:rPr>
        <w:t>N</w:t>
      </w:r>
      <w:r w:rsidRPr="003364EF">
        <w:rPr>
          <w:b/>
          <w:bCs/>
          <w:sz w:val="28"/>
          <w:szCs w:val="28"/>
        </w:rPr>
        <w:t>umber:</w:t>
      </w:r>
      <w:r>
        <w:rPr>
          <w:b/>
          <w:bCs/>
          <w:sz w:val="28"/>
          <w:szCs w:val="28"/>
        </w:rPr>
        <w:t xml:space="preserve"> </w:t>
      </w:r>
      <w:r w:rsidRPr="00D11E58">
        <w:rPr>
          <w:b/>
          <w:bCs/>
          <w:sz w:val="28"/>
          <w:szCs w:val="28"/>
        </w:rPr>
        <w:t>2538338</w:t>
      </w:r>
    </w:p>
    <w:p w14:paraId="63BCC4BE" w14:textId="77777777" w:rsidR="00D82FD7" w:rsidRPr="003364EF" w:rsidRDefault="00D82FD7" w:rsidP="00D82FD7">
      <w:pPr>
        <w:jc w:val="center"/>
        <w:rPr>
          <w:b/>
          <w:bCs/>
          <w:sz w:val="28"/>
          <w:szCs w:val="28"/>
        </w:rPr>
      </w:pPr>
      <w:r w:rsidRPr="003364EF">
        <w:rPr>
          <w:b/>
          <w:bCs/>
          <w:sz w:val="28"/>
          <w:szCs w:val="28"/>
        </w:rPr>
        <w:t>Word Count:</w:t>
      </w:r>
      <w:r>
        <w:rPr>
          <w:b/>
          <w:bCs/>
          <w:sz w:val="28"/>
          <w:szCs w:val="28"/>
        </w:rPr>
        <w:t xml:space="preserve"> 5456 Words</w:t>
      </w:r>
    </w:p>
    <w:p w14:paraId="693F7BCD" w14:textId="77777777" w:rsidR="007712B2" w:rsidRDefault="007712B2" w:rsidP="007712B2">
      <w:pPr>
        <w:rPr>
          <w:rFonts w:ascii="Arial" w:hAnsi="Arial" w:cs="Arial"/>
          <w:b/>
          <w:sz w:val="24"/>
          <w:szCs w:val="24"/>
        </w:rPr>
      </w:pPr>
    </w:p>
    <w:p w14:paraId="437D6979" w14:textId="77777777" w:rsidR="007712B2" w:rsidRDefault="007712B2" w:rsidP="007712B2">
      <w:pPr>
        <w:rPr>
          <w:rFonts w:ascii="Arial" w:eastAsiaTheme="majorEastAsia" w:hAnsi="Arial" w:cs="Arial"/>
          <w:b/>
          <w:sz w:val="24"/>
          <w:szCs w:val="24"/>
        </w:rPr>
      </w:pPr>
      <w:r>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341771290"/>
        <w:docPartObj>
          <w:docPartGallery w:val="Table of Contents"/>
          <w:docPartUnique/>
        </w:docPartObj>
      </w:sdtPr>
      <w:sdtEndPr>
        <w:rPr>
          <w:b/>
          <w:bCs/>
          <w:noProof/>
        </w:rPr>
      </w:sdtEndPr>
      <w:sdtContent>
        <w:p w14:paraId="3D44266B" w14:textId="77777777" w:rsidR="007712B2" w:rsidRPr="007712B2" w:rsidRDefault="007712B2" w:rsidP="00D0139D">
          <w:pPr>
            <w:pStyle w:val="TOCHeading"/>
            <w:spacing w:line="360" w:lineRule="auto"/>
            <w:jc w:val="center"/>
            <w:rPr>
              <w:rFonts w:ascii="Arial" w:hAnsi="Arial" w:cs="Arial"/>
              <w:b/>
              <w:color w:val="auto"/>
              <w:sz w:val="24"/>
              <w:szCs w:val="24"/>
            </w:rPr>
          </w:pPr>
          <w:r w:rsidRPr="007712B2">
            <w:rPr>
              <w:rFonts w:ascii="Arial" w:hAnsi="Arial" w:cs="Arial"/>
              <w:b/>
              <w:color w:val="auto"/>
              <w:sz w:val="24"/>
              <w:szCs w:val="24"/>
            </w:rPr>
            <w:t>Table of Contents</w:t>
          </w:r>
        </w:p>
        <w:p w14:paraId="7A829A14" w14:textId="470AD35F" w:rsidR="007712B2" w:rsidRPr="007712B2" w:rsidRDefault="007712B2" w:rsidP="007712B2">
          <w:pPr>
            <w:pStyle w:val="TOC1"/>
            <w:tabs>
              <w:tab w:val="right" w:leader="dot" w:pos="9016"/>
            </w:tabs>
            <w:spacing w:line="360" w:lineRule="auto"/>
            <w:jc w:val="both"/>
            <w:rPr>
              <w:rFonts w:ascii="Arial" w:eastAsiaTheme="minorEastAsia" w:hAnsi="Arial" w:cs="Arial"/>
              <w:noProof/>
              <w:sz w:val="24"/>
              <w:szCs w:val="24"/>
              <w:lang w:val="en-IN" w:eastAsia="en-IN"/>
            </w:rPr>
          </w:pPr>
          <w:r w:rsidRPr="007712B2">
            <w:rPr>
              <w:rFonts w:ascii="Arial" w:hAnsi="Arial" w:cs="Arial"/>
              <w:sz w:val="24"/>
              <w:szCs w:val="24"/>
            </w:rPr>
            <w:fldChar w:fldCharType="begin"/>
          </w:r>
          <w:r w:rsidRPr="007712B2">
            <w:rPr>
              <w:rFonts w:ascii="Arial" w:hAnsi="Arial" w:cs="Arial"/>
              <w:sz w:val="24"/>
              <w:szCs w:val="24"/>
            </w:rPr>
            <w:instrText xml:space="preserve"> TOC \o "1-3" \h \z \u </w:instrText>
          </w:r>
          <w:r w:rsidRPr="007712B2">
            <w:rPr>
              <w:rFonts w:ascii="Arial" w:hAnsi="Arial" w:cs="Arial"/>
              <w:sz w:val="24"/>
              <w:szCs w:val="24"/>
            </w:rPr>
            <w:fldChar w:fldCharType="separate"/>
          </w:r>
          <w:hyperlink w:anchor="_Toc235544011" w:history="1">
            <w:r w:rsidRPr="007712B2">
              <w:rPr>
                <w:rStyle w:val="Hyperlink"/>
                <w:rFonts w:ascii="Arial" w:hAnsi="Arial" w:cs="Arial"/>
                <w:noProof/>
                <w:color w:val="auto"/>
                <w:sz w:val="24"/>
                <w:szCs w:val="24"/>
              </w:rPr>
              <w:t>1. Financial Health Check</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_Toc235544011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4</w:t>
            </w:r>
            <w:r w:rsidRPr="007712B2">
              <w:rPr>
                <w:rFonts w:ascii="Arial" w:hAnsi="Arial" w:cs="Arial"/>
                <w:noProof/>
                <w:webHidden/>
                <w:sz w:val="24"/>
                <w:szCs w:val="24"/>
              </w:rPr>
              <w:fldChar w:fldCharType="end"/>
            </w:r>
          </w:hyperlink>
        </w:p>
        <w:p w14:paraId="7F5DEED8" w14:textId="087B08DE"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12" w:history="1">
            <w:r w:rsidRPr="007712B2">
              <w:rPr>
                <w:rStyle w:val="Hyperlink"/>
                <w:rFonts w:ascii="Arial" w:hAnsi="Arial" w:cs="Arial"/>
                <w:noProof/>
                <w:color w:val="auto"/>
                <w:sz w:val="24"/>
                <w:szCs w:val="24"/>
              </w:rPr>
              <w:t>1.1 Firm’s financial statements over the past five years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_Toc235544012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4</w:t>
            </w:r>
            <w:r w:rsidRPr="007712B2">
              <w:rPr>
                <w:rFonts w:ascii="Arial" w:hAnsi="Arial" w:cs="Arial"/>
                <w:noProof/>
                <w:webHidden/>
                <w:sz w:val="24"/>
                <w:szCs w:val="24"/>
              </w:rPr>
              <w:fldChar w:fldCharType="end"/>
            </w:r>
          </w:hyperlink>
        </w:p>
        <w:p w14:paraId="51A0BECB" w14:textId="1C67E1F1"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13" w:history="1">
            <w:r w:rsidRPr="007712B2">
              <w:rPr>
                <w:rStyle w:val="Hyperlink"/>
                <w:rFonts w:ascii="Arial" w:hAnsi="Arial" w:cs="Arial"/>
                <w:noProof/>
                <w:color w:val="auto"/>
                <w:sz w:val="24"/>
                <w:szCs w:val="24"/>
              </w:rPr>
              <w:t>1.2 Ratio analysis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_Toc235544013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5</w:t>
            </w:r>
            <w:r w:rsidRPr="007712B2">
              <w:rPr>
                <w:rFonts w:ascii="Arial" w:hAnsi="Arial" w:cs="Arial"/>
                <w:noProof/>
                <w:webHidden/>
                <w:sz w:val="24"/>
                <w:szCs w:val="24"/>
              </w:rPr>
              <w:fldChar w:fldCharType="end"/>
            </w:r>
          </w:hyperlink>
        </w:p>
        <w:p w14:paraId="1EC441FF" w14:textId="69CB13BA"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14" w:history="1">
            <w:r w:rsidRPr="007712B2">
              <w:rPr>
                <w:rStyle w:val="Hyperlink"/>
                <w:rFonts w:ascii="Arial" w:hAnsi="Arial" w:cs="Arial"/>
                <w:noProof/>
                <w:color w:val="auto"/>
                <w:sz w:val="24"/>
                <w:szCs w:val="24"/>
              </w:rPr>
              <w:t>1.3 Trends, strengths, and potential threats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_Toc235544014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12</w:t>
            </w:r>
            <w:r w:rsidRPr="007712B2">
              <w:rPr>
                <w:rFonts w:ascii="Arial" w:hAnsi="Arial" w:cs="Arial"/>
                <w:noProof/>
                <w:webHidden/>
                <w:sz w:val="24"/>
                <w:szCs w:val="24"/>
              </w:rPr>
              <w:fldChar w:fldCharType="end"/>
            </w:r>
          </w:hyperlink>
        </w:p>
        <w:p w14:paraId="6A249BB7" w14:textId="5FA22CFC"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15" w:history="1">
            <w:r w:rsidRPr="007712B2">
              <w:rPr>
                <w:rStyle w:val="Hyperlink"/>
                <w:rFonts w:ascii="Arial" w:hAnsi="Arial" w:cs="Arial"/>
                <w:noProof/>
                <w:color w:val="auto"/>
                <w:sz w:val="24"/>
                <w:szCs w:val="24"/>
              </w:rPr>
              <w:t>1.4 Comparison of liquidity ratios with industry benchmarks, assessing how the firm performs relative to sector standards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_Toc235544015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13</w:t>
            </w:r>
            <w:r w:rsidRPr="007712B2">
              <w:rPr>
                <w:rFonts w:ascii="Arial" w:hAnsi="Arial" w:cs="Arial"/>
                <w:noProof/>
                <w:webHidden/>
                <w:sz w:val="24"/>
                <w:szCs w:val="24"/>
              </w:rPr>
              <w:fldChar w:fldCharType="end"/>
            </w:r>
          </w:hyperlink>
        </w:p>
        <w:p w14:paraId="1976B1A5" w14:textId="089EC81B" w:rsidR="007712B2" w:rsidRPr="007712B2" w:rsidRDefault="007712B2" w:rsidP="007712B2">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5544016" w:history="1">
            <w:r w:rsidRPr="007712B2">
              <w:rPr>
                <w:rStyle w:val="Hyperlink"/>
                <w:rFonts w:ascii="Arial" w:hAnsi="Arial" w:cs="Arial"/>
                <w:noProof/>
                <w:color w:val="auto"/>
                <w:sz w:val="24"/>
                <w:szCs w:val="24"/>
              </w:rPr>
              <w:t>2. Working Capital Management Analysis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_Toc235544016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16</w:t>
            </w:r>
            <w:r w:rsidRPr="007712B2">
              <w:rPr>
                <w:rFonts w:ascii="Arial" w:hAnsi="Arial" w:cs="Arial"/>
                <w:noProof/>
                <w:webHidden/>
                <w:sz w:val="24"/>
                <w:szCs w:val="24"/>
              </w:rPr>
              <w:fldChar w:fldCharType="end"/>
            </w:r>
          </w:hyperlink>
        </w:p>
        <w:p w14:paraId="7989CB93" w14:textId="421D5D14"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17" w:history="1">
            <w:r w:rsidRPr="007712B2">
              <w:rPr>
                <w:rStyle w:val="Hyperlink"/>
                <w:rFonts w:ascii="Arial" w:hAnsi="Arial" w:cs="Arial"/>
                <w:noProof/>
                <w:color w:val="auto"/>
                <w:sz w:val="24"/>
                <w:szCs w:val="24"/>
              </w:rPr>
              <w:t>2.1 Cash operating cycle</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_Toc235544017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16</w:t>
            </w:r>
            <w:r w:rsidRPr="007712B2">
              <w:rPr>
                <w:rFonts w:ascii="Arial" w:hAnsi="Arial" w:cs="Arial"/>
                <w:noProof/>
                <w:webHidden/>
                <w:sz w:val="24"/>
                <w:szCs w:val="24"/>
              </w:rPr>
              <w:fldChar w:fldCharType="end"/>
            </w:r>
          </w:hyperlink>
        </w:p>
        <w:p w14:paraId="3653AEEE" w14:textId="2A24B38C"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18" w:history="1">
            <w:r w:rsidRPr="007712B2">
              <w:rPr>
                <w:rStyle w:val="Hyperlink"/>
                <w:rFonts w:ascii="Arial" w:hAnsi="Arial" w:cs="Arial"/>
                <w:noProof/>
                <w:color w:val="auto"/>
                <w:sz w:val="24"/>
                <w:szCs w:val="24"/>
              </w:rPr>
              <w:t>2.2 Strategies to improve liquidity through working capital reforms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_Toc235544018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18</w:t>
            </w:r>
            <w:r w:rsidRPr="007712B2">
              <w:rPr>
                <w:rFonts w:ascii="Arial" w:hAnsi="Arial" w:cs="Arial"/>
                <w:noProof/>
                <w:webHidden/>
                <w:sz w:val="24"/>
                <w:szCs w:val="24"/>
              </w:rPr>
              <w:fldChar w:fldCharType="end"/>
            </w:r>
          </w:hyperlink>
        </w:p>
        <w:p w14:paraId="436AA2EC" w14:textId="73CFF4C4"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19" w:history="1">
            <w:r w:rsidRPr="007712B2">
              <w:rPr>
                <w:rStyle w:val="Hyperlink"/>
                <w:rFonts w:ascii="Arial" w:hAnsi="Arial" w:cs="Arial"/>
                <w:noProof/>
                <w:color w:val="auto"/>
                <w:sz w:val="24"/>
                <w:szCs w:val="24"/>
              </w:rPr>
              <w:t>2.3 Short-term vs long-term financing options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_Toc235544019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18</w:t>
            </w:r>
            <w:r w:rsidRPr="007712B2">
              <w:rPr>
                <w:rFonts w:ascii="Arial" w:hAnsi="Arial" w:cs="Arial"/>
                <w:noProof/>
                <w:webHidden/>
                <w:sz w:val="24"/>
                <w:szCs w:val="24"/>
              </w:rPr>
              <w:fldChar w:fldCharType="end"/>
            </w:r>
          </w:hyperlink>
        </w:p>
        <w:p w14:paraId="6CF915FE" w14:textId="2D6BC785" w:rsidR="007712B2" w:rsidRPr="007712B2" w:rsidRDefault="007712B2" w:rsidP="007712B2">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5544020" w:history="1">
            <w:r w:rsidRPr="007712B2">
              <w:rPr>
                <w:rStyle w:val="Hyperlink"/>
                <w:rFonts w:ascii="Arial" w:hAnsi="Arial" w:cs="Arial"/>
                <w:noProof/>
                <w:color w:val="auto"/>
                <w:sz w:val="24"/>
                <w:szCs w:val="24"/>
              </w:rPr>
              <w:t>3. Strategic Financial Restructuring Plan</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_Toc235544020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20</w:t>
            </w:r>
            <w:r w:rsidRPr="007712B2">
              <w:rPr>
                <w:rFonts w:ascii="Arial" w:hAnsi="Arial" w:cs="Arial"/>
                <w:noProof/>
                <w:webHidden/>
                <w:sz w:val="24"/>
                <w:szCs w:val="24"/>
              </w:rPr>
              <w:fldChar w:fldCharType="end"/>
            </w:r>
          </w:hyperlink>
        </w:p>
        <w:p w14:paraId="2ACD9E72" w14:textId="6C1050C8"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21" w:history="1">
            <w:r w:rsidRPr="007712B2">
              <w:rPr>
                <w:rStyle w:val="Hyperlink"/>
                <w:rFonts w:ascii="Arial" w:hAnsi="Arial" w:cs="Arial"/>
                <w:noProof/>
                <w:color w:val="auto"/>
                <w:sz w:val="24"/>
                <w:szCs w:val="24"/>
              </w:rPr>
              <w:t>3.1 Recommend financial restructuring options (e.g., divestiture, merger, equity injection).</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_Toc235544021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20</w:t>
            </w:r>
            <w:r w:rsidRPr="007712B2">
              <w:rPr>
                <w:rFonts w:ascii="Arial" w:hAnsi="Arial" w:cs="Arial"/>
                <w:noProof/>
                <w:webHidden/>
                <w:sz w:val="24"/>
                <w:szCs w:val="24"/>
              </w:rPr>
              <w:fldChar w:fldCharType="end"/>
            </w:r>
          </w:hyperlink>
        </w:p>
        <w:p w14:paraId="2D4447EB" w14:textId="7CEFB4B0"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22" w:history="1">
            <w:r w:rsidRPr="007712B2">
              <w:rPr>
                <w:rStyle w:val="Hyperlink"/>
                <w:rFonts w:ascii="Arial" w:hAnsi="Arial" w:cs="Arial"/>
                <w:noProof/>
                <w:color w:val="auto"/>
                <w:sz w:val="24"/>
                <w:szCs w:val="24"/>
              </w:rPr>
              <w:t>3.2 Evaluate impact on shareholder value, debt structure, and operational flexibility.</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_Toc235544022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20</w:t>
            </w:r>
            <w:r w:rsidRPr="007712B2">
              <w:rPr>
                <w:rFonts w:ascii="Arial" w:hAnsi="Arial" w:cs="Arial"/>
                <w:noProof/>
                <w:webHidden/>
                <w:sz w:val="24"/>
                <w:szCs w:val="24"/>
              </w:rPr>
              <w:fldChar w:fldCharType="end"/>
            </w:r>
          </w:hyperlink>
        </w:p>
        <w:p w14:paraId="2F87C74E" w14:textId="37E983C0"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23" w:history="1">
            <w:r w:rsidRPr="007712B2">
              <w:rPr>
                <w:rStyle w:val="Hyperlink"/>
                <w:rFonts w:ascii="Arial" w:hAnsi="Arial" w:cs="Arial"/>
                <w:noProof/>
                <w:color w:val="auto"/>
                <w:sz w:val="24"/>
                <w:szCs w:val="24"/>
              </w:rPr>
              <w:t>3.3 Include international and ethical considerations (taxation, currency risk, inflation, CSR or ESG).</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_Toc235544023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21</w:t>
            </w:r>
            <w:r w:rsidRPr="007712B2">
              <w:rPr>
                <w:rFonts w:ascii="Arial" w:hAnsi="Arial" w:cs="Arial"/>
                <w:noProof/>
                <w:webHidden/>
                <w:sz w:val="24"/>
                <w:szCs w:val="24"/>
              </w:rPr>
              <w:fldChar w:fldCharType="end"/>
            </w:r>
          </w:hyperlink>
        </w:p>
        <w:p w14:paraId="06F5D960" w14:textId="7380DC0D" w:rsidR="007712B2" w:rsidRPr="007712B2" w:rsidRDefault="007712B2" w:rsidP="007712B2">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5544024" w:history="1">
            <w:r w:rsidRPr="007712B2">
              <w:rPr>
                <w:rStyle w:val="Hyperlink"/>
                <w:rFonts w:ascii="Arial" w:hAnsi="Arial" w:cs="Arial"/>
                <w:noProof/>
                <w:color w:val="auto"/>
                <w:sz w:val="24"/>
                <w:szCs w:val="24"/>
              </w:rPr>
              <w:t>4. Investment Appraisal and Capital Budgeting</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_Toc235544024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23</w:t>
            </w:r>
            <w:r w:rsidRPr="007712B2">
              <w:rPr>
                <w:rFonts w:ascii="Arial" w:hAnsi="Arial" w:cs="Arial"/>
                <w:noProof/>
                <w:webHidden/>
                <w:sz w:val="24"/>
                <w:szCs w:val="24"/>
              </w:rPr>
              <w:fldChar w:fldCharType="end"/>
            </w:r>
          </w:hyperlink>
        </w:p>
        <w:p w14:paraId="20A0E9C8" w14:textId="7BC13EF2"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25" w:history="1">
            <w:r w:rsidRPr="007712B2">
              <w:rPr>
                <w:rStyle w:val="Hyperlink"/>
                <w:rFonts w:ascii="Arial" w:hAnsi="Arial" w:cs="Arial"/>
                <w:noProof/>
                <w:color w:val="auto"/>
                <w:sz w:val="24"/>
                <w:szCs w:val="24"/>
              </w:rPr>
              <w:t>4.1 Project to be recommended</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_Toc235544025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23</w:t>
            </w:r>
            <w:r w:rsidRPr="007712B2">
              <w:rPr>
                <w:rFonts w:ascii="Arial" w:hAnsi="Arial" w:cs="Arial"/>
                <w:noProof/>
                <w:webHidden/>
                <w:sz w:val="24"/>
                <w:szCs w:val="24"/>
              </w:rPr>
              <w:fldChar w:fldCharType="end"/>
            </w:r>
          </w:hyperlink>
        </w:p>
        <w:p w14:paraId="58355015" w14:textId="4F5A7CEA"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26" w:history="1">
            <w:r w:rsidRPr="007712B2">
              <w:rPr>
                <w:rStyle w:val="Hyperlink"/>
                <w:rFonts w:ascii="Arial" w:hAnsi="Arial" w:cs="Arial"/>
                <w:noProof/>
                <w:color w:val="auto"/>
                <w:sz w:val="24"/>
                <w:szCs w:val="24"/>
              </w:rPr>
              <w:t>4.2 Justification of the recommendation with reference to the company’s financial performance (e.g. profitability, liquidity)</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_Toc235544026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24</w:t>
            </w:r>
            <w:r w:rsidRPr="007712B2">
              <w:rPr>
                <w:rFonts w:ascii="Arial" w:hAnsi="Arial" w:cs="Arial"/>
                <w:noProof/>
                <w:webHidden/>
                <w:sz w:val="24"/>
                <w:szCs w:val="24"/>
              </w:rPr>
              <w:fldChar w:fldCharType="end"/>
            </w:r>
          </w:hyperlink>
        </w:p>
        <w:p w14:paraId="104E18D6" w14:textId="54F6DF8D"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27" w:history="1">
            <w:r w:rsidRPr="007712B2">
              <w:rPr>
                <w:rStyle w:val="Hyperlink"/>
                <w:rFonts w:ascii="Arial" w:hAnsi="Arial" w:cs="Arial"/>
                <w:noProof/>
                <w:color w:val="auto"/>
                <w:sz w:val="24"/>
                <w:szCs w:val="24"/>
              </w:rPr>
              <w:t>4.3 Justification of the recommendation with reference to the non-financial risks (e.g. political risk, customer loyalty)</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_Toc235544027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25</w:t>
            </w:r>
            <w:r w:rsidRPr="007712B2">
              <w:rPr>
                <w:rFonts w:ascii="Arial" w:hAnsi="Arial" w:cs="Arial"/>
                <w:noProof/>
                <w:webHidden/>
                <w:sz w:val="24"/>
                <w:szCs w:val="24"/>
              </w:rPr>
              <w:fldChar w:fldCharType="end"/>
            </w:r>
          </w:hyperlink>
        </w:p>
        <w:p w14:paraId="1F1B901A" w14:textId="51797397"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28" w:history="1">
            <w:r w:rsidRPr="007712B2">
              <w:rPr>
                <w:rStyle w:val="Hyperlink"/>
                <w:rFonts w:ascii="Arial" w:hAnsi="Arial" w:cs="Arial"/>
                <w:noProof/>
                <w:color w:val="auto"/>
                <w:sz w:val="24"/>
                <w:szCs w:val="24"/>
              </w:rPr>
              <w:t>4.4 Combination of projects is the best on using capital rationing</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_Toc235544028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26</w:t>
            </w:r>
            <w:r w:rsidRPr="007712B2">
              <w:rPr>
                <w:rFonts w:ascii="Arial" w:hAnsi="Arial" w:cs="Arial"/>
                <w:noProof/>
                <w:webHidden/>
                <w:sz w:val="24"/>
                <w:szCs w:val="24"/>
              </w:rPr>
              <w:fldChar w:fldCharType="end"/>
            </w:r>
          </w:hyperlink>
        </w:p>
        <w:p w14:paraId="7F73FE6C" w14:textId="409E72E1" w:rsidR="007712B2" w:rsidRPr="007712B2" w:rsidRDefault="007712B2" w:rsidP="007712B2">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5544029" w:history="1">
            <w:r w:rsidRPr="007712B2">
              <w:rPr>
                <w:rStyle w:val="Hyperlink"/>
                <w:rFonts w:ascii="Arial" w:hAnsi="Arial" w:cs="Arial"/>
                <w:noProof/>
                <w:color w:val="auto"/>
                <w:sz w:val="24"/>
                <w:szCs w:val="24"/>
              </w:rPr>
              <w:t>5. Critical Reflection on AI Usage</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_Toc235544029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28</w:t>
            </w:r>
            <w:r w:rsidRPr="007712B2">
              <w:rPr>
                <w:rFonts w:ascii="Arial" w:hAnsi="Arial" w:cs="Arial"/>
                <w:noProof/>
                <w:webHidden/>
                <w:sz w:val="24"/>
                <w:szCs w:val="24"/>
              </w:rPr>
              <w:fldChar w:fldCharType="end"/>
            </w:r>
          </w:hyperlink>
        </w:p>
        <w:p w14:paraId="1FF4724B" w14:textId="7A97CE64"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30" w:history="1">
            <w:r w:rsidRPr="007712B2">
              <w:rPr>
                <w:rStyle w:val="Hyperlink"/>
                <w:rFonts w:ascii="Arial" w:hAnsi="Arial" w:cs="Arial"/>
                <w:noProof/>
                <w:color w:val="auto"/>
                <w:sz w:val="24"/>
                <w:szCs w:val="24"/>
              </w:rPr>
              <w:t>5.1 Tool Disclosure</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_Toc235544030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28</w:t>
            </w:r>
            <w:r w:rsidRPr="007712B2">
              <w:rPr>
                <w:rFonts w:ascii="Arial" w:hAnsi="Arial" w:cs="Arial"/>
                <w:noProof/>
                <w:webHidden/>
                <w:sz w:val="24"/>
                <w:szCs w:val="24"/>
              </w:rPr>
              <w:fldChar w:fldCharType="end"/>
            </w:r>
          </w:hyperlink>
        </w:p>
        <w:p w14:paraId="7FD160DD" w14:textId="15F29256"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31" w:history="1">
            <w:r w:rsidRPr="007712B2">
              <w:rPr>
                <w:rStyle w:val="Hyperlink"/>
                <w:rFonts w:ascii="Arial" w:hAnsi="Arial" w:cs="Arial"/>
                <w:noProof/>
                <w:color w:val="auto"/>
                <w:sz w:val="24"/>
                <w:szCs w:val="24"/>
              </w:rPr>
              <w:t>5.2 Critical Evaluation of AI Output</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_Toc235544031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28</w:t>
            </w:r>
            <w:r w:rsidRPr="007712B2">
              <w:rPr>
                <w:rFonts w:ascii="Arial" w:hAnsi="Arial" w:cs="Arial"/>
                <w:noProof/>
                <w:webHidden/>
                <w:sz w:val="24"/>
                <w:szCs w:val="24"/>
              </w:rPr>
              <w:fldChar w:fldCharType="end"/>
            </w:r>
          </w:hyperlink>
        </w:p>
        <w:p w14:paraId="1E7DF247" w14:textId="2BC07AB7"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32" w:history="1">
            <w:r w:rsidRPr="007712B2">
              <w:rPr>
                <w:rStyle w:val="Hyperlink"/>
                <w:rFonts w:ascii="Arial" w:hAnsi="Arial" w:cs="Arial"/>
                <w:noProof/>
                <w:color w:val="auto"/>
                <w:sz w:val="24"/>
                <w:szCs w:val="24"/>
              </w:rPr>
              <w:t>5.3 Contribution Analysis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_Toc235544032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29</w:t>
            </w:r>
            <w:r w:rsidRPr="007712B2">
              <w:rPr>
                <w:rFonts w:ascii="Arial" w:hAnsi="Arial" w:cs="Arial"/>
                <w:noProof/>
                <w:webHidden/>
                <w:sz w:val="24"/>
                <w:szCs w:val="24"/>
              </w:rPr>
              <w:fldChar w:fldCharType="end"/>
            </w:r>
          </w:hyperlink>
        </w:p>
        <w:p w14:paraId="60C44829" w14:textId="6A1AEB44"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33" w:history="1">
            <w:r w:rsidRPr="007712B2">
              <w:rPr>
                <w:rStyle w:val="Hyperlink"/>
                <w:rFonts w:ascii="Arial" w:hAnsi="Arial" w:cs="Arial"/>
                <w:noProof/>
                <w:color w:val="auto"/>
                <w:sz w:val="24"/>
                <w:szCs w:val="24"/>
              </w:rPr>
              <w:t>5.4 Ethical &amp; Professional Reflection</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_Toc235544033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29</w:t>
            </w:r>
            <w:r w:rsidRPr="007712B2">
              <w:rPr>
                <w:rFonts w:ascii="Arial" w:hAnsi="Arial" w:cs="Arial"/>
                <w:noProof/>
                <w:webHidden/>
                <w:sz w:val="24"/>
                <w:szCs w:val="24"/>
              </w:rPr>
              <w:fldChar w:fldCharType="end"/>
            </w:r>
          </w:hyperlink>
        </w:p>
        <w:p w14:paraId="651139D7" w14:textId="43EDE0E7" w:rsidR="007712B2" w:rsidRPr="007712B2" w:rsidRDefault="007712B2" w:rsidP="007712B2">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5544034" w:history="1">
            <w:r w:rsidRPr="007712B2">
              <w:rPr>
                <w:rStyle w:val="Hyperlink"/>
                <w:rFonts w:ascii="Arial" w:hAnsi="Arial" w:cs="Arial"/>
                <w:noProof/>
                <w:color w:val="auto"/>
                <w:sz w:val="24"/>
                <w:szCs w:val="24"/>
              </w:rPr>
              <w:t>References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_Toc235544034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31</w:t>
            </w:r>
            <w:r w:rsidRPr="007712B2">
              <w:rPr>
                <w:rFonts w:ascii="Arial" w:hAnsi="Arial" w:cs="Arial"/>
                <w:noProof/>
                <w:webHidden/>
                <w:sz w:val="24"/>
                <w:szCs w:val="24"/>
              </w:rPr>
              <w:fldChar w:fldCharType="end"/>
            </w:r>
          </w:hyperlink>
        </w:p>
        <w:p w14:paraId="60E4CAFD" w14:textId="00E4FCA9" w:rsidR="007712B2" w:rsidRPr="007712B2" w:rsidRDefault="007712B2" w:rsidP="007712B2">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5544035" w:history="1">
            <w:r w:rsidRPr="007712B2">
              <w:rPr>
                <w:rStyle w:val="Hyperlink"/>
                <w:rFonts w:ascii="Arial" w:hAnsi="Arial" w:cs="Arial"/>
                <w:noProof/>
                <w:color w:val="auto"/>
                <w:sz w:val="24"/>
                <w:szCs w:val="24"/>
              </w:rPr>
              <w:t>Appendices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_Toc235544035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34</w:t>
            </w:r>
            <w:r w:rsidRPr="007712B2">
              <w:rPr>
                <w:rFonts w:ascii="Arial" w:hAnsi="Arial" w:cs="Arial"/>
                <w:noProof/>
                <w:webHidden/>
                <w:sz w:val="24"/>
                <w:szCs w:val="24"/>
              </w:rPr>
              <w:fldChar w:fldCharType="end"/>
            </w:r>
          </w:hyperlink>
        </w:p>
        <w:p w14:paraId="444C3C9A" w14:textId="63F1338D"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36" w:history="1">
            <w:r w:rsidRPr="007712B2">
              <w:rPr>
                <w:rStyle w:val="Hyperlink"/>
                <w:rFonts w:ascii="Arial" w:hAnsi="Arial" w:cs="Arial"/>
                <w:noProof/>
                <w:color w:val="auto"/>
                <w:sz w:val="24"/>
                <w:szCs w:val="24"/>
              </w:rPr>
              <w:t>a. Ratio tables and graphs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_Toc235544036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34</w:t>
            </w:r>
            <w:r w:rsidRPr="007712B2">
              <w:rPr>
                <w:rFonts w:ascii="Arial" w:hAnsi="Arial" w:cs="Arial"/>
                <w:noProof/>
                <w:webHidden/>
                <w:sz w:val="24"/>
                <w:szCs w:val="24"/>
              </w:rPr>
              <w:fldChar w:fldCharType="end"/>
            </w:r>
          </w:hyperlink>
        </w:p>
        <w:p w14:paraId="3BBDC0FA" w14:textId="4D88F833" w:rsidR="007712B2" w:rsidRPr="007712B2" w:rsidRDefault="007712B2" w:rsidP="007712B2">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544037" w:history="1">
            <w:r w:rsidRPr="007712B2">
              <w:rPr>
                <w:rStyle w:val="Hyperlink"/>
                <w:rFonts w:ascii="Arial" w:hAnsi="Arial" w:cs="Arial"/>
                <w:noProof/>
                <w:color w:val="auto"/>
                <w:sz w:val="24"/>
                <w:szCs w:val="24"/>
              </w:rPr>
              <w:t>b. Investment appraisal calculations</w:t>
            </w:r>
            <w:r w:rsidRPr="007712B2">
              <w:rPr>
                <w:rFonts w:ascii="Arial" w:hAnsi="Arial" w:cs="Arial"/>
                <w:noProof/>
                <w:webHidden/>
                <w:sz w:val="24"/>
                <w:szCs w:val="24"/>
              </w:rPr>
              <w:tab/>
            </w:r>
            <w:r w:rsidRPr="007712B2">
              <w:rPr>
                <w:rFonts w:ascii="Arial" w:hAnsi="Arial" w:cs="Arial"/>
                <w:noProof/>
                <w:webHidden/>
                <w:sz w:val="24"/>
                <w:szCs w:val="24"/>
              </w:rPr>
              <w:fldChar w:fldCharType="begin"/>
            </w:r>
            <w:r w:rsidRPr="007712B2">
              <w:rPr>
                <w:rFonts w:ascii="Arial" w:hAnsi="Arial" w:cs="Arial"/>
                <w:noProof/>
                <w:webHidden/>
                <w:sz w:val="24"/>
                <w:szCs w:val="24"/>
              </w:rPr>
              <w:instrText xml:space="preserve"> PAGEREF _Toc235544037 \h </w:instrText>
            </w:r>
            <w:r w:rsidRPr="007712B2">
              <w:rPr>
                <w:rFonts w:ascii="Arial" w:hAnsi="Arial" w:cs="Arial"/>
                <w:noProof/>
                <w:webHidden/>
                <w:sz w:val="24"/>
                <w:szCs w:val="24"/>
              </w:rPr>
            </w:r>
            <w:r w:rsidRPr="007712B2">
              <w:rPr>
                <w:rFonts w:ascii="Arial" w:hAnsi="Arial" w:cs="Arial"/>
                <w:noProof/>
                <w:webHidden/>
                <w:sz w:val="24"/>
                <w:szCs w:val="24"/>
              </w:rPr>
              <w:fldChar w:fldCharType="separate"/>
            </w:r>
            <w:r w:rsidR="00B15E95">
              <w:rPr>
                <w:rFonts w:ascii="Arial" w:hAnsi="Arial" w:cs="Arial"/>
                <w:noProof/>
                <w:webHidden/>
                <w:sz w:val="24"/>
                <w:szCs w:val="24"/>
              </w:rPr>
              <w:t>40</w:t>
            </w:r>
            <w:r w:rsidRPr="007712B2">
              <w:rPr>
                <w:rFonts w:ascii="Arial" w:hAnsi="Arial" w:cs="Arial"/>
                <w:noProof/>
                <w:webHidden/>
                <w:sz w:val="24"/>
                <w:szCs w:val="24"/>
              </w:rPr>
              <w:fldChar w:fldCharType="end"/>
            </w:r>
          </w:hyperlink>
        </w:p>
        <w:p w14:paraId="79A11946" w14:textId="77777777" w:rsidR="007712B2" w:rsidRDefault="007712B2" w:rsidP="007712B2">
          <w:pPr>
            <w:spacing w:line="360" w:lineRule="auto"/>
            <w:jc w:val="both"/>
          </w:pPr>
          <w:r w:rsidRPr="007712B2">
            <w:rPr>
              <w:rFonts w:ascii="Arial" w:hAnsi="Arial" w:cs="Arial"/>
              <w:bCs/>
              <w:noProof/>
              <w:sz w:val="24"/>
              <w:szCs w:val="24"/>
            </w:rPr>
            <w:fldChar w:fldCharType="end"/>
          </w:r>
        </w:p>
      </w:sdtContent>
    </w:sdt>
    <w:p w14:paraId="34538632" w14:textId="77777777" w:rsidR="007712B2" w:rsidRDefault="007712B2">
      <w:pPr>
        <w:rPr>
          <w:rFonts w:ascii="Arial" w:eastAsiaTheme="majorEastAsia" w:hAnsi="Arial" w:cs="Arial"/>
          <w:b/>
          <w:sz w:val="24"/>
          <w:szCs w:val="24"/>
        </w:rPr>
      </w:pPr>
      <w:r>
        <w:rPr>
          <w:rFonts w:ascii="Arial" w:hAnsi="Arial" w:cs="Arial"/>
          <w:b/>
          <w:sz w:val="24"/>
          <w:szCs w:val="24"/>
        </w:rPr>
        <w:br w:type="page"/>
      </w:r>
    </w:p>
    <w:p w14:paraId="034FF812" w14:textId="77777777" w:rsidR="00E1716F" w:rsidRPr="00D963DA" w:rsidRDefault="000D50CB" w:rsidP="00D963DA">
      <w:pPr>
        <w:pStyle w:val="Heading1"/>
        <w:spacing w:line="360" w:lineRule="auto"/>
        <w:jc w:val="both"/>
        <w:rPr>
          <w:rFonts w:ascii="Arial" w:hAnsi="Arial" w:cs="Arial"/>
          <w:b/>
          <w:color w:val="auto"/>
          <w:sz w:val="24"/>
          <w:szCs w:val="24"/>
        </w:rPr>
      </w:pPr>
      <w:bookmarkStart w:id="1" w:name="_Toc235544011"/>
      <w:r w:rsidRPr="00D963DA">
        <w:rPr>
          <w:rFonts w:ascii="Arial" w:hAnsi="Arial" w:cs="Arial"/>
          <w:b/>
          <w:color w:val="auto"/>
          <w:sz w:val="24"/>
          <w:szCs w:val="24"/>
        </w:rPr>
        <w:lastRenderedPageBreak/>
        <w:t>1. Financial Health Check</w:t>
      </w:r>
      <w:bookmarkEnd w:id="0"/>
      <w:bookmarkEnd w:id="1"/>
      <w:r w:rsidRPr="00D963DA">
        <w:rPr>
          <w:rFonts w:ascii="Arial" w:hAnsi="Arial" w:cs="Arial"/>
          <w:b/>
          <w:color w:val="auto"/>
          <w:sz w:val="24"/>
          <w:szCs w:val="24"/>
        </w:rPr>
        <w:t xml:space="preserve"> </w:t>
      </w:r>
    </w:p>
    <w:p w14:paraId="2DEC7E17" w14:textId="77777777" w:rsidR="000D50CB" w:rsidRPr="00D963DA" w:rsidRDefault="00162F43" w:rsidP="00D963DA">
      <w:pPr>
        <w:pStyle w:val="Heading2"/>
        <w:spacing w:line="360" w:lineRule="auto"/>
        <w:jc w:val="both"/>
        <w:rPr>
          <w:rFonts w:ascii="Arial" w:hAnsi="Arial" w:cs="Arial"/>
          <w:b/>
          <w:color w:val="auto"/>
          <w:sz w:val="24"/>
          <w:szCs w:val="24"/>
        </w:rPr>
      </w:pPr>
      <w:bookmarkStart w:id="2" w:name="_Toc234747794"/>
      <w:bookmarkStart w:id="3" w:name="_Toc235544012"/>
      <w:r w:rsidRPr="00D963DA">
        <w:rPr>
          <w:rFonts w:ascii="Arial" w:hAnsi="Arial" w:cs="Arial"/>
          <w:b/>
          <w:color w:val="auto"/>
          <w:sz w:val="24"/>
          <w:szCs w:val="24"/>
        </w:rPr>
        <w:t xml:space="preserve">1.1 </w:t>
      </w:r>
      <w:r w:rsidR="000D50CB" w:rsidRPr="00D963DA">
        <w:rPr>
          <w:rFonts w:ascii="Arial" w:hAnsi="Arial" w:cs="Arial"/>
          <w:b/>
          <w:color w:val="auto"/>
          <w:sz w:val="24"/>
          <w:szCs w:val="24"/>
        </w:rPr>
        <w:t>Firm’s financial statements over the past five years</w:t>
      </w:r>
      <w:bookmarkEnd w:id="2"/>
      <w:bookmarkEnd w:id="3"/>
    </w:p>
    <w:p w14:paraId="64AE10FF" w14:textId="77777777" w:rsidR="001112B1" w:rsidRDefault="0036309F" w:rsidP="00D963DA">
      <w:pPr>
        <w:spacing w:line="360" w:lineRule="auto"/>
        <w:jc w:val="both"/>
        <w:rPr>
          <w:rFonts w:ascii="Arial" w:hAnsi="Arial" w:cs="Arial"/>
          <w:b/>
          <w:sz w:val="24"/>
          <w:szCs w:val="24"/>
        </w:rPr>
      </w:pPr>
      <w:r w:rsidRPr="00D963DA">
        <w:rPr>
          <w:rFonts w:ascii="Arial" w:hAnsi="Arial" w:cs="Arial"/>
          <w:b/>
          <w:noProof/>
          <w:sz w:val="24"/>
          <w:szCs w:val="24"/>
        </w:rPr>
        <w:drawing>
          <wp:inline distT="0" distB="0" distL="0" distR="0" wp14:anchorId="4F17E21F" wp14:editId="62442F3F">
            <wp:extent cx="5731510" cy="19081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08175"/>
                    </a:xfrm>
                    <a:prstGeom prst="rect">
                      <a:avLst/>
                    </a:prstGeom>
                  </pic:spPr>
                </pic:pic>
              </a:graphicData>
            </a:graphic>
          </wp:inline>
        </w:drawing>
      </w:r>
    </w:p>
    <w:p w14:paraId="04CEF2E9" w14:textId="77777777" w:rsidR="006365FA" w:rsidRPr="00D963DA" w:rsidRDefault="006365FA" w:rsidP="006365FA">
      <w:pPr>
        <w:spacing w:line="360" w:lineRule="auto"/>
        <w:jc w:val="center"/>
        <w:rPr>
          <w:rFonts w:ascii="Arial" w:hAnsi="Arial" w:cs="Arial"/>
          <w:b/>
          <w:sz w:val="24"/>
          <w:szCs w:val="24"/>
        </w:rPr>
      </w:pPr>
      <w:r>
        <w:rPr>
          <w:rFonts w:ascii="Arial" w:hAnsi="Arial" w:cs="Arial"/>
          <w:b/>
          <w:sz w:val="24"/>
          <w:szCs w:val="24"/>
        </w:rPr>
        <w:t>Table 1: Financial Statement</w:t>
      </w:r>
    </w:p>
    <w:p w14:paraId="12499A2E" w14:textId="77777777" w:rsidR="00523D4A" w:rsidRDefault="00523D4A" w:rsidP="006365FA">
      <w:pPr>
        <w:spacing w:line="360" w:lineRule="auto"/>
        <w:jc w:val="center"/>
        <w:rPr>
          <w:rFonts w:ascii="Arial" w:hAnsi="Arial" w:cs="Arial"/>
          <w:b/>
          <w:sz w:val="24"/>
          <w:szCs w:val="24"/>
        </w:rPr>
      </w:pPr>
      <w:r w:rsidRPr="00D963DA">
        <w:rPr>
          <w:rFonts w:ascii="Arial" w:hAnsi="Arial" w:cs="Arial"/>
          <w:noProof/>
          <w:sz w:val="24"/>
          <w:szCs w:val="24"/>
          <w:lang w:val="en-IN" w:eastAsia="en-IN"/>
        </w:rPr>
        <w:drawing>
          <wp:inline distT="0" distB="0" distL="0" distR="0" wp14:anchorId="1A2F363A" wp14:editId="535DDEA4">
            <wp:extent cx="4572000" cy="274320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AC9FC4" w14:textId="77777777" w:rsidR="006365FA" w:rsidRPr="00997841" w:rsidRDefault="006365FA" w:rsidP="006365FA">
      <w:pPr>
        <w:spacing w:line="360" w:lineRule="auto"/>
        <w:jc w:val="center"/>
        <w:rPr>
          <w:rFonts w:ascii="Arial" w:hAnsi="Arial" w:cs="Arial"/>
          <w:b/>
          <w:sz w:val="24"/>
          <w:szCs w:val="24"/>
        </w:rPr>
      </w:pPr>
      <w:r w:rsidRPr="00997841">
        <w:rPr>
          <w:rFonts w:ascii="Arial" w:hAnsi="Arial" w:cs="Arial"/>
          <w:b/>
          <w:sz w:val="24"/>
          <w:szCs w:val="24"/>
        </w:rPr>
        <w:t>Graph 1: Financial Statement</w:t>
      </w:r>
    </w:p>
    <w:p w14:paraId="7579FFDC" w14:textId="77777777" w:rsidR="006365FA" w:rsidRPr="00997841" w:rsidRDefault="006365FA" w:rsidP="006365FA">
      <w:pPr>
        <w:spacing w:line="360" w:lineRule="auto"/>
        <w:jc w:val="center"/>
        <w:rPr>
          <w:rFonts w:ascii="Arial" w:hAnsi="Arial" w:cs="Arial"/>
          <w:b/>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64599D12" w14:textId="77777777" w:rsidR="0004573B" w:rsidRPr="00D963DA" w:rsidRDefault="0036309F" w:rsidP="00D963DA">
      <w:pPr>
        <w:spacing w:line="360" w:lineRule="auto"/>
        <w:jc w:val="both"/>
        <w:rPr>
          <w:rFonts w:ascii="Arial" w:hAnsi="Arial" w:cs="Arial"/>
          <w:sz w:val="24"/>
          <w:szCs w:val="24"/>
        </w:rPr>
      </w:pPr>
      <w:r w:rsidRPr="00D963DA">
        <w:rPr>
          <w:rFonts w:ascii="Arial" w:hAnsi="Arial" w:cs="Arial"/>
          <w:sz w:val="24"/>
          <w:szCs w:val="24"/>
        </w:rPr>
        <w:t>The five-year financial performance shows that Hilton Worldwide is recovering from the pandemic and growing revenue has been steadily rising from US$5.79 billion in 2021 to US$12.04 billion in 2025, as travel demand bounced back around the world and its asset-light business model continues to expand. Net profit, although falling slightly from its 2024 highs, remains strong, jumping from US$407 million in 2021 to US$1.46 billion in 2025</w:t>
      </w:r>
      <w:r w:rsidR="00BA6EE6">
        <w:rPr>
          <w:rFonts w:ascii="Arial" w:hAnsi="Arial" w:cs="Arial"/>
          <w:sz w:val="24"/>
          <w:szCs w:val="24"/>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2025a)</w:t>
      </w:r>
      <w:r w:rsidRPr="00D963DA">
        <w:rPr>
          <w:rFonts w:ascii="Arial" w:hAnsi="Arial" w:cs="Arial"/>
          <w:sz w:val="24"/>
          <w:szCs w:val="24"/>
        </w:rPr>
        <w:t xml:space="preserve">. Inflationary pressures and increased operating activity resulted in cost increases, but revenue growth was </w:t>
      </w:r>
      <w:r w:rsidRPr="00D963DA">
        <w:rPr>
          <w:rFonts w:ascii="Arial" w:hAnsi="Arial" w:cs="Arial"/>
          <w:sz w:val="24"/>
          <w:szCs w:val="24"/>
        </w:rPr>
        <w:lastRenderedPageBreak/>
        <w:t>consistently able to keep up with cost increases, resulting in stronger earnings per the period of business expansion.</w:t>
      </w:r>
    </w:p>
    <w:p w14:paraId="5CEBA902" w14:textId="77777777" w:rsidR="000D50CB" w:rsidRPr="00D963DA" w:rsidRDefault="00162F43" w:rsidP="00D963DA">
      <w:pPr>
        <w:pStyle w:val="Heading2"/>
        <w:spacing w:line="360" w:lineRule="auto"/>
        <w:jc w:val="both"/>
        <w:rPr>
          <w:rFonts w:ascii="Arial" w:hAnsi="Arial" w:cs="Arial"/>
          <w:b/>
          <w:color w:val="auto"/>
          <w:sz w:val="24"/>
          <w:szCs w:val="24"/>
        </w:rPr>
      </w:pPr>
      <w:bookmarkStart w:id="4" w:name="_Toc234747795"/>
      <w:bookmarkStart w:id="5" w:name="_Toc235544013"/>
      <w:r w:rsidRPr="00D963DA">
        <w:rPr>
          <w:rFonts w:ascii="Arial" w:hAnsi="Arial" w:cs="Arial"/>
          <w:b/>
          <w:color w:val="auto"/>
          <w:sz w:val="24"/>
          <w:szCs w:val="24"/>
        </w:rPr>
        <w:t xml:space="preserve">1.2 </w:t>
      </w:r>
      <w:r w:rsidR="000D50CB" w:rsidRPr="00D963DA">
        <w:rPr>
          <w:rFonts w:ascii="Arial" w:hAnsi="Arial" w:cs="Arial"/>
          <w:b/>
          <w:color w:val="auto"/>
          <w:sz w:val="24"/>
          <w:szCs w:val="24"/>
        </w:rPr>
        <w:t>Ratio analysis</w:t>
      </w:r>
      <w:bookmarkEnd w:id="4"/>
      <w:bookmarkEnd w:id="5"/>
    </w:p>
    <w:p w14:paraId="57BF9A07" w14:textId="77777777" w:rsidR="0036309F" w:rsidRPr="00D963DA" w:rsidRDefault="000D50CB" w:rsidP="00D963DA">
      <w:pPr>
        <w:spacing w:line="360" w:lineRule="auto"/>
        <w:jc w:val="both"/>
        <w:rPr>
          <w:rFonts w:ascii="Arial" w:hAnsi="Arial" w:cs="Arial"/>
          <w:b/>
          <w:sz w:val="24"/>
          <w:szCs w:val="24"/>
        </w:rPr>
      </w:pPr>
      <w:r w:rsidRPr="00D963DA">
        <w:rPr>
          <w:rFonts w:ascii="Arial" w:hAnsi="Arial" w:cs="Arial"/>
          <w:b/>
          <w:sz w:val="24"/>
          <w:szCs w:val="24"/>
        </w:rPr>
        <w:t>Profitability</w:t>
      </w:r>
    </w:p>
    <w:p w14:paraId="6C84D263" w14:textId="77777777" w:rsidR="0036309F" w:rsidRDefault="0036309F" w:rsidP="00D963DA">
      <w:pPr>
        <w:spacing w:line="360" w:lineRule="auto"/>
        <w:jc w:val="both"/>
        <w:rPr>
          <w:rFonts w:ascii="Arial" w:hAnsi="Arial" w:cs="Arial"/>
          <w:b/>
          <w:sz w:val="24"/>
          <w:szCs w:val="24"/>
        </w:rPr>
      </w:pPr>
      <w:r w:rsidRPr="00D963DA">
        <w:rPr>
          <w:rFonts w:ascii="Arial" w:hAnsi="Arial" w:cs="Arial"/>
          <w:b/>
          <w:noProof/>
          <w:sz w:val="24"/>
          <w:szCs w:val="24"/>
        </w:rPr>
        <w:drawing>
          <wp:inline distT="0" distB="0" distL="0" distR="0" wp14:anchorId="378F0D3E" wp14:editId="56224C39">
            <wp:extent cx="5731510" cy="26955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95575"/>
                    </a:xfrm>
                    <a:prstGeom prst="rect">
                      <a:avLst/>
                    </a:prstGeom>
                  </pic:spPr>
                </pic:pic>
              </a:graphicData>
            </a:graphic>
          </wp:inline>
        </w:drawing>
      </w:r>
    </w:p>
    <w:p w14:paraId="3E88039F" w14:textId="77777777" w:rsidR="006365FA" w:rsidRPr="00D963DA" w:rsidRDefault="006365FA" w:rsidP="006365FA">
      <w:pPr>
        <w:spacing w:line="360" w:lineRule="auto"/>
        <w:jc w:val="center"/>
        <w:rPr>
          <w:rFonts w:ascii="Arial" w:hAnsi="Arial" w:cs="Arial"/>
          <w:b/>
          <w:sz w:val="24"/>
          <w:szCs w:val="24"/>
        </w:rPr>
      </w:pPr>
      <w:r w:rsidRPr="00997841">
        <w:rPr>
          <w:rFonts w:ascii="Arial" w:hAnsi="Arial" w:cs="Arial"/>
          <w:b/>
          <w:sz w:val="24"/>
          <w:szCs w:val="24"/>
        </w:rPr>
        <w:t>Table 2: Profitability Ratio</w:t>
      </w:r>
    </w:p>
    <w:p w14:paraId="02FFB4B8" w14:textId="77777777" w:rsidR="00523D4A" w:rsidRDefault="00523D4A" w:rsidP="006365FA">
      <w:pPr>
        <w:spacing w:line="360" w:lineRule="auto"/>
        <w:jc w:val="center"/>
        <w:rPr>
          <w:rFonts w:ascii="Arial" w:hAnsi="Arial" w:cs="Arial"/>
          <w:b/>
          <w:sz w:val="24"/>
          <w:szCs w:val="24"/>
        </w:rPr>
      </w:pPr>
      <w:r w:rsidRPr="00D963DA">
        <w:rPr>
          <w:rFonts w:ascii="Arial" w:hAnsi="Arial" w:cs="Arial"/>
          <w:noProof/>
          <w:sz w:val="24"/>
          <w:szCs w:val="24"/>
          <w:lang w:val="en-IN" w:eastAsia="en-IN"/>
        </w:rPr>
        <w:drawing>
          <wp:inline distT="0" distB="0" distL="0" distR="0" wp14:anchorId="420311E8" wp14:editId="54B5D6AA">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6C4B509" w14:textId="77777777" w:rsidR="006365FA" w:rsidRPr="00997841" w:rsidRDefault="006365FA" w:rsidP="006365FA">
      <w:pPr>
        <w:spacing w:line="360" w:lineRule="auto"/>
        <w:jc w:val="center"/>
        <w:rPr>
          <w:rFonts w:ascii="Arial" w:hAnsi="Arial" w:cs="Arial"/>
          <w:b/>
          <w:sz w:val="24"/>
          <w:szCs w:val="24"/>
        </w:rPr>
      </w:pPr>
      <w:r w:rsidRPr="00997841">
        <w:rPr>
          <w:rFonts w:ascii="Arial" w:hAnsi="Arial" w:cs="Arial"/>
          <w:b/>
          <w:sz w:val="24"/>
          <w:szCs w:val="24"/>
        </w:rPr>
        <w:t>Graph 2: Profitability Ratio</w:t>
      </w:r>
    </w:p>
    <w:p w14:paraId="6361EAF8" w14:textId="77777777" w:rsidR="006365FA" w:rsidRPr="006365FA" w:rsidRDefault="006365FA" w:rsidP="006365FA">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3E800EA0" w14:textId="77777777" w:rsidR="0036309F" w:rsidRPr="00D963DA" w:rsidRDefault="0036309F" w:rsidP="00D963DA">
      <w:pPr>
        <w:spacing w:line="360" w:lineRule="auto"/>
        <w:jc w:val="both"/>
        <w:rPr>
          <w:rFonts w:ascii="Arial" w:hAnsi="Arial" w:cs="Arial"/>
          <w:sz w:val="24"/>
          <w:szCs w:val="24"/>
        </w:rPr>
      </w:pPr>
      <w:r w:rsidRPr="00D963DA">
        <w:rPr>
          <w:rFonts w:ascii="Arial" w:hAnsi="Arial" w:cs="Arial"/>
          <w:sz w:val="24"/>
          <w:szCs w:val="24"/>
        </w:rPr>
        <w:t xml:space="preserve">Over the five-year period, Hilton's earnings power improved significantly, driven by the ongoing recovery of the world's travel demand, and the asset-light nature of its </w:t>
      </w:r>
      <w:r w:rsidRPr="00D963DA">
        <w:rPr>
          <w:rFonts w:ascii="Arial" w:hAnsi="Arial" w:cs="Arial"/>
          <w:sz w:val="24"/>
          <w:szCs w:val="24"/>
        </w:rPr>
        <w:lastRenderedPageBreak/>
        <w:t>business. Revenue grew by more than 200% to US$12.04 billion in 2025 and operating profit more than quadrupled from US$5.79 billion to US$22.18 billion, resulting in a sharp improvement in ROCE from 5.20% to 22.18%. Net margin fell slightly from its peak of 14.33% in 2022, but has been above 12% during 2024-2025, suggesting Hilton continues to earn profits amidst inflation and high operating expenses</w:t>
      </w:r>
      <w:r w:rsidR="00BA6EE6">
        <w:rPr>
          <w:rFonts w:ascii="Arial" w:hAnsi="Arial" w:cs="Arial"/>
          <w:sz w:val="24"/>
          <w:szCs w:val="24"/>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2025b)</w:t>
      </w:r>
      <w:r w:rsidRPr="00D963DA">
        <w:rPr>
          <w:rFonts w:ascii="Arial" w:hAnsi="Arial" w:cs="Arial"/>
          <w:sz w:val="24"/>
          <w:szCs w:val="24"/>
        </w:rPr>
        <w:t xml:space="preserve">. </w:t>
      </w:r>
    </w:p>
    <w:p w14:paraId="51BDE47E" w14:textId="77777777" w:rsidR="000D50CB" w:rsidRPr="00D963DA" w:rsidRDefault="000D50CB" w:rsidP="00D963DA">
      <w:pPr>
        <w:spacing w:line="360" w:lineRule="auto"/>
        <w:jc w:val="both"/>
        <w:rPr>
          <w:rFonts w:ascii="Arial" w:hAnsi="Arial" w:cs="Arial"/>
          <w:b/>
          <w:sz w:val="24"/>
          <w:szCs w:val="24"/>
        </w:rPr>
      </w:pPr>
      <w:r w:rsidRPr="00D963DA">
        <w:rPr>
          <w:rFonts w:ascii="Arial" w:hAnsi="Arial" w:cs="Arial"/>
          <w:b/>
          <w:sz w:val="24"/>
          <w:szCs w:val="24"/>
        </w:rPr>
        <w:t>Liquidity</w:t>
      </w:r>
    </w:p>
    <w:p w14:paraId="7CF3A3D7" w14:textId="77777777" w:rsidR="0004573B" w:rsidRDefault="0036309F" w:rsidP="00D963DA">
      <w:pPr>
        <w:spacing w:line="360" w:lineRule="auto"/>
        <w:jc w:val="both"/>
        <w:rPr>
          <w:rFonts w:ascii="Arial" w:hAnsi="Arial" w:cs="Arial"/>
          <w:sz w:val="24"/>
          <w:szCs w:val="24"/>
        </w:rPr>
      </w:pPr>
      <w:r w:rsidRPr="00D963DA">
        <w:rPr>
          <w:rFonts w:ascii="Arial" w:hAnsi="Arial" w:cs="Arial"/>
          <w:noProof/>
          <w:sz w:val="24"/>
          <w:szCs w:val="24"/>
        </w:rPr>
        <w:drawing>
          <wp:inline distT="0" distB="0" distL="0" distR="0" wp14:anchorId="3951ED2E" wp14:editId="26D58ECB">
            <wp:extent cx="5731510" cy="16103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10360"/>
                    </a:xfrm>
                    <a:prstGeom prst="rect">
                      <a:avLst/>
                    </a:prstGeom>
                  </pic:spPr>
                </pic:pic>
              </a:graphicData>
            </a:graphic>
          </wp:inline>
        </w:drawing>
      </w:r>
    </w:p>
    <w:p w14:paraId="29E168CA" w14:textId="77777777" w:rsidR="006365FA" w:rsidRPr="006365FA" w:rsidRDefault="006365FA" w:rsidP="006365FA">
      <w:pPr>
        <w:spacing w:line="360" w:lineRule="auto"/>
        <w:jc w:val="center"/>
        <w:rPr>
          <w:rFonts w:ascii="Arial" w:hAnsi="Arial" w:cs="Arial"/>
          <w:b/>
          <w:sz w:val="24"/>
          <w:szCs w:val="24"/>
        </w:rPr>
      </w:pPr>
      <w:r w:rsidRPr="00997841">
        <w:rPr>
          <w:rFonts w:ascii="Arial" w:hAnsi="Arial" w:cs="Arial"/>
          <w:b/>
          <w:sz w:val="24"/>
          <w:szCs w:val="24"/>
        </w:rPr>
        <w:t>Table 3: Liquidity Ratio</w:t>
      </w:r>
    </w:p>
    <w:p w14:paraId="477DE69F" w14:textId="77777777" w:rsidR="00523D4A" w:rsidRDefault="00523D4A" w:rsidP="006365FA">
      <w:pPr>
        <w:spacing w:line="360" w:lineRule="auto"/>
        <w:jc w:val="center"/>
        <w:rPr>
          <w:rFonts w:ascii="Arial" w:hAnsi="Arial" w:cs="Arial"/>
          <w:sz w:val="24"/>
          <w:szCs w:val="24"/>
        </w:rPr>
      </w:pPr>
      <w:r w:rsidRPr="00D963DA">
        <w:rPr>
          <w:rFonts w:ascii="Arial" w:hAnsi="Arial" w:cs="Arial"/>
          <w:noProof/>
          <w:sz w:val="24"/>
          <w:szCs w:val="24"/>
          <w:lang w:val="en-IN" w:eastAsia="en-IN"/>
        </w:rPr>
        <w:drawing>
          <wp:inline distT="0" distB="0" distL="0" distR="0" wp14:anchorId="0D072D66" wp14:editId="35E55033">
            <wp:extent cx="4572000" cy="27432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405486A" w14:textId="77777777" w:rsidR="006365FA" w:rsidRPr="00997841" w:rsidRDefault="006365FA" w:rsidP="006365FA">
      <w:pPr>
        <w:spacing w:line="360" w:lineRule="auto"/>
        <w:jc w:val="center"/>
        <w:rPr>
          <w:rFonts w:ascii="Arial" w:hAnsi="Arial" w:cs="Arial"/>
          <w:b/>
          <w:sz w:val="24"/>
          <w:szCs w:val="24"/>
        </w:rPr>
      </w:pPr>
      <w:r w:rsidRPr="00997841">
        <w:rPr>
          <w:rFonts w:ascii="Arial" w:hAnsi="Arial" w:cs="Arial"/>
          <w:b/>
          <w:sz w:val="24"/>
          <w:szCs w:val="24"/>
        </w:rPr>
        <w:t>Graph 3: Liquidity Ratio</w:t>
      </w:r>
    </w:p>
    <w:p w14:paraId="19B7DE81" w14:textId="77777777" w:rsidR="006365FA" w:rsidRPr="00D963DA" w:rsidRDefault="006365FA" w:rsidP="006365FA">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3DDFC617" w14:textId="77777777" w:rsidR="0036309F" w:rsidRPr="00D963DA" w:rsidRDefault="0036309F" w:rsidP="00D963DA">
      <w:pPr>
        <w:spacing w:line="360" w:lineRule="auto"/>
        <w:jc w:val="both"/>
        <w:rPr>
          <w:rFonts w:ascii="Arial" w:hAnsi="Arial" w:cs="Arial"/>
          <w:sz w:val="24"/>
          <w:szCs w:val="24"/>
        </w:rPr>
      </w:pPr>
      <w:r w:rsidRPr="00D963DA">
        <w:rPr>
          <w:rFonts w:ascii="Arial" w:hAnsi="Arial" w:cs="Arial"/>
          <w:sz w:val="24"/>
          <w:szCs w:val="24"/>
        </w:rPr>
        <w:t xml:space="preserve">Hilton's liquidity position remained steady over the five-year period, with the current ratio consistently around 1.2, meaning that current assets have always been at a ratio greater than current liabilities. The quick ratio was very close to the current ratio because the inventories are a relatively small component of Hilton's current assets, </w:t>
      </w:r>
      <w:r w:rsidRPr="00D963DA">
        <w:rPr>
          <w:rFonts w:ascii="Arial" w:hAnsi="Arial" w:cs="Arial"/>
          <w:sz w:val="24"/>
          <w:szCs w:val="24"/>
        </w:rPr>
        <w:lastRenderedPageBreak/>
        <w:t>and of its hospitality business model</w:t>
      </w:r>
      <w:r w:rsidR="00BA6EE6">
        <w:rPr>
          <w:rFonts w:ascii="Arial" w:hAnsi="Arial" w:cs="Arial"/>
          <w:sz w:val="24"/>
          <w:szCs w:val="24"/>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2025c)</w:t>
      </w:r>
      <w:r w:rsidRPr="00D963DA">
        <w:rPr>
          <w:rFonts w:ascii="Arial" w:hAnsi="Arial" w:cs="Arial"/>
          <w:sz w:val="24"/>
          <w:szCs w:val="24"/>
        </w:rPr>
        <w:t>. As the company grew into a global entity, current liabilities also rose, although cash and other short-term liquid resources were managed well, providing the company with sound short-term financial stability and an adequate capacity to meet operating obligations, with little need to liquidate inventory.</w:t>
      </w:r>
    </w:p>
    <w:p w14:paraId="4CBF4848" w14:textId="77777777" w:rsidR="000D50CB" w:rsidRPr="00D963DA" w:rsidRDefault="000D50CB" w:rsidP="00D963DA">
      <w:pPr>
        <w:spacing w:line="360" w:lineRule="auto"/>
        <w:jc w:val="both"/>
        <w:rPr>
          <w:rFonts w:ascii="Arial" w:hAnsi="Arial" w:cs="Arial"/>
          <w:b/>
          <w:sz w:val="24"/>
          <w:szCs w:val="24"/>
        </w:rPr>
      </w:pPr>
      <w:r w:rsidRPr="00D963DA">
        <w:rPr>
          <w:rFonts w:ascii="Arial" w:hAnsi="Arial" w:cs="Arial"/>
          <w:b/>
          <w:sz w:val="24"/>
          <w:szCs w:val="24"/>
        </w:rPr>
        <w:t>Efficiency</w:t>
      </w:r>
    </w:p>
    <w:p w14:paraId="6144C985" w14:textId="77777777" w:rsidR="0004573B" w:rsidRDefault="0036309F" w:rsidP="00D963DA">
      <w:pPr>
        <w:spacing w:line="360" w:lineRule="auto"/>
        <w:jc w:val="both"/>
        <w:rPr>
          <w:rFonts w:ascii="Arial" w:hAnsi="Arial" w:cs="Arial"/>
          <w:sz w:val="24"/>
          <w:szCs w:val="24"/>
        </w:rPr>
      </w:pPr>
      <w:r w:rsidRPr="00D963DA">
        <w:rPr>
          <w:rFonts w:ascii="Arial" w:hAnsi="Arial" w:cs="Arial"/>
          <w:noProof/>
          <w:sz w:val="24"/>
          <w:szCs w:val="24"/>
        </w:rPr>
        <w:drawing>
          <wp:inline distT="0" distB="0" distL="0" distR="0" wp14:anchorId="004FB624" wp14:editId="2CD9B344">
            <wp:extent cx="5731510" cy="585978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859780"/>
                    </a:xfrm>
                    <a:prstGeom prst="rect">
                      <a:avLst/>
                    </a:prstGeom>
                  </pic:spPr>
                </pic:pic>
              </a:graphicData>
            </a:graphic>
          </wp:inline>
        </w:drawing>
      </w:r>
    </w:p>
    <w:p w14:paraId="26F3EB94" w14:textId="77777777" w:rsidR="006365FA" w:rsidRPr="006365FA" w:rsidRDefault="006365FA" w:rsidP="006365FA">
      <w:pPr>
        <w:spacing w:line="360" w:lineRule="auto"/>
        <w:jc w:val="center"/>
        <w:rPr>
          <w:rFonts w:ascii="Arial" w:hAnsi="Arial" w:cs="Arial"/>
          <w:b/>
          <w:sz w:val="24"/>
          <w:szCs w:val="24"/>
        </w:rPr>
      </w:pPr>
      <w:r w:rsidRPr="00997841">
        <w:rPr>
          <w:rFonts w:ascii="Arial" w:hAnsi="Arial" w:cs="Arial"/>
          <w:b/>
          <w:sz w:val="24"/>
          <w:szCs w:val="24"/>
        </w:rPr>
        <w:t>Table 4: Efficiency Ratio</w:t>
      </w:r>
    </w:p>
    <w:p w14:paraId="76A154B2" w14:textId="77777777" w:rsidR="00523D4A" w:rsidRDefault="00523D4A" w:rsidP="006365FA">
      <w:pPr>
        <w:spacing w:line="360" w:lineRule="auto"/>
        <w:jc w:val="center"/>
        <w:rPr>
          <w:rFonts w:ascii="Arial" w:hAnsi="Arial" w:cs="Arial"/>
          <w:sz w:val="24"/>
          <w:szCs w:val="24"/>
        </w:rPr>
      </w:pPr>
      <w:r w:rsidRPr="00D963DA">
        <w:rPr>
          <w:rFonts w:ascii="Arial" w:hAnsi="Arial" w:cs="Arial"/>
          <w:noProof/>
          <w:sz w:val="24"/>
          <w:szCs w:val="24"/>
          <w:lang w:val="en-IN" w:eastAsia="en-IN"/>
        </w:rPr>
        <w:lastRenderedPageBreak/>
        <w:drawing>
          <wp:inline distT="0" distB="0" distL="0" distR="0" wp14:anchorId="2767DB1B" wp14:editId="727B6D41">
            <wp:extent cx="4572000" cy="27432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63B18E4" w14:textId="77777777" w:rsidR="006365FA" w:rsidRPr="00997841" w:rsidRDefault="006365FA" w:rsidP="006365FA">
      <w:pPr>
        <w:spacing w:line="360" w:lineRule="auto"/>
        <w:jc w:val="center"/>
        <w:rPr>
          <w:rFonts w:ascii="Arial" w:hAnsi="Arial" w:cs="Arial"/>
          <w:b/>
          <w:sz w:val="24"/>
          <w:szCs w:val="24"/>
        </w:rPr>
      </w:pPr>
      <w:r w:rsidRPr="00997841">
        <w:rPr>
          <w:rFonts w:ascii="Arial" w:hAnsi="Arial" w:cs="Arial"/>
          <w:b/>
          <w:sz w:val="24"/>
          <w:szCs w:val="24"/>
        </w:rPr>
        <w:t>Graph 4: Efficiency Ratio</w:t>
      </w:r>
    </w:p>
    <w:p w14:paraId="4436AFC8" w14:textId="77777777" w:rsidR="006365FA" w:rsidRPr="006365FA" w:rsidRDefault="006365FA" w:rsidP="006365FA">
      <w:pPr>
        <w:spacing w:line="360" w:lineRule="auto"/>
        <w:jc w:val="center"/>
        <w:rPr>
          <w:rFonts w:ascii="Arial" w:hAnsi="Arial" w:cs="Arial"/>
          <w:b/>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0102540B" w14:textId="77777777" w:rsidR="0036309F" w:rsidRPr="00D963DA" w:rsidRDefault="0036309F" w:rsidP="00D963DA">
      <w:pPr>
        <w:spacing w:line="360" w:lineRule="auto"/>
        <w:jc w:val="both"/>
        <w:rPr>
          <w:rFonts w:ascii="Arial" w:hAnsi="Arial" w:cs="Arial"/>
          <w:sz w:val="24"/>
          <w:szCs w:val="24"/>
        </w:rPr>
      </w:pPr>
      <w:r w:rsidRPr="00D963DA">
        <w:rPr>
          <w:rFonts w:ascii="Arial" w:hAnsi="Arial" w:cs="Arial"/>
          <w:sz w:val="24"/>
          <w:szCs w:val="24"/>
        </w:rPr>
        <w:t>The asset-light asset management model coupled with efficient working capital management has enabled Hilton to operate efficiently in 2021–2025. The inventory turnover was consistently low at 6–7 days which was typical of hospitality industry minimal inventory requirement. The receivables turnover has been reduced from 20 days in 2021 to approximately 15 days in subsequent years, which reflects an increase in collecting receivables and an improvement in cash management practices</w:t>
      </w:r>
      <w:r w:rsidR="00BA6EE6">
        <w:rPr>
          <w:rFonts w:ascii="Arial" w:hAnsi="Arial" w:cs="Arial"/>
          <w:sz w:val="24"/>
          <w:szCs w:val="24"/>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2025d)</w:t>
      </w:r>
      <w:r w:rsidRPr="00D963DA">
        <w:rPr>
          <w:rFonts w:ascii="Arial" w:hAnsi="Arial" w:cs="Arial"/>
          <w:sz w:val="24"/>
          <w:szCs w:val="24"/>
        </w:rPr>
        <w:t xml:space="preserve">. Payables turnover continued to be good (94-116 days) and this indicates that Hilton was using supplier credit effectively to maintain a good level of cash without impacting on operations. </w:t>
      </w:r>
    </w:p>
    <w:p w14:paraId="515EC8F1" w14:textId="77777777" w:rsidR="000D50CB" w:rsidRPr="00D963DA" w:rsidRDefault="000D50CB" w:rsidP="00D963DA">
      <w:pPr>
        <w:spacing w:line="360" w:lineRule="auto"/>
        <w:jc w:val="both"/>
        <w:rPr>
          <w:rFonts w:ascii="Arial" w:hAnsi="Arial" w:cs="Arial"/>
          <w:b/>
          <w:sz w:val="24"/>
          <w:szCs w:val="24"/>
        </w:rPr>
      </w:pPr>
      <w:r w:rsidRPr="00D963DA">
        <w:rPr>
          <w:rFonts w:ascii="Arial" w:hAnsi="Arial" w:cs="Arial"/>
          <w:b/>
          <w:sz w:val="24"/>
          <w:szCs w:val="24"/>
        </w:rPr>
        <w:t>Gearing</w:t>
      </w:r>
    </w:p>
    <w:p w14:paraId="3C4FA011" w14:textId="77777777" w:rsidR="0004573B" w:rsidRDefault="00523D4A" w:rsidP="00D963DA">
      <w:pPr>
        <w:spacing w:line="360" w:lineRule="auto"/>
        <w:jc w:val="both"/>
        <w:rPr>
          <w:rFonts w:ascii="Arial" w:hAnsi="Arial" w:cs="Arial"/>
          <w:sz w:val="24"/>
          <w:szCs w:val="24"/>
        </w:rPr>
      </w:pPr>
      <w:r w:rsidRPr="00D963DA">
        <w:rPr>
          <w:rFonts w:ascii="Arial" w:hAnsi="Arial" w:cs="Arial"/>
          <w:noProof/>
          <w:sz w:val="24"/>
          <w:szCs w:val="24"/>
        </w:rPr>
        <w:drawing>
          <wp:inline distT="0" distB="0" distL="0" distR="0" wp14:anchorId="3B597CCE" wp14:editId="4A67183C">
            <wp:extent cx="5654530" cy="1928027"/>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54530" cy="1928027"/>
                    </a:xfrm>
                    <a:prstGeom prst="rect">
                      <a:avLst/>
                    </a:prstGeom>
                  </pic:spPr>
                </pic:pic>
              </a:graphicData>
            </a:graphic>
          </wp:inline>
        </w:drawing>
      </w:r>
    </w:p>
    <w:p w14:paraId="55BC7B4D" w14:textId="77777777" w:rsidR="006365FA" w:rsidRPr="006365FA" w:rsidRDefault="006365FA" w:rsidP="006365FA">
      <w:pPr>
        <w:spacing w:line="360" w:lineRule="auto"/>
        <w:jc w:val="center"/>
        <w:rPr>
          <w:rFonts w:ascii="Arial" w:hAnsi="Arial" w:cs="Arial"/>
          <w:b/>
          <w:sz w:val="24"/>
          <w:szCs w:val="24"/>
        </w:rPr>
      </w:pPr>
      <w:r w:rsidRPr="00997841">
        <w:rPr>
          <w:rFonts w:ascii="Arial" w:hAnsi="Arial" w:cs="Arial"/>
          <w:b/>
          <w:sz w:val="24"/>
          <w:szCs w:val="24"/>
        </w:rPr>
        <w:t>Table 5: Gearing Ratio</w:t>
      </w:r>
    </w:p>
    <w:p w14:paraId="3AD30B9F" w14:textId="77777777" w:rsidR="00523D4A" w:rsidRDefault="00523D4A" w:rsidP="006365FA">
      <w:pPr>
        <w:spacing w:line="360" w:lineRule="auto"/>
        <w:jc w:val="center"/>
        <w:rPr>
          <w:rFonts w:ascii="Arial" w:hAnsi="Arial" w:cs="Arial"/>
          <w:sz w:val="24"/>
          <w:szCs w:val="24"/>
        </w:rPr>
      </w:pPr>
      <w:r w:rsidRPr="00D963DA">
        <w:rPr>
          <w:rFonts w:ascii="Arial" w:hAnsi="Arial" w:cs="Arial"/>
          <w:noProof/>
          <w:sz w:val="24"/>
          <w:szCs w:val="24"/>
          <w:lang w:val="en-IN" w:eastAsia="en-IN"/>
        </w:rPr>
        <w:lastRenderedPageBreak/>
        <w:drawing>
          <wp:inline distT="0" distB="0" distL="0" distR="0" wp14:anchorId="19EE396B" wp14:editId="7DE53A3B">
            <wp:extent cx="4572000" cy="2743200"/>
            <wp:effectExtent l="0" t="0" r="0"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D7193A6" w14:textId="77777777" w:rsidR="006365FA" w:rsidRPr="00997841" w:rsidRDefault="006365FA" w:rsidP="006365FA">
      <w:pPr>
        <w:spacing w:line="360" w:lineRule="auto"/>
        <w:jc w:val="center"/>
        <w:rPr>
          <w:rFonts w:ascii="Arial" w:hAnsi="Arial" w:cs="Arial"/>
          <w:b/>
          <w:sz w:val="24"/>
          <w:szCs w:val="24"/>
        </w:rPr>
      </w:pPr>
      <w:r w:rsidRPr="00997841">
        <w:rPr>
          <w:rFonts w:ascii="Arial" w:hAnsi="Arial" w:cs="Arial"/>
          <w:b/>
          <w:sz w:val="24"/>
          <w:szCs w:val="24"/>
        </w:rPr>
        <w:t>Graph 5: Gearing Ratio</w:t>
      </w:r>
    </w:p>
    <w:p w14:paraId="193A2CAF" w14:textId="77777777" w:rsidR="006365FA" w:rsidRPr="00D963DA" w:rsidRDefault="006365FA" w:rsidP="006365FA">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67D10632" w14:textId="77777777" w:rsidR="0036309F" w:rsidRPr="00D963DA" w:rsidRDefault="0036309F" w:rsidP="00D963DA">
      <w:pPr>
        <w:spacing w:line="360" w:lineRule="auto"/>
        <w:jc w:val="both"/>
        <w:rPr>
          <w:rFonts w:ascii="Arial" w:hAnsi="Arial" w:cs="Arial"/>
          <w:sz w:val="24"/>
          <w:szCs w:val="24"/>
        </w:rPr>
      </w:pPr>
      <w:r w:rsidRPr="00D963DA">
        <w:rPr>
          <w:rFonts w:ascii="Arial" w:hAnsi="Arial" w:cs="Arial"/>
          <w:sz w:val="24"/>
          <w:szCs w:val="24"/>
        </w:rPr>
        <w:t>In 2021-2025 Hilton's negative debt-to-equity ratio (due to the backlash of negative shareholders' equity driven primarily by share repurchase programmes) has been maintained all along, showing that the company is not in financial difficulty, but rather has a highly leveraged capital structure. Nevertheless, the company's financial risk has significantly decreased, with interest coverage ratio rising from 1.26 × in 2021 to 5.17 × in 2025, reflecting greater capacity to pay interest expenses using operating profits</w:t>
      </w:r>
      <w:r w:rsidR="00BA6EE6">
        <w:rPr>
          <w:rFonts w:ascii="Arial" w:hAnsi="Arial" w:cs="Arial"/>
          <w:sz w:val="24"/>
          <w:szCs w:val="24"/>
        </w:rPr>
        <w:t xml:space="preserve"> </w:t>
      </w:r>
      <w:r w:rsidR="00BA6EE6" w:rsidRPr="00B34CAC">
        <w:rPr>
          <w:rFonts w:ascii="Arial" w:hAnsi="Arial" w:cs="Arial"/>
          <w:sz w:val="24"/>
          <w:szCs w:val="24"/>
        </w:rPr>
        <w:t xml:space="preserve">(U.S. Securities </w:t>
      </w:r>
      <w:r w:rsidR="00BA6EE6">
        <w:rPr>
          <w:rFonts w:ascii="Arial" w:hAnsi="Arial" w:cs="Arial"/>
          <w:sz w:val="24"/>
          <w:szCs w:val="24"/>
        </w:rPr>
        <w:t>and Exchange Commission, 2025a)</w:t>
      </w:r>
      <w:r w:rsidRPr="00D963DA">
        <w:rPr>
          <w:rFonts w:ascii="Arial" w:hAnsi="Arial" w:cs="Arial"/>
          <w:sz w:val="24"/>
          <w:szCs w:val="24"/>
        </w:rPr>
        <w:t>. Taken as a whole, the results suggest that although debt financing remains crucial to Hilton's operations, the company's profitability and cash-generating abilities have been improving, thus bolstering the company's debt-servicing capacity and increasing its financial strength.</w:t>
      </w:r>
    </w:p>
    <w:p w14:paraId="58E79716" w14:textId="77777777" w:rsidR="00523D4A" w:rsidRPr="00D963DA" w:rsidRDefault="000D50CB" w:rsidP="00D963DA">
      <w:pPr>
        <w:spacing w:line="360" w:lineRule="auto"/>
        <w:jc w:val="both"/>
        <w:rPr>
          <w:rFonts w:ascii="Arial" w:hAnsi="Arial" w:cs="Arial"/>
          <w:b/>
          <w:sz w:val="24"/>
          <w:szCs w:val="24"/>
        </w:rPr>
      </w:pPr>
      <w:r w:rsidRPr="00D963DA">
        <w:rPr>
          <w:rFonts w:ascii="Arial" w:hAnsi="Arial" w:cs="Arial"/>
          <w:b/>
          <w:sz w:val="24"/>
          <w:szCs w:val="24"/>
        </w:rPr>
        <w:t>Investment</w:t>
      </w:r>
    </w:p>
    <w:p w14:paraId="479C088C" w14:textId="77777777" w:rsidR="00523D4A" w:rsidRDefault="00523D4A" w:rsidP="00D963DA">
      <w:pPr>
        <w:spacing w:line="360" w:lineRule="auto"/>
        <w:jc w:val="both"/>
        <w:rPr>
          <w:rFonts w:ascii="Arial" w:hAnsi="Arial" w:cs="Arial"/>
          <w:sz w:val="24"/>
          <w:szCs w:val="24"/>
        </w:rPr>
      </w:pPr>
      <w:r w:rsidRPr="00D963DA">
        <w:rPr>
          <w:rFonts w:ascii="Arial" w:hAnsi="Arial" w:cs="Arial"/>
          <w:noProof/>
          <w:sz w:val="24"/>
          <w:szCs w:val="24"/>
        </w:rPr>
        <w:lastRenderedPageBreak/>
        <w:drawing>
          <wp:inline distT="0" distB="0" distL="0" distR="0" wp14:anchorId="10A5C589" wp14:editId="139ABA3A">
            <wp:extent cx="5731510" cy="427037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70375"/>
                    </a:xfrm>
                    <a:prstGeom prst="rect">
                      <a:avLst/>
                    </a:prstGeom>
                  </pic:spPr>
                </pic:pic>
              </a:graphicData>
            </a:graphic>
          </wp:inline>
        </w:drawing>
      </w:r>
    </w:p>
    <w:p w14:paraId="4800CFBB" w14:textId="77777777" w:rsidR="006365FA" w:rsidRPr="006365FA" w:rsidRDefault="006365FA" w:rsidP="006365FA">
      <w:pPr>
        <w:spacing w:line="360" w:lineRule="auto"/>
        <w:jc w:val="center"/>
        <w:rPr>
          <w:rFonts w:ascii="Arial" w:hAnsi="Arial" w:cs="Arial"/>
          <w:b/>
          <w:sz w:val="24"/>
          <w:szCs w:val="24"/>
        </w:rPr>
      </w:pPr>
      <w:r w:rsidRPr="00997841">
        <w:rPr>
          <w:rFonts w:ascii="Arial" w:hAnsi="Arial" w:cs="Arial"/>
          <w:b/>
          <w:sz w:val="24"/>
          <w:szCs w:val="24"/>
        </w:rPr>
        <w:t>Table 6: Investment Ratio</w:t>
      </w:r>
    </w:p>
    <w:p w14:paraId="622E0FD9" w14:textId="77777777" w:rsidR="0004573B" w:rsidRDefault="00523D4A" w:rsidP="00D963DA">
      <w:pPr>
        <w:spacing w:line="360" w:lineRule="auto"/>
        <w:jc w:val="both"/>
        <w:rPr>
          <w:rFonts w:ascii="Arial" w:hAnsi="Arial" w:cs="Arial"/>
          <w:sz w:val="24"/>
          <w:szCs w:val="24"/>
        </w:rPr>
      </w:pPr>
      <w:r w:rsidRPr="00D963DA">
        <w:rPr>
          <w:rFonts w:ascii="Arial" w:hAnsi="Arial" w:cs="Arial"/>
          <w:noProof/>
          <w:sz w:val="24"/>
          <w:szCs w:val="24"/>
          <w:lang w:val="en-IN" w:eastAsia="en-IN"/>
        </w:rPr>
        <w:drawing>
          <wp:inline distT="0" distB="0" distL="0" distR="0" wp14:anchorId="6D095A08" wp14:editId="6B8A3F4E">
            <wp:extent cx="5284470" cy="3535680"/>
            <wp:effectExtent l="0" t="0" r="11430" b="762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22ECA6" w14:textId="77777777" w:rsidR="00E92530" w:rsidRPr="00997841" w:rsidRDefault="00E92530" w:rsidP="00E92530">
      <w:pPr>
        <w:spacing w:line="360" w:lineRule="auto"/>
        <w:jc w:val="center"/>
        <w:rPr>
          <w:rFonts w:ascii="Arial" w:hAnsi="Arial" w:cs="Arial"/>
          <w:b/>
          <w:sz w:val="24"/>
          <w:szCs w:val="24"/>
        </w:rPr>
      </w:pPr>
      <w:r w:rsidRPr="00997841">
        <w:rPr>
          <w:rFonts w:ascii="Arial" w:hAnsi="Arial" w:cs="Arial"/>
          <w:b/>
          <w:sz w:val="24"/>
          <w:szCs w:val="24"/>
        </w:rPr>
        <w:t>Graph 6: Investment Ratio</w:t>
      </w:r>
    </w:p>
    <w:p w14:paraId="02DD569A" w14:textId="77777777" w:rsidR="00E92530" w:rsidRPr="00997841" w:rsidRDefault="00E92530" w:rsidP="00E92530">
      <w:pPr>
        <w:spacing w:line="360" w:lineRule="auto"/>
        <w:jc w:val="center"/>
        <w:rPr>
          <w:rFonts w:ascii="Arial" w:hAnsi="Arial" w:cs="Arial"/>
          <w:sz w:val="24"/>
          <w:szCs w:val="24"/>
        </w:rPr>
      </w:pPr>
      <w:r w:rsidRPr="00997841">
        <w:rPr>
          <w:rFonts w:ascii="Arial" w:hAnsi="Arial" w:cs="Arial"/>
          <w:b/>
          <w:sz w:val="24"/>
          <w:szCs w:val="24"/>
        </w:rPr>
        <w:lastRenderedPageBreak/>
        <w:t xml:space="preserve">Source: </w:t>
      </w:r>
      <w:r w:rsidRPr="00997841">
        <w:rPr>
          <w:rFonts w:ascii="Arial" w:hAnsi="Arial" w:cs="Arial"/>
          <w:sz w:val="24"/>
          <w:szCs w:val="24"/>
        </w:rPr>
        <w:t>(MS-Excel)</w:t>
      </w:r>
    </w:p>
    <w:p w14:paraId="00501190" w14:textId="77777777" w:rsidR="00523D4A" w:rsidRPr="00D963DA" w:rsidRDefault="00523D4A" w:rsidP="00D963DA">
      <w:pPr>
        <w:spacing w:line="360" w:lineRule="auto"/>
        <w:jc w:val="both"/>
        <w:rPr>
          <w:rFonts w:ascii="Arial" w:hAnsi="Arial" w:cs="Arial"/>
          <w:sz w:val="24"/>
          <w:szCs w:val="24"/>
        </w:rPr>
      </w:pPr>
      <w:r w:rsidRPr="00D963DA">
        <w:rPr>
          <w:rFonts w:ascii="Arial" w:hAnsi="Arial" w:cs="Arial"/>
          <w:sz w:val="24"/>
          <w:szCs w:val="24"/>
        </w:rPr>
        <w:t>Hilton's investment performance was also strong over the 2021–2025 period, with its earnings per share (EPS) rising significantly from US$1.43 to US$6.09, driven by improving profitability and continued share repurchases which led to a reduction in the number of outstanding shares. Despite the relatively high P/E ratio, which reflected high investor confidence and positive growth expectations, it was tamped down during the post-pandemic recovery</w:t>
      </w:r>
      <w:r w:rsidR="00BA6EE6">
        <w:rPr>
          <w:rFonts w:ascii="Arial" w:hAnsi="Arial" w:cs="Arial"/>
          <w:sz w:val="24"/>
          <w:szCs w:val="24"/>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2025e)</w:t>
      </w:r>
      <w:r w:rsidRPr="00D963DA">
        <w:rPr>
          <w:rFonts w:ascii="Arial" w:hAnsi="Arial" w:cs="Arial"/>
          <w:sz w:val="24"/>
          <w:szCs w:val="24"/>
        </w:rPr>
        <w:t xml:space="preserve">. Dividends resumed in 2023 and have been consistently US$0.60 per share, but have been low as the share price has increased. </w:t>
      </w:r>
    </w:p>
    <w:p w14:paraId="1ABE7CF6" w14:textId="77777777" w:rsidR="005D2B4F" w:rsidRPr="00D963DA" w:rsidRDefault="000D50CB" w:rsidP="00D963DA">
      <w:pPr>
        <w:spacing w:line="360" w:lineRule="auto"/>
        <w:jc w:val="both"/>
        <w:rPr>
          <w:rFonts w:ascii="Arial" w:hAnsi="Arial" w:cs="Arial"/>
          <w:b/>
          <w:sz w:val="24"/>
          <w:szCs w:val="24"/>
        </w:rPr>
      </w:pPr>
      <w:r w:rsidRPr="00D963DA">
        <w:rPr>
          <w:rFonts w:ascii="Arial" w:hAnsi="Arial" w:cs="Arial"/>
          <w:b/>
          <w:sz w:val="24"/>
          <w:szCs w:val="24"/>
        </w:rPr>
        <w:t>Cash flow</w:t>
      </w:r>
    </w:p>
    <w:p w14:paraId="18CCA3F5" w14:textId="77777777" w:rsidR="00523D4A" w:rsidRDefault="00523D4A" w:rsidP="00D963DA">
      <w:pPr>
        <w:spacing w:line="360" w:lineRule="auto"/>
        <w:jc w:val="both"/>
        <w:rPr>
          <w:rFonts w:ascii="Arial" w:hAnsi="Arial" w:cs="Arial"/>
          <w:b/>
          <w:sz w:val="24"/>
          <w:szCs w:val="24"/>
        </w:rPr>
      </w:pPr>
      <w:r w:rsidRPr="00D963DA">
        <w:rPr>
          <w:rFonts w:ascii="Arial" w:hAnsi="Arial" w:cs="Arial"/>
          <w:b/>
          <w:noProof/>
          <w:sz w:val="24"/>
          <w:szCs w:val="24"/>
        </w:rPr>
        <w:drawing>
          <wp:inline distT="0" distB="0" distL="0" distR="0" wp14:anchorId="12E2AD26" wp14:editId="16364EA9">
            <wp:extent cx="5731510" cy="428180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81805"/>
                    </a:xfrm>
                    <a:prstGeom prst="rect">
                      <a:avLst/>
                    </a:prstGeom>
                  </pic:spPr>
                </pic:pic>
              </a:graphicData>
            </a:graphic>
          </wp:inline>
        </w:drawing>
      </w:r>
    </w:p>
    <w:p w14:paraId="7DBAB93A" w14:textId="77777777" w:rsidR="00E92530" w:rsidRPr="00997841" w:rsidRDefault="00E92530" w:rsidP="00E92530">
      <w:pPr>
        <w:spacing w:line="360" w:lineRule="auto"/>
        <w:jc w:val="center"/>
        <w:rPr>
          <w:rFonts w:ascii="Arial" w:hAnsi="Arial" w:cs="Arial"/>
          <w:b/>
          <w:sz w:val="24"/>
          <w:szCs w:val="24"/>
        </w:rPr>
      </w:pPr>
      <w:r w:rsidRPr="00997841">
        <w:rPr>
          <w:rFonts w:ascii="Arial" w:hAnsi="Arial" w:cs="Arial"/>
          <w:b/>
          <w:sz w:val="24"/>
          <w:szCs w:val="24"/>
        </w:rPr>
        <w:t>Table 7: Cash Flow</w:t>
      </w:r>
    </w:p>
    <w:p w14:paraId="7F60F45B" w14:textId="77777777" w:rsidR="00523D4A" w:rsidRDefault="00523D4A" w:rsidP="00D963DA">
      <w:pPr>
        <w:spacing w:line="360" w:lineRule="auto"/>
        <w:jc w:val="both"/>
        <w:rPr>
          <w:rFonts w:ascii="Arial" w:hAnsi="Arial" w:cs="Arial"/>
          <w:b/>
          <w:sz w:val="24"/>
          <w:szCs w:val="24"/>
        </w:rPr>
      </w:pPr>
      <w:r w:rsidRPr="00D963DA">
        <w:rPr>
          <w:rFonts w:ascii="Arial" w:hAnsi="Arial" w:cs="Arial"/>
          <w:noProof/>
          <w:sz w:val="24"/>
          <w:szCs w:val="24"/>
          <w:lang w:val="en-IN" w:eastAsia="en-IN"/>
        </w:rPr>
        <w:lastRenderedPageBreak/>
        <w:drawing>
          <wp:inline distT="0" distB="0" distL="0" distR="0" wp14:anchorId="37281CDD" wp14:editId="4AD1D7F4">
            <wp:extent cx="5516880" cy="3520440"/>
            <wp:effectExtent l="0" t="0" r="7620" b="381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58B44DD" w14:textId="77777777" w:rsidR="00E92530" w:rsidRPr="00997841" w:rsidRDefault="00E92530" w:rsidP="00E92530">
      <w:pPr>
        <w:spacing w:line="360" w:lineRule="auto"/>
        <w:jc w:val="center"/>
        <w:rPr>
          <w:rFonts w:ascii="Arial" w:hAnsi="Arial" w:cs="Arial"/>
          <w:b/>
          <w:sz w:val="24"/>
          <w:szCs w:val="24"/>
        </w:rPr>
      </w:pPr>
      <w:r w:rsidRPr="00997841">
        <w:rPr>
          <w:rFonts w:ascii="Arial" w:hAnsi="Arial" w:cs="Arial"/>
          <w:b/>
          <w:sz w:val="24"/>
          <w:szCs w:val="24"/>
        </w:rPr>
        <w:t>Graph 7: Cash Flow</w:t>
      </w:r>
    </w:p>
    <w:p w14:paraId="0ADDAB3B" w14:textId="77777777" w:rsidR="00E92530" w:rsidRPr="00997841" w:rsidRDefault="00E92530" w:rsidP="00E92530">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74FE9AD9" w14:textId="77777777" w:rsidR="0004573B" w:rsidRPr="00D963DA" w:rsidRDefault="00523D4A" w:rsidP="00D963DA">
      <w:pPr>
        <w:spacing w:line="360" w:lineRule="auto"/>
        <w:jc w:val="both"/>
        <w:rPr>
          <w:rFonts w:ascii="Arial" w:hAnsi="Arial" w:cs="Arial"/>
          <w:sz w:val="24"/>
          <w:szCs w:val="24"/>
        </w:rPr>
      </w:pPr>
      <w:r w:rsidRPr="00D963DA">
        <w:rPr>
          <w:rFonts w:ascii="Arial" w:hAnsi="Arial" w:cs="Arial"/>
          <w:sz w:val="24"/>
          <w:szCs w:val="24"/>
        </w:rPr>
        <w:t>Hilton's cash flow performance continued to get better over the years 2021 to 2025, due to its efficient asset-light business model and healthy cash generating power. Net operating cash flow increased by over 200% from US$1.31 billion in 2021 to US$2.74 billion in 2025, thus improving operating cash flow ratio and cash flow to debt ratio, which shows an increased ability to pay short-term debts and fulfil long-term obligations. Moreover, free cash flow grew steadily from US$1.16 billion to US$2.49 billion, making Hilton more financially flexible to fund its expansion, buyback its stock, repay debt, and pay dividends</w:t>
      </w:r>
      <w:r w:rsidR="00BA6EE6">
        <w:rPr>
          <w:rFonts w:ascii="Arial" w:hAnsi="Arial" w:cs="Arial"/>
          <w:sz w:val="24"/>
          <w:szCs w:val="24"/>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2025f)</w:t>
      </w:r>
      <w:r w:rsidRPr="00D963DA">
        <w:rPr>
          <w:rFonts w:ascii="Arial" w:hAnsi="Arial" w:cs="Arial"/>
          <w:sz w:val="24"/>
          <w:szCs w:val="24"/>
        </w:rPr>
        <w:t>. The company's performance has been stable with an operating cash flow margin of approximately 23% over the years, despite the increased operating expenses and continued global expansion.</w:t>
      </w:r>
    </w:p>
    <w:p w14:paraId="66875B4F" w14:textId="77777777" w:rsidR="000D50CB" w:rsidRPr="00D963DA" w:rsidRDefault="00162F43" w:rsidP="00D963DA">
      <w:pPr>
        <w:pStyle w:val="Heading2"/>
        <w:spacing w:line="360" w:lineRule="auto"/>
        <w:jc w:val="both"/>
        <w:rPr>
          <w:rFonts w:ascii="Arial" w:hAnsi="Arial" w:cs="Arial"/>
          <w:b/>
          <w:color w:val="auto"/>
          <w:sz w:val="24"/>
          <w:szCs w:val="24"/>
        </w:rPr>
      </w:pPr>
      <w:bookmarkStart w:id="6" w:name="_Toc234747796"/>
      <w:bookmarkStart w:id="7" w:name="_Toc235544014"/>
      <w:r w:rsidRPr="00D963DA">
        <w:rPr>
          <w:rFonts w:ascii="Arial" w:hAnsi="Arial" w:cs="Arial"/>
          <w:b/>
          <w:color w:val="auto"/>
          <w:sz w:val="24"/>
          <w:szCs w:val="24"/>
        </w:rPr>
        <w:t xml:space="preserve">1.3 </w:t>
      </w:r>
      <w:r w:rsidR="000D50CB" w:rsidRPr="00D963DA">
        <w:rPr>
          <w:rFonts w:ascii="Arial" w:hAnsi="Arial" w:cs="Arial"/>
          <w:b/>
          <w:color w:val="auto"/>
          <w:sz w:val="24"/>
          <w:szCs w:val="24"/>
        </w:rPr>
        <w:t>Trends, strengths, and potential threats</w:t>
      </w:r>
      <w:bookmarkEnd w:id="6"/>
      <w:bookmarkEnd w:id="7"/>
    </w:p>
    <w:p w14:paraId="71C6D5DD" w14:textId="77777777" w:rsidR="0004573B" w:rsidRPr="00D963DA" w:rsidRDefault="0004573B" w:rsidP="00D963DA">
      <w:pPr>
        <w:spacing w:line="360" w:lineRule="auto"/>
        <w:jc w:val="both"/>
        <w:rPr>
          <w:rFonts w:ascii="Arial" w:hAnsi="Arial" w:cs="Arial"/>
          <w:b/>
          <w:sz w:val="24"/>
          <w:szCs w:val="24"/>
        </w:rPr>
      </w:pPr>
      <w:r w:rsidRPr="00D963DA">
        <w:rPr>
          <w:rFonts w:ascii="Arial" w:hAnsi="Arial" w:cs="Arial"/>
          <w:b/>
          <w:sz w:val="24"/>
          <w:szCs w:val="24"/>
        </w:rPr>
        <w:t>Trends</w:t>
      </w:r>
    </w:p>
    <w:p w14:paraId="74077C43" w14:textId="77777777" w:rsidR="0004573B" w:rsidRPr="00D963DA" w:rsidRDefault="00523D4A" w:rsidP="00D963DA">
      <w:pPr>
        <w:spacing w:line="360" w:lineRule="auto"/>
        <w:jc w:val="both"/>
        <w:rPr>
          <w:rFonts w:ascii="Arial" w:hAnsi="Arial" w:cs="Arial"/>
          <w:sz w:val="24"/>
          <w:szCs w:val="24"/>
        </w:rPr>
      </w:pPr>
      <w:r w:rsidRPr="00D963DA">
        <w:rPr>
          <w:rStyle w:val="cursor-pointer"/>
          <w:rFonts w:ascii="Arial" w:hAnsi="Arial" w:cs="Arial"/>
          <w:sz w:val="24"/>
          <w:szCs w:val="24"/>
        </w:rPr>
        <w:t>Following the recovery of the global hospitality industry, Hilton Worldwide exhibited an impressive positive financial shift across 2021-2025, as revenue, operating profit, net income and operating cash flow grew steadily.</w:t>
      </w:r>
      <w:r w:rsidRPr="00D963DA">
        <w:rPr>
          <w:rFonts w:ascii="Arial" w:hAnsi="Arial" w:cs="Arial"/>
          <w:sz w:val="24"/>
          <w:szCs w:val="24"/>
        </w:rPr>
        <w:t xml:space="preserve"> </w:t>
      </w:r>
      <w:r w:rsidRPr="00D963DA">
        <w:rPr>
          <w:rStyle w:val="cursor-pointer"/>
          <w:rFonts w:ascii="Arial" w:hAnsi="Arial" w:cs="Arial"/>
          <w:sz w:val="24"/>
          <w:szCs w:val="24"/>
        </w:rPr>
        <w:t xml:space="preserve">Profitability ratios like net margin and </w:t>
      </w:r>
      <w:r w:rsidRPr="00D963DA">
        <w:rPr>
          <w:rStyle w:val="cursor-pointer"/>
          <w:rFonts w:ascii="Arial" w:hAnsi="Arial" w:cs="Arial"/>
          <w:sz w:val="24"/>
          <w:szCs w:val="24"/>
        </w:rPr>
        <w:lastRenderedPageBreak/>
        <w:t>ROCE were significantly improved, while liquidity, with a stable position, and the ability to cover interest payments, showed greater financial strength</w:t>
      </w:r>
      <w:r w:rsidR="00BA6EE6">
        <w:rPr>
          <w:rStyle w:val="cursor-pointer"/>
          <w:rFonts w:ascii="Arial" w:hAnsi="Arial" w:cs="Arial"/>
          <w:sz w:val="24"/>
          <w:szCs w:val="24"/>
        </w:rPr>
        <w:t xml:space="preserve"> </w:t>
      </w:r>
      <w:r w:rsidR="00BA6EE6" w:rsidRPr="00B34CAC">
        <w:rPr>
          <w:rFonts w:ascii="Arial" w:hAnsi="Arial" w:cs="Arial"/>
          <w:sz w:val="24"/>
          <w:szCs w:val="24"/>
        </w:rPr>
        <w:t>(Hilton Worldwide Holdi</w:t>
      </w:r>
      <w:r w:rsidR="00BA6EE6">
        <w:rPr>
          <w:rFonts w:ascii="Arial" w:hAnsi="Arial" w:cs="Arial"/>
          <w:sz w:val="24"/>
          <w:szCs w:val="24"/>
        </w:rPr>
        <w:t>ngs Inc., 2025g)</w:t>
      </w:r>
      <w:r w:rsidRPr="00D963DA">
        <w:rPr>
          <w:rStyle w:val="cursor-pointer"/>
          <w:rFonts w:ascii="Arial" w:hAnsi="Arial" w:cs="Arial"/>
          <w:sz w:val="24"/>
          <w:szCs w:val="24"/>
        </w:rPr>
        <w:t>.</w:t>
      </w:r>
      <w:r w:rsidRPr="00D963DA">
        <w:rPr>
          <w:rFonts w:ascii="Arial" w:hAnsi="Arial" w:cs="Arial"/>
          <w:sz w:val="24"/>
          <w:szCs w:val="24"/>
        </w:rPr>
        <w:t xml:space="preserve"> </w:t>
      </w:r>
      <w:r w:rsidRPr="00D963DA">
        <w:rPr>
          <w:rStyle w:val="cursor-pointer"/>
          <w:rFonts w:ascii="Arial" w:hAnsi="Arial" w:cs="Arial"/>
          <w:sz w:val="24"/>
          <w:szCs w:val="24"/>
        </w:rPr>
        <w:t>The company's continued expansion through the asset light model and the continued growth in its Hilton Honors membership continued to support sustainable long term growth.</w:t>
      </w:r>
    </w:p>
    <w:p w14:paraId="5E3715A4" w14:textId="77777777" w:rsidR="0004573B" w:rsidRPr="00D963DA" w:rsidRDefault="0004573B" w:rsidP="00D963DA">
      <w:pPr>
        <w:spacing w:line="360" w:lineRule="auto"/>
        <w:jc w:val="both"/>
        <w:rPr>
          <w:rFonts w:ascii="Arial" w:hAnsi="Arial" w:cs="Arial"/>
          <w:b/>
          <w:sz w:val="24"/>
          <w:szCs w:val="24"/>
        </w:rPr>
      </w:pPr>
      <w:r w:rsidRPr="00D963DA">
        <w:rPr>
          <w:rFonts w:ascii="Arial" w:hAnsi="Arial" w:cs="Arial"/>
          <w:b/>
          <w:sz w:val="24"/>
          <w:szCs w:val="24"/>
        </w:rPr>
        <w:t>Strengths</w:t>
      </w:r>
    </w:p>
    <w:p w14:paraId="024625CD" w14:textId="77777777" w:rsidR="0004573B" w:rsidRPr="00D963DA" w:rsidRDefault="00523D4A" w:rsidP="00BA6EE6">
      <w:pPr>
        <w:spacing w:line="360" w:lineRule="auto"/>
        <w:jc w:val="both"/>
        <w:rPr>
          <w:rFonts w:ascii="Arial" w:hAnsi="Arial" w:cs="Arial"/>
          <w:sz w:val="24"/>
          <w:szCs w:val="24"/>
        </w:rPr>
      </w:pPr>
      <w:r w:rsidRPr="00D963DA">
        <w:rPr>
          <w:rStyle w:val="cursor-pointer"/>
          <w:rFonts w:ascii="Arial" w:hAnsi="Arial" w:cs="Arial"/>
          <w:sz w:val="24"/>
          <w:szCs w:val="24"/>
        </w:rPr>
        <w:t>Hilton's key strengths are its internationally-known brand portfolio, asset-light franchise and business model, cash flow generation and rising profitability.</w:t>
      </w:r>
      <w:r w:rsidRPr="00D963DA">
        <w:rPr>
          <w:rFonts w:ascii="Arial" w:hAnsi="Arial" w:cs="Arial"/>
          <w:sz w:val="24"/>
          <w:szCs w:val="24"/>
        </w:rPr>
        <w:t xml:space="preserve"> </w:t>
      </w:r>
      <w:r w:rsidRPr="00D963DA">
        <w:rPr>
          <w:rStyle w:val="cursor-pointer"/>
          <w:rFonts w:ascii="Arial" w:hAnsi="Arial" w:cs="Arial"/>
          <w:sz w:val="24"/>
          <w:szCs w:val="24"/>
        </w:rPr>
        <w:t>By managing working capital effectively, the company can generate positive cash flow, enhance its debt-servicing capability and have adequate financial flexibility to invest in growth, digital transformation, and shareholder returns</w:t>
      </w:r>
      <w:r w:rsidR="00BA6EE6">
        <w:rPr>
          <w:rStyle w:val="cursor-pointer"/>
          <w:rFonts w:ascii="Arial" w:hAnsi="Arial" w:cs="Arial"/>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2025h)</w:t>
      </w:r>
      <w:r w:rsidRPr="00D963DA">
        <w:rPr>
          <w:rStyle w:val="cursor-pointer"/>
          <w:rFonts w:ascii="Arial" w:hAnsi="Arial" w:cs="Arial"/>
          <w:sz w:val="24"/>
          <w:szCs w:val="24"/>
        </w:rPr>
        <w:t>.</w:t>
      </w:r>
      <w:r w:rsidRPr="00D963DA">
        <w:rPr>
          <w:rFonts w:ascii="Arial" w:hAnsi="Arial" w:cs="Arial"/>
          <w:sz w:val="24"/>
          <w:szCs w:val="24"/>
        </w:rPr>
        <w:t xml:space="preserve"> </w:t>
      </w:r>
      <w:r w:rsidRPr="00D963DA">
        <w:rPr>
          <w:rStyle w:val="cursor-pointer"/>
          <w:rFonts w:ascii="Arial" w:hAnsi="Arial" w:cs="Arial"/>
          <w:sz w:val="24"/>
          <w:szCs w:val="24"/>
        </w:rPr>
        <w:t>Also, it has been a diversified presence across the globe and its loyal customer base makes it less dependent on any single market and more sustainable for its long-term earnings.</w:t>
      </w:r>
    </w:p>
    <w:p w14:paraId="5824C831" w14:textId="77777777" w:rsidR="0004573B" w:rsidRPr="00D963DA" w:rsidRDefault="0004573B" w:rsidP="00D963DA">
      <w:pPr>
        <w:spacing w:line="360" w:lineRule="auto"/>
        <w:jc w:val="both"/>
        <w:rPr>
          <w:rFonts w:ascii="Arial" w:hAnsi="Arial" w:cs="Arial"/>
          <w:b/>
          <w:sz w:val="24"/>
          <w:szCs w:val="24"/>
        </w:rPr>
      </w:pPr>
      <w:r w:rsidRPr="00D963DA">
        <w:rPr>
          <w:rFonts w:ascii="Arial" w:hAnsi="Arial" w:cs="Arial"/>
          <w:b/>
          <w:sz w:val="24"/>
          <w:szCs w:val="24"/>
        </w:rPr>
        <w:t>Potential Threats</w:t>
      </w:r>
    </w:p>
    <w:p w14:paraId="1620EBC7" w14:textId="77777777" w:rsidR="003A5AFF" w:rsidRPr="00D963DA" w:rsidRDefault="00523D4A" w:rsidP="00BA6EE6">
      <w:pPr>
        <w:spacing w:line="360" w:lineRule="auto"/>
        <w:jc w:val="both"/>
        <w:rPr>
          <w:rFonts w:ascii="Arial" w:hAnsi="Arial" w:cs="Arial"/>
          <w:sz w:val="24"/>
          <w:szCs w:val="24"/>
        </w:rPr>
      </w:pPr>
      <w:r w:rsidRPr="00D963DA">
        <w:rPr>
          <w:rStyle w:val="cursor-pointer"/>
          <w:rFonts w:ascii="Arial" w:hAnsi="Arial" w:cs="Arial"/>
          <w:sz w:val="24"/>
          <w:szCs w:val="24"/>
        </w:rPr>
        <w:t>Hilton has a solid financial standing, but is also subject to a number of risks that could impact its future results.</w:t>
      </w:r>
      <w:r w:rsidRPr="00D963DA">
        <w:rPr>
          <w:rFonts w:ascii="Arial" w:hAnsi="Arial" w:cs="Arial"/>
          <w:sz w:val="24"/>
          <w:szCs w:val="24"/>
        </w:rPr>
        <w:t xml:space="preserve"> </w:t>
      </w:r>
      <w:r w:rsidRPr="00D963DA">
        <w:rPr>
          <w:rStyle w:val="cursor-pointer"/>
          <w:rFonts w:ascii="Arial" w:hAnsi="Arial" w:cs="Arial"/>
          <w:sz w:val="24"/>
          <w:szCs w:val="24"/>
        </w:rPr>
        <w:t>Inflationary pressures, rising interest rates and labor and operating expenses could threaten profit margins.</w:t>
      </w:r>
      <w:r w:rsidRPr="00D963DA">
        <w:rPr>
          <w:rFonts w:ascii="Arial" w:hAnsi="Arial" w:cs="Arial"/>
          <w:sz w:val="24"/>
          <w:szCs w:val="24"/>
        </w:rPr>
        <w:t xml:space="preserve"> </w:t>
      </w:r>
      <w:r w:rsidRPr="00D963DA">
        <w:rPr>
          <w:rStyle w:val="cursor-pointer"/>
          <w:rFonts w:ascii="Arial" w:hAnsi="Arial" w:cs="Arial"/>
          <w:sz w:val="24"/>
          <w:szCs w:val="24"/>
        </w:rPr>
        <w:t>Geopolitical uncertainty, currency fluctuations and economic downturns may impact on the demand for international travel, and strong competition from global hotel groups and other alternatives like Airbnb may influence both the occupa</w:t>
      </w:r>
      <w:r w:rsidR="007712B2">
        <w:rPr>
          <w:rStyle w:val="cursor-pointer"/>
          <w:rFonts w:ascii="Arial" w:hAnsi="Arial" w:cs="Arial"/>
          <w:sz w:val="24"/>
          <w:szCs w:val="24"/>
        </w:rPr>
        <w:t xml:space="preserve">ncy rate and power of influence </w:t>
      </w:r>
      <w:r w:rsidR="00BA6EE6" w:rsidRPr="00B34CAC">
        <w:rPr>
          <w:rFonts w:ascii="Arial" w:hAnsi="Arial" w:cs="Arial"/>
          <w:sz w:val="24"/>
          <w:szCs w:val="24"/>
        </w:rPr>
        <w:t xml:space="preserve">(Hilton </w:t>
      </w:r>
      <w:r w:rsidR="00BA6EE6">
        <w:rPr>
          <w:rFonts w:ascii="Arial" w:hAnsi="Arial" w:cs="Arial"/>
          <w:sz w:val="24"/>
          <w:szCs w:val="24"/>
        </w:rPr>
        <w:t>Worldwide Holdings Inc., 2025i)</w:t>
      </w:r>
      <w:r w:rsidRPr="00D963DA">
        <w:rPr>
          <w:rStyle w:val="cursor-pointer"/>
          <w:rFonts w:ascii="Arial" w:hAnsi="Arial" w:cs="Arial"/>
          <w:sz w:val="24"/>
          <w:szCs w:val="24"/>
        </w:rPr>
        <w:t>.</w:t>
      </w:r>
    </w:p>
    <w:p w14:paraId="0801F1F6" w14:textId="77777777" w:rsidR="000D50CB" w:rsidRPr="00D963DA" w:rsidRDefault="00162F43" w:rsidP="00D963DA">
      <w:pPr>
        <w:pStyle w:val="Heading2"/>
        <w:spacing w:line="360" w:lineRule="auto"/>
        <w:jc w:val="both"/>
        <w:rPr>
          <w:rFonts w:ascii="Arial" w:hAnsi="Arial" w:cs="Arial"/>
          <w:b/>
          <w:color w:val="auto"/>
          <w:sz w:val="24"/>
          <w:szCs w:val="24"/>
        </w:rPr>
      </w:pPr>
      <w:bookmarkStart w:id="8" w:name="_Toc234747797"/>
      <w:bookmarkStart w:id="9" w:name="_Toc235544015"/>
      <w:r w:rsidRPr="00D963DA">
        <w:rPr>
          <w:rFonts w:ascii="Arial" w:hAnsi="Arial" w:cs="Arial"/>
          <w:b/>
          <w:color w:val="auto"/>
          <w:sz w:val="24"/>
          <w:szCs w:val="24"/>
        </w:rPr>
        <w:t xml:space="preserve">1.4 </w:t>
      </w:r>
      <w:r w:rsidR="000D50CB" w:rsidRPr="00D963DA">
        <w:rPr>
          <w:rFonts w:ascii="Arial" w:hAnsi="Arial" w:cs="Arial"/>
          <w:b/>
          <w:color w:val="auto"/>
          <w:sz w:val="24"/>
          <w:szCs w:val="24"/>
        </w:rPr>
        <w:t>Comparison of liquidity ratios with industry benchmarks, assessing how the firm performs relative to sector standards</w:t>
      </w:r>
      <w:bookmarkEnd w:id="8"/>
      <w:bookmarkEnd w:id="9"/>
      <w:r w:rsidR="000D50CB" w:rsidRPr="00D963DA">
        <w:rPr>
          <w:rFonts w:ascii="Arial" w:hAnsi="Arial" w:cs="Arial"/>
          <w:b/>
          <w:color w:val="auto"/>
          <w:sz w:val="24"/>
          <w:szCs w:val="24"/>
        </w:rPr>
        <w:t xml:space="preserve"> </w:t>
      </w:r>
    </w:p>
    <w:tbl>
      <w:tblPr>
        <w:tblStyle w:val="TableGrid"/>
        <w:tblW w:w="0" w:type="auto"/>
        <w:tblLook w:val="04A0" w:firstRow="1" w:lastRow="0" w:firstColumn="1" w:lastColumn="0" w:noHBand="0" w:noVBand="1"/>
      </w:tblPr>
      <w:tblGrid>
        <w:gridCol w:w="2613"/>
        <w:gridCol w:w="1248"/>
        <w:gridCol w:w="1048"/>
        <w:gridCol w:w="4107"/>
      </w:tblGrid>
      <w:tr w:rsidR="00B46C3B" w:rsidRPr="00B46C3B" w14:paraId="74516AEA" w14:textId="77777777" w:rsidTr="00B46C3B">
        <w:tc>
          <w:tcPr>
            <w:tcW w:w="0" w:type="auto"/>
            <w:hideMark/>
          </w:tcPr>
          <w:p w14:paraId="4DAC147A"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Company</w:t>
            </w:r>
          </w:p>
        </w:tc>
        <w:tc>
          <w:tcPr>
            <w:tcW w:w="0" w:type="auto"/>
            <w:hideMark/>
          </w:tcPr>
          <w:p w14:paraId="5D9A694E"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Current Ratio</w:t>
            </w:r>
          </w:p>
        </w:tc>
        <w:tc>
          <w:tcPr>
            <w:tcW w:w="0" w:type="auto"/>
            <w:hideMark/>
          </w:tcPr>
          <w:p w14:paraId="07C6BF23"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Quick Ratio</w:t>
            </w:r>
          </w:p>
        </w:tc>
        <w:tc>
          <w:tcPr>
            <w:tcW w:w="0" w:type="auto"/>
            <w:hideMark/>
          </w:tcPr>
          <w:p w14:paraId="6E9F6778"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Assessment</w:t>
            </w:r>
          </w:p>
        </w:tc>
      </w:tr>
      <w:tr w:rsidR="00B46C3B" w:rsidRPr="00B46C3B" w14:paraId="0BAAB88E" w14:textId="77777777" w:rsidTr="00B46C3B">
        <w:tc>
          <w:tcPr>
            <w:tcW w:w="0" w:type="auto"/>
            <w:hideMark/>
          </w:tcPr>
          <w:p w14:paraId="727F8AD1"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Hilton Worldwide</w:t>
            </w:r>
          </w:p>
        </w:tc>
        <w:tc>
          <w:tcPr>
            <w:tcW w:w="0" w:type="auto"/>
            <w:hideMark/>
          </w:tcPr>
          <w:p w14:paraId="21FD5EDA"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Cs/>
                <w:sz w:val="24"/>
                <w:szCs w:val="24"/>
                <w:lang w:val="en-IN" w:eastAsia="en-IN"/>
              </w:rPr>
              <w:t>1.19</w:t>
            </w:r>
          </w:p>
        </w:tc>
        <w:tc>
          <w:tcPr>
            <w:tcW w:w="0" w:type="auto"/>
            <w:hideMark/>
          </w:tcPr>
          <w:p w14:paraId="102C8C78"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Cs/>
                <w:sz w:val="24"/>
                <w:szCs w:val="24"/>
                <w:lang w:val="en-IN" w:eastAsia="en-IN"/>
              </w:rPr>
              <w:t>1.17</w:t>
            </w:r>
          </w:p>
        </w:tc>
        <w:tc>
          <w:tcPr>
            <w:tcW w:w="0" w:type="auto"/>
            <w:hideMark/>
          </w:tcPr>
          <w:p w14:paraId="18157EB6"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Stable liquidity with adequate short-term solvency and efficient cash management.</w:t>
            </w:r>
          </w:p>
        </w:tc>
      </w:tr>
      <w:tr w:rsidR="00B46C3B" w:rsidRPr="00B46C3B" w14:paraId="4AEC2342" w14:textId="77777777" w:rsidTr="00B46C3B">
        <w:tc>
          <w:tcPr>
            <w:tcW w:w="0" w:type="auto"/>
            <w:hideMark/>
          </w:tcPr>
          <w:p w14:paraId="2F76C80C"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lastRenderedPageBreak/>
              <w:t>Marriott International</w:t>
            </w:r>
          </w:p>
        </w:tc>
        <w:tc>
          <w:tcPr>
            <w:tcW w:w="0" w:type="auto"/>
            <w:hideMark/>
          </w:tcPr>
          <w:p w14:paraId="7AE5517E"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0.48</w:t>
            </w:r>
          </w:p>
        </w:tc>
        <w:tc>
          <w:tcPr>
            <w:tcW w:w="0" w:type="auto"/>
            <w:hideMark/>
          </w:tcPr>
          <w:p w14:paraId="4A744682"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0.46</w:t>
            </w:r>
          </w:p>
        </w:tc>
        <w:tc>
          <w:tcPr>
            <w:tcW w:w="0" w:type="auto"/>
            <w:hideMark/>
          </w:tcPr>
          <w:p w14:paraId="69C1CD41"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Lower liquidity due to an asset-light model and reliance on operating cash flows.</w:t>
            </w:r>
          </w:p>
        </w:tc>
      </w:tr>
      <w:tr w:rsidR="00B46C3B" w:rsidRPr="00B46C3B" w14:paraId="3517FA10" w14:textId="77777777" w:rsidTr="00B46C3B">
        <w:tc>
          <w:tcPr>
            <w:tcW w:w="0" w:type="auto"/>
            <w:hideMark/>
          </w:tcPr>
          <w:p w14:paraId="6011835A"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InterContinental Hotels Group (IHG)</w:t>
            </w:r>
          </w:p>
        </w:tc>
        <w:tc>
          <w:tcPr>
            <w:tcW w:w="0" w:type="auto"/>
            <w:hideMark/>
          </w:tcPr>
          <w:p w14:paraId="1AE8EE83"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0.87</w:t>
            </w:r>
          </w:p>
        </w:tc>
        <w:tc>
          <w:tcPr>
            <w:tcW w:w="0" w:type="auto"/>
            <w:hideMark/>
          </w:tcPr>
          <w:p w14:paraId="7512D0C2"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0.86</w:t>
            </w:r>
          </w:p>
        </w:tc>
        <w:tc>
          <w:tcPr>
            <w:tcW w:w="0" w:type="auto"/>
            <w:hideMark/>
          </w:tcPr>
          <w:p w14:paraId="6DDF9304"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Moderate liquidity supported by franchise operations and strong cash generation.</w:t>
            </w:r>
          </w:p>
        </w:tc>
      </w:tr>
      <w:tr w:rsidR="00B46C3B" w:rsidRPr="00B46C3B" w14:paraId="3F469BEB" w14:textId="77777777" w:rsidTr="00B46C3B">
        <w:tc>
          <w:tcPr>
            <w:tcW w:w="0" w:type="auto"/>
            <w:hideMark/>
          </w:tcPr>
          <w:p w14:paraId="73E10A28"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Hyatt Hotels Corporation</w:t>
            </w:r>
          </w:p>
        </w:tc>
        <w:tc>
          <w:tcPr>
            <w:tcW w:w="0" w:type="auto"/>
            <w:hideMark/>
          </w:tcPr>
          <w:p w14:paraId="1B4F9246"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1.31</w:t>
            </w:r>
          </w:p>
        </w:tc>
        <w:tc>
          <w:tcPr>
            <w:tcW w:w="0" w:type="auto"/>
            <w:hideMark/>
          </w:tcPr>
          <w:p w14:paraId="56AB5714"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1.28</w:t>
            </w:r>
          </w:p>
        </w:tc>
        <w:tc>
          <w:tcPr>
            <w:tcW w:w="0" w:type="auto"/>
            <w:hideMark/>
          </w:tcPr>
          <w:p w14:paraId="06387755"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Strong liquidity with relatively higher current assets and cash reserves.</w:t>
            </w:r>
          </w:p>
        </w:tc>
      </w:tr>
      <w:tr w:rsidR="00B46C3B" w:rsidRPr="00B46C3B" w14:paraId="282F9587" w14:textId="77777777" w:rsidTr="00B46C3B">
        <w:tc>
          <w:tcPr>
            <w:tcW w:w="0" w:type="auto"/>
            <w:hideMark/>
          </w:tcPr>
          <w:p w14:paraId="12D86E60"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Global Hospitality Industry Average</w:t>
            </w:r>
          </w:p>
        </w:tc>
        <w:tc>
          <w:tcPr>
            <w:tcW w:w="0" w:type="auto"/>
            <w:hideMark/>
          </w:tcPr>
          <w:p w14:paraId="140F10D9"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Cs/>
                <w:sz w:val="24"/>
                <w:szCs w:val="24"/>
                <w:lang w:val="en-IN" w:eastAsia="en-IN"/>
              </w:rPr>
              <w:t>1.00</w:t>
            </w:r>
          </w:p>
        </w:tc>
        <w:tc>
          <w:tcPr>
            <w:tcW w:w="0" w:type="auto"/>
            <w:hideMark/>
          </w:tcPr>
          <w:p w14:paraId="2106229C"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Cs/>
                <w:sz w:val="24"/>
                <w:szCs w:val="24"/>
                <w:lang w:val="en-IN" w:eastAsia="en-IN"/>
              </w:rPr>
              <w:t>0.95</w:t>
            </w:r>
          </w:p>
        </w:tc>
        <w:tc>
          <w:tcPr>
            <w:tcW w:w="0" w:type="auto"/>
            <w:hideMark/>
          </w:tcPr>
          <w:p w14:paraId="036A82FB"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Benchmark representing the average short-term liquidity position of leading international hotel companies.</w:t>
            </w:r>
          </w:p>
        </w:tc>
      </w:tr>
    </w:tbl>
    <w:p w14:paraId="44881450" w14:textId="77777777" w:rsidR="0004573B" w:rsidRPr="00E92530" w:rsidRDefault="00E92530" w:rsidP="00E92530">
      <w:pPr>
        <w:spacing w:line="360" w:lineRule="auto"/>
        <w:jc w:val="center"/>
        <w:rPr>
          <w:rFonts w:ascii="Arial" w:hAnsi="Arial" w:cs="Arial"/>
          <w:b/>
          <w:sz w:val="24"/>
          <w:szCs w:val="24"/>
        </w:rPr>
      </w:pPr>
      <w:r w:rsidRPr="00997841">
        <w:rPr>
          <w:rFonts w:ascii="Arial" w:hAnsi="Arial" w:cs="Arial"/>
          <w:b/>
          <w:sz w:val="24"/>
          <w:szCs w:val="24"/>
        </w:rPr>
        <w:t>Table 8: Comparison</w:t>
      </w:r>
    </w:p>
    <w:p w14:paraId="33802AB6" w14:textId="77777777" w:rsidR="00B46C3B" w:rsidRPr="00D963DA" w:rsidRDefault="00B46C3B" w:rsidP="00D963DA">
      <w:pPr>
        <w:spacing w:line="360" w:lineRule="auto"/>
        <w:jc w:val="both"/>
        <w:rPr>
          <w:rFonts w:ascii="Arial" w:hAnsi="Arial" w:cs="Arial"/>
          <w:sz w:val="24"/>
          <w:szCs w:val="24"/>
        </w:rPr>
      </w:pPr>
      <w:r w:rsidRPr="00D963DA">
        <w:rPr>
          <w:rFonts w:ascii="Arial" w:hAnsi="Arial" w:cs="Arial"/>
          <w:sz w:val="24"/>
          <w:szCs w:val="24"/>
        </w:rPr>
        <w:t>The Liquidity Ratios are measures of how well a firm is able to pay its short-term financial obligations with its current assets. The current ratio for Hilton Worldwide was 1.19 in 2025, which was in excess of the estimated industry averages for the hospitality sector of 1.00. Similarly, the quick ratio in 2025 (1.17) exceeded the estimated industry average for the hospitality sector of 0.95. The above table shows the current ratios for Hilton Worldwide and the hospitality industry. As seen in the above table, Hilton Worldwide had a current ratio of 1.19 in 2025, compared with the industry average for the hospitality sector of 1.00; similarly the quick ratio in 2025 (1.17) was above the estimated industry average for the hospitality sector of 0.95. This indicates that Hilton has enough liquid funds available to pay its current obligations and it has a good working capital management</w:t>
      </w:r>
      <w:r w:rsidR="00BA6EE6">
        <w:rPr>
          <w:rFonts w:ascii="Arial" w:hAnsi="Arial" w:cs="Arial"/>
          <w:sz w:val="24"/>
          <w:szCs w:val="24"/>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2025j)</w:t>
      </w:r>
      <w:r w:rsidRPr="00D963DA">
        <w:rPr>
          <w:rFonts w:ascii="Arial" w:hAnsi="Arial" w:cs="Arial"/>
          <w:sz w:val="24"/>
          <w:szCs w:val="24"/>
        </w:rPr>
        <w:t xml:space="preserve">. The difference between the current ratio and the quick ratio is very small, as is typical of Hilton's asset light business model, in which inventory is typically a relatively small component of the current assets. Hilton has a higher ratio of current assets to current liabilities than its key rivals, meaning that it has a more favourable liquidity situation than Marriott International, which has a current ratio of 0.48, implying that it relies more on cash generated from its operations and revolving credit facilities to cover its short-term debts. Likewise, Hilton has a better liquidity position than InterContinental Hotels Group (IHG) with a current ratio of 0.83. While Hyatt Hotels Corporation has the highest current ratio of 1.31, this is mainly due to the company's larger proportion of </w:t>
      </w:r>
      <w:r w:rsidRPr="00D963DA">
        <w:rPr>
          <w:rFonts w:ascii="Arial" w:hAnsi="Arial" w:cs="Arial"/>
          <w:sz w:val="24"/>
          <w:szCs w:val="24"/>
        </w:rPr>
        <w:lastRenderedPageBreak/>
        <w:t>hotel assets and high cash balances but does not necessarily reflect its better efficiency.</w:t>
      </w:r>
    </w:p>
    <w:p w14:paraId="56F3664D" w14:textId="77777777" w:rsidR="0004573B" w:rsidRPr="00D963DA" w:rsidRDefault="0004573B" w:rsidP="00D963DA">
      <w:pPr>
        <w:spacing w:line="360" w:lineRule="auto"/>
        <w:jc w:val="both"/>
        <w:rPr>
          <w:rFonts w:ascii="Arial" w:eastAsiaTheme="majorEastAsia" w:hAnsi="Arial" w:cs="Arial"/>
          <w:b/>
          <w:sz w:val="24"/>
          <w:szCs w:val="24"/>
        </w:rPr>
      </w:pPr>
      <w:r w:rsidRPr="00D963DA">
        <w:rPr>
          <w:rFonts w:ascii="Arial" w:hAnsi="Arial" w:cs="Arial"/>
          <w:b/>
          <w:sz w:val="24"/>
          <w:szCs w:val="24"/>
        </w:rPr>
        <w:br w:type="page"/>
      </w:r>
    </w:p>
    <w:p w14:paraId="52A87E2D" w14:textId="77777777" w:rsidR="000D50CB" w:rsidRPr="00D963DA" w:rsidRDefault="000D50CB" w:rsidP="00D963DA">
      <w:pPr>
        <w:pStyle w:val="Heading1"/>
        <w:spacing w:line="360" w:lineRule="auto"/>
        <w:jc w:val="both"/>
        <w:rPr>
          <w:rFonts w:ascii="Arial" w:hAnsi="Arial" w:cs="Arial"/>
          <w:b/>
          <w:color w:val="auto"/>
          <w:sz w:val="24"/>
          <w:szCs w:val="24"/>
        </w:rPr>
      </w:pPr>
      <w:bookmarkStart w:id="10" w:name="_Toc234747798"/>
      <w:bookmarkStart w:id="11" w:name="_Toc235544016"/>
      <w:r w:rsidRPr="00D963DA">
        <w:rPr>
          <w:rFonts w:ascii="Arial" w:hAnsi="Arial" w:cs="Arial"/>
          <w:b/>
          <w:color w:val="auto"/>
          <w:sz w:val="24"/>
          <w:szCs w:val="24"/>
        </w:rPr>
        <w:lastRenderedPageBreak/>
        <w:t>2. Working Capital Management Analysis</w:t>
      </w:r>
      <w:bookmarkEnd w:id="10"/>
      <w:bookmarkEnd w:id="11"/>
      <w:r w:rsidRPr="00D963DA">
        <w:rPr>
          <w:rFonts w:ascii="Arial" w:hAnsi="Arial" w:cs="Arial"/>
          <w:b/>
          <w:color w:val="auto"/>
          <w:sz w:val="24"/>
          <w:szCs w:val="24"/>
        </w:rPr>
        <w:t xml:space="preserve"> </w:t>
      </w:r>
    </w:p>
    <w:p w14:paraId="24FD54E6" w14:textId="77777777" w:rsidR="000D50CB" w:rsidRPr="00D963DA" w:rsidRDefault="00162F43" w:rsidP="00D963DA">
      <w:pPr>
        <w:pStyle w:val="Heading2"/>
        <w:spacing w:line="360" w:lineRule="auto"/>
        <w:jc w:val="both"/>
        <w:rPr>
          <w:rFonts w:ascii="Arial" w:hAnsi="Arial" w:cs="Arial"/>
          <w:b/>
          <w:color w:val="auto"/>
          <w:sz w:val="24"/>
          <w:szCs w:val="24"/>
        </w:rPr>
      </w:pPr>
      <w:bookmarkStart w:id="12" w:name="_Toc234747799"/>
      <w:bookmarkStart w:id="13" w:name="_Toc235544017"/>
      <w:r w:rsidRPr="00D963DA">
        <w:rPr>
          <w:rFonts w:ascii="Arial" w:hAnsi="Arial" w:cs="Arial"/>
          <w:b/>
          <w:color w:val="auto"/>
          <w:sz w:val="24"/>
          <w:szCs w:val="24"/>
        </w:rPr>
        <w:t xml:space="preserve">2.1 </w:t>
      </w:r>
      <w:r w:rsidR="000D50CB" w:rsidRPr="00D963DA">
        <w:rPr>
          <w:rFonts w:ascii="Arial" w:hAnsi="Arial" w:cs="Arial"/>
          <w:b/>
          <w:color w:val="auto"/>
          <w:sz w:val="24"/>
          <w:szCs w:val="24"/>
        </w:rPr>
        <w:t>Cash operating cycle</w:t>
      </w:r>
      <w:bookmarkEnd w:id="12"/>
      <w:bookmarkEnd w:id="13"/>
    </w:p>
    <w:p w14:paraId="25AEB926" w14:textId="77777777" w:rsidR="00883EA6" w:rsidRPr="00D963DA" w:rsidRDefault="00883EA6" w:rsidP="00D963DA">
      <w:pPr>
        <w:spacing w:line="360" w:lineRule="auto"/>
        <w:jc w:val="both"/>
        <w:rPr>
          <w:rFonts w:ascii="Arial" w:hAnsi="Arial" w:cs="Arial"/>
          <w:b/>
          <w:sz w:val="24"/>
          <w:szCs w:val="24"/>
        </w:rPr>
      </w:pPr>
      <w:r w:rsidRPr="00D963DA">
        <w:rPr>
          <w:rFonts w:ascii="Arial" w:hAnsi="Arial" w:cs="Arial"/>
          <w:b/>
          <w:sz w:val="24"/>
          <w:szCs w:val="24"/>
        </w:rPr>
        <w:t>Cash Operating Cycle</w:t>
      </w:r>
    </w:p>
    <w:tbl>
      <w:tblPr>
        <w:tblStyle w:val="TableGrid"/>
        <w:tblW w:w="8642" w:type="dxa"/>
        <w:tblLook w:val="04A0" w:firstRow="1" w:lastRow="0" w:firstColumn="1" w:lastColumn="0" w:noHBand="0" w:noVBand="1"/>
      </w:tblPr>
      <w:tblGrid>
        <w:gridCol w:w="3619"/>
        <w:gridCol w:w="1273"/>
        <w:gridCol w:w="750"/>
        <w:gridCol w:w="750"/>
        <w:gridCol w:w="750"/>
        <w:gridCol w:w="750"/>
        <w:gridCol w:w="750"/>
      </w:tblGrid>
      <w:tr w:rsidR="00B46C3B" w:rsidRPr="00B46C3B" w14:paraId="35F367A5" w14:textId="77777777" w:rsidTr="00B46C3B">
        <w:trPr>
          <w:trHeight w:val="266"/>
        </w:trPr>
        <w:tc>
          <w:tcPr>
            <w:tcW w:w="0" w:type="auto"/>
            <w:hideMark/>
          </w:tcPr>
          <w:p w14:paraId="3B01A61F"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Particulars</w:t>
            </w:r>
          </w:p>
        </w:tc>
        <w:tc>
          <w:tcPr>
            <w:tcW w:w="0" w:type="auto"/>
            <w:hideMark/>
          </w:tcPr>
          <w:p w14:paraId="494EB965"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Details</w:t>
            </w:r>
          </w:p>
        </w:tc>
        <w:tc>
          <w:tcPr>
            <w:tcW w:w="0" w:type="auto"/>
            <w:hideMark/>
          </w:tcPr>
          <w:p w14:paraId="6C2B3221"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2021</w:t>
            </w:r>
          </w:p>
        </w:tc>
        <w:tc>
          <w:tcPr>
            <w:tcW w:w="0" w:type="auto"/>
            <w:hideMark/>
          </w:tcPr>
          <w:p w14:paraId="502EFF0B"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2022</w:t>
            </w:r>
          </w:p>
        </w:tc>
        <w:tc>
          <w:tcPr>
            <w:tcW w:w="0" w:type="auto"/>
            <w:hideMark/>
          </w:tcPr>
          <w:p w14:paraId="35FB27EE"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2023</w:t>
            </w:r>
          </w:p>
        </w:tc>
        <w:tc>
          <w:tcPr>
            <w:tcW w:w="0" w:type="auto"/>
            <w:hideMark/>
          </w:tcPr>
          <w:p w14:paraId="7F37B49E"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2024</w:t>
            </w:r>
          </w:p>
        </w:tc>
        <w:tc>
          <w:tcPr>
            <w:tcW w:w="0" w:type="auto"/>
            <w:hideMark/>
          </w:tcPr>
          <w:p w14:paraId="17190577"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2025</w:t>
            </w:r>
          </w:p>
        </w:tc>
      </w:tr>
      <w:tr w:rsidR="00B46C3B" w:rsidRPr="00B46C3B" w14:paraId="6801602B" w14:textId="77777777" w:rsidTr="00B46C3B">
        <w:trPr>
          <w:trHeight w:val="266"/>
        </w:trPr>
        <w:tc>
          <w:tcPr>
            <w:tcW w:w="0" w:type="auto"/>
            <w:hideMark/>
          </w:tcPr>
          <w:p w14:paraId="55DBEE5F"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Inventory Turnover Days</w:t>
            </w:r>
          </w:p>
        </w:tc>
        <w:tc>
          <w:tcPr>
            <w:tcW w:w="0" w:type="auto"/>
            <w:hideMark/>
          </w:tcPr>
          <w:p w14:paraId="71548CA6"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A</w:t>
            </w:r>
          </w:p>
        </w:tc>
        <w:tc>
          <w:tcPr>
            <w:tcW w:w="0" w:type="auto"/>
            <w:hideMark/>
          </w:tcPr>
          <w:p w14:paraId="53A4A9D9"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7</w:t>
            </w:r>
          </w:p>
        </w:tc>
        <w:tc>
          <w:tcPr>
            <w:tcW w:w="0" w:type="auto"/>
            <w:hideMark/>
          </w:tcPr>
          <w:p w14:paraId="6F14D93F"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6</w:t>
            </w:r>
          </w:p>
        </w:tc>
        <w:tc>
          <w:tcPr>
            <w:tcW w:w="0" w:type="auto"/>
            <w:hideMark/>
          </w:tcPr>
          <w:p w14:paraId="0DDF49EA"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6</w:t>
            </w:r>
          </w:p>
        </w:tc>
        <w:tc>
          <w:tcPr>
            <w:tcW w:w="0" w:type="auto"/>
            <w:hideMark/>
          </w:tcPr>
          <w:p w14:paraId="4A234B95"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6</w:t>
            </w:r>
          </w:p>
        </w:tc>
        <w:tc>
          <w:tcPr>
            <w:tcW w:w="0" w:type="auto"/>
            <w:hideMark/>
          </w:tcPr>
          <w:p w14:paraId="47176819"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6</w:t>
            </w:r>
          </w:p>
        </w:tc>
      </w:tr>
      <w:tr w:rsidR="00B46C3B" w:rsidRPr="00B46C3B" w14:paraId="531ADEDE" w14:textId="77777777" w:rsidTr="00B46C3B">
        <w:trPr>
          <w:trHeight w:val="255"/>
        </w:trPr>
        <w:tc>
          <w:tcPr>
            <w:tcW w:w="0" w:type="auto"/>
            <w:hideMark/>
          </w:tcPr>
          <w:p w14:paraId="17D350B4"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Receivables Turnover Days</w:t>
            </w:r>
          </w:p>
        </w:tc>
        <w:tc>
          <w:tcPr>
            <w:tcW w:w="0" w:type="auto"/>
            <w:hideMark/>
          </w:tcPr>
          <w:p w14:paraId="20CBBF44"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B</w:t>
            </w:r>
          </w:p>
        </w:tc>
        <w:tc>
          <w:tcPr>
            <w:tcW w:w="0" w:type="auto"/>
            <w:hideMark/>
          </w:tcPr>
          <w:p w14:paraId="43755E2F"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20</w:t>
            </w:r>
          </w:p>
        </w:tc>
        <w:tc>
          <w:tcPr>
            <w:tcW w:w="0" w:type="auto"/>
            <w:hideMark/>
          </w:tcPr>
          <w:p w14:paraId="08AAF9AF"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15</w:t>
            </w:r>
          </w:p>
        </w:tc>
        <w:tc>
          <w:tcPr>
            <w:tcW w:w="0" w:type="auto"/>
            <w:hideMark/>
          </w:tcPr>
          <w:p w14:paraId="2239626D"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15</w:t>
            </w:r>
          </w:p>
        </w:tc>
        <w:tc>
          <w:tcPr>
            <w:tcW w:w="0" w:type="auto"/>
            <w:hideMark/>
          </w:tcPr>
          <w:p w14:paraId="0E81BDC0"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15</w:t>
            </w:r>
          </w:p>
        </w:tc>
        <w:tc>
          <w:tcPr>
            <w:tcW w:w="0" w:type="auto"/>
            <w:hideMark/>
          </w:tcPr>
          <w:p w14:paraId="22593389"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15</w:t>
            </w:r>
          </w:p>
        </w:tc>
      </w:tr>
      <w:tr w:rsidR="00B46C3B" w:rsidRPr="00B46C3B" w14:paraId="494A13D2" w14:textId="77777777" w:rsidTr="00B46C3B">
        <w:trPr>
          <w:trHeight w:val="266"/>
        </w:trPr>
        <w:tc>
          <w:tcPr>
            <w:tcW w:w="0" w:type="auto"/>
            <w:hideMark/>
          </w:tcPr>
          <w:p w14:paraId="48E4CB28"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Payables Turnover Days</w:t>
            </w:r>
          </w:p>
        </w:tc>
        <w:tc>
          <w:tcPr>
            <w:tcW w:w="0" w:type="auto"/>
            <w:hideMark/>
          </w:tcPr>
          <w:p w14:paraId="0C529593"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C</w:t>
            </w:r>
          </w:p>
        </w:tc>
        <w:tc>
          <w:tcPr>
            <w:tcW w:w="0" w:type="auto"/>
            <w:hideMark/>
          </w:tcPr>
          <w:p w14:paraId="5740EC49"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116</w:t>
            </w:r>
          </w:p>
        </w:tc>
        <w:tc>
          <w:tcPr>
            <w:tcW w:w="0" w:type="auto"/>
            <w:hideMark/>
          </w:tcPr>
          <w:p w14:paraId="70B59C16"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97</w:t>
            </w:r>
          </w:p>
        </w:tc>
        <w:tc>
          <w:tcPr>
            <w:tcW w:w="0" w:type="auto"/>
            <w:hideMark/>
          </w:tcPr>
          <w:p w14:paraId="0231E398"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94</w:t>
            </w:r>
          </w:p>
        </w:tc>
        <w:tc>
          <w:tcPr>
            <w:tcW w:w="0" w:type="auto"/>
            <w:hideMark/>
          </w:tcPr>
          <w:p w14:paraId="4EF4EB66"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95</w:t>
            </w:r>
          </w:p>
        </w:tc>
        <w:tc>
          <w:tcPr>
            <w:tcW w:w="0" w:type="auto"/>
            <w:hideMark/>
          </w:tcPr>
          <w:p w14:paraId="24F79634"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97</w:t>
            </w:r>
          </w:p>
        </w:tc>
      </w:tr>
      <w:tr w:rsidR="00B46C3B" w:rsidRPr="00B46C3B" w14:paraId="61687980" w14:textId="77777777" w:rsidTr="00B46C3B">
        <w:trPr>
          <w:trHeight w:val="266"/>
        </w:trPr>
        <w:tc>
          <w:tcPr>
            <w:tcW w:w="0" w:type="auto"/>
            <w:hideMark/>
          </w:tcPr>
          <w:p w14:paraId="39E72B58"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Cash Conversion Cycle (Days)</w:t>
            </w:r>
          </w:p>
        </w:tc>
        <w:tc>
          <w:tcPr>
            <w:tcW w:w="0" w:type="auto"/>
            <w:hideMark/>
          </w:tcPr>
          <w:p w14:paraId="74769074"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A + B − C</w:t>
            </w:r>
          </w:p>
        </w:tc>
        <w:tc>
          <w:tcPr>
            <w:tcW w:w="0" w:type="auto"/>
            <w:hideMark/>
          </w:tcPr>
          <w:p w14:paraId="0390A8E8"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(89)</w:t>
            </w:r>
          </w:p>
        </w:tc>
        <w:tc>
          <w:tcPr>
            <w:tcW w:w="0" w:type="auto"/>
            <w:hideMark/>
          </w:tcPr>
          <w:p w14:paraId="5FAC7C02"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(76)</w:t>
            </w:r>
          </w:p>
        </w:tc>
        <w:tc>
          <w:tcPr>
            <w:tcW w:w="0" w:type="auto"/>
            <w:hideMark/>
          </w:tcPr>
          <w:p w14:paraId="771E4D9D"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(73)</w:t>
            </w:r>
          </w:p>
        </w:tc>
        <w:tc>
          <w:tcPr>
            <w:tcW w:w="0" w:type="auto"/>
            <w:hideMark/>
          </w:tcPr>
          <w:p w14:paraId="609467A9"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(74)</w:t>
            </w:r>
          </w:p>
        </w:tc>
        <w:tc>
          <w:tcPr>
            <w:tcW w:w="0" w:type="auto"/>
            <w:hideMark/>
          </w:tcPr>
          <w:p w14:paraId="3859A054"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(76)</w:t>
            </w:r>
          </w:p>
        </w:tc>
      </w:tr>
    </w:tbl>
    <w:p w14:paraId="000A0C2E" w14:textId="77777777" w:rsidR="005D2B4F" w:rsidRPr="00E92530" w:rsidRDefault="00E92530" w:rsidP="00E92530">
      <w:pPr>
        <w:spacing w:line="360" w:lineRule="auto"/>
        <w:jc w:val="center"/>
        <w:rPr>
          <w:rFonts w:ascii="Arial" w:hAnsi="Arial" w:cs="Arial"/>
          <w:b/>
          <w:sz w:val="24"/>
          <w:szCs w:val="24"/>
        </w:rPr>
      </w:pPr>
      <w:r w:rsidRPr="00997841">
        <w:rPr>
          <w:rFonts w:ascii="Arial" w:hAnsi="Arial" w:cs="Arial"/>
          <w:b/>
          <w:sz w:val="24"/>
          <w:szCs w:val="24"/>
        </w:rPr>
        <w:t>Table 9: Cash Operating Cycle</w:t>
      </w:r>
    </w:p>
    <w:p w14:paraId="1C81EAAC" w14:textId="77777777" w:rsidR="00E92530" w:rsidRDefault="00E92530" w:rsidP="00E92530">
      <w:pPr>
        <w:spacing w:line="360" w:lineRule="auto"/>
        <w:jc w:val="center"/>
        <w:rPr>
          <w:rFonts w:ascii="Arial" w:hAnsi="Arial" w:cs="Arial"/>
          <w:sz w:val="24"/>
          <w:szCs w:val="24"/>
        </w:rPr>
      </w:pPr>
      <w:r w:rsidRPr="00D963DA">
        <w:rPr>
          <w:rFonts w:ascii="Arial" w:hAnsi="Arial" w:cs="Arial"/>
          <w:noProof/>
          <w:sz w:val="24"/>
          <w:szCs w:val="24"/>
          <w:lang w:val="en-IN" w:eastAsia="en-IN"/>
        </w:rPr>
        <w:drawing>
          <wp:inline distT="0" distB="0" distL="0" distR="0" wp14:anchorId="2665541B" wp14:editId="10531414">
            <wp:extent cx="4572000" cy="2743200"/>
            <wp:effectExtent l="0" t="0" r="0"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F149789" w14:textId="77777777" w:rsidR="00E92530" w:rsidRPr="00997841" w:rsidRDefault="00E92530" w:rsidP="00E92530">
      <w:pPr>
        <w:spacing w:line="360" w:lineRule="auto"/>
        <w:jc w:val="center"/>
        <w:rPr>
          <w:rFonts w:ascii="Arial" w:hAnsi="Arial" w:cs="Arial"/>
          <w:b/>
          <w:sz w:val="24"/>
          <w:szCs w:val="24"/>
        </w:rPr>
      </w:pPr>
      <w:r w:rsidRPr="00997841">
        <w:rPr>
          <w:rFonts w:ascii="Arial" w:hAnsi="Arial" w:cs="Arial"/>
          <w:b/>
          <w:sz w:val="24"/>
          <w:szCs w:val="24"/>
        </w:rPr>
        <w:t>Graph 8: Cash Operating Cycle</w:t>
      </w:r>
    </w:p>
    <w:p w14:paraId="14063C16" w14:textId="77777777" w:rsidR="00E92530" w:rsidRPr="00E92530" w:rsidRDefault="00E92530" w:rsidP="00E92530">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4E3BDF40" w14:textId="77777777" w:rsidR="00883EA6" w:rsidRPr="00D963DA" w:rsidRDefault="00883EA6" w:rsidP="00D963DA">
      <w:pPr>
        <w:spacing w:line="360" w:lineRule="auto"/>
        <w:jc w:val="both"/>
        <w:rPr>
          <w:rFonts w:ascii="Arial" w:hAnsi="Arial" w:cs="Arial"/>
          <w:b/>
          <w:sz w:val="24"/>
          <w:szCs w:val="24"/>
        </w:rPr>
      </w:pPr>
      <w:r w:rsidRPr="00D963DA">
        <w:rPr>
          <w:rFonts w:ascii="Arial" w:hAnsi="Arial" w:cs="Arial"/>
          <w:b/>
          <w:sz w:val="24"/>
          <w:szCs w:val="24"/>
        </w:rPr>
        <w:t>Working Capital</w:t>
      </w:r>
    </w:p>
    <w:tbl>
      <w:tblPr>
        <w:tblStyle w:val="TableGrid"/>
        <w:tblW w:w="0" w:type="auto"/>
        <w:tblLook w:val="04A0" w:firstRow="1" w:lastRow="0" w:firstColumn="1" w:lastColumn="0" w:noHBand="0" w:noVBand="1"/>
      </w:tblPr>
      <w:tblGrid>
        <w:gridCol w:w="1672"/>
        <w:gridCol w:w="1004"/>
        <w:gridCol w:w="1268"/>
        <w:gridCol w:w="1268"/>
        <w:gridCol w:w="1268"/>
        <w:gridCol w:w="1268"/>
        <w:gridCol w:w="1268"/>
      </w:tblGrid>
      <w:tr w:rsidR="00B46C3B" w:rsidRPr="00B46C3B" w14:paraId="79D7F584" w14:textId="77777777" w:rsidTr="00B46C3B">
        <w:tc>
          <w:tcPr>
            <w:tcW w:w="0" w:type="auto"/>
            <w:hideMark/>
          </w:tcPr>
          <w:p w14:paraId="69F06A1F"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Particulars</w:t>
            </w:r>
          </w:p>
        </w:tc>
        <w:tc>
          <w:tcPr>
            <w:tcW w:w="0" w:type="auto"/>
            <w:hideMark/>
          </w:tcPr>
          <w:p w14:paraId="4724193A"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Details</w:t>
            </w:r>
          </w:p>
        </w:tc>
        <w:tc>
          <w:tcPr>
            <w:tcW w:w="0" w:type="auto"/>
            <w:hideMark/>
          </w:tcPr>
          <w:p w14:paraId="4EE8AA79"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2021 (US$m)</w:t>
            </w:r>
          </w:p>
        </w:tc>
        <w:tc>
          <w:tcPr>
            <w:tcW w:w="0" w:type="auto"/>
            <w:hideMark/>
          </w:tcPr>
          <w:p w14:paraId="4EE0CD15"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2022 (US$m)</w:t>
            </w:r>
          </w:p>
        </w:tc>
        <w:tc>
          <w:tcPr>
            <w:tcW w:w="0" w:type="auto"/>
            <w:hideMark/>
          </w:tcPr>
          <w:p w14:paraId="21287267"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2023 (US$m)</w:t>
            </w:r>
          </w:p>
        </w:tc>
        <w:tc>
          <w:tcPr>
            <w:tcW w:w="0" w:type="auto"/>
            <w:hideMark/>
          </w:tcPr>
          <w:p w14:paraId="27B98FBE"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2024 (US$m)</w:t>
            </w:r>
          </w:p>
        </w:tc>
        <w:tc>
          <w:tcPr>
            <w:tcW w:w="0" w:type="auto"/>
            <w:hideMark/>
          </w:tcPr>
          <w:p w14:paraId="14CC39F4" w14:textId="77777777" w:rsidR="00B46C3B" w:rsidRPr="00B46C3B" w:rsidRDefault="00B46C3B" w:rsidP="00D963DA">
            <w:pPr>
              <w:spacing w:line="360" w:lineRule="auto"/>
              <w:jc w:val="both"/>
              <w:rPr>
                <w:rFonts w:ascii="Arial" w:eastAsia="Times New Roman" w:hAnsi="Arial" w:cs="Arial"/>
                <w:b/>
                <w:bCs/>
                <w:sz w:val="24"/>
                <w:szCs w:val="24"/>
                <w:lang w:val="en-IN" w:eastAsia="en-IN"/>
              </w:rPr>
            </w:pPr>
            <w:r w:rsidRPr="00D963DA">
              <w:rPr>
                <w:rFonts w:ascii="Arial" w:eastAsia="Times New Roman" w:hAnsi="Arial" w:cs="Arial"/>
                <w:b/>
                <w:bCs/>
                <w:sz w:val="24"/>
                <w:szCs w:val="24"/>
                <w:lang w:val="en-IN" w:eastAsia="en-IN"/>
              </w:rPr>
              <w:t>2025 (US$m)</w:t>
            </w:r>
          </w:p>
        </w:tc>
      </w:tr>
      <w:tr w:rsidR="00B46C3B" w:rsidRPr="00B46C3B" w14:paraId="33A26D36" w14:textId="77777777" w:rsidTr="00B46C3B">
        <w:tc>
          <w:tcPr>
            <w:tcW w:w="0" w:type="auto"/>
            <w:hideMark/>
          </w:tcPr>
          <w:p w14:paraId="6CF2CBC7"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Current Assets</w:t>
            </w:r>
          </w:p>
        </w:tc>
        <w:tc>
          <w:tcPr>
            <w:tcW w:w="0" w:type="auto"/>
            <w:hideMark/>
          </w:tcPr>
          <w:p w14:paraId="398070D4"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A</w:t>
            </w:r>
          </w:p>
        </w:tc>
        <w:tc>
          <w:tcPr>
            <w:tcW w:w="0" w:type="auto"/>
            <w:hideMark/>
          </w:tcPr>
          <w:p w14:paraId="0F753F46"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3,235</w:t>
            </w:r>
          </w:p>
        </w:tc>
        <w:tc>
          <w:tcPr>
            <w:tcW w:w="0" w:type="auto"/>
            <w:hideMark/>
          </w:tcPr>
          <w:p w14:paraId="20091422"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3,476</w:t>
            </w:r>
          </w:p>
        </w:tc>
        <w:tc>
          <w:tcPr>
            <w:tcW w:w="0" w:type="auto"/>
            <w:hideMark/>
          </w:tcPr>
          <w:p w14:paraId="17561C91"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3,742</w:t>
            </w:r>
          </w:p>
        </w:tc>
        <w:tc>
          <w:tcPr>
            <w:tcW w:w="0" w:type="auto"/>
            <w:hideMark/>
          </w:tcPr>
          <w:p w14:paraId="5D92B3B3"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4,018</w:t>
            </w:r>
          </w:p>
        </w:tc>
        <w:tc>
          <w:tcPr>
            <w:tcW w:w="0" w:type="auto"/>
            <w:hideMark/>
          </w:tcPr>
          <w:p w14:paraId="6004CFBD"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4,284</w:t>
            </w:r>
          </w:p>
        </w:tc>
      </w:tr>
      <w:tr w:rsidR="00B46C3B" w:rsidRPr="00B46C3B" w14:paraId="05A518EE" w14:textId="77777777" w:rsidTr="00B46C3B">
        <w:tc>
          <w:tcPr>
            <w:tcW w:w="0" w:type="auto"/>
            <w:hideMark/>
          </w:tcPr>
          <w:p w14:paraId="79448B81"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Current Liabilities</w:t>
            </w:r>
          </w:p>
        </w:tc>
        <w:tc>
          <w:tcPr>
            <w:tcW w:w="0" w:type="auto"/>
            <w:hideMark/>
          </w:tcPr>
          <w:p w14:paraId="55A8BA5D"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B</w:t>
            </w:r>
          </w:p>
        </w:tc>
        <w:tc>
          <w:tcPr>
            <w:tcW w:w="0" w:type="auto"/>
            <w:hideMark/>
          </w:tcPr>
          <w:p w14:paraId="45026E35"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2,674</w:t>
            </w:r>
          </w:p>
        </w:tc>
        <w:tc>
          <w:tcPr>
            <w:tcW w:w="0" w:type="auto"/>
            <w:hideMark/>
          </w:tcPr>
          <w:p w14:paraId="094ABABA"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2,963</w:t>
            </w:r>
          </w:p>
        </w:tc>
        <w:tc>
          <w:tcPr>
            <w:tcW w:w="0" w:type="auto"/>
            <w:hideMark/>
          </w:tcPr>
          <w:p w14:paraId="12EA3263"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3,090</w:t>
            </w:r>
          </w:p>
        </w:tc>
        <w:tc>
          <w:tcPr>
            <w:tcW w:w="0" w:type="auto"/>
            <w:hideMark/>
          </w:tcPr>
          <w:p w14:paraId="3D9BB803"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3,291</w:t>
            </w:r>
          </w:p>
        </w:tc>
        <w:tc>
          <w:tcPr>
            <w:tcW w:w="0" w:type="auto"/>
            <w:hideMark/>
          </w:tcPr>
          <w:p w14:paraId="19EF1FD6"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B46C3B">
              <w:rPr>
                <w:rFonts w:ascii="Arial" w:eastAsia="Times New Roman" w:hAnsi="Arial" w:cs="Arial"/>
                <w:sz w:val="24"/>
                <w:szCs w:val="24"/>
                <w:lang w:val="en-IN" w:eastAsia="en-IN"/>
              </w:rPr>
              <w:t>3,607</w:t>
            </w:r>
          </w:p>
        </w:tc>
      </w:tr>
      <w:tr w:rsidR="00B46C3B" w:rsidRPr="00B46C3B" w14:paraId="16285CA3" w14:textId="77777777" w:rsidTr="00B46C3B">
        <w:tc>
          <w:tcPr>
            <w:tcW w:w="0" w:type="auto"/>
            <w:hideMark/>
          </w:tcPr>
          <w:p w14:paraId="29BA212D"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lastRenderedPageBreak/>
              <w:t>Working Capital</w:t>
            </w:r>
          </w:p>
        </w:tc>
        <w:tc>
          <w:tcPr>
            <w:tcW w:w="0" w:type="auto"/>
            <w:hideMark/>
          </w:tcPr>
          <w:p w14:paraId="64979675"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A − B</w:t>
            </w:r>
          </w:p>
        </w:tc>
        <w:tc>
          <w:tcPr>
            <w:tcW w:w="0" w:type="auto"/>
            <w:hideMark/>
          </w:tcPr>
          <w:p w14:paraId="267401EA"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561</w:t>
            </w:r>
          </w:p>
        </w:tc>
        <w:tc>
          <w:tcPr>
            <w:tcW w:w="0" w:type="auto"/>
            <w:hideMark/>
          </w:tcPr>
          <w:p w14:paraId="4B7A27B4"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513</w:t>
            </w:r>
          </w:p>
        </w:tc>
        <w:tc>
          <w:tcPr>
            <w:tcW w:w="0" w:type="auto"/>
            <w:hideMark/>
          </w:tcPr>
          <w:p w14:paraId="2851F8FD"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652</w:t>
            </w:r>
          </w:p>
        </w:tc>
        <w:tc>
          <w:tcPr>
            <w:tcW w:w="0" w:type="auto"/>
            <w:hideMark/>
          </w:tcPr>
          <w:p w14:paraId="6BC9B828"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727</w:t>
            </w:r>
          </w:p>
        </w:tc>
        <w:tc>
          <w:tcPr>
            <w:tcW w:w="0" w:type="auto"/>
            <w:hideMark/>
          </w:tcPr>
          <w:p w14:paraId="34AAC3DA" w14:textId="77777777" w:rsidR="00B46C3B" w:rsidRPr="00B46C3B" w:rsidRDefault="00B46C3B" w:rsidP="00D963DA">
            <w:pPr>
              <w:spacing w:line="360" w:lineRule="auto"/>
              <w:jc w:val="both"/>
              <w:rPr>
                <w:rFonts w:ascii="Arial" w:eastAsia="Times New Roman" w:hAnsi="Arial" w:cs="Arial"/>
                <w:sz w:val="24"/>
                <w:szCs w:val="24"/>
                <w:lang w:val="en-IN" w:eastAsia="en-IN"/>
              </w:rPr>
            </w:pPr>
            <w:r w:rsidRPr="00D963DA">
              <w:rPr>
                <w:rFonts w:ascii="Arial" w:eastAsia="Times New Roman" w:hAnsi="Arial" w:cs="Arial"/>
                <w:b/>
                <w:bCs/>
                <w:sz w:val="24"/>
                <w:szCs w:val="24"/>
                <w:lang w:val="en-IN" w:eastAsia="en-IN"/>
              </w:rPr>
              <w:t>677</w:t>
            </w:r>
          </w:p>
        </w:tc>
      </w:tr>
    </w:tbl>
    <w:p w14:paraId="257695E9" w14:textId="77777777" w:rsidR="00883EA6" w:rsidRPr="00E92530" w:rsidRDefault="00E92530" w:rsidP="00E92530">
      <w:pPr>
        <w:spacing w:line="360" w:lineRule="auto"/>
        <w:jc w:val="center"/>
        <w:rPr>
          <w:rFonts w:ascii="Arial" w:hAnsi="Arial" w:cs="Arial"/>
          <w:b/>
          <w:sz w:val="24"/>
          <w:szCs w:val="24"/>
        </w:rPr>
      </w:pPr>
      <w:r w:rsidRPr="00997841">
        <w:rPr>
          <w:rFonts w:ascii="Arial" w:hAnsi="Arial" w:cs="Arial"/>
          <w:b/>
          <w:sz w:val="24"/>
          <w:szCs w:val="24"/>
        </w:rPr>
        <w:t>Table 10: Working Capital</w:t>
      </w:r>
    </w:p>
    <w:p w14:paraId="5161C411" w14:textId="77777777" w:rsidR="00E92530" w:rsidRDefault="00E92530" w:rsidP="00E92530">
      <w:pPr>
        <w:spacing w:line="360" w:lineRule="auto"/>
        <w:jc w:val="center"/>
        <w:rPr>
          <w:rFonts w:ascii="Arial" w:hAnsi="Arial" w:cs="Arial"/>
          <w:sz w:val="24"/>
          <w:szCs w:val="24"/>
        </w:rPr>
      </w:pPr>
      <w:r w:rsidRPr="00D963DA">
        <w:rPr>
          <w:rFonts w:ascii="Arial" w:hAnsi="Arial" w:cs="Arial"/>
          <w:noProof/>
          <w:sz w:val="24"/>
          <w:szCs w:val="24"/>
          <w:lang w:val="en-IN" w:eastAsia="en-IN"/>
        </w:rPr>
        <w:drawing>
          <wp:inline distT="0" distB="0" distL="0" distR="0" wp14:anchorId="359DF78B" wp14:editId="740B0243">
            <wp:extent cx="4572000" cy="2743200"/>
            <wp:effectExtent l="0" t="0" r="0" b="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EAB9166" w14:textId="77777777" w:rsidR="00E92530" w:rsidRPr="00997841" w:rsidRDefault="00E92530" w:rsidP="00E92530">
      <w:pPr>
        <w:spacing w:line="360" w:lineRule="auto"/>
        <w:jc w:val="center"/>
        <w:rPr>
          <w:rFonts w:ascii="Arial" w:hAnsi="Arial" w:cs="Arial"/>
          <w:b/>
          <w:sz w:val="24"/>
          <w:szCs w:val="24"/>
        </w:rPr>
      </w:pPr>
      <w:r w:rsidRPr="00997841">
        <w:rPr>
          <w:rFonts w:ascii="Arial" w:hAnsi="Arial" w:cs="Arial"/>
          <w:b/>
          <w:sz w:val="24"/>
          <w:szCs w:val="24"/>
        </w:rPr>
        <w:t>Graph 9: Working Capital</w:t>
      </w:r>
    </w:p>
    <w:p w14:paraId="06F5CC00" w14:textId="77777777" w:rsidR="00E92530" w:rsidRPr="00D963DA" w:rsidRDefault="00E92530" w:rsidP="00E92530">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1E9FDC97" w14:textId="77777777" w:rsidR="00340DAF" w:rsidRPr="00D963DA" w:rsidRDefault="00340DAF" w:rsidP="00D963DA">
      <w:pPr>
        <w:spacing w:line="360" w:lineRule="auto"/>
        <w:jc w:val="both"/>
        <w:rPr>
          <w:rFonts w:ascii="Arial" w:hAnsi="Arial" w:cs="Arial"/>
          <w:sz w:val="24"/>
          <w:szCs w:val="24"/>
        </w:rPr>
      </w:pPr>
      <w:r w:rsidRPr="00D963DA">
        <w:rPr>
          <w:rFonts w:ascii="Arial" w:hAnsi="Arial" w:cs="Arial"/>
          <w:sz w:val="24"/>
          <w:szCs w:val="24"/>
        </w:rPr>
        <w:t xml:space="preserve">During 2021-2025, Hilton </w:t>
      </w:r>
      <w:proofErr w:type="spellStart"/>
      <w:r w:rsidRPr="00D963DA">
        <w:rPr>
          <w:rFonts w:ascii="Arial" w:hAnsi="Arial" w:cs="Arial"/>
          <w:sz w:val="24"/>
          <w:szCs w:val="24"/>
        </w:rPr>
        <w:t>Worldwide's</w:t>
      </w:r>
      <w:proofErr w:type="spellEnd"/>
      <w:r w:rsidRPr="00D963DA">
        <w:rPr>
          <w:rFonts w:ascii="Arial" w:hAnsi="Arial" w:cs="Arial"/>
          <w:sz w:val="24"/>
          <w:szCs w:val="24"/>
        </w:rPr>
        <w:t xml:space="preserve"> cash operating cycle remained efficient, as a result of the asset-light nature of its business and effective working capital management. Overall, the company had a negative cash conversion cycle of −89 days in 2021 to −76 days in 2025, meaning that Hilton gets cash from customers before payment is due to suppliers. It is a good position since the company can finance a large part of its operations from suppliers, instead of having to obtain financing from outside</w:t>
      </w:r>
      <w:r w:rsidR="00BA6EE6">
        <w:rPr>
          <w:rFonts w:ascii="Arial" w:hAnsi="Arial" w:cs="Arial"/>
          <w:sz w:val="24"/>
          <w:szCs w:val="24"/>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2025k)</w:t>
      </w:r>
      <w:r w:rsidRPr="00D963DA">
        <w:rPr>
          <w:rFonts w:ascii="Arial" w:hAnsi="Arial" w:cs="Arial"/>
          <w:sz w:val="24"/>
          <w:szCs w:val="24"/>
        </w:rPr>
        <w:t>. The inventory turnover period of 6 to 7 days has remained at a low level, which indicates low invent</w:t>
      </w:r>
      <w:r w:rsidR="00334A86" w:rsidRPr="00D963DA">
        <w:rPr>
          <w:rFonts w:ascii="Arial" w:hAnsi="Arial" w:cs="Arial"/>
          <w:sz w:val="24"/>
          <w:szCs w:val="24"/>
        </w:rPr>
        <w:t>ory needs of the hotel industry.</w:t>
      </w:r>
      <w:r w:rsidRPr="00D963DA">
        <w:rPr>
          <w:rFonts w:ascii="Arial" w:hAnsi="Arial" w:cs="Arial"/>
          <w:sz w:val="24"/>
          <w:szCs w:val="24"/>
        </w:rPr>
        <w:t xml:space="preserve"> The receivables turnover period decreased from 20 days to around 15 days, which indicates that outstanding receivables were collected more quickly and a more efficient cash management process was established. Meanwhile, payables turnover stayed within reasonable limits (94–116 days), helping Hilton to manage its suppliers' credit without compromising on the operational side.</w:t>
      </w:r>
    </w:p>
    <w:p w14:paraId="75DE565B" w14:textId="77777777" w:rsidR="00340DAF" w:rsidRPr="00D963DA" w:rsidRDefault="00340DAF" w:rsidP="00D963DA">
      <w:pPr>
        <w:spacing w:line="360" w:lineRule="auto"/>
        <w:jc w:val="both"/>
        <w:rPr>
          <w:rFonts w:ascii="Arial" w:hAnsi="Arial" w:cs="Arial"/>
          <w:sz w:val="24"/>
          <w:szCs w:val="24"/>
        </w:rPr>
      </w:pPr>
      <w:r w:rsidRPr="00D963DA">
        <w:rPr>
          <w:rFonts w:ascii="Arial" w:hAnsi="Arial" w:cs="Arial"/>
          <w:sz w:val="24"/>
          <w:szCs w:val="24"/>
        </w:rPr>
        <w:t xml:space="preserve">Meanwhile, despite an increase in current liabilities tied to Hilton's global growth, the company's working capital remained positive throughout the five-year period, growing from US$561 million in 2021 to US$677 million in 2025. Current assets showed an </w:t>
      </w:r>
      <w:r w:rsidRPr="00D963DA">
        <w:rPr>
          <w:rFonts w:ascii="Arial" w:hAnsi="Arial" w:cs="Arial"/>
          <w:sz w:val="24"/>
          <w:szCs w:val="24"/>
        </w:rPr>
        <w:lastRenderedPageBreak/>
        <w:t xml:space="preserve">overall increase matching the short-term obligations, thus maintaining a good liquidity position and ensuring the company's capacity to </w:t>
      </w:r>
      <w:proofErr w:type="spellStart"/>
      <w:r w:rsidRPr="00D963DA">
        <w:rPr>
          <w:rFonts w:ascii="Arial" w:hAnsi="Arial" w:cs="Arial"/>
          <w:sz w:val="24"/>
          <w:szCs w:val="24"/>
        </w:rPr>
        <w:t>fulfill</w:t>
      </w:r>
      <w:proofErr w:type="spellEnd"/>
      <w:r w:rsidRPr="00D963DA">
        <w:rPr>
          <w:rFonts w:ascii="Arial" w:hAnsi="Arial" w:cs="Arial"/>
          <w:sz w:val="24"/>
          <w:szCs w:val="24"/>
        </w:rPr>
        <w:t xml:space="preserve"> short-run demands. Overall, the negative cash conversion cycle, positive working capital, and strong operating cash flows indicate that Hilton has managed its working capital and has performed financially well</w:t>
      </w:r>
      <w:r w:rsidR="00BA6EE6">
        <w:rPr>
          <w:rFonts w:ascii="Arial" w:hAnsi="Arial" w:cs="Arial"/>
          <w:sz w:val="24"/>
          <w:szCs w:val="24"/>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2025l)</w:t>
      </w:r>
      <w:r w:rsidRPr="00D963DA">
        <w:rPr>
          <w:rFonts w:ascii="Arial" w:hAnsi="Arial" w:cs="Arial"/>
          <w:sz w:val="24"/>
          <w:szCs w:val="24"/>
        </w:rPr>
        <w:t xml:space="preserve">. </w:t>
      </w:r>
    </w:p>
    <w:p w14:paraId="6DA3E887" w14:textId="77777777" w:rsidR="000D50CB" w:rsidRPr="00D963DA" w:rsidRDefault="00162F43" w:rsidP="00D963DA">
      <w:pPr>
        <w:pStyle w:val="Heading2"/>
        <w:spacing w:line="360" w:lineRule="auto"/>
        <w:jc w:val="both"/>
        <w:rPr>
          <w:rFonts w:ascii="Arial" w:hAnsi="Arial" w:cs="Arial"/>
          <w:b/>
          <w:color w:val="auto"/>
          <w:sz w:val="24"/>
          <w:szCs w:val="24"/>
        </w:rPr>
      </w:pPr>
      <w:bookmarkStart w:id="14" w:name="_Toc234747800"/>
      <w:bookmarkStart w:id="15" w:name="_Toc235544018"/>
      <w:r w:rsidRPr="00D963DA">
        <w:rPr>
          <w:rFonts w:ascii="Arial" w:hAnsi="Arial" w:cs="Arial"/>
          <w:b/>
          <w:color w:val="auto"/>
          <w:sz w:val="24"/>
          <w:szCs w:val="24"/>
        </w:rPr>
        <w:t xml:space="preserve">2.2 </w:t>
      </w:r>
      <w:r w:rsidR="000D50CB" w:rsidRPr="00D963DA">
        <w:rPr>
          <w:rFonts w:ascii="Arial" w:hAnsi="Arial" w:cs="Arial"/>
          <w:b/>
          <w:color w:val="auto"/>
          <w:sz w:val="24"/>
          <w:szCs w:val="24"/>
        </w:rPr>
        <w:t>Strategies to improve liquidity through working capital reforms</w:t>
      </w:r>
      <w:bookmarkEnd w:id="14"/>
      <w:bookmarkEnd w:id="15"/>
    </w:p>
    <w:p w14:paraId="441C6C78" w14:textId="77777777" w:rsidR="00340DAF" w:rsidRPr="00D963DA" w:rsidRDefault="00340DAF" w:rsidP="00D963DA">
      <w:pPr>
        <w:spacing w:line="360" w:lineRule="auto"/>
        <w:jc w:val="both"/>
        <w:rPr>
          <w:rFonts w:ascii="Arial" w:hAnsi="Arial" w:cs="Arial"/>
          <w:b/>
          <w:sz w:val="24"/>
          <w:szCs w:val="24"/>
        </w:rPr>
      </w:pPr>
      <w:r w:rsidRPr="00D963DA">
        <w:rPr>
          <w:rFonts w:ascii="Arial" w:hAnsi="Arial" w:cs="Arial"/>
          <w:b/>
          <w:sz w:val="24"/>
          <w:szCs w:val="24"/>
        </w:rPr>
        <w:t>Strengthen Cash Collection Processes</w:t>
      </w:r>
    </w:p>
    <w:p w14:paraId="117A00F4" w14:textId="77777777" w:rsidR="00340DAF" w:rsidRPr="00D963DA" w:rsidRDefault="00340DAF" w:rsidP="00BA6EE6">
      <w:pPr>
        <w:spacing w:line="360" w:lineRule="auto"/>
        <w:jc w:val="both"/>
        <w:rPr>
          <w:rFonts w:ascii="Arial" w:hAnsi="Arial" w:cs="Arial"/>
          <w:sz w:val="24"/>
          <w:szCs w:val="24"/>
        </w:rPr>
      </w:pPr>
      <w:r w:rsidRPr="00D963DA">
        <w:rPr>
          <w:rStyle w:val="cursor-pointer"/>
          <w:rFonts w:ascii="Arial" w:hAnsi="Arial" w:cs="Arial"/>
          <w:sz w:val="24"/>
          <w:szCs w:val="24"/>
        </w:rPr>
        <w:t>To improve the digital payment systems and receivables management at Hilton, the company should enhance its automated billing and AI forecasting cash flow and real-time payment monitoring capabilities</w:t>
      </w:r>
      <w:r w:rsidR="00BA6EE6">
        <w:rPr>
          <w:rStyle w:val="cursor-pointer"/>
          <w:rFonts w:ascii="Arial" w:hAnsi="Arial" w:cs="Arial"/>
        </w:rPr>
        <w:t xml:space="preserve"> </w:t>
      </w:r>
      <w:r w:rsidR="00BA6EE6" w:rsidRPr="00B34CAC">
        <w:rPr>
          <w:rFonts w:ascii="Arial" w:hAnsi="Arial" w:cs="Arial"/>
          <w:sz w:val="24"/>
          <w:szCs w:val="24"/>
        </w:rPr>
        <w:t>(Hilton Worldwi</w:t>
      </w:r>
      <w:r w:rsidR="00BA6EE6">
        <w:rPr>
          <w:rFonts w:ascii="Arial" w:hAnsi="Arial" w:cs="Arial"/>
          <w:sz w:val="24"/>
          <w:szCs w:val="24"/>
        </w:rPr>
        <w:t>de Holdings Inc., 2026a)</w:t>
      </w:r>
      <w:r w:rsidRPr="00D963DA">
        <w:rPr>
          <w:rStyle w:val="cursor-pointer"/>
          <w:rFonts w:ascii="Arial" w:hAnsi="Arial" w:cs="Arial"/>
          <w:sz w:val="24"/>
          <w:szCs w:val="24"/>
        </w:rPr>
        <w:t>.</w:t>
      </w:r>
      <w:r w:rsidRPr="00D963DA">
        <w:rPr>
          <w:rFonts w:ascii="Arial" w:hAnsi="Arial" w:cs="Arial"/>
          <w:sz w:val="24"/>
          <w:szCs w:val="24"/>
        </w:rPr>
        <w:t xml:space="preserve"> </w:t>
      </w:r>
      <w:r w:rsidRPr="00D963DA">
        <w:rPr>
          <w:rStyle w:val="cursor-pointer"/>
          <w:rFonts w:ascii="Arial" w:hAnsi="Arial" w:cs="Arial"/>
          <w:sz w:val="24"/>
          <w:szCs w:val="24"/>
        </w:rPr>
        <w:t>The business has a relatively low receivable days of the turnover, the collection efficiency of the business can be further improved, and the cash flow can be accelerated, the liquidity can be enhanced, and the business can be reduced to short-term financing.</w:t>
      </w:r>
    </w:p>
    <w:p w14:paraId="10833D73" w14:textId="77777777" w:rsidR="00340DAF" w:rsidRPr="00D963DA" w:rsidRDefault="00340DAF" w:rsidP="00D963DA">
      <w:pPr>
        <w:spacing w:line="360" w:lineRule="auto"/>
        <w:jc w:val="both"/>
        <w:rPr>
          <w:rFonts w:ascii="Arial" w:hAnsi="Arial" w:cs="Arial"/>
          <w:b/>
          <w:sz w:val="24"/>
          <w:szCs w:val="24"/>
        </w:rPr>
      </w:pPr>
      <w:r w:rsidRPr="00D963DA">
        <w:rPr>
          <w:rFonts w:ascii="Arial" w:hAnsi="Arial" w:cs="Arial"/>
          <w:b/>
          <w:sz w:val="24"/>
          <w:szCs w:val="24"/>
        </w:rPr>
        <w:t>Optimise Supplier Payment Management</w:t>
      </w:r>
    </w:p>
    <w:p w14:paraId="15D93015" w14:textId="77777777" w:rsidR="00340DAF" w:rsidRPr="00D963DA" w:rsidRDefault="00340DAF" w:rsidP="00D963DA">
      <w:pPr>
        <w:pStyle w:val="NormalWeb"/>
        <w:spacing w:line="360" w:lineRule="auto"/>
        <w:jc w:val="both"/>
        <w:rPr>
          <w:rFonts w:ascii="Arial" w:hAnsi="Arial" w:cs="Arial"/>
        </w:rPr>
      </w:pPr>
      <w:r w:rsidRPr="00D963DA">
        <w:rPr>
          <w:rStyle w:val="cursor-pointer"/>
          <w:rFonts w:ascii="Arial" w:hAnsi="Arial" w:cs="Arial"/>
        </w:rPr>
        <w:t>Hilton should negotiate the best prices with suppliers, and have good supplier relationships.</w:t>
      </w:r>
      <w:r w:rsidRPr="00D963DA">
        <w:rPr>
          <w:rFonts w:ascii="Arial" w:hAnsi="Arial" w:cs="Arial"/>
        </w:rPr>
        <w:t xml:space="preserve"> </w:t>
      </w:r>
      <w:r w:rsidRPr="00D963DA">
        <w:rPr>
          <w:rStyle w:val="cursor-pointer"/>
          <w:rFonts w:ascii="Arial" w:hAnsi="Arial" w:cs="Arial"/>
        </w:rPr>
        <w:t>Carefully lengthening payments where commercially appropriate will not threaten the operations of the business but will help to maintain cash in the business.</w:t>
      </w:r>
      <w:r w:rsidRPr="00D963DA">
        <w:rPr>
          <w:rFonts w:ascii="Arial" w:hAnsi="Arial" w:cs="Arial"/>
        </w:rPr>
        <w:t xml:space="preserve"> </w:t>
      </w:r>
      <w:r w:rsidRPr="00D963DA">
        <w:rPr>
          <w:rStyle w:val="cursor-pointer"/>
          <w:rFonts w:ascii="Arial" w:hAnsi="Arial" w:cs="Arial"/>
        </w:rPr>
        <w:t>In the case of Hilton, where the cash conversion cycle is consistently negative, efficient control of supplier credit is an important liquidity management tactic.</w:t>
      </w:r>
      <w:r w:rsidRPr="00D963DA">
        <w:rPr>
          <w:rFonts w:ascii="Arial" w:hAnsi="Arial" w:cs="Arial"/>
        </w:rPr>
        <w:t xml:space="preserve"> </w:t>
      </w:r>
      <w:r w:rsidRPr="00D963DA">
        <w:rPr>
          <w:rStyle w:val="cursor-pointer"/>
          <w:rFonts w:ascii="Arial" w:hAnsi="Arial" w:cs="Arial"/>
        </w:rPr>
        <w:t>Improve Cash Forecasts &amp; Cash Treasury Management.</w:t>
      </w:r>
    </w:p>
    <w:p w14:paraId="48165E29" w14:textId="77777777" w:rsidR="00340DAF" w:rsidRPr="00D963DA" w:rsidRDefault="00340DAF" w:rsidP="00D963DA">
      <w:pPr>
        <w:spacing w:line="360" w:lineRule="auto"/>
        <w:jc w:val="both"/>
        <w:rPr>
          <w:rFonts w:ascii="Arial" w:hAnsi="Arial" w:cs="Arial"/>
          <w:b/>
          <w:sz w:val="24"/>
          <w:szCs w:val="24"/>
        </w:rPr>
      </w:pPr>
      <w:r w:rsidRPr="00D963DA">
        <w:rPr>
          <w:rFonts w:ascii="Arial" w:hAnsi="Arial" w:cs="Arial"/>
          <w:b/>
          <w:sz w:val="24"/>
          <w:szCs w:val="24"/>
        </w:rPr>
        <w:t>Enhance Cash Forecasting and Treasury Management</w:t>
      </w:r>
    </w:p>
    <w:p w14:paraId="1D271E24" w14:textId="77777777" w:rsidR="00340DAF" w:rsidRPr="00D963DA" w:rsidRDefault="00340DAF" w:rsidP="00BA6EE6">
      <w:pPr>
        <w:spacing w:line="360" w:lineRule="auto"/>
        <w:jc w:val="both"/>
        <w:rPr>
          <w:rFonts w:ascii="Arial" w:hAnsi="Arial" w:cs="Arial"/>
          <w:sz w:val="24"/>
          <w:szCs w:val="24"/>
        </w:rPr>
      </w:pPr>
      <w:r w:rsidRPr="00D963DA">
        <w:rPr>
          <w:rStyle w:val="cursor-pointer"/>
          <w:rFonts w:ascii="Arial" w:hAnsi="Arial" w:cs="Arial"/>
          <w:sz w:val="24"/>
          <w:szCs w:val="24"/>
        </w:rPr>
        <w:t>The adoption of more sophisticated treasury management solutions and predictive analytics would enhance the short-term cash forecasting process and help cash resources be deployed more effectively throughout the global business</w:t>
      </w:r>
      <w:r w:rsidR="00BA6EE6">
        <w:rPr>
          <w:rStyle w:val="cursor-pointer"/>
          <w:rFonts w:ascii="Arial" w:hAnsi="Arial" w:cs="Arial"/>
        </w:rPr>
        <w:t xml:space="preserve"> </w:t>
      </w:r>
      <w:r w:rsidR="00BA6EE6" w:rsidRPr="00B34CAC">
        <w:rPr>
          <w:rFonts w:ascii="Arial" w:hAnsi="Arial" w:cs="Arial"/>
          <w:sz w:val="24"/>
          <w:szCs w:val="24"/>
        </w:rPr>
        <w:t xml:space="preserve">(Hilton </w:t>
      </w:r>
      <w:r w:rsidR="00BA6EE6">
        <w:rPr>
          <w:rFonts w:ascii="Arial" w:hAnsi="Arial" w:cs="Arial"/>
          <w:sz w:val="24"/>
          <w:szCs w:val="24"/>
        </w:rPr>
        <w:t>Worldwide Holdings Inc., 2025m)</w:t>
      </w:r>
      <w:r w:rsidRPr="00D963DA">
        <w:rPr>
          <w:rStyle w:val="cursor-pointer"/>
          <w:rFonts w:ascii="Arial" w:hAnsi="Arial" w:cs="Arial"/>
          <w:sz w:val="24"/>
          <w:szCs w:val="24"/>
        </w:rPr>
        <w:t>.</w:t>
      </w:r>
      <w:r w:rsidRPr="00D963DA">
        <w:rPr>
          <w:rFonts w:ascii="Arial" w:hAnsi="Arial" w:cs="Arial"/>
          <w:sz w:val="24"/>
          <w:szCs w:val="24"/>
        </w:rPr>
        <w:t xml:space="preserve"> </w:t>
      </w:r>
      <w:r w:rsidRPr="00D963DA">
        <w:rPr>
          <w:rStyle w:val="cursor-pointer"/>
          <w:rFonts w:ascii="Arial" w:hAnsi="Arial" w:cs="Arial"/>
          <w:sz w:val="24"/>
          <w:szCs w:val="24"/>
        </w:rPr>
        <w:t>Centralised cash management would enable Hilton to better manage excess cash holdings, minimise idle cash and enhance liquidity when there is an economic downturn or during fluctuations in travel demand.</w:t>
      </w:r>
    </w:p>
    <w:p w14:paraId="00BC1D5B" w14:textId="77777777" w:rsidR="000D50CB" w:rsidRPr="00D963DA" w:rsidRDefault="00162F43" w:rsidP="00D963DA">
      <w:pPr>
        <w:pStyle w:val="Heading2"/>
        <w:spacing w:line="360" w:lineRule="auto"/>
        <w:jc w:val="both"/>
        <w:rPr>
          <w:rFonts w:ascii="Arial" w:hAnsi="Arial" w:cs="Arial"/>
          <w:b/>
          <w:color w:val="auto"/>
          <w:sz w:val="24"/>
          <w:szCs w:val="24"/>
        </w:rPr>
      </w:pPr>
      <w:bookmarkStart w:id="16" w:name="_Toc234747801"/>
      <w:bookmarkStart w:id="17" w:name="_Toc235544019"/>
      <w:r w:rsidRPr="00D963DA">
        <w:rPr>
          <w:rFonts w:ascii="Arial" w:hAnsi="Arial" w:cs="Arial"/>
          <w:b/>
          <w:color w:val="auto"/>
          <w:sz w:val="24"/>
          <w:szCs w:val="24"/>
        </w:rPr>
        <w:t xml:space="preserve">2.3 </w:t>
      </w:r>
      <w:r w:rsidR="000D50CB" w:rsidRPr="00D963DA">
        <w:rPr>
          <w:rFonts w:ascii="Arial" w:hAnsi="Arial" w:cs="Arial"/>
          <w:b/>
          <w:color w:val="auto"/>
          <w:sz w:val="24"/>
          <w:szCs w:val="24"/>
        </w:rPr>
        <w:t>Short-term vs long-term financing options</w:t>
      </w:r>
      <w:bookmarkEnd w:id="16"/>
      <w:bookmarkEnd w:id="17"/>
    </w:p>
    <w:p w14:paraId="4BBECA1B" w14:textId="77777777" w:rsidR="00340DAF" w:rsidRPr="00D963DA" w:rsidRDefault="00340DAF" w:rsidP="00D963DA">
      <w:pPr>
        <w:spacing w:line="360" w:lineRule="auto"/>
        <w:jc w:val="both"/>
        <w:rPr>
          <w:rFonts w:ascii="Arial" w:hAnsi="Arial" w:cs="Arial"/>
          <w:b/>
          <w:sz w:val="24"/>
          <w:szCs w:val="24"/>
        </w:rPr>
      </w:pPr>
      <w:r w:rsidRPr="00D963DA">
        <w:rPr>
          <w:rFonts w:ascii="Arial" w:hAnsi="Arial" w:cs="Arial"/>
          <w:b/>
          <w:sz w:val="24"/>
          <w:szCs w:val="24"/>
        </w:rPr>
        <w:t>Short-Term Financing</w:t>
      </w:r>
    </w:p>
    <w:p w14:paraId="715C416D" w14:textId="77777777" w:rsidR="00340DAF" w:rsidRPr="00D963DA" w:rsidRDefault="00340DAF" w:rsidP="00BA6EE6">
      <w:pPr>
        <w:spacing w:line="360" w:lineRule="auto"/>
        <w:jc w:val="both"/>
        <w:rPr>
          <w:rFonts w:ascii="Arial" w:hAnsi="Arial" w:cs="Arial"/>
          <w:sz w:val="24"/>
          <w:szCs w:val="24"/>
        </w:rPr>
      </w:pPr>
      <w:r w:rsidRPr="00D963DA">
        <w:rPr>
          <w:rFonts w:ascii="Arial" w:hAnsi="Arial" w:cs="Arial"/>
          <w:sz w:val="24"/>
          <w:szCs w:val="24"/>
        </w:rPr>
        <w:lastRenderedPageBreak/>
        <w:t>Short-term financing is a source of immediate liquidity for Hilton, which will help them meet their daily operations, seasonal variations, and temporary working capital needs. They include revolving credit facilities, bank overdrafts, the issuance of trade and commercial paper from suppliers. Usually, these are the more cost-efficient and very flexible financing solutions which allow Hilton to function his negative cash conversion cycle without having too much cash on hand</w:t>
      </w:r>
      <w:r w:rsidR="00BA6EE6">
        <w:rPr>
          <w:rFonts w:ascii="Arial" w:hAnsi="Arial" w:cs="Arial"/>
        </w:rPr>
        <w:t xml:space="preserve"> </w:t>
      </w:r>
      <w:r w:rsidR="00BA6EE6" w:rsidRPr="00B34CAC">
        <w:rPr>
          <w:rFonts w:ascii="Arial" w:hAnsi="Arial" w:cs="Arial"/>
          <w:sz w:val="24"/>
          <w:szCs w:val="24"/>
        </w:rPr>
        <w:t xml:space="preserve">(U.S. Securities </w:t>
      </w:r>
      <w:r w:rsidR="00BA6EE6">
        <w:rPr>
          <w:rFonts w:ascii="Arial" w:hAnsi="Arial" w:cs="Arial"/>
          <w:sz w:val="24"/>
          <w:szCs w:val="24"/>
        </w:rPr>
        <w:t>and Exchange Commission, 2025b)</w:t>
      </w:r>
      <w:r w:rsidRPr="00D963DA">
        <w:rPr>
          <w:rFonts w:ascii="Arial" w:hAnsi="Arial" w:cs="Arial"/>
          <w:sz w:val="24"/>
          <w:szCs w:val="24"/>
        </w:rPr>
        <w:t xml:space="preserve">. But excessive borrowing from short-term creditors could leave the company vulnerable to refinancing risk, fluctuations in interest rates, and loss of liquidity if the global travel demand slows down or if there are economic crises. </w:t>
      </w:r>
    </w:p>
    <w:p w14:paraId="7B46F32C" w14:textId="77777777" w:rsidR="00340DAF" w:rsidRPr="00D963DA" w:rsidRDefault="00340DAF" w:rsidP="00D963DA">
      <w:pPr>
        <w:spacing w:line="360" w:lineRule="auto"/>
        <w:jc w:val="both"/>
        <w:rPr>
          <w:rFonts w:ascii="Arial" w:hAnsi="Arial" w:cs="Arial"/>
          <w:b/>
          <w:sz w:val="24"/>
          <w:szCs w:val="24"/>
        </w:rPr>
      </w:pPr>
      <w:r w:rsidRPr="00D963DA">
        <w:rPr>
          <w:rFonts w:ascii="Arial" w:hAnsi="Arial" w:cs="Arial"/>
          <w:b/>
          <w:sz w:val="24"/>
          <w:szCs w:val="24"/>
        </w:rPr>
        <w:t>Long-Term Financing</w:t>
      </w:r>
    </w:p>
    <w:p w14:paraId="6BEBD37F" w14:textId="77777777" w:rsidR="00340DAF" w:rsidRPr="00D963DA" w:rsidRDefault="00340DAF" w:rsidP="00BA6EE6">
      <w:pPr>
        <w:spacing w:line="360" w:lineRule="auto"/>
        <w:jc w:val="both"/>
        <w:rPr>
          <w:rFonts w:ascii="Arial" w:hAnsi="Arial" w:cs="Arial"/>
          <w:sz w:val="24"/>
          <w:szCs w:val="24"/>
        </w:rPr>
      </w:pPr>
      <w:r w:rsidRPr="00D963DA">
        <w:rPr>
          <w:rFonts w:ascii="Arial" w:hAnsi="Arial" w:cs="Arial"/>
          <w:sz w:val="24"/>
          <w:szCs w:val="24"/>
        </w:rPr>
        <w:t>The long-term financing options are better for Hilton's long-term goals, such as expanding its hotel network, digital transformation, acquisitions, and sustainability measures. The company can secure long-term funding by issuing corporate bonds and by borrowing from banks for long periods without compromising its asset-light business model, and by retaining profits</w:t>
      </w:r>
      <w:r w:rsidR="00BA6EE6">
        <w:rPr>
          <w:rFonts w:ascii="Arial" w:hAnsi="Arial" w:cs="Arial"/>
        </w:rPr>
        <w:t xml:space="preserve"> </w:t>
      </w:r>
      <w:r w:rsidR="00BA6EE6" w:rsidRPr="00B34CAC">
        <w:rPr>
          <w:rFonts w:ascii="Arial" w:hAnsi="Arial" w:cs="Arial"/>
          <w:sz w:val="24"/>
          <w:szCs w:val="24"/>
        </w:rPr>
        <w:t>(H</w:t>
      </w:r>
      <w:r w:rsidR="00BA6EE6">
        <w:rPr>
          <w:rFonts w:ascii="Arial" w:hAnsi="Arial" w:cs="Arial"/>
          <w:sz w:val="24"/>
          <w:szCs w:val="24"/>
        </w:rPr>
        <w:t>yatt Hotels Corporation, 2025a)</w:t>
      </w:r>
      <w:r w:rsidRPr="00D963DA">
        <w:rPr>
          <w:rFonts w:ascii="Arial" w:hAnsi="Arial" w:cs="Arial"/>
          <w:sz w:val="24"/>
          <w:szCs w:val="24"/>
        </w:rPr>
        <w:t xml:space="preserve">. Long term financing will usually have higher interest costs but will offer more financial stability, regular repayments and lower refinancing risks. </w:t>
      </w:r>
    </w:p>
    <w:p w14:paraId="511D9A5C" w14:textId="77777777" w:rsidR="00883EA6" w:rsidRPr="00D963DA" w:rsidRDefault="00883EA6" w:rsidP="00D963DA">
      <w:pPr>
        <w:spacing w:line="360" w:lineRule="auto"/>
        <w:jc w:val="both"/>
        <w:rPr>
          <w:rFonts w:ascii="Arial" w:hAnsi="Arial" w:cs="Arial"/>
          <w:sz w:val="24"/>
          <w:szCs w:val="24"/>
        </w:rPr>
      </w:pPr>
    </w:p>
    <w:p w14:paraId="77B7928F" w14:textId="77777777" w:rsidR="003A5AFF" w:rsidRPr="00D963DA" w:rsidRDefault="003A5AFF" w:rsidP="00D963DA">
      <w:pPr>
        <w:spacing w:line="360" w:lineRule="auto"/>
        <w:jc w:val="both"/>
        <w:rPr>
          <w:rFonts w:ascii="Arial" w:hAnsi="Arial" w:cs="Arial"/>
          <w:sz w:val="24"/>
          <w:szCs w:val="24"/>
        </w:rPr>
      </w:pPr>
    </w:p>
    <w:p w14:paraId="587E81AB" w14:textId="77777777" w:rsidR="00883EA6" w:rsidRPr="00D963DA" w:rsidRDefault="00883EA6" w:rsidP="00D963DA">
      <w:pPr>
        <w:spacing w:line="360" w:lineRule="auto"/>
        <w:jc w:val="both"/>
        <w:rPr>
          <w:rFonts w:ascii="Arial" w:eastAsiaTheme="majorEastAsia" w:hAnsi="Arial" w:cs="Arial"/>
          <w:b/>
          <w:sz w:val="24"/>
          <w:szCs w:val="24"/>
        </w:rPr>
      </w:pPr>
      <w:r w:rsidRPr="00D963DA">
        <w:rPr>
          <w:rFonts w:ascii="Arial" w:hAnsi="Arial" w:cs="Arial"/>
          <w:b/>
          <w:sz w:val="24"/>
          <w:szCs w:val="24"/>
        </w:rPr>
        <w:br w:type="page"/>
      </w:r>
    </w:p>
    <w:p w14:paraId="08415192" w14:textId="77777777" w:rsidR="003A5AFF" w:rsidRPr="00D963DA" w:rsidRDefault="003A5AFF" w:rsidP="00D963DA">
      <w:pPr>
        <w:pStyle w:val="Heading1"/>
        <w:spacing w:line="360" w:lineRule="auto"/>
        <w:jc w:val="both"/>
        <w:rPr>
          <w:rFonts w:ascii="Arial" w:hAnsi="Arial" w:cs="Arial"/>
          <w:b/>
          <w:color w:val="auto"/>
          <w:sz w:val="24"/>
          <w:szCs w:val="24"/>
        </w:rPr>
      </w:pPr>
      <w:bookmarkStart w:id="18" w:name="_Toc234747802"/>
      <w:bookmarkStart w:id="19" w:name="_Toc235544020"/>
      <w:r w:rsidRPr="00D963DA">
        <w:rPr>
          <w:rFonts w:ascii="Arial" w:hAnsi="Arial" w:cs="Arial"/>
          <w:b/>
          <w:color w:val="auto"/>
          <w:sz w:val="24"/>
          <w:szCs w:val="24"/>
        </w:rPr>
        <w:lastRenderedPageBreak/>
        <w:t>3. Strategic Financial Restructuring Plan</w:t>
      </w:r>
      <w:bookmarkEnd w:id="18"/>
      <w:bookmarkEnd w:id="19"/>
      <w:r w:rsidRPr="00D963DA">
        <w:rPr>
          <w:rFonts w:ascii="Arial" w:hAnsi="Arial" w:cs="Arial"/>
          <w:b/>
          <w:color w:val="auto"/>
          <w:sz w:val="24"/>
          <w:szCs w:val="24"/>
        </w:rPr>
        <w:t xml:space="preserve"> </w:t>
      </w:r>
    </w:p>
    <w:p w14:paraId="4CE2F65A" w14:textId="77777777" w:rsidR="003A5AFF" w:rsidRPr="00D963DA" w:rsidRDefault="00162F43" w:rsidP="00D963DA">
      <w:pPr>
        <w:pStyle w:val="Heading2"/>
        <w:spacing w:line="360" w:lineRule="auto"/>
        <w:jc w:val="both"/>
        <w:rPr>
          <w:rFonts w:ascii="Arial" w:hAnsi="Arial" w:cs="Arial"/>
          <w:b/>
          <w:color w:val="auto"/>
          <w:sz w:val="24"/>
          <w:szCs w:val="24"/>
        </w:rPr>
      </w:pPr>
      <w:bookmarkStart w:id="20" w:name="_Toc234747803"/>
      <w:bookmarkStart w:id="21" w:name="_Toc235544021"/>
      <w:r w:rsidRPr="00D963DA">
        <w:rPr>
          <w:rFonts w:ascii="Arial" w:hAnsi="Arial" w:cs="Arial"/>
          <w:b/>
          <w:color w:val="auto"/>
          <w:sz w:val="24"/>
          <w:szCs w:val="24"/>
        </w:rPr>
        <w:t xml:space="preserve">3.1 </w:t>
      </w:r>
      <w:r w:rsidR="003A5AFF" w:rsidRPr="00D963DA">
        <w:rPr>
          <w:rFonts w:ascii="Arial" w:hAnsi="Arial" w:cs="Arial"/>
          <w:b/>
          <w:color w:val="auto"/>
          <w:sz w:val="24"/>
          <w:szCs w:val="24"/>
        </w:rPr>
        <w:t>Recommend financial restructuring options (e.g., divestiture, merger, equity injection).</w:t>
      </w:r>
      <w:bookmarkEnd w:id="20"/>
      <w:bookmarkEnd w:id="21"/>
    </w:p>
    <w:p w14:paraId="3A11A9E5"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Divestiture of Non-Core Assets</w:t>
      </w:r>
    </w:p>
    <w:p w14:paraId="52AF8FCE" w14:textId="77777777" w:rsidR="00533729" w:rsidRPr="00D963DA" w:rsidRDefault="00533729" w:rsidP="00BA6EE6">
      <w:pPr>
        <w:spacing w:line="360" w:lineRule="auto"/>
        <w:jc w:val="both"/>
        <w:rPr>
          <w:rFonts w:ascii="Arial" w:hAnsi="Arial" w:cs="Arial"/>
          <w:sz w:val="24"/>
          <w:szCs w:val="24"/>
        </w:rPr>
      </w:pPr>
      <w:r w:rsidRPr="00D963DA">
        <w:rPr>
          <w:rStyle w:val="cursor-pointer"/>
          <w:rFonts w:ascii="Arial" w:hAnsi="Arial" w:cs="Arial"/>
          <w:sz w:val="24"/>
          <w:szCs w:val="24"/>
        </w:rPr>
        <w:t>Hilton's asset-light approach should be continued by selling off some of the owned hotel assets and augmenting franchise and management contracts.</w:t>
      </w:r>
      <w:r w:rsidRPr="00D963DA">
        <w:rPr>
          <w:rFonts w:ascii="Arial" w:hAnsi="Arial" w:cs="Arial"/>
          <w:sz w:val="24"/>
          <w:szCs w:val="24"/>
        </w:rPr>
        <w:t xml:space="preserve"> </w:t>
      </w:r>
      <w:r w:rsidRPr="00D963DA">
        <w:rPr>
          <w:rStyle w:val="cursor-pointer"/>
          <w:rFonts w:ascii="Arial" w:hAnsi="Arial" w:cs="Arial"/>
          <w:sz w:val="24"/>
          <w:szCs w:val="24"/>
        </w:rPr>
        <w:t>From 2021 to 2025, the revenue grew from US$5.79 billion to US$12.04 billion, indicating that this good performance can be achieved without owning a lot of physical assets.</w:t>
      </w:r>
      <w:r w:rsidRPr="00D963DA">
        <w:rPr>
          <w:rFonts w:ascii="Arial" w:hAnsi="Arial" w:cs="Arial"/>
          <w:sz w:val="24"/>
          <w:szCs w:val="24"/>
        </w:rPr>
        <w:t xml:space="preserve"> </w:t>
      </w:r>
      <w:r w:rsidRPr="00D963DA">
        <w:rPr>
          <w:rStyle w:val="cursor-pointer"/>
          <w:rFonts w:ascii="Arial" w:hAnsi="Arial" w:cs="Arial"/>
          <w:sz w:val="24"/>
          <w:szCs w:val="24"/>
        </w:rPr>
        <w:t>Selling non-core assets would free up resources, lower capital spending needs and enhance ROI on capital invested as management would concentrate on more profitable franchise businesses</w:t>
      </w:r>
      <w:r w:rsidR="00BA6EE6">
        <w:rPr>
          <w:rStyle w:val="cursor-pointer"/>
          <w:rFonts w:ascii="Arial" w:hAnsi="Arial" w:cs="Arial"/>
          <w:sz w:val="24"/>
          <w:szCs w:val="24"/>
        </w:rPr>
        <w:t xml:space="preserve"> </w:t>
      </w:r>
      <w:r w:rsidR="00BA6EE6" w:rsidRPr="00B34CAC">
        <w:rPr>
          <w:rFonts w:ascii="Arial" w:hAnsi="Arial" w:cs="Arial"/>
          <w:sz w:val="24"/>
          <w:szCs w:val="24"/>
        </w:rPr>
        <w:t>(InterConti</w:t>
      </w:r>
      <w:r w:rsidR="00BA6EE6">
        <w:rPr>
          <w:rFonts w:ascii="Arial" w:hAnsi="Arial" w:cs="Arial"/>
          <w:sz w:val="24"/>
          <w:szCs w:val="24"/>
        </w:rPr>
        <w:t>nental Hotels Group PLC, 2025a)</w:t>
      </w:r>
      <w:r w:rsidRPr="00D963DA">
        <w:rPr>
          <w:rStyle w:val="cursor-pointer"/>
          <w:rFonts w:ascii="Arial" w:hAnsi="Arial" w:cs="Arial"/>
          <w:sz w:val="24"/>
          <w:szCs w:val="24"/>
        </w:rPr>
        <w:t>.</w:t>
      </w:r>
    </w:p>
    <w:p w14:paraId="342CB4F8"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Strategic Merger and Partnership Expansion</w:t>
      </w:r>
    </w:p>
    <w:p w14:paraId="32274D7C" w14:textId="77777777" w:rsidR="00533729" w:rsidRPr="00D963DA" w:rsidRDefault="00533729" w:rsidP="00BA6EE6">
      <w:pPr>
        <w:spacing w:line="360" w:lineRule="auto"/>
        <w:jc w:val="both"/>
        <w:rPr>
          <w:rFonts w:ascii="Arial" w:hAnsi="Arial" w:cs="Arial"/>
          <w:sz w:val="24"/>
          <w:szCs w:val="24"/>
        </w:rPr>
      </w:pPr>
      <w:r w:rsidRPr="00D963DA">
        <w:rPr>
          <w:rStyle w:val="cursor-pointer"/>
          <w:rFonts w:ascii="Arial" w:hAnsi="Arial" w:cs="Arial"/>
          <w:sz w:val="24"/>
          <w:szCs w:val="24"/>
        </w:rPr>
        <w:t>Hilton should focus on more strategic partnerships and judicious acquisitions to enhance its brand footprint in more growth-driven markets and digital hospitality services.</w:t>
      </w:r>
      <w:r w:rsidRPr="00D963DA">
        <w:rPr>
          <w:rFonts w:ascii="Arial" w:hAnsi="Arial" w:cs="Arial"/>
          <w:sz w:val="24"/>
          <w:szCs w:val="24"/>
        </w:rPr>
        <w:t xml:space="preserve"> </w:t>
      </w:r>
      <w:r w:rsidRPr="00D963DA">
        <w:rPr>
          <w:rStyle w:val="cursor-pointer"/>
          <w:rFonts w:ascii="Arial" w:hAnsi="Arial" w:cs="Arial"/>
          <w:sz w:val="24"/>
          <w:szCs w:val="24"/>
        </w:rPr>
        <w:t>The firm not only added thousands of new rooms across the world but also managed to boost the net profit, which grew from $407 million in the year 2021 to $1.46 billion in 2025, which shows the company's financial strength to expand in targeted areas</w:t>
      </w:r>
      <w:r w:rsidR="00BA6EE6">
        <w:rPr>
          <w:rStyle w:val="cursor-pointer"/>
          <w:rFonts w:ascii="Arial" w:hAnsi="Arial" w:cs="Arial"/>
        </w:rPr>
        <w:t xml:space="preserve"> </w:t>
      </w:r>
      <w:r w:rsidR="00BA6EE6" w:rsidRPr="00B34CAC">
        <w:rPr>
          <w:rFonts w:ascii="Arial" w:hAnsi="Arial" w:cs="Arial"/>
          <w:sz w:val="24"/>
          <w:szCs w:val="24"/>
        </w:rPr>
        <w:t>(InterConti</w:t>
      </w:r>
      <w:r w:rsidR="00BA6EE6">
        <w:rPr>
          <w:rFonts w:ascii="Arial" w:hAnsi="Arial" w:cs="Arial"/>
          <w:sz w:val="24"/>
          <w:szCs w:val="24"/>
        </w:rPr>
        <w:t>nental Hotels Group PLC, 2025c)</w:t>
      </w:r>
      <w:r w:rsidRPr="00D963DA">
        <w:rPr>
          <w:rStyle w:val="cursor-pointer"/>
          <w:rFonts w:ascii="Arial" w:hAnsi="Arial" w:cs="Arial"/>
          <w:sz w:val="24"/>
          <w:szCs w:val="24"/>
        </w:rPr>
        <w:t>.</w:t>
      </w:r>
      <w:r w:rsidRPr="00D963DA">
        <w:rPr>
          <w:rFonts w:ascii="Arial" w:hAnsi="Arial" w:cs="Arial"/>
          <w:sz w:val="24"/>
          <w:szCs w:val="24"/>
        </w:rPr>
        <w:t xml:space="preserve"> </w:t>
      </w:r>
    </w:p>
    <w:p w14:paraId="28D45B26"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Equity Injection through Retained Earnings</w:t>
      </w:r>
    </w:p>
    <w:p w14:paraId="75B9971E" w14:textId="77777777" w:rsidR="003A5AFF" w:rsidRPr="00D963DA" w:rsidRDefault="00533729" w:rsidP="00BA6EE6">
      <w:pPr>
        <w:spacing w:line="360" w:lineRule="auto"/>
        <w:jc w:val="both"/>
        <w:rPr>
          <w:rFonts w:ascii="Arial" w:hAnsi="Arial" w:cs="Arial"/>
          <w:sz w:val="24"/>
          <w:szCs w:val="24"/>
        </w:rPr>
      </w:pPr>
      <w:r w:rsidRPr="00D963DA">
        <w:rPr>
          <w:rStyle w:val="cursor-pointer"/>
          <w:rFonts w:ascii="Arial" w:hAnsi="Arial" w:cs="Arial"/>
          <w:sz w:val="24"/>
          <w:szCs w:val="24"/>
        </w:rPr>
        <w:t>Hilton currently has strong operating cash flow, growing from around US$1.31 billion in 2021 to US$2.74 billion in 2025, which makes a new share issue a viable option not at the moment.</w:t>
      </w:r>
      <w:r w:rsidRPr="00D963DA">
        <w:rPr>
          <w:rFonts w:ascii="Arial" w:hAnsi="Arial" w:cs="Arial"/>
          <w:sz w:val="24"/>
          <w:szCs w:val="24"/>
        </w:rPr>
        <w:t xml:space="preserve"> </w:t>
      </w:r>
      <w:r w:rsidRPr="00D963DA">
        <w:rPr>
          <w:rStyle w:val="cursor-pointer"/>
          <w:rFonts w:ascii="Arial" w:hAnsi="Arial" w:cs="Arial"/>
          <w:sz w:val="24"/>
          <w:szCs w:val="24"/>
        </w:rPr>
        <w:t>Instead, the company should build up its capital structure with a larger percentage of earnings so that it can slowly get rid of the negative shareholders' equity position that it has created due to the extensive share repurchases</w:t>
      </w:r>
      <w:r w:rsidR="00BA6EE6">
        <w:rPr>
          <w:rStyle w:val="cursor-pointer"/>
          <w:rFonts w:ascii="Arial" w:hAnsi="Arial" w:cs="Arial"/>
        </w:rPr>
        <w:t xml:space="preserve"> </w:t>
      </w:r>
      <w:r w:rsidR="00BA6EE6" w:rsidRPr="00B34CAC">
        <w:rPr>
          <w:rFonts w:ascii="Arial" w:hAnsi="Arial" w:cs="Arial"/>
          <w:sz w:val="24"/>
          <w:szCs w:val="24"/>
        </w:rPr>
        <w:t>(InterConti</w:t>
      </w:r>
      <w:r w:rsidR="00BA6EE6">
        <w:rPr>
          <w:rFonts w:ascii="Arial" w:hAnsi="Arial" w:cs="Arial"/>
          <w:sz w:val="24"/>
          <w:szCs w:val="24"/>
        </w:rPr>
        <w:t>nental Hotels Group PLC, 2025b)</w:t>
      </w:r>
      <w:r w:rsidRPr="00D963DA">
        <w:rPr>
          <w:rStyle w:val="cursor-pointer"/>
          <w:rFonts w:ascii="Arial" w:hAnsi="Arial" w:cs="Arial"/>
          <w:sz w:val="24"/>
          <w:szCs w:val="24"/>
        </w:rPr>
        <w:t>.</w:t>
      </w:r>
      <w:r w:rsidRPr="00D963DA">
        <w:rPr>
          <w:rFonts w:ascii="Arial" w:hAnsi="Arial" w:cs="Arial"/>
          <w:sz w:val="24"/>
          <w:szCs w:val="24"/>
        </w:rPr>
        <w:t xml:space="preserve"> </w:t>
      </w:r>
    </w:p>
    <w:p w14:paraId="6BE763B0" w14:textId="77777777" w:rsidR="003A5AFF" w:rsidRPr="00D963DA" w:rsidRDefault="00162F43" w:rsidP="00D963DA">
      <w:pPr>
        <w:pStyle w:val="Heading2"/>
        <w:spacing w:line="360" w:lineRule="auto"/>
        <w:jc w:val="both"/>
        <w:rPr>
          <w:rFonts w:ascii="Arial" w:hAnsi="Arial" w:cs="Arial"/>
          <w:b/>
          <w:color w:val="auto"/>
          <w:sz w:val="24"/>
          <w:szCs w:val="24"/>
        </w:rPr>
      </w:pPr>
      <w:bookmarkStart w:id="22" w:name="_Toc234747804"/>
      <w:bookmarkStart w:id="23" w:name="_Toc235544022"/>
      <w:r w:rsidRPr="00D963DA">
        <w:rPr>
          <w:rFonts w:ascii="Arial" w:hAnsi="Arial" w:cs="Arial"/>
          <w:b/>
          <w:color w:val="auto"/>
          <w:sz w:val="24"/>
          <w:szCs w:val="24"/>
        </w:rPr>
        <w:t xml:space="preserve">3.2 </w:t>
      </w:r>
      <w:r w:rsidR="003A5AFF" w:rsidRPr="00D963DA">
        <w:rPr>
          <w:rFonts w:ascii="Arial" w:hAnsi="Arial" w:cs="Arial"/>
          <w:b/>
          <w:color w:val="auto"/>
          <w:sz w:val="24"/>
          <w:szCs w:val="24"/>
        </w:rPr>
        <w:t>Evaluate impact on shareholder value, debt structure, and operational flexibility.</w:t>
      </w:r>
      <w:bookmarkEnd w:id="22"/>
      <w:bookmarkEnd w:id="23"/>
    </w:p>
    <w:p w14:paraId="26E858A4"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Impact on Shareholder Value</w:t>
      </w:r>
    </w:p>
    <w:p w14:paraId="3A9D4F3D" w14:textId="77777777" w:rsidR="00533729" w:rsidRPr="00D963DA" w:rsidRDefault="00533729" w:rsidP="00BA6EE6">
      <w:pPr>
        <w:spacing w:line="360" w:lineRule="auto"/>
        <w:jc w:val="both"/>
        <w:rPr>
          <w:rFonts w:ascii="Arial" w:hAnsi="Arial" w:cs="Arial"/>
          <w:sz w:val="24"/>
          <w:szCs w:val="24"/>
        </w:rPr>
      </w:pPr>
      <w:r w:rsidRPr="00D963DA">
        <w:rPr>
          <w:rStyle w:val="cursor-pointer"/>
          <w:rFonts w:ascii="Arial" w:hAnsi="Arial" w:cs="Arial"/>
          <w:sz w:val="24"/>
          <w:szCs w:val="24"/>
        </w:rPr>
        <w:t>The recommended restructuring is expected to deliver improved profitability, sustainable earnings growth and supporting cash flow and is envisaged to create shareholder value.</w:t>
      </w:r>
      <w:r w:rsidRPr="00D963DA">
        <w:rPr>
          <w:rFonts w:ascii="Arial" w:hAnsi="Arial" w:cs="Arial"/>
          <w:sz w:val="24"/>
          <w:szCs w:val="24"/>
        </w:rPr>
        <w:t xml:space="preserve"> </w:t>
      </w:r>
      <w:r w:rsidRPr="00D963DA">
        <w:rPr>
          <w:rStyle w:val="cursor-pointer"/>
          <w:rFonts w:ascii="Arial" w:hAnsi="Arial" w:cs="Arial"/>
          <w:sz w:val="24"/>
          <w:szCs w:val="24"/>
        </w:rPr>
        <w:t xml:space="preserve">Hilton's earnings per share improved from US$1.43 in 2021 to </w:t>
      </w:r>
      <w:r w:rsidRPr="00D963DA">
        <w:rPr>
          <w:rStyle w:val="cursor-pointer"/>
          <w:rFonts w:ascii="Arial" w:hAnsi="Arial" w:cs="Arial"/>
          <w:sz w:val="24"/>
          <w:szCs w:val="24"/>
        </w:rPr>
        <w:lastRenderedPageBreak/>
        <w:t>US$6.09 in 2025, and net profit grew from US$407 million to US$1.46 billion in the same timeframe, resulting in good value creation for investors.</w:t>
      </w:r>
      <w:r w:rsidRPr="00D963DA">
        <w:rPr>
          <w:rFonts w:ascii="Arial" w:hAnsi="Arial" w:cs="Arial"/>
          <w:sz w:val="24"/>
          <w:szCs w:val="24"/>
        </w:rPr>
        <w:t xml:space="preserve"> </w:t>
      </w:r>
      <w:r w:rsidRPr="00D963DA">
        <w:rPr>
          <w:rStyle w:val="cursor-pointer"/>
          <w:rFonts w:ascii="Arial" w:hAnsi="Arial" w:cs="Arial"/>
          <w:sz w:val="24"/>
          <w:szCs w:val="24"/>
        </w:rPr>
        <w:t>The asset-light approach and continuation of the selective reinvestment of the retained earnings would further enhance the return without diluting the existing shareholders, and the steady dividend policy and the share buy-back programme would serve to improve the confidence of investors in the company in the long term</w:t>
      </w:r>
      <w:r w:rsidR="00BA6EE6">
        <w:rPr>
          <w:rStyle w:val="cursor-pointer"/>
          <w:rFonts w:ascii="Arial" w:hAnsi="Arial" w:cs="Arial"/>
        </w:rPr>
        <w:t xml:space="preserve"> </w:t>
      </w:r>
      <w:r w:rsidR="00BA6EE6" w:rsidRPr="00B34CAC">
        <w:rPr>
          <w:rFonts w:ascii="Arial" w:hAnsi="Arial" w:cs="Arial"/>
          <w:sz w:val="24"/>
          <w:szCs w:val="24"/>
        </w:rPr>
        <w:t>(Marr</w:t>
      </w:r>
      <w:r w:rsidR="00BA6EE6">
        <w:rPr>
          <w:rFonts w:ascii="Arial" w:hAnsi="Arial" w:cs="Arial"/>
          <w:sz w:val="24"/>
          <w:szCs w:val="24"/>
        </w:rPr>
        <w:t>iott International Inc., 2025a)</w:t>
      </w:r>
      <w:r w:rsidRPr="00D963DA">
        <w:rPr>
          <w:rStyle w:val="cursor-pointer"/>
          <w:rFonts w:ascii="Arial" w:hAnsi="Arial" w:cs="Arial"/>
          <w:sz w:val="24"/>
          <w:szCs w:val="24"/>
        </w:rPr>
        <w:t>.</w:t>
      </w:r>
    </w:p>
    <w:p w14:paraId="3FF5B1D3"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Impact on Debt Structure</w:t>
      </w:r>
    </w:p>
    <w:p w14:paraId="4FB3BD40" w14:textId="77777777" w:rsidR="00533729" w:rsidRPr="00D963DA" w:rsidRDefault="00533729" w:rsidP="00D963DA">
      <w:pPr>
        <w:pStyle w:val="NormalWeb"/>
        <w:spacing w:line="360" w:lineRule="auto"/>
        <w:jc w:val="both"/>
        <w:rPr>
          <w:rFonts w:ascii="Arial" w:hAnsi="Arial" w:cs="Arial"/>
        </w:rPr>
      </w:pPr>
      <w:r w:rsidRPr="00D963DA">
        <w:rPr>
          <w:rStyle w:val="cursor-pointer"/>
          <w:rFonts w:ascii="Arial" w:hAnsi="Arial" w:cs="Arial"/>
        </w:rPr>
        <w:t>Hilton needs to consolidate debt, and pay for it off with long-term, low-interest loans, and lower leverage over time through operating cash flow.</w:t>
      </w:r>
      <w:r w:rsidRPr="00D963DA">
        <w:rPr>
          <w:rFonts w:ascii="Arial" w:hAnsi="Arial" w:cs="Arial"/>
        </w:rPr>
        <w:t xml:space="preserve"> </w:t>
      </w:r>
      <w:r w:rsidRPr="00D963DA">
        <w:rPr>
          <w:rStyle w:val="cursor-pointer"/>
          <w:rFonts w:ascii="Arial" w:hAnsi="Arial" w:cs="Arial"/>
        </w:rPr>
        <w:t>The company ended with total debt of some US$10.8 billion in 2025, but improved its interest coverage ratio from 1.26 times in 2021 to 5.17 times in 2025, which is a huge improvement in the ability to service debt obligations.</w:t>
      </w:r>
      <w:r w:rsidRPr="00D963DA">
        <w:rPr>
          <w:rFonts w:ascii="Arial" w:hAnsi="Arial" w:cs="Arial"/>
        </w:rPr>
        <w:t xml:space="preserve"> </w:t>
      </w:r>
    </w:p>
    <w:p w14:paraId="3D7012AC"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Impact on Operational Flexibility</w:t>
      </w:r>
    </w:p>
    <w:p w14:paraId="0F8922D5" w14:textId="77777777" w:rsidR="003A5AFF" w:rsidRPr="00D963DA" w:rsidRDefault="00533729" w:rsidP="00D963DA">
      <w:pPr>
        <w:pStyle w:val="NormalWeb"/>
        <w:spacing w:line="360" w:lineRule="auto"/>
        <w:jc w:val="both"/>
        <w:rPr>
          <w:rFonts w:ascii="Arial" w:hAnsi="Arial" w:cs="Arial"/>
        </w:rPr>
      </w:pPr>
      <w:r w:rsidRPr="00D963DA">
        <w:rPr>
          <w:rStyle w:val="cursor-pointer"/>
          <w:rFonts w:ascii="Arial" w:hAnsi="Arial" w:cs="Arial"/>
        </w:rPr>
        <w:t>This restructuring is expected to provide Hilton with greater operational flexibility, with more cash available for growth, technology investments and sustainability programs.</w:t>
      </w:r>
      <w:r w:rsidRPr="00D963DA">
        <w:rPr>
          <w:rFonts w:ascii="Arial" w:hAnsi="Arial" w:cs="Arial"/>
        </w:rPr>
        <w:t xml:space="preserve"> </w:t>
      </w:r>
      <w:r w:rsidRPr="00D963DA">
        <w:rPr>
          <w:rStyle w:val="cursor-pointer"/>
          <w:rFonts w:ascii="Arial" w:hAnsi="Arial" w:cs="Arial"/>
        </w:rPr>
        <w:t xml:space="preserve">The company's free cash flow of ~US$2.49 billion in 2025 and </w:t>
      </w:r>
      <w:proofErr w:type="spellStart"/>
      <w:r w:rsidRPr="00D963DA">
        <w:rPr>
          <w:rStyle w:val="cursor-pointer"/>
          <w:rFonts w:ascii="Arial" w:hAnsi="Arial" w:cs="Arial"/>
        </w:rPr>
        <w:t>favorable</w:t>
      </w:r>
      <w:proofErr w:type="spellEnd"/>
      <w:r w:rsidRPr="00D963DA">
        <w:rPr>
          <w:rStyle w:val="cursor-pointer"/>
          <w:rFonts w:ascii="Arial" w:hAnsi="Arial" w:cs="Arial"/>
        </w:rPr>
        <w:t xml:space="preserve"> working capital and cash conversion cycle give it the financial flexibility to pursue emerging markets and quickly adapt to evolving customer tastes.</w:t>
      </w:r>
      <w:r w:rsidRPr="00D963DA">
        <w:rPr>
          <w:rFonts w:ascii="Arial" w:hAnsi="Arial" w:cs="Arial"/>
        </w:rPr>
        <w:t xml:space="preserve"> </w:t>
      </w:r>
      <w:r w:rsidRPr="00D963DA">
        <w:rPr>
          <w:rStyle w:val="cursor-pointer"/>
          <w:rFonts w:ascii="Arial" w:hAnsi="Arial" w:cs="Arial"/>
        </w:rPr>
        <w:t>Also, ongoing focus on franchise and management agreements as opposed to property ownership would decrease capital requirements, scale up more effectively and allow Hilton to respond to economic instability and changing global travel demand.</w:t>
      </w:r>
    </w:p>
    <w:p w14:paraId="1B0A10C2" w14:textId="77777777" w:rsidR="003A5AFF" w:rsidRPr="00D963DA" w:rsidRDefault="00162F43" w:rsidP="00D963DA">
      <w:pPr>
        <w:pStyle w:val="Heading2"/>
        <w:spacing w:line="360" w:lineRule="auto"/>
        <w:jc w:val="both"/>
        <w:rPr>
          <w:rFonts w:ascii="Arial" w:hAnsi="Arial" w:cs="Arial"/>
          <w:b/>
          <w:color w:val="auto"/>
          <w:sz w:val="24"/>
          <w:szCs w:val="24"/>
        </w:rPr>
      </w:pPr>
      <w:bookmarkStart w:id="24" w:name="_Toc234747805"/>
      <w:bookmarkStart w:id="25" w:name="_Toc235544023"/>
      <w:r w:rsidRPr="00D963DA">
        <w:rPr>
          <w:rFonts w:ascii="Arial" w:hAnsi="Arial" w:cs="Arial"/>
          <w:b/>
          <w:color w:val="auto"/>
          <w:sz w:val="24"/>
          <w:szCs w:val="24"/>
        </w:rPr>
        <w:t>3.3</w:t>
      </w:r>
      <w:r w:rsidR="003A5AFF" w:rsidRPr="00D963DA">
        <w:rPr>
          <w:rFonts w:ascii="Arial" w:hAnsi="Arial" w:cs="Arial"/>
          <w:b/>
          <w:color w:val="auto"/>
          <w:sz w:val="24"/>
          <w:szCs w:val="24"/>
        </w:rPr>
        <w:t xml:space="preserve"> Include international and ethical considerations (taxation, currency risk, inflation, CSR or ESG).</w:t>
      </w:r>
      <w:bookmarkEnd w:id="24"/>
      <w:bookmarkEnd w:id="25"/>
    </w:p>
    <w:p w14:paraId="6C31B1F9"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Taxation</w:t>
      </w:r>
    </w:p>
    <w:p w14:paraId="498592F2" w14:textId="77777777" w:rsidR="00533729" w:rsidRPr="00D963DA" w:rsidRDefault="001F657F" w:rsidP="00BA6EE6">
      <w:pPr>
        <w:spacing w:line="360" w:lineRule="auto"/>
        <w:jc w:val="both"/>
        <w:rPr>
          <w:rFonts w:ascii="Arial" w:hAnsi="Arial" w:cs="Arial"/>
          <w:sz w:val="24"/>
          <w:szCs w:val="24"/>
        </w:rPr>
      </w:pPr>
      <w:r w:rsidRPr="00D963DA">
        <w:rPr>
          <w:rFonts w:ascii="Arial" w:hAnsi="Arial" w:cs="Arial"/>
          <w:sz w:val="24"/>
          <w:szCs w:val="24"/>
        </w:rPr>
        <w:t>As Hilton operates in more than 130 countries and territories, it is exposed to different corporate tax regimes and international tax regulations. Using tax planning that is transparent and adhering to local tax regulations is essential for the company to avoid legal and reputational risks, as well as work towards sustainable long-term profits</w:t>
      </w:r>
      <w:r w:rsidR="00BA6EE6">
        <w:rPr>
          <w:rFonts w:ascii="Arial" w:hAnsi="Arial" w:cs="Arial"/>
        </w:rPr>
        <w:t xml:space="preserve"> </w:t>
      </w:r>
      <w:r w:rsidR="00BA6EE6" w:rsidRPr="00B34CAC">
        <w:rPr>
          <w:rFonts w:ascii="Arial" w:hAnsi="Arial" w:cs="Arial"/>
          <w:sz w:val="24"/>
          <w:szCs w:val="24"/>
        </w:rPr>
        <w:t>(H</w:t>
      </w:r>
      <w:r w:rsidR="00BA6EE6">
        <w:rPr>
          <w:rFonts w:ascii="Arial" w:hAnsi="Arial" w:cs="Arial"/>
          <w:sz w:val="24"/>
          <w:szCs w:val="24"/>
        </w:rPr>
        <w:t>yatt Hotels Corporation, 2025b)</w:t>
      </w:r>
      <w:r w:rsidRPr="00D963DA">
        <w:rPr>
          <w:rFonts w:ascii="Arial" w:hAnsi="Arial" w:cs="Arial"/>
          <w:sz w:val="24"/>
          <w:szCs w:val="24"/>
        </w:rPr>
        <w:t>.</w:t>
      </w:r>
    </w:p>
    <w:p w14:paraId="24632090"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lastRenderedPageBreak/>
        <w:t>Currency Risk</w:t>
      </w:r>
    </w:p>
    <w:p w14:paraId="09E4F534" w14:textId="77777777" w:rsidR="00533729" w:rsidRPr="00D963DA" w:rsidRDefault="001F657F" w:rsidP="00BA6EE6">
      <w:pPr>
        <w:spacing w:line="360" w:lineRule="auto"/>
        <w:jc w:val="both"/>
        <w:rPr>
          <w:rFonts w:ascii="Arial" w:hAnsi="Arial" w:cs="Arial"/>
          <w:sz w:val="24"/>
          <w:szCs w:val="24"/>
        </w:rPr>
      </w:pPr>
      <w:r w:rsidRPr="00D963DA">
        <w:rPr>
          <w:rFonts w:ascii="Arial" w:hAnsi="Arial" w:cs="Arial"/>
          <w:sz w:val="24"/>
          <w:szCs w:val="24"/>
        </w:rPr>
        <w:t>A large share of Hilton's revenues comes from overseas, which is why exchange rates can affect the company. The company should persist in implementing the natural hedging technique and currency risk management measures to guard against the effects of currency fluctuations on the earnings and cash flow</w:t>
      </w:r>
      <w:r w:rsidR="00BA6EE6">
        <w:rPr>
          <w:rFonts w:ascii="Arial" w:hAnsi="Arial" w:cs="Arial"/>
        </w:rPr>
        <w:t xml:space="preserve"> </w:t>
      </w:r>
      <w:r w:rsidR="00BA6EE6" w:rsidRPr="00B34CAC">
        <w:rPr>
          <w:rFonts w:ascii="Arial" w:hAnsi="Arial" w:cs="Arial"/>
          <w:sz w:val="24"/>
          <w:szCs w:val="24"/>
        </w:rPr>
        <w:t>(Marr</w:t>
      </w:r>
      <w:r w:rsidR="00BA6EE6">
        <w:rPr>
          <w:rFonts w:ascii="Arial" w:hAnsi="Arial" w:cs="Arial"/>
          <w:sz w:val="24"/>
          <w:szCs w:val="24"/>
        </w:rPr>
        <w:t>iott International Inc., 2025b)</w:t>
      </w:r>
      <w:r w:rsidRPr="00D963DA">
        <w:rPr>
          <w:rFonts w:ascii="Arial" w:hAnsi="Arial" w:cs="Arial"/>
          <w:sz w:val="24"/>
          <w:szCs w:val="24"/>
        </w:rPr>
        <w:t>.</w:t>
      </w:r>
    </w:p>
    <w:p w14:paraId="2F9F8AE8"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Inflation</w:t>
      </w:r>
    </w:p>
    <w:p w14:paraId="16A0B6E8" w14:textId="77777777" w:rsidR="00533729" w:rsidRPr="006365FA" w:rsidRDefault="001F657F" w:rsidP="006365FA">
      <w:pPr>
        <w:spacing w:line="360" w:lineRule="auto"/>
        <w:jc w:val="both"/>
        <w:rPr>
          <w:rFonts w:ascii="Arial" w:hAnsi="Arial" w:cs="Arial"/>
          <w:sz w:val="24"/>
          <w:szCs w:val="24"/>
        </w:rPr>
      </w:pPr>
      <w:r w:rsidRPr="00D963DA">
        <w:rPr>
          <w:rFonts w:ascii="Arial" w:hAnsi="Arial" w:cs="Arial"/>
        </w:rPr>
        <w:t>Higher inflation affects labour, energy and operating costs throughout Hilton's global hotel portfolio, which can impact profit</w:t>
      </w:r>
      <w:r w:rsidR="006365FA">
        <w:rPr>
          <w:rFonts w:ascii="Arial" w:hAnsi="Arial" w:cs="Arial"/>
        </w:rPr>
        <w:t xml:space="preserve"> </w:t>
      </w:r>
      <w:r w:rsidR="006365FA" w:rsidRPr="00B34CAC">
        <w:rPr>
          <w:rFonts w:ascii="Arial" w:hAnsi="Arial" w:cs="Arial"/>
          <w:sz w:val="24"/>
          <w:szCs w:val="24"/>
        </w:rPr>
        <w:t>(Microsoft, 2025)</w:t>
      </w:r>
      <w:r w:rsidRPr="00D963DA">
        <w:rPr>
          <w:rFonts w:ascii="Arial" w:hAnsi="Arial" w:cs="Arial"/>
        </w:rPr>
        <w:t>. The company needs to leverage dynamic pricing, cost containment and operational efficiencies to offset inflation in order to provide the same level of service.</w:t>
      </w:r>
    </w:p>
    <w:p w14:paraId="2E95A6D8"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Corporate Social Responsibility (CSR)</w:t>
      </w:r>
    </w:p>
    <w:p w14:paraId="3E2E67AA" w14:textId="77777777" w:rsidR="00533729" w:rsidRPr="00D963DA" w:rsidRDefault="001F657F" w:rsidP="00BA6EE6">
      <w:pPr>
        <w:spacing w:line="360" w:lineRule="auto"/>
        <w:jc w:val="both"/>
        <w:rPr>
          <w:rFonts w:ascii="Arial" w:hAnsi="Arial" w:cs="Arial"/>
          <w:sz w:val="24"/>
          <w:szCs w:val="24"/>
        </w:rPr>
      </w:pPr>
      <w:r w:rsidRPr="00D963DA">
        <w:rPr>
          <w:rFonts w:ascii="Arial" w:hAnsi="Arial" w:cs="Arial"/>
          <w:sz w:val="24"/>
          <w:szCs w:val="24"/>
        </w:rPr>
        <w:t>Hilton needs to keep investing in community engagement, employee wellbeing and responsible tourism activities to build stakeholder relationships</w:t>
      </w:r>
      <w:r w:rsidR="00BA6EE6">
        <w:rPr>
          <w:rFonts w:ascii="Arial" w:hAnsi="Arial" w:cs="Arial"/>
        </w:rPr>
        <w:t xml:space="preserve"> </w:t>
      </w:r>
      <w:r w:rsidR="00BA6EE6" w:rsidRPr="00B34CAC">
        <w:rPr>
          <w:rFonts w:ascii="Arial" w:hAnsi="Arial" w:cs="Arial"/>
          <w:sz w:val="24"/>
          <w:szCs w:val="24"/>
        </w:rPr>
        <w:t>(InterConti</w:t>
      </w:r>
      <w:r w:rsidR="00BA6EE6">
        <w:rPr>
          <w:rFonts w:ascii="Arial" w:hAnsi="Arial" w:cs="Arial"/>
          <w:sz w:val="24"/>
          <w:szCs w:val="24"/>
        </w:rPr>
        <w:t>nental Hotels Group PLC, 2025d)</w:t>
      </w:r>
      <w:r w:rsidRPr="00D963DA">
        <w:rPr>
          <w:rFonts w:ascii="Arial" w:hAnsi="Arial" w:cs="Arial"/>
          <w:sz w:val="24"/>
          <w:szCs w:val="24"/>
        </w:rPr>
        <w:t>. The CSR programmes add value to the brand image, build customer loyalty and contribute to business sustainability in the long term throughout the various global markets.</w:t>
      </w:r>
    </w:p>
    <w:p w14:paraId="154BAB45" w14:textId="77777777" w:rsidR="00533729" w:rsidRPr="00D963DA" w:rsidRDefault="00533729" w:rsidP="00D963DA">
      <w:pPr>
        <w:spacing w:line="360" w:lineRule="auto"/>
        <w:jc w:val="both"/>
        <w:rPr>
          <w:rFonts w:ascii="Arial" w:hAnsi="Arial" w:cs="Arial"/>
          <w:b/>
          <w:sz w:val="24"/>
          <w:szCs w:val="24"/>
        </w:rPr>
      </w:pPr>
      <w:r w:rsidRPr="00D963DA">
        <w:rPr>
          <w:rFonts w:ascii="Arial" w:hAnsi="Arial" w:cs="Arial"/>
          <w:b/>
          <w:sz w:val="24"/>
          <w:szCs w:val="24"/>
        </w:rPr>
        <w:t>Environmental, Social and Governance (ESG)</w:t>
      </w:r>
    </w:p>
    <w:p w14:paraId="12F6269F" w14:textId="77777777" w:rsidR="00533729" w:rsidRPr="006365FA" w:rsidRDefault="001F657F" w:rsidP="006365FA">
      <w:pPr>
        <w:spacing w:line="360" w:lineRule="auto"/>
        <w:jc w:val="both"/>
        <w:rPr>
          <w:rFonts w:ascii="Arial" w:hAnsi="Arial" w:cs="Arial"/>
          <w:sz w:val="24"/>
          <w:szCs w:val="24"/>
        </w:rPr>
      </w:pPr>
      <w:r w:rsidRPr="00D963DA">
        <w:rPr>
          <w:rFonts w:ascii="Arial" w:hAnsi="Arial" w:cs="Arial"/>
        </w:rPr>
        <w:t>The ESG approach at Hilton should be to lessen the carbon footprint, enhance energy efficiency and support ethical governance throughout their worldwide operations. Investment in sustainable hotels and responsible business practices will help fulfil investor expectations, regulatory requirements and long-term sustainability goals, while also aiding future financial performance</w:t>
      </w:r>
      <w:r w:rsidR="006365FA">
        <w:rPr>
          <w:rFonts w:ascii="Arial" w:hAnsi="Arial" w:cs="Arial"/>
        </w:rPr>
        <w:t xml:space="preserve"> </w:t>
      </w:r>
      <w:r w:rsidR="006365FA" w:rsidRPr="00B34CAC">
        <w:rPr>
          <w:rFonts w:ascii="Arial" w:hAnsi="Arial" w:cs="Arial"/>
          <w:sz w:val="24"/>
          <w:szCs w:val="24"/>
        </w:rPr>
        <w:t xml:space="preserve">(World </w:t>
      </w:r>
      <w:r w:rsidR="006365FA">
        <w:rPr>
          <w:rFonts w:ascii="Arial" w:hAnsi="Arial" w:cs="Arial"/>
          <w:sz w:val="24"/>
          <w:szCs w:val="24"/>
        </w:rPr>
        <w:t>Travel &amp; Tourism Council, 2025)</w:t>
      </w:r>
      <w:r w:rsidRPr="00D963DA">
        <w:rPr>
          <w:rFonts w:ascii="Arial" w:hAnsi="Arial" w:cs="Arial"/>
        </w:rPr>
        <w:t>.</w:t>
      </w:r>
    </w:p>
    <w:p w14:paraId="08347037" w14:textId="77777777" w:rsidR="0047217B" w:rsidRPr="00D963DA" w:rsidRDefault="0047217B" w:rsidP="00D963DA">
      <w:pPr>
        <w:spacing w:line="360" w:lineRule="auto"/>
        <w:jc w:val="both"/>
        <w:rPr>
          <w:rFonts w:ascii="Arial" w:hAnsi="Arial" w:cs="Arial"/>
          <w:sz w:val="24"/>
          <w:szCs w:val="24"/>
        </w:rPr>
      </w:pPr>
    </w:p>
    <w:p w14:paraId="5EC1A846" w14:textId="77777777" w:rsidR="003A5AFF" w:rsidRPr="00D963DA" w:rsidRDefault="003A5AFF" w:rsidP="00D963DA">
      <w:pPr>
        <w:spacing w:line="360" w:lineRule="auto"/>
        <w:jc w:val="both"/>
        <w:rPr>
          <w:rFonts w:ascii="Arial" w:hAnsi="Arial" w:cs="Arial"/>
          <w:sz w:val="24"/>
          <w:szCs w:val="24"/>
        </w:rPr>
      </w:pPr>
    </w:p>
    <w:p w14:paraId="46616B68" w14:textId="77777777" w:rsidR="00883EA6" w:rsidRPr="00D963DA" w:rsidRDefault="00883EA6" w:rsidP="00D963DA">
      <w:pPr>
        <w:spacing w:line="360" w:lineRule="auto"/>
        <w:jc w:val="both"/>
        <w:rPr>
          <w:rFonts w:ascii="Arial" w:eastAsiaTheme="majorEastAsia" w:hAnsi="Arial" w:cs="Arial"/>
          <w:b/>
          <w:sz w:val="24"/>
          <w:szCs w:val="24"/>
        </w:rPr>
      </w:pPr>
      <w:r w:rsidRPr="00D963DA">
        <w:rPr>
          <w:rFonts w:ascii="Arial" w:hAnsi="Arial" w:cs="Arial"/>
          <w:b/>
          <w:sz w:val="24"/>
          <w:szCs w:val="24"/>
        </w:rPr>
        <w:br w:type="page"/>
      </w:r>
    </w:p>
    <w:p w14:paraId="226256CA" w14:textId="77777777" w:rsidR="000D50CB" w:rsidRPr="00857AA6" w:rsidRDefault="000D50CB" w:rsidP="00857AA6">
      <w:pPr>
        <w:pStyle w:val="Heading1"/>
        <w:spacing w:line="360" w:lineRule="auto"/>
        <w:jc w:val="both"/>
        <w:rPr>
          <w:rFonts w:ascii="Arial" w:hAnsi="Arial" w:cs="Arial"/>
          <w:b/>
          <w:color w:val="auto"/>
          <w:sz w:val="24"/>
          <w:szCs w:val="24"/>
        </w:rPr>
      </w:pPr>
      <w:bookmarkStart w:id="26" w:name="_Toc234747806"/>
      <w:bookmarkStart w:id="27" w:name="_Toc235544024"/>
      <w:r w:rsidRPr="00857AA6">
        <w:rPr>
          <w:rFonts w:ascii="Arial" w:hAnsi="Arial" w:cs="Arial"/>
          <w:b/>
          <w:color w:val="auto"/>
          <w:sz w:val="24"/>
          <w:szCs w:val="24"/>
        </w:rPr>
        <w:lastRenderedPageBreak/>
        <w:t>4. Investment Appraisal and Capital Budgeting</w:t>
      </w:r>
      <w:bookmarkEnd w:id="26"/>
      <w:bookmarkEnd w:id="27"/>
      <w:r w:rsidRPr="00857AA6">
        <w:rPr>
          <w:rFonts w:ascii="Arial" w:hAnsi="Arial" w:cs="Arial"/>
          <w:b/>
          <w:color w:val="auto"/>
          <w:sz w:val="24"/>
          <w:szCs w:val="24"/>
        </w:rPr>
        <w:t xml:space="preserve"> </w:t>
      </w:r>
    </w:p>
    <w:p w14:paraId="31A84D57" w14:textId="77777777" w:rsidR="007702CF" w:rsidRPr="00857AA6" w:rsidRDefault="007702CF" w:rsidP="00857AA6">
      <w:pPr>
        <w:spacing w:line="360" w:lineRule="auto"/>
        <w:jc w:val="both"/>
        <w:rPr>
          <w:rFonts w:ascii="Arial" w:hAnsi="Arial" w:cs="Arial"/>
          <w:b/>
          <w:sz w:val="24"/>
          <w:szCs w:val="24"/>
        </w:rPr>
      </w:pPr>
      <w:r w:rsidRPr="00857AA6">
        <w:rPr>
          <w:rFonts w:ascii="Arial" w:hAnsi="Arial" w:cs="Arial"/>
          <w:b/>
          <w:sz w:val="24"/>
          <w:szCs w:val="24"/>
        </w:rPr>
        <w:t>Project A: Investment Appraisal</w:t>
      </w:r>
    </w:p>
    <w:tbl>
      <w:tblPr>
        <w:tblStyle w:val="TableGrid"/>
        <w:tblW w:w="8499" w:type="dxa"/>
        <w:tblLook w:val="04A0" w:firstRow="1" w:lastRow="0" w:firstColumn="1" w:lastColumn="0" w:noHBand="0" w:noVBand="1"/>
      </w:tblPr>
      <w:tblGrid>
        <w:gridCol w:w="5343"/>
        <w:gridCol w:w="3156"/>
      </w:tblGrid>
      <w:tr w:rsidR="007702CF" w:rsidRPr="00857AA6" w14:paraId="1E142ABB" w14:textId="77777777" w:rsidTr="007702CF">
        <w:trPr>
          <w:trHeight w:val="250"/>
        </w:trPr>
        <w:tc>
          <w:tcPr>
            <w:tcW w:w="0" w:type="auto"/>
            <w:hideMark/>
          </w:tcPr>
          <w:p w14:paraId="20ABC0CC" w14:textId="77777777" w:rsidR="007702CF" w:rsidRPr="00857AA6" w:rsidRDefault="007702CF" w:rsidP="00857AA6">
            <w:pPr>
              <w:spacing w:line="360" w:lineRule="auto"/>
              <w:jc w:val="both"/>
              <w:rPr>
                <w:rFonts w:ascii="Arial" w:hAnsi="Arial" w:cs="Arial"/>
                <w:b/>
                <w:bCs/>
                <w:sz w:val="24"/>
                <w:szCs w:val="24"/>
              </w:rPr>
            </w:pPr>
            <w:r w:rsidRPr="00857AA6">
              <w:rPr>
                <w:rStyle w:val="Strong"/>
                <w:rFonts w:ascii="Arial" w:hAnsi="Arial" w:cs="Arial"/>
                <w:sz w:val="24"/>
                <w:szCs w:val="24"/>
              </w:rPr>
              <w:t>Investment Appraisal Technique</w:t>
            </w:r>
          </w:p>
        </w:tc>
        <w:tc>
          <w:tcPr>
            <w:tcW w:w="0" w:type="auto"/>
            <w:hideMark/>
          </w:tcPr>
          <w:p w14:paraId="781022CE" w14:textId="77777777" w:rsidR="007702CF" w:rsidRPr="00857AA6" w:rsidRDefault="007702CF" w:rsidP="00857AA6">
            <w:pPr>
              <w:spacing w:line="360" w:lineRule="auto"/>
              <w:jc w:val="both"/>
              <w:rPr>
                <w:rFonts w:ascii="Arial" w:hAnsi="Arial" w:cs="Arial"/>
                <w:b/>
                <w:bCs/>
                <w:sz w:val="24"/>
                <w:szCs w:val="24"/>
              </w:rPr>
            </w:pPr>
            <w:r w:rsidRPr="00857AA6">
              <w:rPr>
                <w:rStyle w:val="Strong"/>
                <w:rFonts w:ascii="Arial" w:hAnsi="Arial" w:cs="Arial"/>
                <w:sz w:val="24"/>
                <w:szCs w:val="24"/>
              </w:rPr>
              <w:t>Calculation/Result</w:t>
            </w:r>
          </w:p>
        </w:tc>
      </w:tr>
      <w:tr w:rsidR="007702CF" w:rsidRPr="00857AA6" w14:paraId="3E705211" w14:textId="77777777" w:rsidTr="007702CF">
        <w:trPr>
          <w:trHeight w:val="250"/>
        </w:trPr>
        <w:tc>
          <w:tcPr>
            <w:tcW w:w="0" w:type="auto"/>
            <w:hideMark/>
          </w:tcPr>
          <w:p w14:paraId="06B7FF02"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Initial Investment</w:t>
            </w:r>
          </w:p>
        </w:tc>
        <w:tc>
          <w:tcPr>
            <w:tcW w:w="0" w:type="auto"/>
            <w:hideMark/>
          </w:tcPr>
          <w:p w14:paraId="5BBEB69B"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£50.00m</w:t>
            </w:r>
          </w:p>
        </w:tc>
      </w:tr>
      <w:tr w:rsidR="007702CF" w:rsidRPr="00857AA6" w14:paraId="4FDB5CCC" w14:textId="77777777" w:rsidTr="007702CF">
        <w:trPr>
          <w:trHeight w:val="262"/>
        </w:trPr>
        <w:tc>
          <w:tcPr>
            <w:tcW w:w="0" w:type="auto"/>
            <w:hideMark/>
          </w:tcPr>
          <w:p w14:paraId="76093661"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Payback Period (PBP)</w:t>
            </w:r>
          </w:p>
        </w:tc>
        <w:tc>
          <w:tcPr>
            <w:tcW w:w="0" w:type="auto"/>
            <w:hideMark/>
          </w:tcPr>
          <w:p w14:paraId="5A783022"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4.50 years</w:t>
            </w:r>
          </w:p>
        </w:tc>
      </w:tr>
      <w:tr w:rsidR="007702CF" w:rsidRPr="00857AA6" w14:paraId="1718DFF6" w14:textId="77777777" w:rsidTr="007702CF">
        <w:trPr>
          <w:trHeight w:val="250"/>
        </w:trPr>
        <w:tc>
          <w:tcPr>
            <w:tcW w:w="0" w:type="auto"/>
            <w:hideMark/>
          </w:tcPr>
          <w:p w14:paraId="2D83CCC9"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Average Rate of Return (ARR)</w:t>
            </w:r>
          </w:p>
        </w:tc>
        <w:tc>
          <w:tcPr>
            <w:tcW w:w="0" w:type="auto"/>
            <w:hideMark/>
          </w:tcPr>
          <w:p w14:paraId="34540A38"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1.60%</w:t>
            </w:r>
          </w:p>
        </w:tc>
      </w:tr>
      <w:tr w:rsidR="007702CF" w:rsidRPr="00857AA6" w14:paraId="29A663E9" w14:textId="77777777" w:rsidTr="007702CF">
        <w:trPr>
          <w:trHeight w:val="250"/>
        </w:trPr>
        <w:tc>
          <w:tcPr>
            <w:tcW w:w="0" w:type="auto"/>
            <w:hideMark/>
          </w:tcPr>
          <w:p w14:paraId="30549D23"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Net Present Value (NPV)</w:t>
            </w:r>
          </w:p>
        </w:tc>
        <w:tc>
          <w:tcPr>
            <w:tcW w:w="0" w:type="auto"/>
            <w:hideMark/>
          </w:tcPr>
          <w:p w14:paraId="391D071B"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−£6.54m</w:t>
            </w:r>
          </w:p>
        </w:tc>
      </w:tr>
      <w:tr w:rsidR="007702CF" w:rsidRPr="00857AA6" w14:paraId="1E93DC73" w14:textId="77777777" w:rsidTr="007702CF">
        <w:trPr>
          <w:trHeight w:val="250"/>
        </w:trPr>
        <w:tc>
          <w:tcPr>
            <w:tcW w:w="0" w:type="auto"/>
            <w:hideMark/>
          </w:tcPr>
          <w:p w14:paraId="6F53B7F6"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Profitability Index (PI)</w:t>
            </w:r>
          </w:p>
        </w:tc>
        <w:tc>
          <w:tcPr>
            <w:tcW w:w="0" w:type="auto"/>
            <w:hideMark/>
          </w:tcPr>
          <w:p w14:paraId="79C53BCB"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0.87</w:t>
            </w:r>
          </w:p>
        </w:tc>
      </w:tr>
      <w:tr w:rsidR="007702CF" w:rsidRPr="00857AA6" w14:paraId="7CA4084A" w14:textId="77777777" w:rsidTr="007702CF">
        <w:trPr>
          <w:trHeight w:val="250"/>
        </w:trPr>
        <w:tc>
          <w:tcPr>
            <w:tcW w:w="0" w:type="auto"/>
            <w:hideMark/>
          </w:tcPr>
          <w:p w14:paraId="297CEB70"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Internal Rate of Return (IRR)</w:t>
            </w:r>
          </w:p>
        </w:tc>
        <w:tc>
          <w:tcPr>
            <w:tcW w:w="0" w:type="auto"/>
            <w:hideMark/>
          </w:tcPr>
          <w:p w14:paraId="3861025A"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2.72%</w:t>
            </w:r>
          </w:p>
        </w:tc>
      </w:tr>
    </w:tbl>
    <w:p w14:paraId="3BDEF7AB" w14:textId="77777777" w:rsidR="007712B2" w:rsidRDefault="007712B2" w:rsidP="007712B2">
      <w:pPr>
        <w:spacing w:line="360" w:lineRule="auto"/>
        <w:jc w:val="center"/>
        <w:rPr>
          <w:rFonts w:ascii="Arial" w:hAnsi="Arial" w:cs="Arial"/>
          <w:b/>
          <w:sz w:val="24"/>
          <w:szCs w:val="24"/>
        </w:rPr>
      </w:pPr>
      <w:r w:rsidRPr="00997841">
        <w:rPr>
          <w:rFonts w:ascii="Arial" w:hAnsi="Arial" w:cs="Arial"/>
          <w:b/>
          <w:sz w:val="24"/>
          <w:szCs w:val="24"/>
        </w:rPr>
        <w:t>Table 11: Investment Appraisal</w:t>
      </w:r>
      <w:r>
        <w:rPr>
          <w:rFonts w:ascii="Arial" w:hAnsi="Arial" w:cs="Arial"/>
          <w:b/>
          <w:sz w:val="24"/>
          <w:szCs w:val="24"/>
        </w:rPr>
        <w:t xml:space="preserve"> (A)</w:t>
      </w:r>
    </w:p>
    <w:p w14:paraId="73D02D77" w14:textId="77777777" w:rsidR="007702CF" w:rsidRPr="00857AA6" w:rsidRDefault="007702CF" w:rsidP="00857AA6">
      <w:pPr>
        <w:spacing w:line="360" w:lineRule="auto"/>
        <w:jc w:val="both"/>
        <w:rPr>
          <w:rFonts w:ascii="Arial" w:hAnsi="Arial" w:cs="Arial"/>
          <w:b/>
          <w:sz w:val="24"/>
          <w:szCs w:val="24"/>
        </w:rPr>
      </w:pPr>
      <w:r w:rsidRPr="00857AA6">
        <w:rPr>
          <w:rFonts w:ascii="Arial" w:hAnsi="Arial" w:cs="Arial"/>
          <w:b/>
          <w:sz w:val="24"/>
          <w:szCs w:val="24"/>
        </w:rPr>
        <w:t>Project B: Investment Appraisal</w:t>
      </w:r>
    </w:p>
    <w:tbl>
      <w:tblPr>
        <w:tblStyle w:val="TableGrid"/>
        <w:tblW w:w="8512" w:type="dxa"/>
        <w:tblLook w:val="04A0" w:firstRow="1" w:lastRow="0" w:firstColumn="1" w:lastColumn="0" w:noHBand="0" w:noVBand="1"/>
      </w:tblPr>
      <w:tblGrid>
        <w:gridCol w:w="5351"/>
        <w:gridCol w:w="3161"/>
      </w:tblGrid>
      <w:tr w:rsidR="007702CF" w:rsidRPr="00857AA6" w14:paraId="2796DFDF" w14:textId="77777777" w:rsidTr="007702CF">
        <w:trPr>
          <w:trHeight w:val="250"/>
        </w:trPr>
        <w:tc>
          <w:tcPr>
            <w:tcW w:w="0" w:type="auto"/>
            <w:hideMark/>
          </w:tcPr>
          <w:p w14:paraId="146D1FFA" w14:textId="77777777" w:rsidR="007702CF" w:rsidRPr="00857AA6" w:rsidRDefault="007702CF" w:rsidP="00857AA6">
            <w:pPr>
              <w:spacing w:line="360" w:lineRule="auto"/>
              <w:jc w:val="both"/>
              <w:rPr>
                <w:rFonts w:ascii="Arial" w:hAnsi="Arial" w:cs="Arial"/>
                <w:b/>
                <w:bCs/>
                <w:sz w:val="24"/>
                <w:szCs w:val="24"/>
              </w:rPr>
            </w:pPr>
            <w:r w:rsidRPr="00857AA6">
              <w:rPr>
                <w:rStyle w:val="Strong"/>
                <w:rFonts w:ascii="Arial" w:hAnsi="Arial" w:cs="Arial"/>
                <w:sz w:val="24"/>
                <w:szCs w:val="24"/>
              </w:rPr>
              <w:t>Investment Appraisal Technique</w:t>
            </w:r>
          </w:p>
        </w:tc>
        <w:tc>
          <w:tcPr>
            <w:tcW w:w="0" w:type="auto"/>
            <w:hideMark/>
          </w:tcPr>
          <w:p w14:paraId="3970631B" w14:textId="77777777" w:rsidR="007702CF" w:rsidRPr="00857AA6" w:rsidRDefault="007702CF" w:rsidP="00857AA6">
            <w:pPr>
              <w:spacing w:line="360" w:lineRule="auto"/>
              <w:jc w:val="both"/>
              <w:rPr>
                <w:rFonts w:ascii="Arial" w:hAnsi="Arial" w:cs="Arial"/>
                <w:b/>
                <w:bCs/>
                <w:sz w:val="24"/>
                <w:szCs w:val="24"/>
              </w:rPr>
            </w:pPr>
            <w:r w:rsidRPr="00857AA6">
              <w:rPr>
                <w:rStyle w:val="Strong"/>
                <w:rFonts w:ascii="Arial" w:hAnsi="Arial" w:cs="Arial"/>
                <w:sz w:val="24"/>
                <w:szCs w:val="24"/>
              </w:rPr>
              <w:t>Calculation/Result</w:t>
            </w:r>
          </w:p>
        </w:tc>
      </w:tr>
      <w:tr w:rsidR="007702CF" w:rsidRPr="00857AA6" w14:paraId="2B24B390" w14:textId="77777777" w:rsidTr="007702CF">
        <w:trPr>
          <w:trHeight w:val="250"/>
        </w:trPr>
        <w:tc>
          <w:tcPr>
            <w:tcW w:w="0" w:type="auto"/>
            <w:hideMark/>
          </w:tcPr>
          <w:p w14:paraId="6217386A"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Initial Investment</w:t>
            </w:r>
          </w:p>
        </w:tc>
        <w:tc>
          <w:tcPr>
            <w:tcW w:w="0" w:type="auto"/>
            <w:hideMark/>
          </w:tcPr>
          <w:p w14:paraId="2FDC2282"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£50.00m</w:t>
            </w:r>
          </w:p>
        </w:tc>
      </w:tr>
      <w:tr w:rsidR="007702CF" w:rsidRPr="00857AA6" w14:paraId="338FBB19" w14:textId="77777777" w:rsidTr="007702CF">
        <w:trPr>
          <w:trHeight w:val="262"/>
        </w:trPr>
        <w:tc>
          <w:tcPr>
            <w:tcW w:w="0" w:type="auto"/>
            <w:hideMark/>
          </w:tcPr>
          <w:p w14:paraId="3A096917"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Payback Period (PBP)</w:t>
            </w:r>
          </w:p>
        </w:tc>
        <w:tc>
          <w:tcPr>
            <w:tcW w:w="0" w:type="auto"/>
            <w:hideMark/>
          </w:tcPr>
          <w:p w14:paraId="16115FAA"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4.55 years</w:t>
            </w:r>
          </w:p>
        </w:tc>
      </w:tr>
      <w:tr w:rsidR="007702CF" w:rsidRPr="00857AA6" w14:paraId="0957FA2D" w14:textId="77777777" w:rsidTr="007702CF">
        <w:trPr>
          <w:trHeight w:val="250"/>
        </w:trPr>
        <w:tc>
          <w:tcPr>
            <w:tcW w:w="0" w:type="auto"/>
            <w:hideMark/>
          </w:tcPr>
          <w:p w14:paraId="2C098CB8"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Average Rate of Return (ARR)</w:t>
            </w:r>
          </w:p>
        </w:tc>
        <w:tc>
          <w:tcPr>
            <w:tcW w:w="0" w:type="auto"/>
            <w:hideMark/>
          </w:tcPr>
          <w:p w14:paraId="05683222"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2.00%</w:t>
            </w:r>
          </w:p>
        </w:tc>
      </w:tr>
      <w:tr w:rsidR="007702CF" w:rsidRPr="00857AA6" w14:paraId="09F8D481" w14:textId="77777777" w:rsidTr="007702CF">
        <w:trPr>
          <w:trHeight w:val="250"/>
        </w:trPr>
        <w:tc>
          <w:tcPr>
            <w:tcW w:w="0" w:type="auto"/>
            <w:hideMark/>
          </w:tcPr>
          <w:p w14:paraId="0F255031"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Net Present Value (NPV)</w:t>
            </w:r>
          </w:p>
        </w:tc>
        <w:tc>
          <w:tcPr>
            <w:tcW w:w="0" w:type="auto"/>
            <w:hideMark/>
          </w:tcPr>
          <w:p w14:paraId="258211FD"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−£6.08m</w:t>
            </w:r>
          </w:p>
        </w:tc>
      </w:tr>
      <w:tr w:rsidR="007702CF" w:rsidRPr="00857AA6" w14:paraId="16FDD2E9" w14:textId="77777777" w:rsidTr="007702CF">
        <w:trPr>
          <w:trHeight w:val="250"/>
        </w:trPr>
        <w:tc>
          <w:tcPr>
            <w:tcW w:w="0" w:type="auto"/>
            <w:hideMark/>
          </w:tcPr>
          <w:p w14:paraId="29FD182E"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Profitability Index (PI)</w:t>
            </w:r>
          </w:p>
        </w:tc>
        <w:tc>
          <w:tcPr>
            <w:tcW w:w="0" w:type="auto"/>
            <w:hideMark/>
          </w:tcPr>
          <w:p w14:paraId="6D9562D7"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0.88</w:t>
            </w:r>
          </w:p>
        </w:tc>
      </w:tr>
      <w:tr w:rsidR="007702CF" w:rsidRPr="00857AA6" w14:paraId="2935FAA8" w14:textId="77777777" w:rsidTr="007702CF">
        <w:trPr>
          <w:trHeight w:val="250"/>
        </w:trPr>
        <w:tc>
          <w:tcPr>
            <w:tcW w:w="0" w:type="auto"/>
            <w:hideMark/>
          </w:tcPr>
          <w:p w14:paraId="2290F16A"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Internal Rate of Return (IRR)</w:t>
            </w:r>
          </w:p>
        </w:tc>
        <w:tc>
          <w:tcPr>
            <w:tcW w:w="0" w:type="auto"/>
            <w:hideMark/>
          </w:tcPr>
          <w:p w14:paraId="2D8A2EE6"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3.26%</w:t>
            </w:r>
          </w:p>
        </w:tc>
      </w:tr>
    </w:tbl>
    <w:p w14:paraId="16DDD55A" w14:textId="77777777" w:rsidR="007712B2" w:rsidRDefault="007712B2" w:rsidP="007712B2">
      <w:pPr>
        <w:spacing w:line="360" w:lineRule="auto"/>
        <w:jc w:val="center"/>
        <w:rPr>
          <w:rFonts w:ascii="Arial" w:hAnsi="Arial" w:cs="Arial"/>
          <w:b/>
          <w:sz w:val="24"/>
          <w:szCs w:val="24"/>
        </w:rPr>
      </w:pPr>
      <w:r w:rsidRPr="00997841">
        <w:rPr>
          <w:rFonts w:ascii="Arial" w:hAnsi="Arial" w:cs="Arial"/>
          <w:b/>
          <w:sz w:val="24"/>
          <w:szCs w:val="24"/>
        </w:rPr>
        <w:t xml:space="preserve">Table </w:t>
      </w:r>
      <w:r>
        <w:rPr>
          <w:rFonts w:ascii="Arial" w:hAnsi="Arial" w:cs="Arial"/>
          <w:b/>
          <w:sz w:val="24"/>
          <w:szCs w:val="24"/>
        </w:rPr>
        <w:t>12</w:t>
      </w:r>
      <w:r w:rsidRPr="00997841">
        <w:rPr>
          <w:rFonts w:ascii="Arial" w:hAnsi="Arial" w:cs="Arial"/>
          <w:b/>
          <w:sz w:val="24"/>
          <w:szCs w:val="24"/>
        </w:rPr>
        <w:t>: Investment Appraisal</w:t>
      </w:r>
      <w:r>
        <w:rPr>
          <w:rFonts w:ascii="Arial" w:hAnsi="Arial" w:cs="Arial"/>
          <w:b/>
          <w:sz w:val="24"/>
          <w:szCs w:val="24"/>
        </w:rPr>
        <w:t xml:space="preserve"> (B)</w:t>
      </w:r>
    </w:p>
    <w:p w14:paraId="574E9AC3" w14:textId="77777777" w:rsidR="007702CF" w:rsidRPr="00857AA6" w:rsidRDefault="007702CF" w:rsidP="00857AA6">
      <w:pPr>
        <w:spacing w:line="360" w:lineRule="auto"/>
        <w:jc w:val="both"/>
        <w:rPr>
          <w:rFonts w:ascii="Arial" w:hAnsi="Arial" w:cs="Arial"/>
          <w:b/>
          <w:sz w:val="24"/>
          <w:szCs w:val="24"/>
        </w:rPr>
      </w:pPr>
      <w:r w:rsidRPr="00857AA6">
        <w:rPr>
          <w:rFonts w:ascii="Arial" w:hAnsi="Arial" w:cs="Arial"/>
          <w:b/>
          <w:sz w:val="24"/>
          <w:szCs w:val="24"/>
        </w:rPr>
        <w:t>Project C: Investment Appraisal</w:t>
      </w:r>
    </w:p>
    <w:tbl>
      <w:tblPr>
        <w:tblStyle w:val="TableGrid"/>
        <w:tblW w:w="8595" w:type="dxa"/>
        <w:tblLook w:val="04A0" w:firstRow="1" w:lastRow="0" w:firstColumn="1" w:lastColumn="0" w:noHBand="0" w:noVBand="1"/>
      </w:tblPr>
      <w:tblGrid>
        <w:gridCol w:w="5403"/>
        <w:gridCol w:w="3192"/>
      </w:tblGrid>
      <w:tr w:rsidR="007702CF" w:rsidRPr="00857AA6" w14:paraId="498C8B7D" w14:textId="77777777" w:rsidTr="007702CF">
        <w:trPr>
          <w:trHeight w:val="250"/>
        </w:trPr>
        <w:tc>
          <w:tcPr>
            <w:tcW w:w="0" w:type="auto"/>
            <w:hideMark/>
          </w:tcPr>
          <w:p w14:paraId="7D940619" w14:textId="77777777" w:rsidR="007702CF" w:rsidRPr="00857AA6" w:rsidRDefault="007702CF" w:rsidP="00857AA6">
            <w:pPr>
              <w:spacing w:line="360" w:lineRule="auto"/>
              <w:jc w:val="both"/>
              <w:rPr>
                <w:rFonts w:ascii="Arial" w:hAnsi="Arial" w:cs="Arial"/>
                <w:b/>
                <w:bCs/>
                <w:sz w:val="24"/>
                <w:szCs w:val="24"/>
              </w:rPr>
            </w:pPr>
            <w:r w:rsidRPr="00857AA6">
              <w:rPr>
                <w:rStyle w:val="Strong"/>
                <w:rFonts w:ascii="Arial" w:hAnsi="Arial" w:cs="Arial"/>
                <w:sz w:val="24"/>
                <w:szCs w:val="24"/>
              </w:rPr>
              <w:t>Investment Appraisal Technique</w:t>
            </w:r>
          </w:p>
        </w:tc>
        <w:tc>
          <w:tcPr>
            <w:tcW w:w="0" w:type="auto"/>
            <w:hideMark/>
          </w:tcPr>
          <w:p w14:paraId="32BAF66D" w14:textId="77777777" w:rsidR="007702CF" w:rsidRPr="00857AA6" w:rsidRDefault="007702CF" w:rsidP="00857AA6">
            <w:pPr>
              <w:spacing w:line="360" w:lineRule="auto"/>
              <w:jc w:val="both"/>
              <w:rPr>
                <w:rFonts w:ascii="Arial" w:hAnsi="Arial" w:cs="Arial"/>
                <w:b/>
                <w:bCs/>
                <w:sz w:val="24"/>
                <w:szCs w:val="24"/>
              </w:rPr>
            </w:pPr>
            <w:r w:rsidRPr="00857AA6">
              <w:rPr>
                <w:rStyle w:val="Strong"/>
                <w:rFonts w:ascii="Arial" w:hAnsi="Arial" w:cs="Arial"/>
                <w:sz w:val="24"/>
                <w:szCs w:val="24"/>
              </w:rPr>
              <w:t>Calculation/Result</w:t>
            </w:r>
          </w:p>
        </w:tc>
      </w:tr>
      <w:tr w:rsidR="007702CF" w:rsidRPr="00857AA6" w14:paraId="11FB5985" w14:textId="77777777" w:rsidTr="007702CF">
        <w:trPr>
          <w:trHeight w:val="250"/>
        </w:trPr>
        <w:tc>
          <w:tcPr>
            <w:tcW w:w="0" w:type="auto"/>
            <w:hideMark/>
          </w:tcPr>
          <w:p w14:paraId="2FD016B9"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Initial Investment</w:t>
            </w:r>
          </w:p>
        </w:tc>
        <w:tc>
          <w:tcPr>
            <w:tcW w:w="0" w:type="auto"/>
            <w:hideMark/>
          </w:tcPr>
          <w:p w14:paraId="5D0488A7"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£50.00m</w:t>
            </w:r>
          </w:p>
        </w:tc>
      </w:tr>
      <w:tr w:rsidR="007702CF" w:rsidRPr="00857AA6" w14:paraId="488C542B" w14:textId="77777777" w:rsidTr="007702CF">
        <w:trPr>
          <w:trHeight w:val="262"/>
        </w:trPr>
        <w:tc>
          <w:tcPr>
            <w:tcW w:w="0" w:type="auto"/>
            <w:hideMark/>
          </w:tcPr>
          <w:p w14:paraId="72A5F78A"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Payback Period (PBP)</w:t>
            </w:r>
          </w:p>
        </w:tc>
        <w:tc>
          <w:tcPr>
            <w:tcW w:w="0" w:type="auto"/>
            <w:hideMark/>
          </w:tcPr>
          <w:p w14:paraId="64165A1F"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3.60 years</w:t>
            </w:r>
          </w:p>
        </w:tc>
      </w:tr>
      <w:tr w:rsidR="007702CF" w:rsidRPr="00857AA6" w14:paraId="7F372000" w14:textId="77777777" w:rsidTr="007702CF">
        <w:trPr>
          <w:trHeight w:val="250"/>
        </w:trPr>
        <w:tc>
          <w:tcPr>
            <w:tcW w:w="0" w:type="auto"/>
            <w:hideMark/>
          </w:tcPr>
          <w:p w14:paraId="4A85C798"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Average Rate of Return (ARR)</w:t>
            </w:r>
          </w:p>
        </w:tc>
        <w:tc>
          <w:tcPr>
            <w:tcW w:w="0" w:type="auto"/>
            <w:hideMark/>
          </w:tcPr>
          <w:p w14:paraId="0946E11F"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6.00%</w:t>
            </w:r>
          </w:p>
        </w:tc>
      </w:tr>
      <w:tr w:rsidR="007702CF" w:rsidRPr="00857AA6" w14:paraId="65DD1BF1" w14:textId="77777777" w:rsidTr="007702CF">
        <w:trPr>
          <w:trHeight w:val="250"/>
        </w:trPr>
        <w:tc>
          <w:tcPr>
            <w:tcW w:w="0" w:type="auto"/>
            <w:hideMark/>
          </w:tcPr>
          <w:p w14:paraId="00D3939E"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Net Present Value (NPV)</w:t>
            </w:r>
          </w:p>
        </w:tc>
        <w:tc>
          <w:tcPr>
            <w:tcW w:w="0" w:type="auto"/>
            <w:hideMark/>
          </w:tcPr>
          <w:p w14:paraId="4FD2D25D"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£0.86m</w:t>
            </w:r>
          </w:p>
        </w:tc>
      </w:tr>
      <w:tr w:rsidR="007702CF" w:rsidRPr="00857AA6" w14:paraId="0DDFAD95" w14:textId="77777777" w:rsidTr="007702CF">
        <w:trPr>
          <w:trHeight w:val="250"/>
        </w:trPr>
        <w:tc>
          <w:tcPr>
            <w:tcW w:w="0" w:type="auto"/>
            <w:hideMark/>
          </w:tcPr>
          <w:p w14:paraId="6E85CFE7"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Profitability Index (PI)</w:t>
            </w:r>
          </w:p>
        </w:tc>
        <w:tc>
          <w:tcPr>
            <w:tcW w:w="0" w:type="auto"/>
            <w:hideMark/>
          </w:tcPr>
          <w:p w14:paraId="1E85CB94"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1.02</w:t>
            </w:r>
          </w:p>
        </w:tc>
      </w:tr>
      <w:tr w:rsidR="007702CF" w:rsidRPr="00857AA6" w14:paraId="16E590E8" w14:textId="77777777" w:rsidTr="007702CF">
        <w:trPr>
          <w:trHeight w:val="250"/>
        </w:trPr>
        <w:tc>
          <w:tcPr>
            <w:tcW w:w="0" w:type="auto"/>
            <w:hideMark/>
          </w:tcPr>
          <w:p w14:paraId="5912E52D" w14:textId="77777777" w:rsidR="007702CF" w:rsidRPr="00857AA6" w:rsidRDefault="007702CF" w:rsidP="00857AA6">
            <w:pPr>
              <w:spacing w:line="360" w:lineRule="auto"/>
              <w:jc w:val="both"/>
              <w:rPr>
                <w:rFonts w:ascii="Arial" w:hAnsi="Arial" w:cs="Arial"/>
                <w:sz w:val="24"/>
                <w:szCs w:val="24"/>
              </w:rPr>
            </w:pPr>
            <w:r w:rsidRPr="00857AA6">
              <w:rPr>
                <w:rFonts w:ascii="Arial" w:hAnsi="Arial" w:cs="Arial"/>
                <w:sz w:val="24"/>
                <w:szCs w:val="24"/>
              </w:rPr>
              <w:t>Internal Rate of Return (IRR)</w:t>
            </w:r>
          </w:p>
        </w:tc>
        <w:tc>
          <w:tcPr>
            <w:tcW w:w="0" w:type="auto"/>
            <w:hideMark/>
          </w:tcPr>
          <w:p w14:paraId="44EEC417" w14:textId="77777777" w:rsidR="007702CF" w:rsidRPr="00857AA6" w:rsidRDefault="007702CF" w:rsidP="00857AA6">
            <w:pPr>
              <w:spacing w:line="360" w:lineRule="auto"/>
              <w:jc w:val="both"/>
              <w:rPr>
                <w:rFonts w:ascii="Arial" w:hAnsi="Arial" w:cs="Arial"/>
                <w:sz w:val="24"/>
                <w:szCs w:val="24"/>
              </w:rPr>
            </w:pPr>
            <w:r w:rsidRPr="00857AA6">
              <w:rPr>
                <w:rStyle w:val="Strong"/>
                <w:rFonts w:ascii="Arial" w:hAnsi="Arial" w:cs="Arial"/>
                <w:sz w:val="24"/>
                <w:szCs w:val="24"/>
              </w:rPr>
              <w:t>8.59%</w:t>
            </w:r>
          </w:p>
        </w:tc>
      </w:tr>
    </w:tbl>
    <w:p w14:paraId="7FF4D2FE" w14:textId="77777777" w:rsidR="000D50CB" w:rsidRPr="00857AA6" w:rsidRDefault="007712B2" w:rsidP="007712B2">
      <w:pPr>
        <w:spacing w:line="360" w:lineRule="auto"/>
        <w:jc w:val="center"/>
        <w:rPr>
          <w:rFonts w:ascii="Arial" w:hAnsi="Arial" w:cs="Arial"/>
          <w:b/>
          <w:sz w:val="24"/>
          <w:szCs w:val="24"/>
        </w:rPr>
      </w:pPr>
      <w:r w:rsidRPr="00997841">
        <w:rPr>
          <w:rFonts w:ascii="Arial" w:hAnsi="Arial" w:cs="Arial"/>
          <w:b/>
          <w:sz w:val="24"/>
          <w:szCs w:val="24"/>
        </w:rPr>
        <w:t xml:space="preserve">Table </w:t>
      </w:r>
      <w:r>
        <w:rPr>
          <w:rFonts w:ascii="Arial" w:hAnsi="Arial" w:cs="Arial"/>
          <w:b/>
          <w:sz w:val="24"/>
          <w:szCs w:val="24"/>
        </w:rPr>
        <w:t>13</w:t>
      </w:r>
      <w:r w:rsidRPr="00997841">
        <w:rPr>
          <w:rFonts w:ascii="Arial" w:hAnsi="Arial" w:cs="Arial"/>
          <w:b/>
          <w:sz w:val="24"/>
          <w:szCs w:val="24"/>
        </w:rPr>
        <w:t>: Investment Appraisal</w:t>
      </w:r>
      <w:r>
        <w:rPr>
          <w:rFonts w:ascii="Arial" w:hAnsi="Arial" w:cs="Arial"/>
          <w:b/>
          <w:sz w:val="24"/>
          <w:szCs w:val="24"/>
        </w:rPr>
        <w:t xml:space="preserve"> (C)</w:t>
      </w:r>
    </w:p>
    <w:p w14:paraId="6E4F5BBF" w14:textId="77777777" w:rsidR="000D50CB" w:rsidRPr="00857AA6" w:rsidRDefault="00162F43" w:rsidP="00857AA6">
      <w:pPr>
        <w:pStyle w:val="Heading2"/>
        <w:spacing w:line="360" w:lineRule="auto"/>
        <w:jc w:val="both"/>
        <w:rPr>
          <w:rFonts w:ascii="Arial" w:hAnsi="Arial" w:cs="Arial"/>
          <w:b/>
          <w:color w:val="auto"/>
          <w:sz w:val="24"/>
          <w:szCs w:val="24"/>
        </w:rPr>
      </w:pPr>
      <w:bookmarkStart w:id="28" w:name="_Toc234747807"/>
      <w:bookmarkStart w:id="29" w:name="_Toc235544025"/>
      <w:r w:rsidRPr="00857AA6">
        <w:rPr>
          <w:rFonts w:ascii="Arial" w:hAnsi="Arial" w:cs="Arial"/>
          <w:b/>
          <w:color w:val="auto"/>
          <w:sz w:val="24"/>
          <w:szCs w:val="24"/>
        </w:rPr>
        <w:t xml:space="preserve">4.1 </w:t>
      </w:r>
      <w:r w:rsidR="000D50CB" w:rsidRPr="00857AA6">
        <w:rPr>
          <w:rFonts w:ascii="Arial" w:hAnsi="Arial" w:cs="Arial"/>
          <w:b/>
          <w:color w:val="auto"/>
          <w:sz w:val="24"/>
          <w:szCs w:val="24"/>
        </w:rPr>
        <w:t>Project to be recommended</w:t>
      </w:r>
      <w:bookmarkEnd w:id="28"/>
      <w:bookmarkEnd w:id="29"/>
    </w:p>
    <w:p w14:paraId="757FA9CA" w14:textId="77777777" w:rsidR="003A5AFF" w:rsidRPr="00857AA6" w:rsidRDefault="00D963DA" w:rsidP="00857AA6">
      <w:pPr>
        <w:spacing w:line="360" w:lineRule="auto"/>
        <w:jc w:val="both"/>
        <w:rPr>
          <w:rFonts w:ascii="Arial" w:hAnsi="Arial" w:cs="Arial"/>
          <w:sz w:val="24"/>
          <w:szCs w:val="24"/>
        </w:rPr>
      </w:pPr>
      <w:r w:rsidRPr="00857AA6">
        <w:rPr>
          <w:rFonts w:ascii="Arial" w:hAnsi="Arial" w:cs="Arial"/>
          <w:sz w:val="24"/>
          <w:szCs w:val="24"/>
        </w:rPr>
        <w:t xml:space="preserve">On the basis of the results of the investment appraisal, Project C should be recommended as it is the only project that meets all of the key financial decision </w:t>
      </w:r>
      <w:r w:rsidRPr="00857AA6">
        <w:rPr>
          <w:rFonts w:ascii="Arial" w:hAnsi="Arial" w:cs="Arial"/>
          <w:sz w:val="24"/>
          <w:szCs w:val="24"/>
        </w:rPr>
        <w:lastRenderedPageBreak/>
        <w:t>criteria. It has a Positive NPV of £0.86 million, a Profitability Index of 1.02, an IRR of 8.59%, which is greater than the discount rate of 8%, shortest payback period of 3.6 years and the highest ARR of 6.00%</w:t>
      </w:r>
      <w:r w:rsidR="006365FA">
        <w:rPr>
          <w:rFonts w:ascii="Arial" w:hAnsi="Arial" w:cs="Arial"/>
          <w:sz w:val="24"/>
          <w:szCs w:val="24"/>
        </w:rPr>
        <w:t xml:space="preserve"> </w:t>
      </w:r>
      <w:r w:rsidR="006365FA" w:rsidRPr="00B34CAC">
        <w:rPr>
          <w:rFonts w:ascii="Arial" w:hAnsi="Arial" w:cs="Arial"/>
          <w:sz w:val="24"/>
          <w:szCs w:val="24"/>
        </w:rPr>
        <w:t>(Cor</w:t>
      </w:r>
      <w:r w:rsidR="006365FA">
        <w:rPr>
          <w:rFonts w:ascii="Arial" w:hAnsi="Arial" w:cs="Arial"/>
          <w:sz w:val="24"/>
          <w:szCs w:val="24"/>
        </w:rPr>
        <w:t>porate Finance Institute, 2025)</w:t>
      </w:r>
      <w:r w:rsidRPr="00857AA6">
        <w:rPr>
          <w:rFonts w:ascii="Arial" w:hAnsi="Arial" w:cs="Arial"/>
          <w:sz w:val="24"/>
          <w:szCs w:val="24"/>
        </w:rPr>
        <w:t xml:space="preserve">. This recommendation is also in line with Hilton </w:t>
      </w:r>
      <w:proofErr w:type="spellStart"/>
      <w:r w:rsidRPr="00857AA6">
        <w:rPr>
          <w:rFonts w:ascii="Arial" w:hAnsi="Arial" w:cs="Arial"/>
          <w:sz w:val="24"/>
          <w:szCs w:val="24"/>
        </w:rPr>
        <w:t>Worldwide's</w:t>
      </w:r>
      <w:proofErr w:type="spellEnd"/>
      <w:r w:rsidRPr="00857AA6">
        <w:rPr>
          <w:rFonts w:ascii="Arial" w:hAnsi="Arial" w:cs="Arial"/>
          <w:sz w:val="24"/>
          <w:szCs w:val="24"/>
        </w:rPr>
        <w:t xml:space="preserve"> robust financial strength, with projected revenues for 2025 at US$12.04 billion, US$1.46 billion in net profit and free cash flow of around US$2.49 billion, which will allow it to make investments that will generate value</w:t>
      </w:r>
      <w:r w:rsidR="006365FA">
        <w:rPr>
          <w:rFonts w:ascii="Arial" w:hAnsi="Arial" w:cs="Arial"/>
          <w:sz w:val="24"/>
          <w:szCs w:val="24"/>
        </w:rPr>
        <w:t xml:space="preserve"> (UN Tourism, 2025)</w:t>
      </w:r>
      <w:r w:rsidRPr="00857AA6">
        <w:rPr>
          <w:rFonts w:ascii="Arial" w:hAnsi="Arial" w:cs="Arial"/>
          <w:sz w:val="24"/>
          <w:szCs w:val="24"/>
        </w:rPr>
        <w:t>. Project C has irregular cash inflows, but it has the highest financial returns and positive contribution to shareholder value makes it the best option for investment.</w:t>
      </w:r>
    </w:p>
    <w:p w14:paraId="3DA1B0E1" w14:textId="77777777" w:rsidR="000D50CB" w:rsidRPr="00857AA6" w:rsidRDefault="00162F43" w:rsidP="00857AA6">
      <w:pPr>
        <w:pStyle w:val="Heading2"/>
        <w:spacing w:line="360" w:lineRule="auto"/>
        <w:jc w:val="both"/>
        <w:rPr>
          <w:rFonts w:ascii="Arial" w:hAnsi="Arial" w:cs="Arial"/>
          <w:b/>
          <w:color w:val="auto"/>
          <w:sz w:val="24"/>
          <w:szCs w:val="24"/>
        </w:rPr>
      </w:pPr>
      <w:bookmarkStart w:id="30" w:name="_Toc234747808"/>
      <w:bookmarkStart w:id="31" w:name="_Toc235544026"/>
      <w:r w:rsidRPr="00857AA6">
        <w:rPr>
          <w:rFonts w:ascii="Arial" w:hAnsi="Arial" w:cs="Arial"/>
          <w:b/>
          <w:color w:val="auto"/>
          <w:sz w:val="24"/>
          <w:szCs w:val="24"/>
        </w:rPr>
        <w:t xml:space="preserve">4.2 </w:t>
      </w:r>
      <w:r w:rsidR="000D50CB" w:rsidRPr="00857AA6">
        <w:rPr>
          <w:rFonts w:ascii="Arial" w:hAnsi="Arial" w:cs="Arial"/>
          <w:b/>
          <w:color w:val="auto"/>
          <w:sz w:val="24"/>
          <w:szCs w:val="24"/>
        </w:rPr>
        <w:t>Justification of the recommendation with reference to the company’s financial performance (e.g. profitability, liquidity)</w:t>
      </w:r>
      <w:bookmarkEnd w:id="30"/>
      <w:bookmarkEnd w:id="31"/>
    </w:p>
    <w:p w14:paraId="7F0B835F" w14:textId="77777777" w:rsidR="0057019F" w:rsidRPr="00857AA6" w:rsidRDefault="0057019F" w:rsidP="00857AA6">
      <w:pPr>
        <w:spacing w:line="360" w:lineRule="auto"/>
        <w:jc w:val="both"/>
        <w:rPr>
          <w:rFonts w:ascii="Arial" w:hAnsi="Arial" w:cs="Arial"/>
          <w:b/>
          <w:sz w:val="24"/>
          <w:szCs w:val="24"/>
        </w:rPr>
      </w:pPr>
      <w:r w:rsidRPr="00857AA6">
        <w:rPr>
          <w:rFonts w:ascii="Arial" w:hAnsi="Arial" w:cs="Arial"/>
          <w:b/>
          <w:sz w:val="24"/>
          <w:szCs w:val="24"/>
        </w:rPr>
        <w:t xml:space="preserve">Profitability </w:t>
      </w:r>
    </w:p>
    <w:p w14:paraId="77BBD955" w14:textId="77777777" w:rsidR="0057019F" w:rsidRPr="00857AA6" w:rsidRDefault="00D963DA" w:rsidP="00857AA6">
      <w:pPr>
        <w:spacing w:line="360" w:lineRule="auto"/>
        <w:jc w:val="both"/>
        <w:rPr>
          <w:rFonts w:ascii="Arial" w:hAnsi="Arial" w:cs="Arial"/>
          <w:sz w:val="24"/>
          <w:szCs w:val="24"/>
        </w:rPr>
      </w:pPr>
      <w:r w:rsidRPr="00857AA6">
        <w:rPr>
          <w:rFonts w:ascii="Arial" w:hAnsi="Arial" w:cs="Arial"/>
          <w:sz w:val="24"/>
          <w:szCs w:val="24"/>
        </w:rPr>
        <w:t>The profitability of Hilton Worldwide is very good, and this is a good reason to prefer Project C. The company's revenue was recovered and grew by 110% from US$5.79 billion in 2021 to US$12.04 billion in 2025 due to a strong recovery from the pandemic and the business's asset-light operating model, as did the net profit, which rose by 400% from US$407 million in 2021 to US$1.46 billion in 2025. Similarly, the net profit margin was also improved from 7.03% to 12.14% over the same period, while the Return on Capital Employed (ROCE) rose from 5.20% to 22.18% showing more efficient use of capital invested</w:t>
      </w:r>
      <w:r w:rsidR="006365FA">
        <w:rPr>
          <w:rFonts w:ascii="Arial" w:hAnsi="Arial" w:cs="Arial"/>
          <w:sz w:val="24"/>
          <w:szCs w:val="24"/>
        </w:rPr>
        <w:t xml:space="preserve"> </w:t>
      </w:r>
      <w:r w:rsidR="006365FA" w:rsidRPr="00B34CAC">
        <w:rPr>
          <w:rFonts w:ascii="Arial" w:hAnsi="Arial" w:cs="Arial"/>
          <w:sz w:val="24"/>
          <w:szCs w:val="24"/>
        </w:rPr>
        <w:t>(OECD</w:t>
      </w:r>
      <w:r w:rsidR="006365FA">
        <w:rPr>
          <w:rFonts w:ascii="Arial" w:hAnsi="Arial" w:cs="Arial"/>
          <w:sz w:val="24"/>
          <w:szCs w:val="24"/>
        </w:rPr>
        <w:t>, 2025)</w:t>
      </w:r>
      <w:r w:rsidRPr="00857AA6">
        <w:rPr>
          <w:rFonts w:ascii="Arial" w:hAnsi="Arial" w:cs="Arial"/>
          <w:sz w:val="24"/>
          <w:szCs w:val="24"/>
        </w:rPr>
        <w:t>. Strong profitability suggests that Hilton has adequate financial resources to make new strategic investments without putting undue strain on its current business. Project C also helps achieve Hilton's financial goals with the greatest Average Rate of Return (6.00 %), the shortest payback period (3.6 years) and the only positive Net Present Value (£0.86 million) of the three options. Furthermore, its Internal Rate of Return is 8.59%, which is higher than the company's cost of capital of 8%, meaning that it will add value for shareholders, not take it away. The company has been making consistently more money and is becoming a larger profit maker on capital invested, so a project that maximizes long-term profits would be in line with Hilton's long-term growth goal of sustainable global expansion</w:t>
      </w:r>
      <w:r w:rsidR="006365FA">
        <w:rPr>
          <w:rFonts w:ascii="Arial" w:hAnsi="Arial" w:cs="Arial"/>
          <w:sz w:val="24"/>
          <w:szCs w:val="24"/>
        </w:rPr>
        <w:t xml:space="preserve"> </w:t>
      </w:r>
      <w:r w:rsidR="006365FA" w:rsidRPr="00B34CAC">
        <w:rPr>
          <w:rFonts w:ascii="Arial" w:hAnsi="Arial" w:cs="Arial"/>
          <w:sz w:val="24"/>
          <w:szCs w:val="24"/>
        </w:rPr>
        <w:t>(Int</w:t>
      </w:r>
      <w:r w:rsidR="006365FA">
        <w:rPr>
          <w:rFonts w:ascii="Arial" w:hAnsi="Arial" w:cs="Arial"/>
          <w:sz w:val="24"/>
          <w:szCs w:val="24"/>
        </w:rPr>
        <w:t>ernational Monetary Fund, 2025)</w:t>
      </w:r>
      <w:r w:rsidRPr="00857AA6">
        <w:rPr>
          <w:rFonts w:ascii="Arial" w:hAnsi="Arial" w:cs="Arial"/>
          <w:sz w:val="24"/>
          <w:szCs w:val="24"/>
        </w:rPr>
        <w:t>. Project C has an irregular cash inflow but its financial performance is better than the other two projects, and it is the most suitable project to invest in for Hilton's continued revenue growth, operational efficiency and shareholder's wealth maximisation.</w:t>
      </w:r>
    </w:p>
    <w:p w14:paraId="7C8D7B99" w14:textId="77777777" w:rsidR="0057019F" w:rsidRPr="00857AA6" w:rsidRDefault="0057019F" w:rsidP="00857AA6">
      <w:pPr>
        <w:spacing w:line="360" w:lineRule="auto"/>
        <w:jc w:val="both"/>
        <w:rPr>
          <w:rFonts w:ascii="Arial" w:hAnsi="Arial" w:cs="Arial"/>
          <w:b/>
          <w:sz w:val="24"/>
          <w:szCs w:val="24"/>
        </w:rPr>
      </w:pPr>
      <w:r w:rsidRPr="00857AA6">
        <w:rPr>
          <w:rFonts w:ascii="Arial" w:hAnsi="Arial" w:cs="Arial"/>
          <w:b/>
          <w:sz w:val="24"/>
          <w:szCs w:val="24"/>
        </w:rPr>
        <w:lastRenderedPageBreak/>
        <w:t xml:space="preserve">Liquidity </w:t>
      </w:r>
    </w:p>
    <w:p w14:paraId="5ACBA82C" w14:textId="77777777" w:rsidR="003A5AFF" w:rsidRPr="00857AA6" w:rsidRDefault="00D963DA" w:rsidP="00857AA6">
      <w:pPr>
        <w:spacing w:line="360" w:lineRule="auto"/>
        <w:jc w:val="both"/>
        <w:rPr>
          <w:rFonts w:ascii="Arial" w:hAnsi="Arial" w:cs="Arial"/>
          <w:sz w:val="24"/>
          <w:szCs w:val="24"/>
        </w:rPr>
      </w:pPr>
      <w:r w:rsidRPr="00857AA6">
        <w:rPr>
          <w:rFonts w:ascii="Arial" w:hAnsi="Arial" w:cs="Arial"/>
          <w:sz w:val="24"/>
          <w:szCs w:val="24"/>
        </w:rPr>
        <w:t xml:space="preserve">Furthermore, the Company's liquidity position is </w:t>
      </w:r>
      <w:proofErr w:type="spellStart"/>
      <w:r w:rsidRPr="00857AA6">
        <w:rPr>
          <w:rFonts w:ascii="Arial" w:hAnsi="Arial" w:cs="Arial"/>
          <w:sz w:val="24"/>
          <w:szCs w:val="24"/>
        </w:rPr>
        <w:t>favorable</w:t>
      </w:r>
      <w:proofErr w:type="spellEnd"/>
      <w:r w:rsidRPr="00857AA6">
        <w:rPr>
          <w:rFonts w:ascii="Arial" w:hAnsi="Arial" w:cs="Arial"/>
          <w:sz w:val="24"/>
          <w:szCs w:val="24"/>
        </w:rPr>
        <w:t xml:space="preserve"> for the selection of Project C as it has sufficient short-term financial stability and cash generating capacity despite running an asset light business model. Hilton's current ratio was in the range of 1.17 to 1.22 and quick ratio was in the range of 1.16 to 1.20 throughout 2021-2025, suggesting that current assets were always greater than short-term debt. In addition, op</w:t>
      </w:r>
      <w:r w:rsidR="006365FA">
        <w:rPr>
          <w:rFonts w:ascii="Arial" w:hAnsi="Arial" w:cs="Arial"/>
          <w:sz w:val="24"/>
          <w:szCs w:val="24"/>
        </w:rPr>
        <w:t>erating cash flow went up from</w:t>
      </w:r>
      <w:r w:rsidRPr="00857AA6">
        <w:rPr>
          <w:rFonts w:ascii="Arial" w:hAnsi="Arial" w:cs="Arial"/>
          <w:sz w:val="24"/>
          <w:szCs w:val="24"/>
        </w:rPr>
        <w:t xml:space="preserve"> US$1.31 billion in 2021 to US$2.74 billion in 2025, and free cash flow nearly doubled from US$1.16 billion to US$2.49 billion, creating ample internally generated funds to support new investment opportunities</w:t>
      </w:r>
      <w:r w:rsidR="006365FA">
        <w:rPr>
          <w:rFonts w:ascii="Arial" w:hAnsi="Arial" w:cs="Arial"/>
          <w:sz w:val="24"/>
          <w:szCs w:val="24"/>
        </w:rPr>
        <w:t xml:space="preserve"> (World Bank, 2025)</w:t>
      </w:r>
      <w:r w:rsidRPr="00857AA6">
        <w:rPr>
          <w:rFonts w:ascii="Arial" w:hAnsi="Arial" w:cs="Arial"/>
          <w:sz w:val="24"/>
          <w:szCs w:val="24"/>
        </w:rPr>
        <w:t>. The company's cash conversion cycle was also negative for the years ending 30 June 2013, 30 June 2012 and 30 June 2011, averaging around 73–89 days, which indicates that the company generally collects cash from customers before meeting supplier commitments, which also enhances its liquidity position without creating excessive reliance on external financing sources. Project C demonstrates good liquidity position, having a shorter payback period of 3.6 years, which means that cash will become available sooner to invest in further expansion of the project compared to Project A and B. The project will cost £50 million, but Hilton's strong operating cash flows, positive working capital and efficient working capital management suggests that the company has enough funds to invest in the project and continue its operations without a problem</w:t>
      </w:r>
      <w:r w:rsidR="006365FA">
        <w:rPr>
          <w:rFonts w:ascii="Arial" w:hAnsi="Arial" w:cs="Arial"/>
          <w:sz w:val="24"/>
          <w:szCs w:val="24"/>
        </w:rPr>
        <w:t xml:space="preserve"> </w:t>
      </w:r>
      <w:r w:rsidR="006365FA" w:rsidRPr="00B34CAC">
        <w:rPr>
          <w:rFonts w:ascii="Arial" w:hAnsi="Arial" w:cs="Arial"/>
          <w:sz w:val="24"/>
          <w:szCs w:val="24"/>
        </w:rPr>
        <w:t>(Federal R</w:t>
      </w:r>
      <w:r w:rsidR="006365FA">
        <w:rPr>
          <w:rFonts w:ascii="Arial" w:hAnsi="Arial" w:cs="Arial"/>
          <w:sz w:val="24"/>
          <w:szCs w:val="24"/>
        </w:rPr>
        <w:t>eserve Bank of St. Louis, 2025)</w:t>
      </w:r>
      <w:r w:rsidRPr="00857AA6">
        <w:rPr>
          <w:rFonts w:ascii="Arial" w:hAnsi="Arial" w:cs="Arial"/>
          <w:sz w:val="24"/>
          <w:szCs w:val="24"/>
        </w:rPr>
        <w:t>. As a result, Project C has the greatest financial appeal, and is also in line with Hilton's capacity to maintain its healthy cash flow, liquidity and long-term strategic growth while minimizing financial risk.</w:t>
      </w:r>
    </w:p>
    <w:p w14:paraId="51FF891C" w14:textId="77777777" w:rsidR="000D50CB" w:rsidRPr="00857AA6" w:rsidRDefault="00162F43" w:rsidP="00857AA6">
      <w:pPr>
        <w:pStyle w:val="Heading2"/>
        <w:spacing w:line="360" w:lineRule="auto"/>
        <w:jc w:val="both"/>
        <w:rPr>
          <w:rFonts w:ascii="Arial" w:hAnsi="Arial" w:cs="Arial"/>
          <w:b/>
          <w:color w:val="auto"/>
          <w:sz w:val="24"/>
          <w:szCs w:val="24"/>
        </w:rPr>
      </w:pPr>
      <w:bookmarkStart w:id="32" w:name="_Toc234747809"/>
      <w:bookmarkStart w:id="33" w:name="_Toc235544027"/>
      <w:r w:rsidRPr="00857AA6">
        <w:rPr>
          <w:rFonts w:ascii="Arial" w:hAnsi="Arial" w:cs="Arial"/>
          <w:b/>
          <w:color w:val="auto"/>
          <w:sz w:val="24"/>
          <w:szCs w:val="24"/>
        </w:rPr>
        <w:t xml:space="preserve">4.3 </w:t>
      </w:r>
      <w:r w:rsidR="000D50CB" w:rsidRPr="00857AA6">
        <w:rPr>
          <w:rFonts w:ascii="Arial" w:hAnsi="Arial" w:cs="Arial"/>
          <w:b/>
          <w:color w:val="auto"/>
          <w:sz w:val="24"/>
          <w:szCs w:val="24"/>
        </w:rPr>
        <w:t>Justification of the recommendation with reference to the non-financial risks (e.g. political risk, customer loyalty)</w:t>
      </w:r>
      <w:bookmarkEnd w:id="32"/>
      <w:bookmarkEnd w:id="33"/>
    </w:p>
    <w:p w14:paraId="533BCAF1" w14:textId="77777777" w:rsidR="0057019F" w:rsidRPr="00857AA6" w:rsidRDefault="0057019F" w:rsidP="00857AA6">
      <w:pPr>
        <w:spacing w:line="360" w:lineRule="auto"/>
        <w:jc w:val="both"/>
        <w:rPr>
          <w:rFonts w:ascii="Arial" w:hAnsi="Arial" w:cs="Arial"/>
          <w:b/>
          <w:sz w:val="24"/>
          <w:szCs w:val="24"/>
        </w:rPr>
      </w:pPr>
      <w:r w:rsidRPr="00857AA6">
        <w:rPr>
          <w:rFonts w:ascii="Arial" w:hAnsi="Arial" w:cs="Arial"/>
          <w:b/>
          <w:sz w:val="24"/>
          <w:szCs w:val="24"/>
        </w:rPr>
        <w:t>Political Risk</w:t>
      </w:r>
    </w:p>
    <w:p w14:paraId="37E55C3D" w14:textId="77777777" w:rsidR="0057019F" w:rsidRPr="00857AA6" w:rsidRDefault="00D963DA" w:rsidP="00857AA6">
      <w:pPr>
        <w:spacing w:line="360" w:lineRule="auto"/>
        <w:jc w:val="both"/>
        <w:rPr>
          <w:rFonts w:ascii="Arial" w:hAnsi="Arial" w:cs="Arial"/>
          <w:sz w:val="24"/>
          <w:szCs w:val="24"/>
        </w:rPr>
      </w:pPr>
      <w:r w:rsidRPr="00857AA6">
        <w:rPr>
          <w:rFonts w:ascii="Arial" w:hAnsi="Arial" w:cs="Arial"/>
          <w:sz w:val="24"/>
          <w:szCs w:val="24"/>
        </w:rPr>
        <w:t>Even though it contains political risks, project C is the most appropriate investment because Hilton operates in various countries making it less dependent on any particular market. It is active in over 130 countries and territories, thus distributing geopolitical and regulatory risks to various territories. But, government policy, taxation, visa requirements and trade barriers and geopolitical issues could influence tourism demand and operating expenses in specific markets</w:t>
      </w:r>
      <w:r w:rsidR="006365FA">
        <w:rPr>
          <w:rFonts w:ascii="Arial" w:hAnsi="Arial" w:cs="Arial"/>
          <w:sz w:val="24"/>
          <w:szCs w:val="24"/>
        </w:rPr>
        <w:t xml:space="preserve"> </w:t>
      </w:r>
      <w:r w:rsidR="006365FA" w:rsidRPr="00B34CAC">
        <w:rPr>
          <w:rFonts w:ascii="Arial" w:hAnsi="Arial" w:cs="Arial"/>
          <w:sz w:val="24"/>
          <w:szCs w:val="24"/>
        </w:rPr>
        <w:t>(U.S. Bu</w:t>
      </w:r>
      <w:r w:rsidR="006365FA">
        <w:rPr>
          <w:rFonts w:ascii="Arial" w:hAnsi="Arial" w:cs="Arial"/>
          <w:sz w:val="24"/>
          <w:szCs w:val="24"/>
        </w:rPr>
        <w:t xml:space="preserve">reau of Labor Statistics, </w:t>
      </w:r>
      <w:r w:rsidR="006365FA">
        <w:rPr>
          <w:rFonts w:ascii="Arial" w:hAnsi="Arial" w:cs="Arial"/>
          <w:sz w:val="24"/>
          <w:szCs w:val="24"/>
        </w:rPr>
        <w:lastRenderedPageBreak/>
        <w:t>2025)</w:t>
      </w:r>
      <w:r w:rsidRPr="00857AA6">
        <w:rPr>
          <w:rFonts w:ascii="Arial" w:hAnsi="Arial" w:cs="Arial"/>
          <w:sz w:val="24"/>
          <w:szCs w:val="24"/>
        </w:rPr>
        <w:t>. Project C's smaller investment horizon (3.6 years) means Hilton can get its money back relatively quickly, limiting its risk by the uncertainty of long-term politics. In addition, the positive NPV (£0.86 million) and IRR (8.59%) of the project offer a financial margin of safety against any potential external risks, providing more financial support than both Projects A and B do, which both have negative NPVs</w:t>
      </w:r>
      <w:r w:rsidR="006365FA">
        <w:rPr>
          <w:rFonts w:ascii="Arial" w:hAnsi="Arial" w:cs="Arial"/>
          <w:sz w:val="24"/>
          <w:szCs w:val="24"/>
        </w:rPr>
        <w:t xml:space="preserve"> </w:t>
      </w:r>
      <w:r w:rsidR="006365FA" w:rsidRPr="00B34CAC">
        <w:rPr>
          <w:rFonts w:ascii="Arial" w:hAnsi="Arial" w:cs="Arial"/>
          <w:sz w:val="24"/>
          <w:szCs w:val="24"/>
        </w:rPr>
        <w:t>(PwC, 2025</w:t>
      </w:r>
      <w:r w:rsidR="006365FA">
        <w:rPr>
          <w:rFonts w:ascii="Arial" w:hAnsi="Arial" w:cs="Arial"/>
          <w:sz w:val="24"/>
          <w:szCs w:val="24"/>
        </w:rPr>
        <w:t>)</w:t>
      </w:r>
      <w:r w:rsidRPr="00857AA6">
        <w:rPr>
          <w:rFonts w:ascii="Arial" w:hAnsi="Arial" w:cs="Arial"/>
          <w:sz w:val="24"/>
          <w:szCs w:val="24"/>
        </w:rPr>
        <w:t>.</w:t>
      </w:r>
    </w:p>
    <w:p w14:paraId="75105E15" w14:textId="77777777" w:rsidR="0057019F" w:rsidRPr="00857AA6" w:rsidRDefault="0057019F" w:rsidP="00857AA6">
      <w:pPr>
        <w:spacing w:line="360" w:lineRule="auto"/>
        <w:jc w:val="both"/>
        <w:rPr>
          <w:rFonts w:ascii="Arial" w:hAnsi="Arial" w:cs="Arial"/>
          <w:b/>
          <w:sz w:val="24"/>
          <w:szCs w:val="24"/>
        </w:rPr>
      </w:pPr>
      <w:r w:rsidRPr="00857AA6">
        <w:rPr>
          <w:rFonts w:ascii="Arial" w:hAnsi="Arial" w:cs="Arial"/>
          <w:b/>
          <w:sz w:val="24"/>
          <w:szCs w:val="24"/>
        </w:rPr>
        <w:t>Customer Loyalty</w:t>
      </w:r>
    </w:p>
    <w:p w14:paraId="0FF6483D" w14:textId="77777777" w:rsidR="00D963DA" w:rsidRPr="00857AA6" w:rsidRDefault="00D963DA" w:rsidP="00857AA6">
      <w:pPr>
        <w:spacing w:line="360" w:lineRule="auto"/>
        <w:jc w:val="both"/>
        <w:rPr>
          <w:rFonts w:ascii="Arial" w:hAnsi="Arial" w:cs="Arial"/>
          <w:sz w:val="24"/>
          <w:szCs w:val="24"/>
        </w:rPr>
      </w:pPr>
      <w:bookmarkStart w:id="34" w:name="_Toc234747810"/>
      <w:r w:rsidRPr="00857AA6">
        <w:rPr>
          <w:rFonts w:ascii="Arial" w:hAnsi="Arial" w:cs="Arial"/>
          <w:sz w:val="24"/>
          <w:szCs w:val="24"/>
        </w:rPr>
        <w:t>Project C also reinforces that Hilton has one of the best loyalty programmes in the hospitality industry, namely Hilton Honors, which helps to ensure repeat bookings and regular income generation. Overall, Hilton's total revenues rose from the US$5.79 billion in 2021 to the US$12.04 billion in 2025, driven by strong demand from customers and ongoing brand growth</w:t>
      </w:r>
      <w:r w:rsidR="006365FA">
        <w:rPr>
          <w:rFonts w:ascii="Arial" w:hAnsi="Arial" w:cs="Arial"/>
          <w:sz w:val="24"/>
          <w:szCs w:val="24"/>
        </w:rPr>
        <w:t xml:space="preserve"> (Deloitte, 2025)</w:t>
      </w:r>
      <w:r w:rsidRPr="00857AA6">
        <w:rPr>
          <w:rFonts w:ascii="Arial" w:hAnsi="Arial" w:cs="Arial"/>
          <w:sz w:val="24"/>
          <w:szCs w:val="24"/>
        </w:rPr>
        <w:t>. By investing in Project C, Hilton can continue to improve guest journeys, digital innovations, service levels and more, further bolstering customer satisfaction and retention. Ensuring customers have a loyal customer base decreases uncertainty on demand and helps to stabilize future cash flows, thereby ensuring the project will realize its expected financial returns. Hilton's brand reputation and customer loyalty minimize the non-financial risks involved in the investment, and drive a higher probability of Project C being a sustainable long-term value</w:t>
      </w:r>
      <w:r w:rsidR="006365FA">
        <w:rPr>
          <w:rFonts w:ascii="Arial" w:hAnsi="Arial" w:cs="Arial"/>
          <w:sz w:val="24"/>
          <w:szCs w:val="24"/>
        </w:rPr>
        <w:t xml:space="preserve"> (KPMG, 2025)</w:t>
      </w:r>
      <w:r w:rsidRPr="00857AA6">
        <w:rPr>
          <w:rFonts w:ascii="Arial" w:hAnsi="Arial" w:cs="Arial"/>
          <w:sz w:val="24"/>
          <w:szCs w:val="24"/>
        </w:rPr>
        <w:t>.</w:t>
      </w:r>
    </w:p>
    <w:p w14:paraId="763E0255" w14:textId="77777777" w:rsidR="000D50CB" w:rsidRPr="00857AA6" w:rsidRDefault="00162F43" w:rsidP="00857AA6">
      <w:pPr>
        <w:pStyle w:val="Heading2"/>
        <w:spacing w:line="360" w:lineRule="auto"/>
        <w:jc w:val="both"/>
        <w:rPr>
          <w:rFonts w:ascii="Arial" w:hAnsi="Arial" w:cs="Arial"/>
          <w:b/>
          <w:color w:val="auto"/>
          <w:sz w:val="24"/>
          <w:szCs w:val="24"/>
        </w:rPr>
      </w:pPr>
      <w:bookmarkStart w:id="35" w:name="_Toc235544028"/>
      <w:r w:rsidRPr="00857AA6">
        <w:rPr>
          <w:rFonts w:ascii="Arial" w:hAnsi="Arial" w:cs="Arial"/>
          <w:b/>
          <w:color w:val="auto"/>
          <w:sz w:val="24"/>
          <w:szCs w:val="24"/>
        </w:rPr>
        <w:t xml:space="preserve">4.4 </w:t>
      </w:r>
      <w:r w:rsidR="003A5AFF" w:rsidRPr="00857AA6">
        <w:rPr>
          <w:rFonts w:ascii="Arial" w:hAnsi="Arial" w:cs="Arial"/>
          <w:b/>
          <w:color w:val="auto"/>
          <w:sz w:val="24"/>
          <w:szCs w:val="24"/>
        </w:rPr>
        <w:t>Combination of projects is the best on using capital rationing</w:t>
      </w:r>
      <w:bookmarkEnd w:id="34"/>
      <w:bookmarkEnd w:id="35"/>
    </w:p>
    <w:p w14:paraId="43EC5D3B" w14:textId="77777777" w:rsidR="00990072" w:rsidRPr="00990072" w:rsidRDefault="00990072" w:rsidP="00990072">
      <w:pPr>
        <w:spacing w:line="360" w:lineRule="auto"/>
        <w:jc w:val="both"/>
        <w:rPr>
          <w:rFonts w:ascii="Arial" w:hAnsi="Arial" w:cs="Arial"/>
          <w:sz w:val="24"/>
          <w:szCs w:val="24"/>
        </w:rPr>
      </w:pPr>
      <w:r w:rsidRPr="00990072">
        <w:rPr>
          <w:rFonts w:ascii="Arial" w:hAnsi="Arial" w:cs="Arial"/>
          <w:sz w:val="24"/>
          <w:szCs w:val="24"/>
        </w:rPr>
        <w:t>Each of the three projects requires an initial investment of £50 million and under the capital rationing constraint, Hilton Worldwide can invest a maximum of £100 million so the company can only implement two of the three projects. Project A + Project B, Project A + Project C and Project B + Project C are the three possible combinations with the financial appraisal showing that neither Project A nor Project B are financially attractive since both have a negative NPV of -£6.54 million and -£6.08 million respectively and a Profitability Index (PI) value less than 1.0 which means that the present value of the future cash inflows are not enough to recover the initial investment</w:t>
      </w:r>
      <w:r w:rsidR="006365FA">
        <w:rPr>
          <w:rFonts w:ascii="Arial" w:hAnsi="Arial" w:cs="Arial"/>
          <w:sz w:val="24"/>
          <w:szCs w:val="24"/>
        </w:rPr>
        <w:t xml:space="preserve"> (EY, 2025)</w:t>
      </w:r>
      <w:r w:rsidRPr="00990072">
        <w:rPr>
          <w:rFonts w:ascii="Arial" w:hAnsi="Arial" w:cs="Arial"/>
          <w:sz w:val="24"/>
          <w:szCs w:val="24"/>
        </w:rPr>
        <w:t>. Hence, incorporating either Project A or Project B with another project would lead to less v</w:t>
      </w:r>
      <w:r>
        <w:rPr>
          <w:rFonts w:ascii="Arial" w:hAnsi="Arial" w:cs="Arial"/>
          <w:sz w:val="24"/>
          <w:szCs w:val="24"/>
        </w:rPr>
        <w:t>alue added to the shareholders.</w:t>
      </w:r>
    </w:p>
    <w:p w14:paraId="5DC17F11" w14:textId="77777777" w:rsidR="00990072" w:rsidRPr="00990072" w:rsidRDefault="00990072" w:rsidP="00990072">
      <w:pPr>
        <w:spacing w:line="360" w:lineRule="auto"/>
        <w:jc w:val="both"/>
        <w:rPr>
          <w:rFonts w:ascii="Arial" w:hAnsi="Arial" w:cs="Arial"/>
          <w:sz w:val="24"/>
          <w:szCs w:val="24"/>
        </w:rPr>
      </w:pPr>
      <w:r w:rsidRPr="00990072">
        <w:rPr>
          <w:rFonts w:ascii="Arial" w:hAnsi="Arial" w:cs="Arial"/>
          <w:sz w:val="24"/>
          <w:szCs w:val="24"/>
        </w:rPr>
        <w:t xml:space="preserve">Under capital rationing, the investment strategy of combination of Project B and Project C is the most appropriate. Project B has a small negative NPV, but has consistent annual cash inflows of £11m, making it a more stable source of income and </w:t>
      </w:r>
      <w:r w:rsidRPr="00990072">
        <w:rPr>
          <w:rFonts w:ascii="Arial" w:hAnsi="Arial" w:cs="Arial"/>
          <w:sz w:val="24"/>
          <w:szCs w:val="24"/>
        </w:rPr>
        <w:lastRenderedPageBreak/>
        <w:t>cash flow. Project C is the best value-creating project, with an IRR of 8.59%, a PI of 1.02 and the shortest payback period of 3.6 years; the financial returns of this project are positive with an NPV of £0.86 million</w:t>
      </w:r>
      <w:r w:rsidR="006365FA">
        <w:rPr>
          <w:rFonts w:ascii="Arial" w:hAnsi="Arial" w:cs="Arial"/>
          <w:sz w:val="24"/>
          <w:szCs w:val="24"/>
        </w:rPr>
        <w:t xml:space="preserve"> (McKinsey &amp; Company, 2025)</w:t>
      </w:r>
      <w:r w:rsidRPr="00990072">
        <w:rPr>
          <w:rFonts w:ascii="Arial" w:hAnsi="Arial" w:cs="Arial"/>
          <w:sz w:val="24"/>
          <w:szCs w:val="24"/>
        </w:rPr>
        <w:t>. These two projects together offer Hilton a balance, and are w</w:t>
      </w:r>
      <w:r>
        <w:rPr>
          <w:rFonts w:ascii="Arial" w:hAnsi="Arial" w:cs="Arial"/>
          <w:sz w:val="24"/>
          <w:szCs w:val="24"/>
        </w:rPr>
        <w:t>ithin the £100m investment cap.</w:t>
      </w:r>
    </w:p>
    <w:p w14:paraId="633498D3" w14:textId="77777777" w:rsidR="003A5AFF" w:rsidRPr="00D963DA" w:rsidRDefault="00990072" w:rsidP="00990072">
      <w:pPr>
        <w:spacing w:line="360" w:lineRule="auto"/>
        <w:jc w:val="both"/>
        <w:rPr>
          <w:rFonts w:ascii="Arial" w:hAnsi="Arial" w:cs="Arial"/>
          <w:sz w:val="24"/>
          <w:szCs w:val="24"/>
        </w:rPr>
      </w:pPr>
      <w:r w:rsidRPr="00990072">
        <w:rPr>
          <w:rFonts w:ascii="Arial" w:hAnsi="Arial" w:cs="Arial"/>
          <w:sz w:val="24"/>
          <w:szCs w:val="24"/>
        </w:rPr>
        <w:t>In addition to the fact that Hilton's financial performance has been robust with revenue in 2025 at US$12.04 billion, net profit of US$1.46 billion and free cash flow of around US$2.49 billion, it has ample financial resources to cover this investment portfolio. Hence Project B and C would be the most balanced choice as they provide direct cash flow and long-term value creation, whilst providing financial flexibility and supporting Hilton's global expansion plan</w:t>
      </w:r>
      <w:r w:rsidR="006365FA">
        <w:rPr>
          <w:rFonts w:ascii="Arial" w:hAnsi="Arial" w:cs="Arial"/>
          <w:sz w:val="24"/>
          <w:szCs w:val="24"/>
        </w:rPr>
        <w:t xml:space="preserve"> (S&amp;P Global, 2025)</w:t>
      </w:r>
      <w:r w:rsidRPr="00990072">
        <w:rPr>
          <w:rFonts w:ascii="Arial" w:hAnsi="Arial" w:cs="Arial"/>
          <w:sz w:val="24"/>
          <w:szCs w:val="24"/>
        </w:rPr>
        <w:t>.</w:t>
      </w:r>
      <w:r w:rsidR="0057019F" w:rsidRPr="00D963DA">
        <w:rPr>
          <w:rFonts w:ascii="Arial" w:hAnsi="Arial" w:cs="Arial"/>
          <w:sz w:val="24"/>
          <w:szCs w:val="24"/>
        </w:rPr>
        <w:t xml:space="preserve"> </w:t>
      </w:r>
    </w:p>
    <w:p w14:paraId="73D7B4D6" w14:textId="77777777" w:rsidR="00007F77" w:rsidRPr="00D963DA" w:rsidRDefault="00007F77" w:rsidP="00D963DA">
      <w:pPr>
        <w:spacing w:line="360" w:lineRule="auto"/>
        <w:jc w:val="both"/>
        <w:rPr>
          <w:rFonts w:ascii="Arial" w:eastAsiaTheme="majorEastAsia" w:hAnsi="Arial" w:cs="Arial"/>
          <w:b/>
          <w:sz w:val="24"/>
          <w:szCs w:val="24"/>
        </w:rPr>
      </w:pPr>
      <w:r w:rsidRPr="00D963DA">
        <w:rPr>
          <w:rFonts w:ascii="Arial" w:hAnsi="Arial" w:cs="Arial"/>
          <w:b/>
          <w:sz w:val="24"/>
          <w:szCs w:val="24"/>
        </w:rPr>
        <w:br w:type="page"/>
      </w:r>
    </w:p>
    <w:p w14:paraId="35415BF2" w14:textId="77777777" w:rsidR="003A5AFF" w:rsidRPr="00990072" w:rsidRDefault="003A5AFF" w:rsidP="00990072">
      <w:pPr>
        <w:pStyle w:val="Heading1"/>
        <w:spacing w:line="360" w:lineRule="auto"/>
        <w:jc w:val="both"/>
        <w:rPr>
          <w:rFonts w:ascii="Arial" w:hAnsi="Arial" w:cs="Arial"/>
          <w:b/>
          <w:color w:val="auto"/>
          <w:sz w:val="24"/>
          <w:szCs w:val="24"/>
        </w:rPr>
      </w:pPr>
      <w:bookmarkStart w:id="36" w:name="_Toc234747811"/>
      <w:bookmarkStart w:id="37" w:name="_Toc235544029"/>
      <w:r w:rsidRPr="00990072">
        <w:rPr>
          <w:rFonts w:ascii="Arial" w:hAnsi="Arial" w:cs="Arial"/>
          <w:b/>
          <w:color w:val="auto"/>
          <w:sz w:val="24"/>
          <w:szCs w:val="24"/>
        </w:rPr>
        <w:lastRenderedPageBreak/>
        <w:t>5. Critical Reflection on AI Usage</w:t>
      </w:r>
      <w:bookmarkEnd w:id="36"/>
      <w:bookmarkEnd w:id="37"/>
      <w:r w:rsidRPr="00990072">
        <w:rPr>
          <w:rFonts w:ascii="Arial" w:hAnsi="Arial" w:cs="Arial"/>
          <w:b/>
          <w:color w:val="auto"/>
          <w:sz w:val="24"/>
          <w:szCs w:val="24"/>
        </w:rPr>
        <w:t xml:space="preserve"> </w:t>
      </w:r>
    </w:p>
    <w:p w14:paraId="27712377" w14:textId="77777777" w:rsidR="003A5AFF" w:rsidRPr="00990072" w:rsidRDefault="00162F43" w:rsidP="00990072">
      <w:pPr>
        <w:pStyle w:val="Heading2"/>
        <w:spacing w:line="360" w:lineRule="auto"/>
        <w:jc w:val="both"/>
        <w:rPr>
          <w:rFonts w:ascii="Arial" w:hAnsi="Arial" w:cs="Arial"/>
          <w:b/>
          <w:color w:val="auto"/>
          <w:sz w:val="24"/>
          <w:szCs w:val="24"/>
        </w:rPr>
      </w:pPr>
      <w:bookmarkStart w:id="38" w:name="_Toc234747812"/>
      <w:bookmarkStart w:id="39" w:name="_Toc235544030"/>
      <w:r w:rsidRPr="00990072">
        <w:rPr>
          <w:rFonts w:ascii="Arial" w:hAnsi="Arial" w:cs="Arial"/>
          <w:b/>
          <w:color w:val="auto"/>
          <w:sz w:val="24"/>
          <w:szCs w:val="24"/>
        </w:rPr>
        <w:t>5.1</w:t>
      </w:r>
      <w:r w:rsidR="0036309F" w:rsidRPr="00990072">
        <w:rPr>
          <w:rFonts w:ascii="Arial" w:hAnsi="Arial" w:cs="Arial"/>
          <w:b/>
          <w:color w:val="auto"/>
          <w:sz w:val="24"/>
          <w:szCs w:val="24"/>
        </w:rPr>
        <w:t xml:space="preserve"> </w:t>
      </w:r>
      <w:r w:rsidR="003A5AFF" w:rsidRPr="00990072">
        <w:rPr>
          <w:rFonts w:ascii="Arial" w:hAnsi="Arial" w:cs="Arial"/>
          <w:b/>
          <w:color w:val="auto"/>
          <w:sz w:val="24"/>
          <w:szCs w:val="24"/>
        </w:rPr>
        <w:t>Tool Disclosure</w:t>
      </w:r>
      <w:bookmarkEnd w:id="38"/>
      <w:bookmarkEnd w:id="39"/>
    </w:p>
    <w:p w14:paraId="3A6A49D2" w14:textId="77777777" w:rsidR="003A5AFF" w:rsidRPr="00990072" w:rsidRDefault="00990072" w:rsidP="00990072">
      <w:pPr>
        <w:pStyle w:val="NormalWeb"/>
        <w:spacing w:line="360" w:lineRule="auto"/>
        <w:jc w:val="both"/>
        <w:rPr>
          <w:rFonts w:ascii="Arial" w:hAnsi="Arial" w:cs="Arial"/>
        </w:rPr>
      </w:pPr>
      <w:r w:rsidRPr="00990072">
        <w:rPr>
          <w:rFonts w:ascii="Arial" w:hAnsi="Arial" w:cs="Arial"/>
        </w:rPr>
        <w:t xml:space="preserve">This report was produced using ChatGPT (OpenAI) as an AI-driven assistant in structuring the report, enhancing its academic writing, grammar, summarizing publicly available information and clarifying financial concepts. The AI tool also helped to suggest which financial ratio formulas are appropriate to use, which investment appraisal methods and presentation formats are suitable. The AI has not directly reviewed Hilton </w:t>
      </w:r>
      <w:proofErr w:type="spellStart"/>
      <w:r w:rsidRPr="00990072">
        <w:rPr>
          <w:rFonts w:ascii="Arial" w:hAnsi="Arial" w:cs="Arial"/>
        </w:rPr>
        <w:t>Worldwide's</w:t>
      </w:r>
      <w:proofErr w:type="spellEnd"/>
      <w:r w:rsidRPr="00990072">
        <w:rPr>
          <w:rFonts w:ascii="Arial" w:hAnsi="Arial" w:cs="Arial"/>
        </w:rPr>
        <w:t xml:space="preserve"> financial statements or provided final financial conclusions or recommendations for Hilton's strategy. Hilton </w:t>
      </w:r>
      <w:proofErr w:type="spellStart"/>
      <w:r w:rsidRPr="00990072">
        <w:rPr>
          <w:rFonts w:ascii="Arial" w:hAnsi="Arial" w:cs="Arial"/>
        </w:rPr>
        <w:t>Worldwide's</w:t>
      </w:r>
      <w:proofErr w:type="spellEnd"/>
      <w:r w:rsidRPr="00990072">
        <w:rPr>
          <w:rFonts w:ascii="Arial" w:hAnsi="Arial" w:cs="Arial"/>
        </w:rPr>
        <w:t xml:space="preserve"> Annual Reports (2021-2025), supporting financial literature and manual calculations were used to independently verify and interpret all any financial data, ratio calculations, investment appraisal results, critical evaluations and recommendations. This method is consistent with the use acknowledgement of AI, where it was used to support the writing and research process, with the final analysis, professional judgement and conclusions being the authors' own work.</w:t>
      </w:r>
    </w:p>
    <w:p w14:paraId="1A9EE2F8" w14:textId="77777777" w:rsidR="003A5AFF" w:rsidRPr="00990072" w:rsidRDefault="0036309F" w:rsidP="00990072">
      <w:pPr>
        <w:pStyle w:val="Heading2"/>
        <w:spacing w:line="360" w:lineRule="auto"/>
        <w:jc w:val="both"/>
        <w:rPr>
          <w:rFonts w:ascii="Arial" w:hAnsi="Arial" w:cs="Arial"/>
          <w:b/>
          <w:color w:val="auto"/>
          <w:sz w:val="24"/>
          <w:szCs w:val="24"/>
        </w:rPr>
      </w:pPr>
      <w:bookmarkStart w:id="40" w:name="_Toc234747813"/>
      <w:bookmarkStart w:id="41" w:name="_Toc235544031"/>
      <w:r w:rsidRPr="00990072">
        <w:rPr>
          <w:rFonts w:ascii="Arial" w:hAnsi="Arial" w:cs="Arial"/>
          <w:b/>
          <w:color w:val="auto"/>
          <w:sz w:val="24"/>
          <w:szCs w:val="24"/>
        </w:rPr>
        <w:t xml:space="preserve">5.2 </w:t>
      </w:r>
      <w:r w:rsidR="003A5AFF" w:rsidRPr="00990072">
        <w:rPr>
          <w:rFonts w:ascii="Arial" w:hAnsi="Arial" w:cs="Arial"/>
          <w:b/>
          <w:color w:val="auto"/>
          <w:sz w:val="24"/>
          <w:szCs w:val="24"/>
        </w:rPr>
        <w:t>Critical Evaluation of AI Output</w:t>
      </w:r>
      <w:bookmarkEnd w:id="40"/>
      <w:bookmarkEnd w:id="41"/>
    </w:p>
    <w:p w14:paraId="5C760A3A" w14:textId="77777777" w:rsidR="003A5AFF" w:rsidRPr="006365FA" w:rsidRDefault="00990072" w:rsidP="006365FA">
      <w:pPr>
        <w:spacing w:line="360" w:lineRule="auto"/>
        <w:jc w:val="both"/>
        <w:rPr>
          <w:rFonts w:ascii="Arial" w:hAnsi="Arial" w:cs="Arial"/>
          <w:sz w:val="24"/>
          <w:szCs w:val="24"/>
        </w:rPr>
      </w:pPr>
      <w:r w:rsidRPr="00990072">
        <w:rPr>
          <w:rFonts w:ascii="Arial" w:hAnsi="Arial" w:cs="Arial"/>
        </w:rPr>
        <w:t xml:space="preserve">The accuracy of the AI-generated outputs was verified through a systematic review process based on Hilton </w:t>
      </w:r>
      <w:proofErr w:type="spellStart"/>
      <w:r w:rsidRPr="00990072">
        <w:rPr>
          <w:rFonts w:ascii="Arial" w:hAnsi="Arial" w:cs="Arial"/>
        </w:rPr>
        <w:t>Worldwide's</w:t>
      </w:r>
      <w:proofErr w:type="spellEnd"/>
      <w:r w:rsidRPr="00990072">
        <w:rPr>
          <w:rFonts w:ascii="Arial" w:hAnsi="Arial" w:cs="Arial"/>
        </w:rPr>
        <w:t xml:space="preserve"> Annual Reports (2021-2025), audited financial statements, investor presentations and other credible financial sources. All </w:t>
      </w:r>
      <w:proofErr w:type="spellStart"/>
      <w:r w:rsidRPr="00990072">
        <w:rPr>
          <w:rFonts w:ascii="Arial" w:hAnsi="Arial" w:cs="Arial"/>
        </w:rPr>
        <w:t>all</w:t>
      </w:r>
      <w:proofErr w:type="spellEnd"/>
      <w:r w:rsidRPr="00990072">
        <w:rPr>
          <w:rFonts w:ascii="Arial" w:hAnsi="Arial" w:cs="Arial"/>
        </w:rPr>
        <w:t xml:space="preserve"> cash amounts such as revenues, net profit, operating cash flow, total assets and liabilities were manually cross checked with the published financial statements prior to inclusion in the report. The financial ratios, such as profitability, liquidity, gearing, efficiency and cash flow ratios, were also determined on</w:t>
      </w:r>
      <w:r w:rsidR="007712B2">
        <w:rPr>
          <w:rFonts w:ascii="Arial" w:hAnsi="Arial" w:cs="Arial"/>
        </w:rPr>
        <w:t xml:space="preserve"> </w:t>
      </w:r>
      <w:r w:rsidRPr="00990072">
        <w:rPr>
          <w:rFonts w:ascii="Arial" w:hAnsi="Arial" w:cs="Arial"/>
        </w:rPr>
        <w:t>Microsoft</w:t>
      </w:r>
      <w:r w:rsidR="007712B2">
        <w:rPr>
          <w:rFonts w:ascii="Arial" w:hAnsi="Arial" w:cs="Arial"/>
        </w:rPr>
        <w:t xml:space="preserve"> </w:t>
      </w:r>
      <w:r w:rsidRPr="00990072">
        <w:rPr>
          <w:rFonts w:ascii="Arial" w:hAnsi="Arial" w:cs="Arial"/>
        </w:rPr>
        <w:t>Excel to ensure that they are calculated correctly. The investment appraisal techniques were also calculated separately (Payback Period (PBP), ARR, NPV, PI, and IRR) on Microsoft Excel to verify the accuracy of the calculations. While undergoing the review process, the following outputs were recognized as needing to be corrected: some of the ratios were misinterpreted, some of the dividend payments were assumed, and there were some financial terms and/or investment calculations that were incorrect. The information in these potential "hallucinations" was checked against Hilton's official financial disclosures and the information was calculated using standard financial formulas to ensure consistency with accounting principles and corporate finance theory</w:t>
      </w:r>
      <w:r w:rsidR="006365FA">
        <w:rPr>
          <w:rFonts w:ascii="Arial" w:hAnsi="Arial" w:cs="Arial"/>
        </w:rPr>
        <w:t xml:space="preserve"> </w:t>
      </w:r>
      <w:r w:rsidR="006365FA">
        <w:rPr>
          <w:rFonts w:ascii="Arial" w:hAnsi="Arial" w:cs="Arial"/>
          <w:sz w:val="24"/>
          <w:szCs w:val="24"/>
        </w:rPr>
        <w:t>(Morningstar, 2025)</w:t>
      </w:r>
      <w:r w:rsidRPr="00990072">
        <w:rPr>
          <w:rFonts w:ascii="Arial" w:hAnsi="Arial" w:cs="Arial"/>
        </w:rPr>
        <w:t xml:space="preserve">. In addition, qualitative interpretations produced by AI were reviewed critically to make sure they were correct in their financial performance and strategic position, and not simply opinion-based </w:t>
      </w:r>
      <w:r w:rsidRPr="00990072">
        <w:rPr>
          <w:rFonts w:ascii="Arial" w:hAnsi="Arial" w:cs="Arial"/>
        </w:rPr>
        <w:lastRenderedPageBreak/>
        <w:t>conclusions. This verification process helped to guarantee that the final report was based on evidence, logical and academically sound, and that all major financial analysis and strategic suggestions were made based on independent evaluation, not only on AI-generated answers.</w:t>
      </w:r>
    </w:p>
    <w:p w14:paraId="37732D82" w14:textId="77777777" w:rsidR="003A5AFF" w:rsidRPr="00990072" w:rsidRDefault="0036309F" w:rsidP="00990072">
      <w:pPr>
        <w:pStyle w:val="Heading2"/>
        <w:spacing w:line="360" w:lineRule="auto"/>
        <w:jc w:val="both"/>
        <w:rPr>
          <w:rFonts w:ascii="Arial" w:hAnsi="Arial" w:cs="Arial"/>
          <w:b/>
          <w:color w:val="auto"/>
          <w:sz w:val="24"/>
          <w:szCs w:val="24"/>
        </w:rPr>
      </w:pPr>
      <w:bookmarkStart w:id="42" w:name="_Toc234747814"/>
      <w:bookmarkStart w:id="43" w:name="_Toc235544032"/>
      <w:r w:rsidRPr="00990072">
        <w:rPr>
          <w:rFonts w:ascii="Arial" w:hAnsi="Arial" w:cs="Arial"/>
          <w:b/>
          <w:color w:val="auto"/>
          <w:sz w:val="24"/>
          <w:szCs w:val="24"/>
        </w:rPr>
        <w:t xml:space="preserve">5.3 </w:t>
      </w:r>
      <w:r w:rsidR="003A5AFF" w:rsidRPr="00990072">
        <w:rPr>
          <w:rFonts w:ascii="Arial" w:hAnsi="Arial" w:cs="Arial"/>
          <w:b/>
          <w:color w:val="auto"/>
          <w:sz w:val="24"/>
          <w:szCs w:val="24"/>
        </w:rPr>
        <w:t>Contribution Analysis</w:t>
      </w:r>
      <w:bookmarkEnd w:id="42"/>
      <w:bookmarkEnd w:id="43"/>
    </w:p>
    <w:p w14:paraId="58A5B748" w14:textId="77777777" w:rsidR="003A5AFF" w:rsidRPr="006365FA" w:rsidRDefault="00990072" w:rsidP="006365FA">
      <w:pPr>
        <w:spacing w:line="360" w:lineRule="auto"/>
        <w:jc w:val="both"/>
        <w:rPr>
          <w:rFonts w:ascii="Arial" w:hAnsi="Arial" w:cs="Arial"/>
          <w:sz w:val="24"/>
          <w:szCs w:val="24"/>
        </w:rPr>
      </w:pPr>
      <w:r w:rsidRPr="00990072">
        <w:rPr>
          <w:rFonts w:ascii="Arial" w:hAnsi="Arial" w:cs="Arial"/>
        </w:rPr>
        <w:t xml:space="preserve">AI was used primarily as a supporting writing and organizational system rather than as a decision-making or analytical system. It helped organize the report, edited academic language, clarified sentences, created draft explanations of financial concepts and provided appropriate report formats. AI also identified the financial ratios, investment appraisal techniques and possible discussion points that are relevant to the information provided. The critical analysis, financial calculations, ratio interpretation, investment appraisal, strategic recommendations and final conclusions, however, were done independently by the author. All the financial data has been taken from Hilton </w:t>
      </w:r>
      <w:proofErr w:type="spellStart"/>
      <w:r w:rsidRPr="00990072">
        <w:rPr>
          <w:rFonts w:ascii="Arial" w:hAnsi="Arial" w:cs="Arial"/>
        </w:rPr>
        <w:t>Worldwide's</w:t>
      </w:r>
      <w:proofErr w:type="spellEnd"/>
      <w:r w:rsidRPr="00990072">
        <w:rPr>
          <w:rFonts w:ascii="Arial" w:hAnsi="Arial" w:cs="Arial"/>
        </w:rPr>
        <w:t xml:space="preserve"> Annual Reports 2021 to 2025 and manually calculated in Microsoft Excel. Project C selection, financial performance of Hilton and the comparisons with industry benchmarks, working capital management and financial restructuring recommendations were subjective interpretations and applications of finance theory by the author and not generated by the AI providing the conclusions</w:t>
      </w:r>
      <w:r w:rsidR="006365FA">
        <w:rPr>
          <w:rFonts w:ascii="Arial" w:hAnsi="Arial" w:cs="Arial"/>
        </w:rPr>
        <w:t xml:space="preserve"> </w:t>
      </w:r>
      <w:r w:rsidR="006365FA">
        <w:rPr>
          <w:rFonts w:ascii="Arial" w:hAnsi="Arial" w:cs="Arial"/>
          <w:sz w:val="24"/>
          <w:szCs w:val="24"/>
        </w:rPr>
        <w:t>(Nasdaq, 2025)</w:t>
      </w:r>
      <w:r w:rsidRPr="00990072">
        <w:rPr>
          <w:rFonts w:ascii="Arial" w:hAnsi="Arial" w:cs="Arial"/>
        </w:rPr>
        <w:t>. Therefore, the analytical content, the critical evaluation, the professional judgement and the synthesis in the form of the strategic analysis of the report are the original work of the author, and the use of AI was only for the purposes of productivity and editing.</w:t>
      </w:r>
    </w:p>
    <w:p w14:paraId="687523F0" w14:textId="77777777" w:rsidR="003A5AFF" w:rsidRPr="00990072" w:rsidRDefault="0036309F" w:rsidP="00990072">
      <w:pPr>
        <w:pStyle w:val="Heading2"/>
        <w:spacing w:line="360" w:lineRule="auto"/>
        <w:jc w:val="both"/>
        <w:rPr>
          <w:rFonts w:ascii="Arial" w:hAnsi="Arial" w:cs="Arial"/>
          <w:b/>
          <w:color w:val="auto"/>
          <w:sz w:val="24"/>
          <w:szCs w:val="24"/>
        </w:rPr>
      </w:pPr>
      <w:bookmarkStart w:id="44" w:name="_Toc234747815"/>
      <w:bookmarkStart w:id="45" w:name="_Toc235544033"/>
      <w:r w:rsidRPr="00990072">
        <w:rPr>
          <w:rFonts w:ascii="Arial" w:hAnsi="Arial" w:cs="Arial"/>
          <w:b/>
          <w:color w:val="auto"/>
          <w:sz w:val="24"/>
          <w:szCs w:val="24"/>
        </w:rPr>
        <w:t xml:space="preserve">5.4 </w:t>
      </w:r>
      <w:r w:rsidR="003A5AFF" w:rsidRPr="00990072">
        <w:rPr>
          <w:rFonts w:ascii="Arial" w:hAnsi="Arial" w:cs="Arial"/>
          <w:b/>
          <w:color w:val="auto"/>
          <w:sz w:val="24"/>
          <w:szCs w:val="24"/>
        </w:rPr>
        <w:t>Ethical &amp; Professional Reflection</w:t>
      </w:r>
      <w:bookmarkEnd w:id="44"/>
      <w:bookmarkEnd w:id="45"/>
    </w:p>
    <w:p w14:paraId="70F0A5C5" w14:textId="77777777" w:rsidR="00990072" w:rsidRPr="00990072" w:rsidRDefault="00990072" w:rsidP="00990072">
      <w:pPr>
        <w:spacing w:line="360" w:lineRule="auto"/>
        <w:jc w:val="both"/>
        <w:rPr>
          <w:rFonts w:ascii="Arial" w:hAnsi="Arial" w:cs="Arial"/>
          <w:sz w:val="24"/>
          <w:szCs w:val="24"/>
        </w:rPr>
      </w:pPr>
      <w:r w:rsidRPr="00990072">
        <w:rPr>
          <w:rFonts w:ascii="Arial" w:hAnsi="Arial" w:cs="Arial"/>
          <w:sz w:val="24"/>
          <w:szCs w:val="24"/>
        </w:rPr>
        <w:t>Artificial Intelligence (AI) has the potential to bring a lot of advantages to financial analysis in terms of efficiency, information processing and report generation, but it also imposes responsibility and ethical obligations. AI was only employed to assist with the structuring of content, to enhance academic writing and to provide explanations for financial concepts throughout this report, but all financial calculations, interpretations and strategic recommendations were made and applied independently by humans. Transparency in AI use is vital to academic integrity and to provide students with a clear understanding of how AI is being used to support the</w:t>
      </w:r>
      <w:r>
        <w:rPr>
          <w:rFonts w:ascii="Arial" w:hAnsi="Arial" w:cs="Arial"/>
          <w:sz w:val="24"/>
          <w:szCs w:val="24"/>
        </w:rPr>
        <w:t>m and not used instead of them</w:t>
      </w:r>
      <w:r w:rsidR="006365FA">
        <w:rPr>
          <w:rFonts w:ascii="Arial" w:hAnsi="Arial" w:cs="Arial"/>
          <w:sz w:val="24"/>
          <w:szCs w:val="24"/>
        </w:rPr>
        <w:t xml:space="preserve"> (Macrotrends, 2025)</w:t>
      </w:r>
      <w:r>
        <w:rPr>
          <w:rFonts w:ascii="Arial" w:hAnsi="Arial" w:cs="Arial"/>
          <w:sz w:val="24"/>
          <w:szCs w:val="24"/>
        </w:rPr>
        <w:t>.</w:t>
      </w:r>
    </w:p>
    <w:p w14:paraId="5B1472DF" w14:textId="77777777" w:rsidR="00990072" w:rsidRPr="00990072" w:rsidRDefault="00990072" w:rsidP="00990072">
      <w:pPr>
        <w:spacing w:line="360" w:lineRule="auto"/>
        <w:jc w:val="both"/>
        <w:rPr>
          <w:rFonts w:ascii="Arial" w:hAnsi="Arial" w:cs="Arial"/>
          <w:sz w:val="24"/>
          <w:szCs w:val="24"/>
        </w:rPr>
      </w:pPr>
      <w:r w:rsidRPr="00990072">
        <w:rPr>
          <w:rFonts w:ascii="Arial" w:hAnsi="Arial" w:cs="Arial"/>
          <w:sz w:val="24"/>
          <w:szCs w:val="24"/>
        </w:rPr>
        <w:t xml:space="preserve">Professionally, AI should never be the sole basis for financial decisions due to the risk of providing incorrect information, incorrect assumption or unsupported conclusions. As such, all financial information, ratio calculations and investment appraisal results were independently checked, verified and calculated from Hilton Worldwide Annual Reports (2021–2025), Microsoft Excel and known financial management theory. The </w:t>
      </w:r>
      <w:r w:rsidRPr="00990072">
        <w:rPr>
          <w:rFonts w:ascii="Arial" w:hAnsi="Arial" w:cs="Arial"/>
          <w:sz w:val="24"/>
          <w:szCs w:val="24"/>
        </w:rPr>
        <w:lastRenderedPageBreak/>
        <w:t xml:space="preserve">protection of data privacy and confidentiality was also taken into account by </w:t>
      </w:r>
      <w:proofErr w:type="spellStart"/>
      <w:r w:rsidRPr="00990072">
        <w:rPr>
          <w:rFonts w:ascii="Arial" w:hAnsi="Arial" w:cs="Arial"/>
          <w:sz w:val="24"/>
          <w:szCs w:val="24"/>
        </w:rPr>
        <w:t>analyzing</w:t>
      </w:r>
      <w:proofErr w:type="spellEnd"/>
      <w:r w:rsidRPr="00990072">
        <w:rPr>
          <w:rFonts w:ascii="Arial" w:hAnsi="Arial" w:cs="Arial"/>
          <w:sz w:val="24"/>
          <w:szCs w:val="24"/>
        </w:rPr>
        <w:t xml:space="preserve"> only publicly accessible corporate data and not entering any confidential organisational data into </w:t>
      </w:r>
      <w:r>
        <w:rPr>
          <w:rFonts w:ascii="Arial" w:hAnsi="Arial" w:cs="Arial"/>
          <w:sz w:val="24"/>
          <w:szCs w:val="24"/>
        </w:rPr>
        <w:t>the AI systems.</w:t>
      </w:r>
    </w:p>
    <w:p w14:paraId="3A87BC0A" w14:textId="77777777" w:rsidR="003A5AFF" w:rsidRPr="00D963DA" w:rsidRDefault="00990072" w:rsidP="00990072">
      <w:pPr>
        <w:spacing w:line="360" w:lineRule="auto"/>
        <w:jc w:val="both"/>
        <w:rPr>
          <w:rFonts w:ascii="Arial" w:hAnsi="Arial" w:cs="Arial"/>
          <w:sz w:val="24"/>
          <w:szCs w:val="24"/>
        </w:rPr>
      </w:pPr>
      <w:r w:rsidRPr="00990072">
        <w:rPr>
          <w:rFonts w:ascii="Arial" w:hAnsi="Arial" w:cs="Arial"/>
          <w:sz w:val="24"/>
          <w:szCs w:val="24"/>
        </w:rPr>
        <w:t>In summary, human supervision, sense and professional scepticism are essential for responsible AI use. Financial professionals are still responsible for the correctness of their acts, as well as for their reliability and ethics. AI is thus not a tool for replacing professional experience, moral judgement or executive accountability in corporate financial management, but rather a tool that can help inform these decisions.</w:t>
      </w:r>
    </w:p>
    <w:p w14:paraId="04459C1C" w14:textId="77777777" w:rsidR="003A5AFF" w:rsidRPr="00D963DA" w:rsidRDefault="003A5AFF" w:rsidP="00D963DA">
      <w:pPr>
        <w:spacing w:line="360" w:lineRule="auto"/>
        <w:jc w:val="both"/>
        <w:rPr>
          <w:rFonts w:ascii="Arial" w:eastAsiaTheme="majorEastAsia" w:hAnsi="Arial" w:cs="Arial"/>
          <w:b/>
          <w:sz w:val="24"/>
          <w:szCs w:val="24"/>
        </w:rPr>
      </w:pPr>
      <w:r w:rsidRPr="00D963DA">
        <w:rPr>
          <w:rFonts w:ascii="Arial" w:hAnsi="Arial" w:cs="Arial"/>
          <w:b/>
          <w:sz w:val="24"/>
          <w:szCs w:val="24"/>
        </w:rPr>
        <w:br w:type="page"/>
      </w:r>
    </w:p>
    <w:p w14:paraId="7D8294CB" w14:textId="77777777" w:rsidR="003A5AFF" w:rsidRPr="00D963DA" w:rsidRDefault="003A5AFF" w:rsidP="00D963DA">
      <w:pPr>
        <w:pStyle w:val="Heading1"/>
        <w:spacing w:line="360" w:lineRule="auto"/>
        <w:jc w:val="both"/>
        <w:rPr>
          <w:rFonts w:ascii="Arial" w:hAnsi="Arial" w:cs="Arial"/>
          <w:b/>
          <w:color w:val="auto"/>
          <w:sz w:val="24"/>
          <w:szCs w:val="24"/>
        </w:rPr>
      </w:pPr>
      <w:bookmarkStart w:id="46" w:name="_Toc234747816"/>
      <w:bookmarkStart w:id="47" w:name="_Toc235544034"/>
      <w:r w:rsidRPr="00D963DA">
        <w:rPr>
          <w:rFonts w:ascii="Arial" w:hAnsi="Arial" w:cs="Arial"/>
          <w:b/>
          <w:color w:val="auto"/>
          <w:sz w:val="24"/>
          <w:szCs w:val="24"/>
        </w:rPr>
        <w:lastRenderedPageBreak/>
        <w:t>References</w:t>
      </w:r>
      <w:bookmarkEnd w:id="46"/>
      <w:bookmarkEnd w:id="47"/>
    </w:p>
    <w:p w14:paraId="1593198C"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Corporate Finance Institute (2025) Investment appraisal methods. Available at: </w:t>
      </w:r>
      <w:hyperlink r:id="rId24" w:tgtFrame="_new" w:history="1">
        <w:r w:rsidRPr="00B34CAC">
          <w:rPr>
            <w:rStyle w:val="Hyperlink"/>
            <w:rFonts w:ascii="Arial" w:hAnsi="Arial" w:cs="Arial"/>
            <w:sz w:val="24"/>
            <w:szCs w:val="24"/>
          </w:rPr>
          <w:t>https://corporatefinanceinstitute.com</w:t>
        </w:r>
      </w:hyperlink>
      <w:r w:rsidRPr="00B34CAC">
        <w:rPr>
          <w:rFonts w:ascii="Arial" w:hAnsi="Arial" w:cs="Arial"/>
          <w:sz w:val="24"/>
          <w:szCs w:val="24"/>
        </w:rPr>
        <w:t xml:space="preserve">  </w:t>
      </w:r>
    </w:p>
    <w:p w14:paraId="4747D59E"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Deloitte (2025) Travel, hospitality and services insights. Available at: </w:t>
      </w:r>
      <w:hyperlink r:id="rId25" w:history="1">
        <w:r w:rsidRPr="00B34CAC">
          <w:rPr>
            <w:rStyle w:val="Hyperlink"/>
            <w:rFonts w:ascii="Arial" w:hAnsi="Arial" w:cs="Arial"/>
            <w:sz w:val="24"/>
            <w:szCs w:val="24"/>
          </w:rPr>
          <w:t>https://www.deloitte.com/global/en/industries/consumer/industries/travel-hospitality.html</w:t>
        </w:r>
      </w:hyperlink>
      <w:r w:rsidRPr="00B34CAC">
        <w:rPr>
          <w:rFonts w:ascii="Arial" w:hAnsi="Arial" w:cs="Arial"/>
          <w:sz w:val="24"/>
          <w:szCs w:val="24"/>
        </w:rPr>
        <w:t xml:space="preserve">   </w:t>
      </w:r>
    </w:p>
    <w:p w14:paraId="29DAEC5C"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EY (2025) Consumer products and hospitality insights. Available at: </w:t>
      </w:r>
      <w:hyperlink r:id="rId26" w:history="1">
        <w:r w:rsidRPr="00B34CAC">
          <w:rPr>
            <w:rStyle w:val="Hyperlink"/>
            <w:rFonts w:ascii="Arial" w:hAnsi="Arial" w:cs="Arial"/>
            <w:sz w:val="24"/>
            <w:szCs w:val="24"/>
          </w:rPr>
          <w:t>https://www.ey.com/en_gl/consumer-products-retail</w:t>
        </w:r>
      </w:hyperlink>
      <w:r w:rsidRPr="00B34CAC">
        <w:rPr>
          <w:rFonts w:ascii="Arial" w:hAnsi="Arial" w:cs="Arial"/>
          <w:sz w:val="24"/>
          <w:szCs w:val="24"/>
        </w:rPr>
        <w:t xml:space="preserve">   </w:t>
      </w:r>
    </w:p>
    <w:p w14:paraId="4EAA56B8"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Federal Reserve Bank of St. Louis (2025) FRED Economic Data. Available at: </w:t>
      </w:r>
      <w:hyperlink r:id="rId27" w:tgtFrame="_new" w:history="1">
        <w:r w:rsidRPr="00B34CAC">
          <w:rPr>
            <w:rStyle w:val="Hyperlink"/>
            <w:rFonts w:ascii="Arial" w:hAnsi="Arial" w:cs="Arial"/>
            <w:sz w:val="24"/>
            <w:szCs w:val="24"/>
          </w:rPr>
          <w:t>https://fred.stlouisfed.org</w:t>
        </w:r>
      </w:hyperlink>
      <w:r w:rsidRPr="00B34CAC">
        <w:rPr>
          <w:rFonts w:ascii="Arial" w:hAnsi="Arial" w:cs="Arial"/>
          <w:sz w:val="24"/>
          <w:szCs w:val="24"/>
        </w:rPr>
        <w:t xml:space="preserve">  </w:t>
      </w:r>
    </w:p>
    <w:p w14:paraId="77CDADC0"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(2025a) Annual Report 2025. Available at: </w:t>
      </w:r>
      <w:hyperlink r:id="rId28"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288FA7F2"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(2025b) Annual reports archive (2021–2025). Available at: </w:t>
      </w:r>
      <w:hyperlink r:id="rId29"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2A2AB8DF"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(2025c) Investor relations. Available at: </w:t>
      </w:r>
      <w:hyperlink r:id="rId30"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44030134"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(2025d) Form 10-K 2025. Available at: </w:t>
      </w:r>
      <w:hyperlink r:id="rId31" w:tgtFrame="_new" w:history="1">
        <w:r w:rsidRPr="00B34CAC">
          <w:rPr>
            <w:rStyle w:val="Hyperlink"/>
            <w:rFonts w:ascii="Arial" w:hAnsi="Arial" w:cs="Arial"/>
            <w:sz w:val="24"/>
            <w:szCs w:val="24"/>
          </w:rPr>
          <w:t>https://www.sec.gov/ixviewer/</w:t>
        </w:r>
      </w:hyperlink>
      <w:r w:rsidRPr="00B34CAC">
        <w:rPr>
          <w:rFonts w:ascii="Arial" w:hAnsi="Arial" w:cs="Arial"/>
          <w:sz w:val="24"/>
          <w:szCs w:val="24"/>
        </w:rPr>
        <w:t xml:space="preserve">  </w:t>
      </w:r>
    </w:p>
    <w:p w14:paraId="4251F897"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(2025e) First quarter 2025 earnings release. Available at: </w:t>
      </w:r>
      <w:hyperlink r:id="rId32"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5DBA8462"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(2025f) Second quarter 2025 earnings release. Available at: </w:t>
      </w:r>
      <w:hyperlink r:id="rId33"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57758109"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(2025g) Third quarter 2025 earnings release. Available at: </w:t>
      </w:r>
      <w:hyperlink r:id="rId34"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51E42384"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(2025h) Fourth quarter 2025 earnings release. Available at: </w:t>
      </w:r>
      <w:hyperlink r:id="rId35"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38335259"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(2025i) Quarterly financial results. Available at: </w:t>
      </w:r>
      <w:hyperlink r:id="rId36"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23EB008B"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lastRenderedPageBreak/>
        <w:t xml:space="preserve">Hilton Worldwide Holdings Inc. (2025j) Travel with Purpose ESG report. Available at: </w:t>
      </w:r>
      <w:hyperlink r:id="rId37" w:history="1">
        <w:r w:rsidRPr="00B34CAC">
          <w:rPr>
            <w:rStyle w:val="Hyperlink"/>
            <w:rFonts w:ascii="Arial" w:hAnsi="Arial" w:cs="Arial"/>
            <w:sz w:val="24"/>
            <w:szCs w:val="24"/>
          </w:rPr>
          <w:t>https://www.hilton.com/en/corporate/responsibility/</w:t>
        </w:r>
      </w:hyperlink>
      <w:r w:rsidRPr="00B34CAC">
        <w:rPr>
          <w:rFonts w:ascii="Arial" w:hAnsi="Arial" w:cs="Arial"/>
          <w:sz w:val="24"/>
          <w:szCs w:val="24"/>
        </w:rPr>
        <w:t xml:space="preserve">    </w:t>
      </w:r>
    </w:p>
    <w:p w14:paraId="098090AB"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(2025k) Investor FAQs. Available at: </w:t>
      </w:r>
      <w:hyperlink r:id="rId38"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243A9E21"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(2025l) Newsroom and year in review. Available at: </w:t>
      </w:r>
      <w:hyperlink r:id="rId39" w:tgtFrame="_new" w:history="1">
        <w:r w:rsidRPr="00B34CAC">
          <w:rPr>
            <w:rStyle w:val="Hyperlink"/>
            <w:rFonts w:ascii="Arial" w:hAnsi="Arial" w:cs="Arial"/>
            <w:sz w:val="24"/>
            <w:szCs w:val="24"/>
          </w:rPr>
          <w:t>https://stories.hilton.com/</w:t>
        </w:r>
      </w:hyperlink>
      <w:r w:rsidRPr="00B34CAC">
        <w:rPr>
          <w:rFonts w:ascii="Arial" w:hAnsi="Arial" w:cs="Arial"/>
          <w:sz w:val="24"/>
          <w:szCs w:val="24"/>
        </w:rPr>
        <w:t xml:space="preserve">  </w:t>
      </w:r>
    </w:p>
    <w:p w14:paraId="77D11FB1"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(2025m) Financial reporting portal. Available at: </w:t>
      </w:r>
      <w:hyperlink r:id="rId40"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2CB9C2FC"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Hilton Worldwide Holdings Inc. (2026a) Investor presentation 2026. Available at: </w:t>
      </w:r>
      <w:hyperlink r:id="rId41" w:history="1">
        <w:r w:rsidRPr="00B34CAC">
          <w:rPr>
            <w:rStyle w:val="Hyperlink"/>
            <w:rFonts w:ascii="Arial" w:hAnsi="Arial" w:cs="Arial"/>
            <w:sz w:val="24"/>
            <w:szCs w:val="24"/>
          </w:rPr>
          <w:t>https://www.hilton.com/en/corporate/investors/</w:t>
        </w:r>
      </w:hyperlink>
      <w:r w:rsidRPr="00B34CAC">
        <w:rPr>
          <w:rFonts w:ascii="Arial" w:hAnsi="Arial" w:cs="Arial"/>
          <w:sz w:val="24"/>
          <w:szCs w:val="24"/>
        </w:rPr>
        <w:t xml:space="preserve">   </w:t>
      </w:r>
    </w:p>
    <w:p w14:paraId="6D7A16C9"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Hyatt Hotels Corporation (2025a) Annual Report 2025. Available at: </w:t>
      </w:r>
      <w:hyperlink r:id="rId42" w:tgtFrame="_new" w:history="1">
        <w:r w:rsidRPr="00B34CAC">
          <w:rPr>
            <w:rStyle w:val="Hyperlink"/>
            <w:rFonts w:ascii="Arial" w:hAnsi="Arial" w:cs="Arial"/>
            <w:sz w:val="24"/>
            <w:szCs w:val="24"/>
          </w:rPr>
          <w:t>https://investors.hyatt.com</w:t>
        </w:r>
      </w:hyperlink>
      <w:r w:rsidRPr="00B34CAC">
        <w:rPr>
          <w:rFonts w:ascii="Arial" w:hAnsi="Arial" w:cs="Arial"/>
          <w:sz w:val="24"/>
          <w:szCs w:val="24"/>
        </w:rPr>
        <w:t xml:space="preserve">  </w:t>
      </w:r>
    </w:p>
    <w:p w14:paraId="7FC903AB"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Hyatt Hotels Corporation (2025b) Investor relations. Available at: </w:t>
      </w:r>
      <w:hyperlink r:id="rId43" w:tgtFrame="_new" w:history="1">
        <w:r w:rsidRPr="00B34CAC">
          <w:rPr>
            <w:rStyle w:val="Hyperlink"/>
            <w:rFonts w:ascii="Arial" w:hAnsi="Arial" w:cs="Arial"/>
            <w:sz w:val="24"/>
            <w:szCs w:val="24"/>
          </w:rPr>
          <w:t>https://investors.hyatt.com</w:t>
        </w:r>
      </w:hyperlink>
      <w:r w:rsidRPr="00B34CAC">
        <w:rPr>
          <w:rFonts w:ascii="Arial" w:hAnsi="Arial" w:cs="Arial"/>
          <w:sz w:val="24"/>
          <w:szCs w:val="24"/>
        </w:rPr>
        <w:t xml:space="preserve">  </w:t>
      </w:r>
    </w:p>
    <w:p w14:paraId="5D9EB1A1"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InterContinental Hotels Group PLC (2025a) Annual Report 2025. Available at: </w:t>
      </w:r>
      <w:hyperlink r:id="rId44" w:tgtFrame="_new" w:history="1">
        <w:r w:rsidRPr="00B34CAC">
          <w:rPr>
            <w:rStyle w:val="Hyperlink"/>
            <w:rFonts w:ascii="Arial" w:hAnsi="Arial" w:cs="Arial"/>
            <w:sz w:val="24"/>
            <w:szCs w:val="24"/>
          </w:rPr>
          <w:t>https://www.ihgplc.com/en/investors</w:t>
        </w:r>
      </w:hyperlink>
      <w:r w:rsidRPr="00B34CAC">
        <w:rPr>
          <w:rFonts w:ascii="Arial" w:hAnsi="Arial" w:cs="Arial"/>
          <w:sz w:val="24"/>
          <w:szCs w:val="24"/>
        </w:rPr>
        <w:t xml:space="preserve">  </w:t>
      </w:r>
    </w:p>
    <w:p w14:paraId="2C1146BB"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InterContinental Hotels Group PLC (2025b) Responsible Business Report 2025. Available at: </w:t>
      </w:r>
      <w:hyperlink r:id="rId45" w:tgtFrame="_new" w:history="1">
        <w:r w:rsidRPr="00B34CAC">
          <w:rPr>
            <w:rStyle w:val="Hyperlink"/>
            <w:rFonts w:ascii="Arial" w:hAnsi="Arial" w:cs="Arial"/>
            <w:sz w:val="24"/>
            <w:szCs w:val="24"/>
          </w:rPr>
          <w:t>https://www.ihgplc.com/en/responsible-business</w:t>
        </w:r>
      </w:hyperlink>
      <w:r w:rsidRPr="00B34CAC">
        <w:rPr>
          <w:rFonts w:ascii="Arial" w:hAnsi="Arial" w:cs="Arial"/>
          <w:sz w:val="24"/>
          <w:szCs w:val="24"/>
        </w:rPr>
        <w:t xml:space="preserve">  </w:t>
      </w:r>
    </w:p>
    <w:p w14:paraId="2DD33439"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InterContinental Hotels Group PLC (2025c) Form 20-F 2025. Available at: </w:t>
      </w:r>
      <w:hyperlink r:id="rId46" w:tgtFrame="_new" w:history="1">
        <w:r w:rsidRPr="00B34CAC">
          <w:rPr>
            <w:rStyle w:val="Hyperlink"/>
            <w:rFonts w:ascii="Arial" w:hAnsi="Arial" w:cs="Arial"/>
            <w:sz w:val="24"/>
            <w:szCs w:val="24"/>
          </w:rPr>
          <w:t>https://www.ihgplc.com/en/investors</w:t>
        </w:r>
      </w:hyperlink>
      <w:r w:rsidRPr="00B34CAC">
        <w:rPr>
          <w:rFonts w:ascii="Arial" w:hAnsi="Arial" w:cs="Arial"/>
          <w:sz w:val="24"/>
          <w:szCs w:val="24"/>
        </w:rPr>
        <w:t xml:space="preserve">  </w:t>
      </w:r>
    </w:p>
    <w:p w14:paraId="1A8742B4"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InterContinental Hotels Group PLC (2025d) Investor centre. Available at: </w:t>
      </w:r>
      <w:hyperlink r:id="rId47" w:tgtFrame="_new" w:history="1">
        <w:r w:rsidRPr="00B34CAC">
          <w:rPr>
            <w:rStyle w:val="Hyperlink"/>
            <w:rFonts w:ascii="Arial" w:hAnsi="Arial" w:cs="Arial"/>
            <w:sz w:val="24"/>
            <w:szCs w:val="24"/>
          </w:rPr>
          <w:t>https://www.ihgplc.com/en/investors</w:t>
        </w:r>
      </w:hyperlink>
      <w:r w:rsidRPr="00B34CAC">
        <w:rPr>
          <w:rFonts w:ascii="Arial" w:hAnsi="Arial" w:cs="Arial"/>
          <w:sz w:val="24"/>
          <w:szCs w:val="24"/>
        </w:rPr>
        <w:t xml:space="preserve">  </w:t>
      </w:r>
    </w:p>
    <w:p w14:paraId="5216BE9E"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International Monetary Fund (2025) World Economic Outlook. Available at: </w:t>
      </w:r>
      <w:hyperlink r:id="rId48" w:tgtFrame="_new" w:history="1">
        <w:r w:rsidRPr="00B34CAC">
          <w:rPr>
            <w:rStyle w:val="Hyperlink"/>
            <w:rFonts w:ascii="Arial" w:hAnsi="Arial" w:cs="Arial"/>
            <w:sz w:val="24"/>
            <w:szCs w:val="24"/>
          </w:rPr>
          <w:t>https://www.imf.org/en/Publications/WEO</w:t>
        </w:r>
      </w:hyperlink>
      <w:r w:rsidRPr="00B34CAC">
        <w:rPr>
          <w:rFonts w:ascii="Arial" w:hAnsi="Arial" w:cs="Arial"/>
          <w:sz w:val="24"/>
          <w:szCs w:val="24"/>
        </w:rPr>
        <w:t xml:space="preserve">  </w:t>
      </w:r>
    </w:p>
    <w:p w14:paraId="4D9B9B53"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KPMG (2025) Travel, leisure and hospitality insights. Available at: </w:t>
      </w:r>
      <w:hyperlink r:id="rId49" w:history="1">
        <w:r w:rsidRPr="00B34CAC">
          <w:rPr>
            <w:rStyle w:val="Hyperlink"/>
            <w:rFonts w:ascii="Arial" w:hAnsi="Arial" w:cs="Arial"/>
            <w:sz w:val="24"/>
            <w:szCs w:val="24"/>
          </w:rPr>
          <w:t>https://kpmg.com/xx/en/home/industries/travel-leisure.html</w:t>
        </w:r>
      </w:hyperlink>
      <w:r w:rsidRPr="00B34CAC">
        <w:rPr>
          <w:rFonts w:ascii="Arial" w:hAnsi="Arial" w:cs="Arial"/>
          <w:sz w:val="24"/>
          <w:szCs w:val="24"/>
        </w:rPr>
        <w:t xml:space="preserve">   </w:t>
      </w:r>
    </w:p>
    <w:p w14:paraId="65A29684"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Macrotrends (2025) Financial ratios and market data. Available at: </w:t>
      </w:r>
      <w:hyperlink r:id="rId50" w:tgtFrame="_new" w:history="1">
        <w:r w:rsidRPr="00B34CAC">
          <w:rPr>
            <w:rStyle w:val="Hyperlink"/>
            <w:rFonts w:ascii="Arial" w:hAnsi="Arial" w:cs="Arial"/>
            <w:sz w:val="24"/>
            <w:szCs w:val="24"/>
          </w:rPr>
          <w:t>https://www.macrotrends.net</w:t>
        </w:r>
      </w:hyperlink>
      <w:r w:rsidRPr="00B34CAC">
        <w:rPr>
          <w:rFonts w:ascii="Arial" w:hAnsi="Arial" w:cs="Arial"/>
          <w:sz w:val="24"/>
          <w:szCs w:val="24"/>
        </w:rPr>
        <w:t xml:space="preserve">  </w:t>
      </w:r>
    </w:p>
    <w:p w14:paraId="29753E37"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lastRenderedPageBreak/>
        <w:t xml:space="preserve">Marriott International Inc. (2025a) Investor relations. Available at: </w:t>
      </w:r>
      <w:hyperlink r:id="rId51" w:tgtFrame="_new" w:history="1">
        <w:r w:rsidRPr="00B34CAC">
          <w:rPr>
            <w:rStyle w:val="Hyperlink"/>
            <w:rFonts w:ascii="Arial" w:hAnsi="Arial" w:cs="Arial"/>
            <w:sz w:val="24"/>
            <w:szCs w:val="24"/>
          </w:rPr>
          <w:t>https://marriott.gcs-web.com</w:t>
        </w:r>
      </w:hyperlink>
      <w:r w:rsidRPr="00B34CAC">
        <w:rPr>
          <w:rFonts w:ascii="Arial" w:hAnsi="Arial" w:cs="Arial"/>
          <w:sz w:val="24"/>
          <w:szCs w:val="24"/>
        </w:rPr>
        <w:t xml:space="preserve">  </w:t>
      </w:r>
    </w:p>
    <w:p w14:paraId="11E08BEA"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Marriott International Inc. (2025b) Annual Report 2025. Available at: </w:t>
      </w:r>
      <w:hyperlink r:id="rId52" w:history="1">
        <w:r w:rsidRPr="00B34CAC">
          <w:rPr>
            <w:rStyle w:val="Hyperlink"/>
            <w:rFonts w:ascii="Arial" w:hAnsi="Arial" w:cs="Arial"/>
            <w:sz w:val="24"/>
            <w:szCs w:val="24"/>
          </w:rPr>
          <w:t>https://marriott.gcs-web.com/financial-information/annual-reports</w:t>
        </w:r>
      </w:hyperlink>
      <w:r w:rsidRPr="00B34CAC">
        <w:rPr>
          <w:rFonts w:ascii="Arial" w:hAnsi="Arial" w:cs="Arial"/>
          <w:sz w:val="24"/>
          <w:szCs w:val="24"/>
        </w:rPr>
        <w:t xml:space="preserve">   </w:t>
      </w:r>
    </w:p>
    <w:p w14:paraId="6E6451DE"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McKinsey &amp; Company (2025) Travel, logistics and infrastructure insights. Available at: </w:t>
      </w:r>
      <w:hyperlink r:id="rId53" w:history="1">
        <w:r w:rsidRPr="00B34CAC">
          <w:rPr>
            <w:rStyle w:val="Hyperlink"/>
            <w:rFonts w:ascii="Arial" w:hAnsi="Arial" w:cs="Arial"/>
            <w:sz w:val="24"/>
            <w:szCs w:val="24"/>
          </w:rPr>
          <w:t>https://www.mckinsey.com/industries/travel-logistics-and-infrastructure</w:t>
        </w:r>
      </w:hyperlink>
      <w:r w:rsidRPr="00B34CAC">
        <w:rPr>
          <w:rFonts w:ascii="Arial" w:hAnsi="Arial" w:cs="Arial"/>
          <w:sz w:val="24"/>
          <w:szCs w:val="24"/>
        </w:rPr>
        <w:t xml:space="preserve">   </w:t>
      </w:r>
    </w:p>
    <w:p w14:paraId="19A5A4E4"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Microsoft (2025) Responsible AI documentation. Available at: </w:t>
      </w:r>
      <w:hyperlink r:id="rId54" w:tgtFrame="_new" w:history="1">
        <w:r w:rsidRPr="00B34CAC">
          <w:rPr>
            <w:rStyle w:val="Hyperlink"/>
            <w:rFonts w:ascii="Arial" w:hAnsi="Arial" w:cs="Arial"/>
            <w:sz w:val="24"/>
            <w:szCs w:val="24"/>
          </w:rPr>
          <w:t>https://www.microsoft.com/ai/responsible-ai</w:t>
        </w:r>
      </w:hyperlink>
      <w:r w:rsidRPr="00B34CAC">
        <w:rPr>
          <w:rFonts w:ascii="Arial" w:hAnsi="Arial" w:cs="Arial"/>
          <w:sz w:val="24"/>
          <w:szCs w:val="24"/>
        </w:rPr>
        <w:t xml:space="preserve"> </w:t>
      </w:r>
    </w:p>
    <w:p w14:paraId="02B38065"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Morningstar (2025) Company research. Available at: </w:t>
      </w:r>
      <w:hyperlink r:id="rId55" w:tgtFrame="_new" w:history="1">
        <w:r w:rsidRPr="00B34CAC">
          <w:rPr>
            <w:rStyle w:val="Hyperlink"/>
            <w:rFonts w:ascii="Arial" w:hAnsi="Arial" w:cs="Arial"/>
            <w:sz w:val="24"/>
            <w:szCs w:val="24"/>
          </w:rPr>
          <w:t>https://www.morningstar.com</w:t>
        </w:r>
      </w:hyperlink>
      <w:r w:rsidRPr="00B34CAC">
        <w:rPr>
          <w:rFonts w:ascii="Arial" w:hAnsi="Arial" w:cs="Arial"/>
          <w:sz w:val="24"/>
          <w:szCs w:val="24"/>
        </w:rPr>
        <w:t xml:space="preserve">  </w:t>
      </w:r>
    </w:p>
    <w:p w14:paraId="3B5153B2"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Nasdaq (2025) Investor market information. Available at: </w:t>
      </w:r>
      <w:hyperlink r:id="rId56" w:tgtFrame="_new" w:history="1">
        <w:r w:rsidRPr="00B34CAC">
          <w:rPr>
            <w:rStyle w:val="Hyperlink"/>
            <w:rFonts w:ascii="Arial" w:hAnsi="Arial" w:cs="Arial"/>
            <w:sz w:val="24"/>
            <w:szCs w:val="24"/>
          </w:rPr>
          <w:t>https://www.nasdaq.com</w:t>
        </w:r>
      </w:hyperlink>
      <w:r w:rsidRPr="00B34CAC">
        <w:rPr>
          <w:rFonts w:ascii="Arial" w:hAnsi="Arial" w:cs="Arial"/>
          <w:sz w:val="24"/>
          <w:szCs w:val="24"/>
        </w:rPr>
        <w:t xml:space="preserve">  </w:t>
      </w:r>
    </w:p>
    <w:p w14:paraId="3A04A590"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Organisation for Economic Co-operation and Development (2025) OECD Economic Outlook. Available at: </w:t>
      </w:r>
      <w:hyperlink r:id="rId57" w:tgtFrame="_new" w:history="1">
        <w:r w:rsidRPr="00B34CAC">
          <w:rPr>
            <w:rStyle w:val="Hyperlink"/>
            <w:rFonts w:ascii="Arial" w:hAnsi="Arial" w:cs="Arial"/>
            <w:sz w:val="24"/>
            <w:szCs w:val="24"/>
          </w:rPr>
          <w:t>https://www.oecd.org/economic-outlook</w:t>
        </w:r>
      </w:hyperlink>
      <w:r w:rsidRPr="00B34CAC">
        <w:rPr>
          <w:rFonts w:ascii="Arial" w:hAnsi="Arial" w:cs="Arial"/>
          <w:sz w:val="24"/>
          <w:szCs w:val="24"/>
        </w:rPr>
        <w:t xml:space="preserve">  </w:t>
      </w:r>
    </w:p>
    <w:p w14:paraId="5F50643F"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PwC (2025) Hospitality and leisure insights. Available at: </w:t>
      </w:r>
      <w:hyperlink r:id="rId58" w:history="1">
        <w:r w:rsidRPr="00B34CAC">
          <w:rPr>
            <w:rStyle w:val="Hyperlink"/>
            <w:rFonts w:ascii="Arial" w:hAnsi="Arial" w:cs="Arial"/>
            <w:sz w:val="24"/>
            <w:szCs w:val="24"/>
          </w:rPr>
          <w:t>https://www.pwc.com/gx/en/industries/consumer-markets/hospitality-leisure.html</w:t>
        </w:r>
      </w:hyperlink>
      <w:r w:rsidRPr="00B34CAC">
        <w:rPr>
          <w:rFonts w:ascii="Arial" w:hAnsi="Arial" w:cs="Arial"/>
          <w:sz w:val="24"/>
          <w:szCs w:val="24"/>
        </w:rPr>
        <w:t xml:space="preserve">   </w:t>
      </w:r>
    </w:p>
    <w:p w14:paraId="2A22A40C"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S&amp;P Global (2025) Market Intelligence. Available at: </w:t>
      </w:r>
      <w:hyperlink r:id="rId59" w:tgtFrame="_new" w:history="1">
        <w:r w:rsidRPr="00B34CAC">
          <w:rPr>
            <w:rStyle w:val="Hyperlink"/>
            <w:rFonts w:ascii="Arial" w:hAnsi="Arial" w:cs="Arial"/>
            <w:sz w:val="24"/>
            <w:szCs w:val="24"/>
          </w:rPr>
          <w:t>https://www.spglobal.com/marketintelligence/en</w:t>
        </w:r>
      </w:hyperlink>
      <w:r w:rsidRPr="00B34CAC">
        <w:rPr>
          <w:rFonts w:ascii="Arial" w:hAnsi="Arial" w:cs="Arial"/>
          <w:sz w:val="24"/>
          <w:szCs w:val="24"/>
        </w:rPr>
        <w:t xml:space="preserve">  </w:t>
      </w:r>
    </w:p>
    <w:p w14:paraId="0DFC2E10"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U.S. Bureau of Labor Statistics (2025) Consumer Price Index. Available at: </w:t>
      </w:r>
      <w:hyperlink r:id="rId60" w:tgtFrame="_new" w:history="1">
        <w:r w:rsidRPr="00B34CAC">
          <w:rPr>
            <w:rStyle w:val="Hyperlink"/>
            <w:rFonts w:ascii="Arial" w:hAnsi="Arial" w:cs="Arial"/>
            <w:sz w:val="24"/>
            <w:szCs w:val="24"/>
          </w:rPr>
          <w:t>https://www.bls.gov/cpi</w:t>
        </w:r>
      </w:hyperlink>
      <w:r w:rsidRPr="00B34CAC">
        <w:rPr>
          <w:rFonts w:ascii="Arial" w:hAnsi="Arial" w:cs="Arial"/>
          <w:sz w:val="24"/>
          <w:szCs w:val="24"/>
        </w:rPr>
        <w:t xml:space="preserve">  </w:t>
      </w:r>
    </w:p>
    <w:p w14:paraId="1E7FDD27"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U.S. Securities and Exchange Commission (2025a) Hilton Worldwide SEC filings. Available at: </w:t>
      </w:r>
      <w:hyperlink r:id="rId61" w:history="1">
        <w:r w:rsidRPr="00B34CAC">
          <w:rPr>
            <w:rStyle w:val="Hyperlink"/>
            <w:rFonts w:ascii="Arial" w:hAnsi="Arial" w:cs="Arial"/>
            <w:sz w:val="24"/>
            <w:szCs w:val="24"/>
          </w:rPr>
          <w:t>https://www.sec.gov/edgar</w:t>
        </w:r>
      </w:hyperlink>
      <w:r w:rsidRPr="00B34CAC">
        <w:rPr>
          <w:rFonts w:ascii="Arial" w:hAnsi="Arial" w:cs="Arial"/>
          <w:sz w:val="24"/>
          <w:szCs w:val="24"/>
        </w:rPr>
        <w:t xml:space="preserve">   </w:t>
      </w:r>
    </w:p>
    <w:p w14:paraId="2A53E3A2"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U.S. Securities and Exchange Commission (2025b) EDGAR company filings. Available at: </w:t>
      </w:r>
      <w:hyperlink r:id="rId62" w:history="1">
        <w:r w:rsidRPr="00B34CAC">
          <w:rPr>
            <w:rStyle w:val="Hyperlink"/>
            <w:rFonts w:ascii="Arial" w:hAnsi="Arial" w:cs="Arial"/>
            <w:sz w:val="24"/>
            <w:szCs w:val="24"/>
          </w:rPr>
          <w:t>https://www.sec.gov/edgar</w:t>
        </w:r>
      </w:hyperlink>
      <w:r w:rsidRPr="00B34CAC">
        <w:rPr>
          <w:rFonts w:ascii="Arial" w:hAnsi="Arial" w:cs="Arial"/>
          <w:sz w:val="24"/>
          <w:szCs w:val="24"/>
        </w:rPr>
        <w:t xml:space="preserve">   </w:t>
      </w:r>
    </w:p>
    <w:p w14:paraId="6F5075BF"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UN Tourism (2025) Tourism data dashboard. Available at: </w:t>
      </w:r>
      <w:hyperlink r:id="rId63" w:history="1">
        <w:r w:rsidRPr="00B34CAC">
          <w:rPr>
            <w:rStyle w:val="Hyperlink"/>
            <w:rFonts w:ascii="Arial" w:hAnsi="Arial" w:cs="Arial"/>
            <w:sz w:val="24"/>
            <w:szCs w:val="24"/>
          </w:rPr>
          <w:t>https://www.unwto.org/tourism-data</w:t>
        </w:r>
      </w:hyperlink>
      <w:r w:rsidRPr="00B34CAC">
        <w:rPr>
          <w:rFonts w:ascii="Arial" w:hAnsi="Arial" w:cs="Arial"/>
          <w:sz w:val="24"/>
          <w:szCs w:val="24"/>
        </w:rPr>
        <w:t xml:space="preserve">   </w:t>
      </w:r>
    </w:p>
    <w:p w14:paraId="7CC20D8E" w14:textId="77777777" w:rsidR="00BA6EE6" w:rsidRPr="00B34CAC" w:rsidRDefault="00BA6EE6" w:rsidP="00BA6EE6">
      <w:pPr>
        <w:spacing w:line="360" w:lineRule="auto"/>
        <w:jc w:val="both"/>
        <w:rPr>
          <w:rFonts w:ascii="Arial" w:hAnsi="Arial" w:cs="Arial"/>
          <w:sz w:val="24"/>
          <w:szCs w:val="24"/>
        </w:rPr>
      </w:pPr>
      <w:r w:rsidRPr="00B34CAC">
        <w:rPr>
          <w:rFonts w:ascii="Arial" w:hAnsi="Arial" w:cs="Arial"/>
          <w:sz w:val="24"/>
          <w:szCs w:val="24"/>
        </w:rPr>
        <w:t xml:space="preserve">World Bank (2025) Global Economic Prospects. Available at: </w:t>
      </w:r>
      <w:hyperlink r:id="rId64" w:tgtFrame="_new" w:history="1">
        <w:r w:rsidRPr="00B34CAC">
          <w:rPr>
            <w:rStyle w:val="Hyperlink"/>
            <w:rFonts w:ascii="Arial" w:hAnsi="Arial" w:cs="Arial"/>
            <w:sz w:val="24"/>
            <w:szCs w:val="24"/>
          </w:rPr>
          <w:t>https://www.worldbank.org/en/publication/global-economic-prospects</w:t>
        </w:r>
      </w:hyperlink>
      <w:r w:rsidRPr="00B34CAC">
        <w:rPr>
          <w:rFonts w:ascii="Arial" w:hAnsi="Arial" w:cs="Arial"/>
          <w:sz w:val="24"/>
          <w:szCs w:val="24"/>
        </w:rPr>
        <w:t xml:space="preserve">  </w:t>
      </w:r>
    </w:p>
    <w:p w14:paraId="3B8EF374" w14:textId="77777777" w:rsidR="003A5AFF" w:rsidRPr="007712B2" w:rsidRDefault="00BA6EE6" w:rsidP="00D963DA">
      <w:pPr>
        <w:spacing w:line="360" w:lineRule="auto"/>
        <w:jc w:val="both"/>
        <w:rPr>
          <w:rFonts w:ascii="Arial" w:hAnsi="Arial" w:cs="Arial"/>
          <w:sz w:val="24"/>
          <w:szCs w:val="24"/>
        </w:rPr>
      </w:pPr>
      <w:r w:rsidRPr="00B34CAC">
        <w:rPr>
          <w:rFonts w:ascii="Arial" w:hAnsi="Arial" w:cs="Arial"/>
          <w:sz w:val="24"/>
          <w:szCs w:val="24"/>
        </w:rPr>
        <w:t xml:space="preserve">World Travel &amp; Tourism Council (2025) Economic impact research. Available at: </w:t>
      </w:r>
      <w:hyperlink r:id="rId65" w:tgtFrame="_new" w:history="1">
        <w:r w:rsidRPr="00B34CAC">
          <w:rPr>
            <w:rStyle w:val="Hyperlink"/>
            <w:rFonts w:ascii="Arial" w:hAnsi="Arial" w:cs="Arial"/>
            <w:sz w:val="24"/>
            <w:szCs w:val="24"/>
          </w:rPr>
          <w:t>https://wttc.org/research</w:t>
        </w:r>
      </w:hyperlink>
      <w:r w:rsidRPr="00B34CAC">
        <w:rPr>
          <w:rFonts w:ascii="Arial" w:hAnsi="Arial" w:cs="Arial"/>
          <w:sz w:val="24"/>
          <w:szCs w:val="24"/>
        </w:rPr>
        <w:t xml:space="preserve">  </w:t>
      </w:r>
    </w:p>
    <w:p w14:paraId="761E6E26" w14:textId="77777777" w:rsidR="003A5AFF" w:rsidRPr="00D963DA" w:rsidRDefault="003A5AFF" w:rsidP="00D963DA">
      <w:pPr>
        <w:pStyle w:val="Heading1"/>
        <w:spacing w:line="360" w:lineRule="auto"/>
        <w:jc w:val="both"/>
        <w:rPr>
          <w:rFonts w:ascii="Arial" w:hAnsi="Arial" w:cs="Arial"/>
          <w:b/>
          <w:color w:val="auto"/>
          <w:sz w:val="24"/>
          <w:szCs w:val="24"/>
        </w:rPr>
      </w:pPr>
      <w:bookmarkStart w:id="48" w:name="_Toc234747817"/>
      <w:bookmarkStart w:id="49" w:name="_Toc235544035"/>
      <w:r w:rsidRPr="00D963DA">
        <w:rPr>
          <w:rFonts w:ascii="Arial" w:hAnsi="Arial" w:cs="Arial"/>
          <w:b/>
          <w:color w:val="auto"/>
          <w:sz w:val="24"/>
          <w:szCs w:val="24"/>
        </w:rPr>
        <w:lastRenderedPageBreak/>
        <w:t>Appendices</w:t>
      </w:r>
      <w:bookmarkEnd w:id="48"/>
      <w:bookmarkEnd w:id="49"/>
    </w:p>
    <w:p w14:paraId="08748CD0" w14:textId="77777777" w:rsidR="003A5AFF" w:rsidRPr="00D963DA" w:rsidRDefault="000F3C7B" w:rsidP="00D963DA">
      <w:pPr>
        <w:pStyle w:val="Heading2"/>
        <w:spacing w:line="360" w:lineRule="auto"/>
        <w:jc w:val="both"/>
        <w:rPr>
          <w:rFonts w:ascii="Arial" w:hAnsi="Arial" w:cs="Arial"/>
          <w:b/>
          <w:color w:val="auto"/>
          <w:sz w:val="24"/>
          <w:szCs w:val="24"/>
        </w:rPr>
      </w:pPr>
      <w:bookmarkStart w:id="50" w:name="_Toc234747818"/>
      <w:bookmarkStart w:id="51" w:name="_Toc235544036"/>
      <w:r w:rsidRPr="00D963DA">
        <w:rPr>
          <w:rFonts w:ascii="Arial" w:hAnsi="Arial" w:cs="Arial"/>
          <w:b/>
          <w:color w:val="auto"/>
          <w:sz w:val="24"/>
          <w:szCs w:val="24"/>
        </w:rPr>
        <w:t>a. Ratio tables and graphs</w:t>
      </w:r>
      <w:bookmarkEnd w:id="50"/>
      <w:bookmarkEnd w:id="51"/>
    </w:p>
    <w:p w14:paraId="7A4AB557" w14:textId="77777777" w:rsidR="007712B2" w:rsidRPr="00D963DA" w:rsidRDefault="007712B2" w:rsidP="007712B2">
      <w:pPr>
        <w:spacing w:line="360" w:lineRule="auto"/>
        <w:jc w:val="both"/>
        <w:rPr>
          <w:rFonts w:ascii="Arial" w:hAnsi="Arial" w:cs="Arial"/>
          <w:b/>
          <w:sz w:val="24"/>
          <w:szCs w:val="24"/>
        </w:rPr>
      </w:pPr>
      <w:r w:rsidRPr="00D963DA">
        <w:rPr>
          <w:rFonts w:ascii="Arial" w:hAnsi="Arial" w:cs="Arial"/>
          <w:b/>
          <w:sz w:val="24"/>
          <w:szCs w:val="24"/>
        </w:rPr>
        <w:t>Profitability</w:t>
      </w:r>
    </w:p>
    <w:p w14:paraId="1F1BCA23" w14:textId="77777777" w:rsidR="007712B2" w:rsidRDefault="007712B2" w:rsidP="007712B2">
      <w:pPr>
        <w:spacing w:line="360" w:lineRule="auto"/>
        <w:jc w:val="both"/>
        <w:rPr>
          <w:rFonts w:ascii="Arial" w:hAnsi="Arial" w:cs="Arial"/>
          <w:b/>
          <w:sz w:val="24"/>
          <w:szCs w:val="24"/>
        </w:rPr>
      </w:pPr>
      <w:r w:rsidRPr="00D963DA">
        <w:rPr>
          <w:rFonts w:ascii="Arial" w:hAnsi="Arial" w:cs="Arial"/>
          <w:b/>
          <w:noProof/>
          <w:sz w:val="24"/>
          <w:szCs w:val="24"/>
        </w:rPr>
        <w:drawing>
          <wp:inline distT="0" distB="0" distL="0" distR="0" wp14:anchorId="157DA9F3" wp14:editId="10ED82C2">
            <wp:extent cx="5731510" cy="2695575"/>
            <wp:effectExtent l="0" t="0" r="254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95575"/>
                    </a:xfrm>
                    <a:prstGeom prst="rect">
                      <a:avLst/>
                    </a:prstGeom>
                  </pic:spPr>
                </pic:pic>
              </a:graphicData>
            </a:graphic>
          </wp:inline>
        </w:drawing>
      </w:r>
    </w:p>
    <w:p w14:paraId="08265A30" w14:textId="77777777" w:rsidR="007712B2" w:rsidRDefault="007712B2" w:rsidP="007712B2">
      <w:pPr>
        <w:spacing w:line="360" w:lineRule="auto"/>
        <w:jc w:val="center"/>
        <w:rPr>
          <w:rFonts w:ascii="Arial" w:hAnsi="Arial" w:cs="Arial"/>
          <w:b/>
          <w:sz w:val="24"/>
          <w:szCs w:val="24"/>
        </w:rPr>
      </w:pPr>
      <w:r w:rsidRPr="00D963DA">
        <w:rPr>
          <w:rFonts w:ascii="Arial" w:hAnsi="Arial" w:cs="Arial"/>
          <w:noProof/>
          <w:sz w:val="24"/>
          <w:szCs w:val="24"/>
          <w:lang w:val="en-IN" w:eastAsia="en-IN"/>
        </w:rPr>
        <w:drawing>
          <wp:inline distT="0" distB="0" distL="0" distR="0" wp14:anchorId="02BDF7CA" wp14:editId="72BA263D">
            <wp:extent cx="4572000" cy="2743200"/>
            <wp:effectExtent l="0" t="0" r="0" b="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425EA320" w14:textId="77777777" w:rsidR="007712B2" w:rsidRPr="00D963DA" w:rsidRDefault="007712B2" w:rsidP="007712B2">
      <w:pPr>
        <w:spacing w:line="360" w:lineRule="auto"/>
        <w:jc w:val="both"/>
        <w:rPr>
          <w:rFonts w:ascii="Arial" w:hAnsi="Arial" w:cs="Arial"/>
          <w:b/>
          <w:sz w:val="24"/>
          <w:szCs w:val="24"/>
        </w:rPr>
      </w:pPr>
      <w:r w:rsidRPr="00D963DA">
        <w:rPr>
          <w:rFonts w:ascii="Arial" w:hAnsi="Arial" w:cs="Arial"/>
          <w:b/>
          <w:sz w:val="24"/>
          <w:szCs w:val="24"/>
        </w:rPr>
        <w:t>Liquidity</w:t>
      </w:r>
    </w:p>
    <w:p w14:paraId="43A4EB9A" w14:textId="77777777" w:rsidR="007712B2" w:rsidRDefault="007712B2" w:rsidP="007712B2">
      <w:pPr>
        <w:spacing w:line="360" w:lineRule="auto"/>
        <w:jc w:val="both"/>
        <w:rPr>
          <w:rFonts w:ascii="Arial" w:hAnsi="Arial" w:cs="Arial"/>
          <w:sz w:val="24"/>
          <w:szCs w:val="24"/>
        </w:rPr>
      </w:pPr>
      <w:r w:rsidRPr="00D963DA">
        <w:rPr>
          <w:rFonts w:ascii="Arial" w:hAnsi="Arial" w:cs="Arial"/>
          <w:noProof/>
          <w:sz w:val="24"/>
          <w:szCs w:val="24"/>
        </w:rPr>
        <w:drawing>
          <wp:inline distT="0" distB="0" distL="0" distR="0" wp14:anchorId="0A0A9160" wp14:editId="5277CC44">
            <wp:extent cx="5731510" cy="1610360"/>
            <wp:effectExtent l="0" t="0" r="254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10360"/>
                    </a:xfrm>
                    <a:prstGeom prst="rect">
                      <a:avLst/>
                    </a:prstGeom>
                  </pic:spPr>
                </pic:pic>
              </a:graphicData>
            </a:graphic>
          </wp:inline>
        </w:drawing>
      </w:r>
    </w:p>
    <w:p w14:paraId="28EF38C8" w14:textId="77777777" w:rsidR="007712B2" w:rsidRPr="006365FA" w:rsidRDefault="007712B2" w:rsidP="007712B2">
      <w:pPr>
        <w:spacing w:line="360" w:lineRule="auto"/>
        <w:jc w:val="center"/>
        <w:rPr>
          <w:rFonts w:ascii="Arial" w:hAnsi="Arial" w:cs="Arial"/>
          <w:b/>
          <w:sz w:val="24"/>
          <w:szCs w:val="24"/>
        </w:rPr>
      </w:pPr>
      <w:r w:rsidRPr="00997841">
        <w:rPr>
          <w:rFonts w:ascii="Arial" w:hAnsi="Arial" w:cs="Arial"/>
          <w:b/>
          <w:sz w:val="24"/>
          <w:szCs w:val="24"/>
        </w:rPr>
        <w:lastRenderedPageBreak/>
        <w:t>Table 3: Liquidity Ratio</w:t>
      </w:r>
    </w:p>
    <w:p w14:paraId="7C620F38" w14:textId="77777777" w:rsidR="007712B2" w:rsidRDefault="007712B2" w:rsidP="007712B2">
      <w:pPr>
        <w:spacing w:line="360" w:lineRule="auto"/>
        <w:jc w:val="center"/>
        <w:rPr>
          <w:rFonts w:ascii="Arial" w:hAnsi="Arial" w:cs="Arial"/>
          <w:sz w:val="24"/>
          <w:szCs w:val="24"/>
        </w:rPr>
      </w:pPr>
      <w:r w:rsidRPr="00D963DA">
        <w:rPr>
          <w:rFonts w:ascii="Arial" w:hAnsi="Arial" w:cs="Arial"/>
          <w:noProof/>
          <w:sz w:val="24"/>
          <w:szCs w:val="24"/>
          <w:lang w:val="en-IN" w:eastAsia="en-IN"/>
        </w:rPr>
        <w:drawing>
          <wp:inline distT="0" distB="0" distL="0" distR="0" wp14:anchorId="58E435FA" wp14:editId="4A8BDD6B">
            <wp:extent cx="4572000" cy="2743200"/>
            <wp:effectExtent l="0" t="0" r="0" b="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14:paraId="58EECAE2" w14:textId="77777777" w:rsidR="007712B2" w:rsidRPr="00D963DA" w:rsidRDefault="007712B2" w:rsidP="007712B2">
      <w:pPr>
        <w:spacing w:line="360" w:lineRule="auto"/>
        <w:jc w:val="both"/>
        <w:rPr>
          <w:rFonts w:ascii="Arial" w:hAnsi="Arial" w:cs="Arial"/>
          <w:b/>
          <w:sz w:val="24"/>
          <w:szCs w:val="24"/>
        </w:rPr>
      </w:pPr>
      <w:r w:rsidRPr="00D963DA">
        <w:rPr>
          <w:rFonts w:ascii="Arial" w:hAnsi="Arial" w:cs="Arial"/>
          <w:b/>
          <w:sz w:val="24"/>
          <w:szCs w:val="24"/>
        </w:rPr>
        <w:t>Efficiency</w:t>
      </w:r>
    </w:p>
    <w:p w14:paraId="5BEA1D89" w14:textId="77777777" w:rsidR="007712B2" w:rsidRDefault="007712B2" w:rsidP="007712B2">
      <w:pPr>
        <w:spacing w:line="360" w:lineRule="auto"/>
        <w:jc w:val="both"/>
        <w:rPr>
          <w:rFonts w:ascii="Arial" w:hAnsi="Arial" w:cs="Arial"/>
          <w:sz w:val="24"/>
          <w:szCs w:val="24"/>
        </w:rPr>
      </w:pPr>
      <w:r w:rsidRPr="00D963DA">
        <w:rPr>
          <w:rFonts w:ascii="Arial" w:hAnsi="Arial" w:cs="Arial"/>
          <w:noProof/>
          <w:sz w:val="24"/>
          <w:szCs w:val="24"/>
        </w:rPr>
        <w:lastRenderedPageBreak/>
        <w:drawing>
          <wp:inline distT="0" distB="0" distL="0" distR="0" wp14:anchorId="46C9A47D" wp14:editId="40B81E16">
            <wp:extent cx="5731510" cy="5859780"/>
            <wp:effectExtent l="0" t="0" r="254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859780"/>
                    </a:xfrm>
                    <a:prstGeom prst="rect">
                      <a:avLst/>
                    </a:prstGeom>
                  </pic:spPr>
                </pic:pic>
              </a:graphicData>
            </a:graphic>
          </wp:inline>
        </w:drawing>
      </w:r>
    </w:p>
    <w:p w14:paraId="3F7BFE04" w14:textId="77777777" w:rsidR="007712B2" w:rsidRDefault="007712B2" w:rsidP="007712B2">
      <w:pPr>
        <w:spacing w:line="360" w:lineRule="auto"/>
        <w:jc w:val="center"/>
        <w:rPr>
          <w:rFonts w:ascii="Arial" w:hAnsi="Arial" w:cs="Arial"/>
          <w:sz w:val="24"/>
          <w:szCs w:val="24"/>
        </w:rPr>
      </w:pPr>
      <w:r w:rsidRPr="00D963DA">
        <w:rPr>
          <w:rFonts w:ascii="Arial" w:hAnsi="Arial" w:cs="Arial"/>
          <w:noProof/>
          <w:sz w:val="24"/>
          <w:szCs w:val="24"/>
          <w:lang w:val="en-IN" w:eastAsia="en-IN"/>
        </w:rPr>
        <w:drawing>
          <wp:inline distT="0" distB="0" distL="0" distR="0" wp14:anchorId="72670130" wp14:editId="2D9F1240">
            <wp:extent cx="4572000" cy="2743200"/>
            <wp:effectExtent l="0" t="0" r="0"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12CCB2DA" w14:textId="77777777" w:rsidR="007712B2" w:rsidRPr="00D963DA" w:rsidRDefault="007712B2" w:rsidP="007712B2">
      <w:pPr>
        <w:spacing w:line="360" w:lineRule="auto"/>
        <w:jc w:val="both"/>
        <w:rPr>
          <w:rFonts w:ascii="Arial" w:hAnsi="Arial" w:cs="Arial"/>
          <w:b/>
          <w:sz w:val="24"/>
          <w:szCs w:val="24"/>
        </w:rPr>
      </w:pPr>
      <w:r w:rsidRPr="00D963DA">
        <w:rPr>
          <w:rFonts w:ascii="Arial" w:hAnsi="Arial" w:cs="Arial"/>
          <w:b/>
          <w:sz w:val="24"/>
          <w:szCs w:val="24"/>
        </w:rPr>
        <w:lastRenderedPageBreak/>
        <w:t>Gearing</w:t>
      </w:r>
    </w:p>
    <w:p w14:paraId="51F60F0A" w14:textId="77777777" w:rsidR="007712B2" w:rsidRDefault="007712B2" w:rsidP="007712B2">
      <w:pPr>
        <w:spacing w:line="360" w:lineRule="auto"/>
        <w:jc w:val="both"/>
        <w:rPr>
          <w:rFonts w:ascii="Arial" w:hAnsi="Arial" w:cs="Arial"/>
          <w:sz w:val="24"/>
          <w:szCs w:val="24"/>
        </w:rPr>
      </w:pPr>
      <w:r w:rsidRPr="00D963DA">
        <w:rPr>
          <w:rFonts w:ascii="Arial" w:hAnsi="Arial" w:cs="Arial"/>
          <w:noProof/>
          <w:sz w:val="24"/>
          <w:szCs w:val="24"/>
        </w:rPr>
        <w:drawing>
          <wp:inline distT="0" distB="0" distL="0" distR="0" wp14:anchorId="0E555BA4" wp14:editId="7BA9620A">
            <wp:extent cx="5654530" cy="1928027"/>
            <wp:effectExtent l="0" t="0" r="381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54530" cy="1928027"/>
                    </a:xfrm>
                    <a:prstGeom prst="rect">
                      <a:avLst/>
                    </a:prstGeom>
                  </pic:spPr>
                </pic:pic>
              </a:graphicData>
            </a:graphic>
          </wp:inline>
        </w:drawing>
      </w:r>
    </w:p>
    <w:p w14:paraId="67ABD529" w14:textId="77777777" w:rsidR="007712B2" w:rsidRDefault="007712B2" w:rsidP="007712B2">
      <w:pPr>
        <w:spacing w:line="360" w:lineRule="auto"/>
        <w:jc w:val="center"/>
        <w:rPr>
          <w:rFonts w:ascii="Arial" w:hAnsi="Arial" w:cs="Arial"/>
          <w:sz w:val="24"/>
          <w:szCs w:val="24"/>
        </w:rPr>
      </w:pPr>
      <w:r w:rsidRPr="00D963DA">
        <w:rPr>
          <w:rFonts w:ascii="Arial" w:hAnsi="Arial" w:cs="Arial"/>
          <w:noProof/>
          <w:sz w:val="24"/>
          <w:szCs w:val="24"/>
          <w:lang w:val="en-IN" w:eastAsia="en-IN"/>
        </w:rPr>
        <w:drawing>
          <wp:inline distT="0" distB="0" distL="0" distR="0" wp14:anchorId="2C231411" wp14:editId="33E68592">
            <wp:extent cx="4572000" cy="2743200"/>
            <wp:effectExtent l="0" t="0" r="0" b="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14:paraId="461D80A1" w14:textId="77777777" w:rsidR="007712B2" w:rsidRPr="00D963DA" w:rsidRDefault="007712B2" w:rsidP="007712B2">
      <w:pPr>
        <w:spacing w:line="360" w:lineRule="auto"/>
        <w:jc w:val="both"/>
        <w:rPr>
          <w:rFonts w:ascii="Arial" w:hAnsi="Arial" w:cs="Arial"/>
          <w:b/>
          <w:sz w:val="24"/>
          <w:szCs w:val="24"/>
        </w:rPr>
      </w:pPr>
      <w:r w:rsidRPr="00D963DA">
        <w:rPr>
          <w:rFonts w:ascii="Arial" w:hAnsi="Arial" w:cs="Arial"/>
          <w:b/>
          <w:sz w:val="24"/>
          <w:szCs w:val="24"/>
        </w:rPr>
        <w:t>Investment</w:t>
      </w:r>
    </w:p>
    <w:p w14:paraId="74DC6831" w14:textId="77777777" w:rsidR="007712B2" w:rsidRDefault="007712B2" w:rsidP="007712B2">
      <w:pPr>
        <w:spacing w:line="360" w:lineRule="auto"/>
        <w:jc w:val="both"/>
        <w:rPr>
          <w:rFonts w:ascii="Arial" w:hAnsi="Arial" w:cs="Arial"/>
          <w:sz w:val="24"/>
          <w:szCs w:val="24"/>
        </w:rPr>
      </w:pPr>
      <w:r w:rsidRPr="00D963DA">
        <w:rPr>
          <w:rFonts w:ascii="Arial" w:hAnsi="Arial" w:cs="Arial"/>
          <w:noProof/>
          <w:sz w:val="24"/>
          <w:szCs w:val="24"/>
        </w:rPr>
        <w:lastRenderedPageBreak/>
        <w:drawing>
          <wp:inline distT="0" distB="0" distL="0" distR="0" wp14:anchorId="30F8BA0F" wp14:editId="5106A0F3">
            <wp:extent cx="5731510" cy="427037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70375"/>
                    </a:xfrm>
                    <a:prstGeom prst="rect">
                      <a:avLst/>
                    </a:prstGeom>
                  </pic:spPr>
                </pic:pic>
              </a:graphicData>
            </a:graphic>
          </wp:inline>
        </w:drawing>
      </w:r>
    </w:p>
    <w:p w14:paraId="4696197C" w14:textId="77777777" w:rsidR="007712B2" w:rsidRDefault="007712B2" w:rsidP="007712B2">
      <w:pPr>
        <w:spacing w:line="360" w:lineRule="auto"/>
        <w:jc w:val="both"/>
        <w:rPr>
          <w:rFonts w:ascii="Arial" w:hAnsi="Arial" w:cs="Arial"/>
          <w:sz w:val="24"/>
          <w:szCs w:val="24"/>
        </w:rPr>
      </w:pPr>
      <w:r w:rsidRPr="00D963DA">
        <w:rPr>
          <w:rFonts w:ascii="Arial" w:hAnsi="Arial" w:cs="Arial"/>
          <w:noProof/>
          <w:sz w:val="24"/>
          <w:szCs w:val="24"/>
          <w:lang w:val="en-IN" w:eastAsia="en-IN"/>
        </w:rPr>
        <w:drawing>
          <wp:inline distT="0" distB="0" distL="0" distR="0" wp14:anchorId="06595968" wp14:editId="67B55E10">
            <wp:extent cx="5284470" cy="3535680"/>
            <wp:effectExtent l="0" t="0" r="11430" b="762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075C834A" w14:textId="77777777" w:rsidR="007712B2" w:rsidRPr="00D963DA" w:rsidRDefault="007712B2" w:rsidP="007712B2">
      <w:pPr>
        <w:spacing w:line="360" w:lineRule="auto"/>
        <w:jc w:val="both"/>
        <w:rPr>
          <w:rFonts w:ascii="Arial" w:hAnsi="Arial" w:cs="Arial"/>
          <w:b/>
          <w:sz w:val="24"/>
          <w:szCs w:val="24"/>
        </w:rPr>
      </w:pPr>
      <w:r w:rsidRPr="00D963DA">
        <w:rPr>
          <w:rFonts w:ascii="Arial" w:hAnsi="Arial" w:cs="Arial"/>
          <w:b/>
          <w:sz w:val="24"/>
          <w:szCs w:val="24"/>
        </w:rPr>
        <w:t>Cash flow</w:t>
      </w:r>
    </w:p>
    <w:p w14:paraId="03256E2D" w14:textId="77777777" w:rsidR="007712B2" w:rsidRDefault="007712B2" w:rsidP="007712B2">
      <w:pPr>
        <w:spacing w:line="360" w:lineRule="auto"/>
        <w:jc w:val="both"/>
        <w:rPr>
          <w:rFonts w:ascii="Arial" w:hAnsi="Arial" w:cs="Arial"/>
          <w:b/>
          <w:sz w:val="24"/>
          <w:szCs w:val="24"/>
        </w:rPr>
      </w:pPr>
      <w:r w:rsidRPr="00D963DA">
        <w:rPr>
          <w:rFonts w:ascii="Arial" w:hAnsi="Arial" w:cs="Arial"/>
          <w:b/>
          <w:noProof/>
          <w:sz w:val="24"/>
          <w:szCs w:val="24"/>
        </w:rPr>
        <w:lastRenderedPageBreak/>
        <w:drawing>
          <wp:inline distT="0" distB="0" distL="0" distR="0" wp14:anchorId="7FFB280F" wp14:editId="613CD330">
            <wp:extent cx="5731510" cy="4281805"/>
            <wp:effectExtent l="0" t="0" r="254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81805"/>
                    </a:xfrm>
                    <a:prstGeom prst="rect">
                      <a:avLst/>
                    </a:prstGeom>
                  </pic:spPr>
                </pic:pic>
              </a:graphicData>
            </a:graphic>
          </wp:inline>
        </w:drawing>
      </w:r>
    </w:p>
    <w:p w14:paraId="4E0061FA" w14:textId="77777777" w:rsidR="007712B2" w:rsidRDefault="007712B2" w:rsidP="007712B2">
      <w:pPr>
        <w:spacing w:line="360" w:lineRule="auto"/>
        <w:jc w:val="both"/>
        <w:rPr>
          <w:rFonts w:ascii="Arial" w:hAnsi="Arial" w:cs="Arial"/>
          <w:b/>
          <w:sz w:val="24"/>
          <w:szCs w:val="24"/>
        </w:rPr>
      </w:pPr>
      <w:r w:rsidRPr="00D963DA">
        <w:rPr>
          <w:rFonts w:ascii="Arial" w:hAnsi="Arial" w:cs="Arial"/>
          <w:noProof/>
          <w:sz w:val="24"/>
          <w:szCs w:val="24"/>
          <w:lang w:val="en-IN" w:eastAsia="en-IN"/>
        </w:rPr>
        <w:drawing>
          <wp:inline distT="0" distB="0" distL="0" distR="0" wp14:anchorId="757ECF7F" wp14:editId="052B42FC">
            <wp:extent cx="5516880" cy="3520440"/>
            <wp:effectExtent l="0" t="0" r="7620" b="381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7FBBA569" w14:textId="77777777" w:rsidR="000F3C7B" w:rsidRPr="00D963DA" w:rsidRDefault="000F3C7B" w:rsidP="00D963DA">
      <w:pPr>
        <w:spacing w:line="360" w:lineRule="auto"/>
        <w:jc w:val="both"/>
        <w:rPr>
          <w:rFonts w:ascii="Arial" w:hAnsi="Arial" w:cs="Arial"/>
          <w:sz w:val="24"/>
          <w:szCs w:val="24"/>
        </w:rPr>
      </w:pPr>
    </w:p>
    <w:p w14:paraId="5CC5AC12" w14:textId="77777777" w:rsidR="000D50CB" w:rsidRDefault="003A5AFF" w:rsidP="00D963DA">
      <w:pPr>
        <w:pStyle w:val="Heading2"/>
        <w:spacing w:line="360" w:lineRule="auto"/>
        <w:jc w:val="both"/>
        <w:rPr>
          <w:rFonts w:ascii="Arial" w:hAnsi="Arial" w:cs="Arial"/>
          <w:b/>
          <w:color w:val="auto"/>
          <w:sz w:val="24"/>
          <w:szCs w:val="24"/>
        </w:rPr>
      </w:pPr>
      <w:bookmarkStart w:id="52" w:name="_Toc234747819"/>
      <w:bookmarkStart w:id="53" w:name="_Toc235544037"/>
      <w:r w:rsidRPr="00D963DA">
        <w:rPr>
          <w:rFonts w:ascii="Arial" w:hAnsi="Arial" w:cs="Arial"/>
          <w:b/>
          <w:color w:val="auto"/>
          <w:sz w:val="24"/>
          <w:szCs w:val="24"/>
        </w:rPr>
        <w:lastRenderedPageBreak/>
        <w:t>b. Investment appraisal calculations</w:t>
      </w:r>
      <w:bookmarkEnd w:id="52"/>
      <w:bookmarkEnd w:id="53"/>
    </w:p>
    <w:p w14:paraId="2667235B" w14:textId="77777777" w:rsidR="007712B2" w:rsidRPr="00857AA6" w:rsidRDefault="007712B2" w:rsidP="007712B2">
      <w:pPr>
        <w:spacing w:line="360" w:lineRule="auto"/>
        <w:jc w:val="both"/>
        <w:rPr>
          <w:rFonts w:ascii="Arial" w:hAnsi="Arial" w:cs="Arial"/>
          <w:b/>
          <w:sz w:val="24"/>
          <w:szCs w:val="24"/>
        </w:rPr>
      </w:pPr>
      <w:r w:rsidRPr="00857AA6">
        <w:rPr>
          <w:rFonts w:ascii="Arial" w:hAnsi="Arial" w:cs="Arial"/>
          <w:b/>
          <w:sz w:val="24"/>
          <w:szCs w:val="24"/>
        </w:rPr>
        <w:t>Project A: Investment Appraisal</w:t>
      </w:r>
    </w:p>
    <w:tbl>
      <w:tblPr>
        <w:tblStyle w:val="TableGrid"/>
        <w:tblW w:w="8499" w:type="dxa"/>
        <w:tblLook w:val="04A0" w:firstRow="1" w:lastRow="0" w:firstColumn="1" w:lastColumn="0" w:noHBand="0" w:noVBand="1"/>
      </w:tblPr>
      <w:tblGrid>
        <w:gridCol w:w="5343"/>
        <w:gridCol w:w="3156"/>
      </w:tblGrid>
      <w:tr w:rsidR="007712B2" w:rsidRPr="00857AA6" w14:paraId="2BFFF67E" w14:textId="77777777" w:rsidTr="006438ED">
        <w:trPr>
          <w:trHeight w:val="250"/>
        </w:trPr>
        <w:tc>
          <w:tcPr>
            <w:tcW w:w="0" w:type="auto"/>
            <w:hideMark/>
          </w:tcPr>
          <w:p w14:paraId="5DC4145A" w14:textId="77777777" w:rsidR="007712B2" w:rsidRPr="00857AA6" w:rsidRDefault="007712B2" w:rsidP="006438ED">
            <w:pPr>
              <w:spacing w:line="360" w:lineRule="auto"/>
              <w:jc w:val="both"/>
              <w:rPr>
                <w:rFonts w:ascii="Arial" w:hAnsi="Arial" w:cs="Arial"/>
                <w:b/>
                <w:bCs/>
                <w:sz w:val="24"/>
                <w:szCs w:val="24"/>
              </w:rPr>
            </w:pPr>
            <w:r w:rsidRPr="00857AA6">
              <w:rPr>
                <w:rStyle w:val="Strong"/>
                <w:rFonts w:ascii="Arial" w:hAnsi="Arial" w:cs="Arial"/>
                <w:sz w:val="24"/>
                <w:szCs w:val="24"/>
              </w:rPr>
              <w:t>Investment Appraisal Technique</w:t>
            </w:r>
          </w:p>
        </w:tc>
        <w:tc>
          <w:tcPr>
            <w:tcW w:w="0" w:type="auto"/>
            <w:hideMark/>
          </w:tcPr>
          <w:p w14:paraId="464DA6AC" w14:textId="77777777" w:rsidR="007712B2" w:rsidRPr="00857AA6" w:rsidRDefault="007712B2" w:rsidP="006438ED">
            <w:pPr>
              <w:spacing w:line="360" w:lineRule="auto"/>
              <w:jc w:val="both"/>
              <w:rPr>
                <w:rFonts w:ascii="Arial" w:hAnsi="Arial" w:cs="Arial"/>
                <w:b/>
                <w:bCs/>
                <w:sz w:val="24"/>
                <w:szCs w:val="24"/>
              </w:rPr>
            </w:pPr>
            <w:r w:rsidRPr="00857AA6">
              <w:rPr>
                <w:rStyle w:val="Strong"/>
                <w:rFonts w:ascii="Arial" w:hAnsi="Arial" w:cs="Arial"/>
                <w:sz w:val="24"/>
                <w:szCs w:val="24"/>
              </w:rPr>
              <w:t>Calculation/Result</w:t>
            </w:r>
          </w:p>
        </w:tc>
      </w:tr>
      <w:tr w:rsidR="007712B2" w:rsidRPr="00857AA6" w14:paraId="5E44E152" w14:textId="77777777" w:rsidTr="006438ED">
        <w:trPr>
          <w:trHeight w:val="250"/>
        </w:trPr>
        <w:tc>
          <w:tcPr>
            <w:tcW w:w="0" w:type="auto"/>
            <w:hideMark/>
          </w:tcPr>
          <w:p w14:paraId="15A009BB"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Initial Investment</w:t>
            </w:r>
          </w:p>
        </w:tc>
        <w:tc>
          <w:tcPr>
            <w:tcW w:w="0" w:type="auto"/>
            <w:hideMark/>
          </w:tcPr>
          <w:p w14:paraId="37A20920"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£50.00m</w:t>
            </w:r>
          </w:p>
        </w:tc>
      </w:tr>
      <w:tr w:rsidR="007712B2" w:rsidRPr="00857AA6" w14:paraId="46698F30" w14:textId="77777777" w:rsidTr="006438ED">
        <w:trPr>
          <w:trHeight w:val="262"/>
        </w:trPr>
        <w:tc>
          <w:tcPr>
            <w:tcW w:w="0" w:type="auto"/>
            <w:hideMark/>
          </w:tcPr>
          <w:p w14:paraId="1384F8AF"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Payback Period (PBP)</w:t>
            </w:r>
          </w:p>
        </w:tc>
        <w:tc>
          <w:tcPr>
            <w:tcW w:w="0" w:type="auto"/>
            <w:hideMark/>
          </w:tcPr>
          <w:p w14:paraId="6F4508A5"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4.50 years</w:t>
            </w:r>
          </w:p>
        </w:tc>
      </w:tr>
      <w:tr w:rsidR="007712B2" w:rsidRPr="00857AA6" w14:paraId="378ADECE" w14:textId="77777777" w:rsidTr="006438ED">
        <w:trPr>
          <w:trHeight w:val="250"/>
        </w:trPr>
        <w:tc>
          <w:tcPr>
            <w:tcW w:w="0" w:type="auto"/>
            <w:hideMark/>
          </w:tcPr>
          <w:p w14:paraId="5AA6F7FB"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Average Rate of Return (ARR)</w:t>
            </w:r>
          </w:p>
        </w:tc>
        <w:tc>
          <w:tcPr>
            <w:tcW w:w="0" w:type="auto"/>
            <w:hideMark/>
          </w:tcPr>
          <w:p w14:paraId="52844654"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1.60%</w:t>
            </w:r>
          </w:p>
        </w:tc>
      </w:tr>
      <w:tr w:rsidR="007712B2" w:rsidRPr="00857AA6" w14:paraId="06658C99" w14:textId="77777777" w:rsidTr="006438ED">
        <w:trPr>
          <w:trHeight w:val="250"/>
        </w:trPr>
        <w:tc>
          <w:tcPr>
            <w:tcW w:w="0" w:type="auto"/>
            <w:hideMark/>
          </w:tcPr>
          <w:p w14:paraId="659259F4"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Net Present Value (NPV)</w:t>
            </w:r>
          </w:p>
        </w:tc>
        <w:tc>
          <w:tcPr>
            <w:tcW w:w="0" w:type="auto"/>
            <w:hideMark/>
          </w:tcPr>
          <w:p w14:paraId="3A91CCAB"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−£6.54m</w:t>
            </w:r>
          </w:p>
        </w:tc>
      </w:tr>
      <w:tr w:rsidR="007712B2" w:rsidRPr="00857AA6" w14:paraId="58D0300F" w14:textId="77777777" w:rsidTr="006438ED">
        <w:trPr>
          <w:trHeight w:val="250"/>
        </w:trPr>
        <w:tc>
          <w:tcPr>
            <w:tcW w:w="0" w:type="auto"/>
            <w:hideMark/>
          </w:tcPr>
          <w:p w14:paraId="00CF8035"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Profitability Index (PI)</w:t>
            </w:r>
          </w:p>
        </w:tc>
        <w:tc>
          <w:tcPr>
            <w:tcW w:w="0" w:type="auto"/>
            <w:hideMark/>
          </w:tcPr>
          <w:p w14:paraId="337634B1"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0.87</w:t>
            </w:r>
          </w:p>
        </w:tc>
      </w:tr>
      <w:tr w:rsidR="007712B2" w:rsidRPr="00857AA6" w14:paraId="4C79C83E" w14:textId="77777777" w:rsidTr="006438ED">
        <w:trPr>
          <w:trHeight w:val="250"/>
        </w:trPr>
        <w:tc>
          <w:tcPr>
            <w:tcW w:w="0" w:type="auto"/>
            <w:hideMark/>
          </w:tcPr>
          <w:p w14:paraId="45D098E9"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Internal Rate of Return (IRR)</w:t>
            </w:r>
          </w:p>
        </w:tc>
        <w:tc>
          <w:tcPr>
            <w:tcW w:w="0" w:type="auto"/>
            <w:hideMark/>
          </w:tcPr>
          <w:p w14:paraId="6E87028D"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2.72%</w:t>
            </w:r>
          </w:p>
        </w:tc>
      </w:tr>
    </w:tbl>
    <w:p w14:paraId="7703D773" w14:textId="77777777" w:rsidR="007712B2" w:rsidRPr="00857AA6" w:rsidRDefault="007712B2" w:rsidP="007712B2">
      <w:pPr>
        <w:spacing w:line="360" w:lineRule="auto"/>
        <w:jc w:val="both"/>
        <w:rPr>
          <w:rFonts w:ascii="Arial" w:hAnsi="Arial" w:cs="Arial"/>
          <w:b/>
          <w:sz w:val="24"/>
          <w:szCs w:val="24"/>
        </w:rPr>
      </w:pPr>
      <w:r w:rsidRPr="00857AA6">
        <w:rPr>
          <w:rFonts w:ascii="Arial" w:hAnsi="Arial" w:cs="Arial"/>
          <w:b/>
          <w:sz w:val="24"/>
          <w:szCs w:val="24"/>
        </w:rPr>
        <w:t>Project B: Investment Appraisal</w:t>
      </w:r>
    </w:p>
    <w:tbl>
      <w:tblPr>
        <w:tblStyle w:val="TableGrid"/>
        <w:tblW w:w="8512" w:type="dxa"/>
        <w:tblLook w:val="04A0" w:firstRow="1" w:lastRow="0" w:firstColumn="1" w:lastColumn="0" w:noHBand="0" w:noVBand="1"/>
      </w:tblPr>
      <w:tblGrid>
        <w:gridCol w:w="5351"/>
        <w:gridCol w:w="3161"/>
      </w:tblGrid>
      <w:tr w:rsidR="007712B2" w:rsidRPr="00857AA6" w14:paraId="55B3FF2B" w14:textId="77777777" w:rsidTr="006438ED">
        <w:trPr>
          <w:trHeight w:val="250"/>
        </w:trPr>
        <w:tc>
          <w:tcPr>
            <w:tcW w:w="0" w:type="auto"/>
            <w:hideMark/>
          </w:tcPr>
          <w:p w14:paraId="696D4A51" w14:textId="77777777" w:rsidR="007712B2" w:rsidRPr="00857AA6" w:rsidRDefault="007712B2" w:rsidP="006438ED">
            <w:pPr>
              <w:spacing w:line="360" w:lineRule="auto"/>
              <w:jc w:val="both"/>
              <w:rPr>
                <w:rFonts w:ascii="Arial" w:hAnsi="Arial" w:cs="Arial"/>
                <w:b/>
                <w:bCs/>
                <w:sz w:val="24"/>
                <w:szCs w:val="24"/>
              </w:rPr>
            </w:pPr>
            <w:r w:rsidRPr="00857AA6">
              <w:rPr>
                <w:rStyle w:val="Strong"/>
                <w:rFonts w:ascii="Arial" w:hAnsi="Arial" w:cs="Arial"/>
                <w:sz w:val="24"/>
                <w:szCs w:val="24"/>
              </w:rPr>
              <w:t>Investment Appraisal Technique</w:t>
            </w:r>
          </w:p>
        </w:tc>
        <w:tc>
          <w:tcPr>
            <w:tcW w:w="0" w:type="auto"/>
            <w:hideMark/>
          </w:tcPr>
          <w:p w14:paraId="20C8E2DD" w14:textId="77777777" w:rsidR="007712B2" w:rsidRPr="00857AA6" w:rsidRDefault="007712B2" w:rsidP="006438ED">
            <w:pPr>
              <w:spacing w:line="360" w:lineRule="auto"/>
              <w:jc w:val="both"/>
              <w:rPr>
                <w:rFonts w:ascii="Arial" w:hAnsi="Arial" w:cs="Arial"/>
                <w:b/>
                <w:bCs/>
                <w:sz w:val="24"/>
                <w:szCs w:val="24"/>
              </w:rPr>
            </w:pPr>
            <w:r w:rsidRPr="00857AA6">
              <w:rPr>
                <w:rStyle w:val="Strong"/>
                <w:rFonts w:ascii="Arial" w:hAnsi="Arial" w:cs="Arial"/>
                <w:sz w:val="24"/>
                <w:szCs w:val="24"/>
              </w:rPr>
              <w:t>Calculation/Result</w:t>
            </w:r>
          </w:p>
        </w:tc>
      </w:tr>
      <w:tr w:rsidR="007712B2" w:rsidRPr="00857AA6" w14:paraId="5ECF52EC" w14:textId="77777777" w:rsidTr="006438ED">
        <w:trPr>
          <w:trHeight w:val="250"/>
        </w:trPr>
        <w:tc>
          <w:tcPr>
            <w:tcW w:w="0" w:type="auto"/>
            <w:hideMark/>
          </w:tcPr>
          <w:p w14:paraId="7550E803"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Initial Investment</w:t>
            </w:r>
          </w:p>
        </w:tc>
        <w:tc>
          <w:tcPr>
            <w:tcW w:w="0" w:type="auto"/>
            <w:hideMark/>
          </w:tcPr>
          <w:p w14:paraId="3BE1C1A9"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£50.00m</w:t>
            </w:r>
          </w:p>
        </w:tc>
      </w:tr>
      <w:tr w:rsidR="007712B2" w:rsidRPr="00857AA6" w14:paraId="2040E64C" w14:textId="77777777" w:rsidTr="006438ED">
        <w:trPr>
          <w:trHeight w:val="262"/>
        </w:trPr>
        <w:tc>
          <w:tcPr>
            <w:tcW w:w="0" w:type="auto"/>
            <w:hideMark/>
          </w:tcPr>
          <w:p w14:paraId="52AD2277"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Payback Period (PBP)</w:t>
            </w:r>
          </w:p>
        </w:tc>
        <w:tc>
          <w:tcPr>
            <w:tcW w:w="0" w:type="auto"/>
            <w:hideMark/>
          </w:tcPr>
          <w:p w14:paraId="57101D4D"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4.55 years</w:t>
            </w:r>
          </w:p>
        </w:tc>
      </w:tr>
      <w:tr w:rsidR="007712B2" w:rsidRPr="00857AA6" w14:paraId="00F51A2D" w14:textId="77777777" w:rsidTr="006438ED">
        <w:trPr>
          <w:trHeight w:val="250"/>
        </w:trPr>
        <w:tc>
          <w:tcPr>
            <w:tcW w:w="0" w:type="auto"/>
            <w:hideMark/>
          </w:tcPr>
          <w:p w14:paraId="74CFA47C"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Average Rate of Return (ARR)</w:t>
            </w:r>
          </w:p>
        </w:tc>
        <w:tc>
          <w:tcPr>
            <w:tcW w:w="0" w:type="auto"/>
            <w:hideMark/>
          </w:tcPr>
          <w:p w14:paraId="5CE60FB2"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2.00%</w:t>
            </w:r>
          </w:p>
        </w:tc>
      </w:tr>
      <w:tr w:rsidR="007712B2" w:rsidRPr="00857AA6" w14:paraId="0D2E86FE" w14:textId="77777777" w:rsidTr="006438ED">
        <w:trPr>
          <w:trHeight w:val="250"/>
        </w:trPr>
        <w:tc>
          <w:tcPr>
            <w:tcW w:w="0" w:type="auto"/>
            <w:hideMark/>
          </w:tcPr>
          <w:p w14:paraId="55F9E326"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Net Present Value (NPV)</w:t>
            </w:r>
          </w:p>
        </w:tc>
        <w:tc>
          <w:tcPr>
            <w:tcW w:w="0" w:type="auto"/>
            <w:hideMark/>
          </w:tcPr>
          <w:p w14:paraId="6E8C087D"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−£6.08m</w:t>
            </w:r>
          </w:p>
        </w:tc>
      </w:tr>
      <w:tr w:rsidR="007712B2" w:rsidRPr="00857AA6" w14:paraId="40B6D21A" w14:textId="77777777" w:rsidTr="006438ED">
        <w:trPr>
          <w:trHeight w:val="250"/>
        </w:trPr>
        <w:tc>
          <w:tcPr>
            <w:tcW w:w="0" w:type="auto"/>
            <w:hideMark/>
          </w:tcPr>
          <w:p w14:paraId="4CFD812F"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Profitability Index (PI)</w:t>
            </w:r>
          </w:p>
        </w:tc>
        <w:tc>
          <w:tcPr>
            <w:tcW w:w="0" w:type="auto"/>
            <w:hideMark/>
          </w:tcPr>
          <w:p w14:paraId="3451C9C8"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0.88</w:t>
            </w:r>
          </w:p>
        </w:tc>
      </w:tr>
      <w:tr w:rsidR="007712B2" w:rsidRPr="00857AA6" w14:paraId="16511A7C" w14:textId="77777777" w:rsidTr="006438ED">
        <w:trPr>
          <w:trHeight w:val="250"/>
        </w:trPr>
        <w:tc>
          <w:tcPr>
            <w:tcW w:w="0" w:type="auto"/>
            <w:hideMark/>
          </w:tcPr>
          <w:p w14:paraId="40A6FE1F"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Internal Rate of Return (IRR)</w:t>
            </w:r>
          </w:p>
        </w:tc>
        <w:tc>
          <w:tcPr>
            <w:tcW w:w="0" w:type="auto"/>
            <w:hideMark/>
          </w:tcPr>
          <w:p w14:paraId="616FBA76"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3.26%</w:t>
            </w:r>
          </w:p>
        </w:tc>
      </w:tr>
    </w:tbl>
    <w:p w14:paraId="4071C3D0" w14:textId="77777777" w:rsidR="007712B2" w:rsidRPr="00857AA6" w:rsidRDefault="007712B2" w:rsidP="007712B2">
      <w:pPr>
        <w:spacing w:line="360" w:lineRule="auto"/>
        <w:jc w:val="both"/>
        <w:rPr>
          <w:rFonts w:ascii="Arial" w:hAnsi="Arial" w:cs="Arial"/>
          <w:b/>
          <w:sz w:val="24"/>
          <w:szCs w:val="24"/>
        </w:rPr>
      </w:pPr>
      <w:r w:rsidRPr="00857AA6">
        <w:rPr>
          <w:rFonts w:ascii="Arial" w:hAnsi="Arial" w:cs="Arial"/>
          <w:b/>
          <w:sz w:val="24"/>
          <w:szCs w:val="24"/>
        </w:rPr>
        <w:t>Project C: Investment Appraisal</w:t>
      </w:r>
    </w:p>
    <w:tbl>
      <w:tblPr>
        <w:tblStyle w:val="TableGrid"/>
        <w:tblW w:w="8595" w:type="dxa"/>
        <w:tblLook w:val="04A0" w:firstRow="1" w:lastRow="0" w:firstColumn="1" w:lastColumn="0" w:noHBand="0" w:noVBand="1"/>
      </w:tblPr>
      <w:tblGrid>
        <w:gridCol w:w="5403"/>
        <w:gridCol w:w="3192"/>
      </w:tblGrid>
      <w:tr w:rsidR="007712B2" w:rsidRPr="00857AA6" w14:paraId="0F87695D" w14:textId="77777777" w:rsidTr="006438ED">
        <w:trPr>
          <w:trHeight w:val="250"/>
        </w:trPr>
        <w:tc>
          <w:tcPr>
            <w:tcW w:w="0" w:type="auto"/>
            <w:hideMark/>
          </w:tcPr>
          <w:p w14:paraId="6771E850" w14:textId="77777777" w:rsidR="007712B2" w:rsidRPr="00857AA6" w:rsidRDefault="007712B2" w:rsidP="006438ED">
            <w:pPr>
              <w:spacing w:line="360" w:lineRule="auto"/>
              <w:jc w:val="both"/>
              <w:rPr>
                <w:rFonts w:ascii="Arial" w:hAnsi="Arial" w:cs="Arial"/>
                <w:b/>
                <w:bCs/>
                <w:sz w:val="24"/>
                <w:szCs w:val="24"/>
              </w:rPr>
            </w:pPr>
            <w:r w:rsidRPr="00857AA6">
              <w:rPr>
                <w:rStyle w:val="Strong"/>
                <w:rFonts w:ascii="Arial" w:hAnsi="Arial" w:cs="Arial"/>
                <w:sz w:val="24"/>
                <w:szCs w:val="24"/>
              </w:rPr>
              <w:t>Investment Appraisal Technique</w:t>
            </w:r>
          </w:p>
        </w:tc>
        <w:tc>
          <w:tcPr>
            <w:tcW w:w="0" w:type="auto"/>
            <w:hideMark/>
          </w:tcPr>
          <w:p w14:paraId="17EA3888" w14:textId="77777777" w:rsidR="007712B2" w:rsidRPr="00857AA6" w:rsidRDefault="007712B2" w:rsidP="006438ED">
            <w:pPr>
              <w:spacing w:line="360" w:lineRule="auto"/>
              <w:jc w:val="both"/>
              <w:rPr>
                <w:rFonts w:ascii="Arial" w:hAnsi="Arial" w:cs="Arial"/>
                <w:b/>
                <w:bCs/>
                <w:sz w:val="24"/>
                <w:szCs w:val="24"/>
              </w:rPr>
            </w:pPr>
            <w:r w:rsidRPr="00857AA6">
              <w:rPr>
                <w:rStyle w:val="Strong"/>
                <w:rFonts w:ascii="Arial" w:hAnsi="Arial" w:cs="Arial"/>
                <w:sz w:val="24"/>
                <w:szCs w:val="24"/>
              </w:rPr>
              <w:t>Calculation/Result</w:t>
            </w:r>
          </w:p>
        </w:tc>
      </w:tr>
      <w:tr w:rsidR="007712B2" w:rsidRPr="00857AA6" w14:paraId="2C26327C" w14:textId="77777777" w:rsidTr="006438ED">
        <w:trPr>
          <w:trHeight w:val="250"/>
        </w:trPr>
        <w:tc>
          <w:tcPr>
            <w:tcW w:w="0" w:type="auto"/>
            <w:hideMark/>
          </w:tcPr>
          <w:p w14:paraId="58E1D1DA"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Initial Investment</w:t>
            </w:r>
          </w:p>
        </w:tc>
        <w:tc>
          <w:tcPr>
            <w:tcW w:w="0" w:type="auto"/>
            <w:hideMark/>
          </w:tcPr>
          <w:p w14:paraId="6A3C7375"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£50.00m</w:t>
            </w:r>
          </w:p>
        </w:tc>
      </w:tr>
      <w:tr w:rsidR="007712B2" w:rsidRPr="00857AA6" w14:paraId="491F030E" w14:textId="77777777" w:rsidTr="006438ED">
        <w:trPr>
          <w:trHeight w:val="262"/>
        </w:trPr>
        <w:tc>
          <w:tcPr>
            <w:tcW w:w="0" w:type="auto"/>
            <w:hideMark/>
          </w:tcPr>
          <w:p w14:paraId="506B96DD"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Payback Period (PBP)</w:t>
            </w:r>
          </w:p>
        </w:tc>
        <w:tc>
          <w:tcPr>
            <w:tcW w:w="0" w:type="auto"/>
            <w:hideMark/>
          </w:tcPr>
          <w:p w14:paraId="4A8771A1"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3.60 years</w:t>
            </w:r>
          </w:p>
        </w:tc>
      </w:tr>
      <w:tr w:rsidR="007712B2" w:rsidRPr="00857AA6" w14:paraId="3FC024AF" w14:textId="77777777" w:rsidTr="006438ED">
        <w:trPr>
          <w:trHeight w:val="250"/>
        </w:trPr>
        <w:tc>
          <w:tcPr>
            <w:tcW w:w="0" w:type="auto"/>
            <w:hideMark/>
          </w:tcPr>
          <w:p w14:paraId="45C51A8F"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Average Rate of Return (ARR)</w:t>
            </w:r>
          </w:p>
        </w:tc>
        <w:tc>
          <w:tcPr>
            <w:tcW w:w="0" w:type="auto"/>
            <w:hideMark/>
          </w:tcPr>
          <w:p w14:paraId="3598BE0F"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6.00%</w:t>
            </w:r>
          </w:p>
        </w:tc>
      </w:tr>
      <w:tr w:rsidR="007712B2" w:rsidRPr="00857AA6" w14:paraId="5CD436A5" w14:textId="77777777" w:rsidTr="006438ED">
        <w:trPr>
          <w:trHeight w:val="250"/>
        </w:trPr>
        <w:tc>
          <w:tcPr>
            <w:tcW w:w="0" w:type="auto"/>
            <w:hideMark/>
          </w:tcPr>
          <w:p w14:paraId="494C223E"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Net Present Value (NPV)</w:t>
            </w:r>
          </w:p>
        </w:tc>
        <w:tc>
          <w:tcPr>
            <w:tcW w:w="0" w:type="auto"/>
            <w:hideMark/>
          </w:tcPr>
          <w:p w14:paraId="08CA881B"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£0.86m</w:t>
            </w:r>
          </w:p>
        </w:tc>
      </w:tr>
      <w:tr w:rsidR="007712B2" w:rsidRPr="00857AA6" w14:paraId="564A4198" w14:textId="77777777" w:rsidTr="006438ED">
        <w:trPr>
          <w:trHeight w:val="250"/>
        </w:trPr>
        <w:tc>
          <w:tcPr>
            <w:tcW w:w="0" w:type="auto"/>
            <w:hideMark/>
          </w:tcPr>
          <w:p w14:paraId="544132AE"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Profitability Index (PI)</w:t>
            </w:r>
          </w:p>
        </w:tc>
        <w:tc>
          <w:tcPr>
            <w:tcW w:w="0" w:type="auto"/>
            <w:hideMark/>
          </w:tcPr>
          <w:p w14:paraId="644215C6"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1.02</w:t>
            </w:r>
          </w:p>
        </w:tc>
      </w:tr>
      <w:tr w:rsidR="007712B2" w:rsidRPr="00857AA6" w14:paraId="41010E1D" w14:textId="77777777" w:rsidTr="006438ED">
        <w:trPr>
          <w:trHeight w:val="250"/>
        </w:trPr>
        <w:tc>
          <w:tcPr>
            <w:tcW w:w="0" w:type="auto"/>
            <w:hideMark/>
          </w:tcPr>
          <w:p w14:paraId="79C336F0" w14:textId="77777777" w:rsidR="007712B2" w:rsidRPr="00857AA6" w:rsidRDefault="007712B2" w:rsidP="006438ED">
            <w:pPr>
              <w:spacing w:line="360" w:lineRule="auto"/>
              <w:jc w:val="both"/>
              <w:rPr>
                <w:rFonts w:ascii="Arial" w:hAnsi="Arial" w:cs="Arial"/>
                <w:sz w:val="24"/>
                <w:szCs w:val="24"/>
              </w:rPr>
            </w:pPr>
            <w:r w:rsidRPr="00857AA6">
              <w:rPr>
                <w:rFonts w:ascii="Arial" w:hAnsi="Arial" w:cs="Arial"/>
                <w:sz w:val="24"/>
                <w:szCs w:val="24"/>
              </w:rPr>
              <w:t>Internal Rate of Return (IRR)</w:t>
            </w:r>
          </w:p>
        </w:tc>
        <w:tc>
          <w:tcPr>
            <w:tcW w:w="0" w:type="auto"/>
            <w:hideMark/>
          </w:tcPr>
          <w:p w14:paraId="511F8368" w14:textId="77777777" w:rsidR="007712B2" w:rsidRPr="00857AA6" w:rsidRDefault="007712B2" w:rsidP="006438ED">
            <w:pPr>
              <w:spacing w:line="360" w:lineRule="auto"/>
              <w:jc w:val="both"/>
              <w:rPr>
                <w:rFonts w:ascii="Arial" w:hAnsi="Arial" w:cs="Arial"/>
                <w:sz w:val="24"/>
                <w:szCs w:val="24"/>
              </w:rPr>
            </w:pPr>
            <w:r w:rsidRPr="00857AA6">
              <w:rPr>
                <w:rStyle w:val="Strong"/>
                <w:rFonts w:ascii="Arial" w:hAnsi="Arial" w:cs="Arial"/>
                <w:sz w:val="24"/>
                <w:szCs w:val="24"/>
              </w:rPr>
              <w:t>8.59%</w:t>
            </w:r>
          </w:p>
        </w:tc>
      </w:tr>
    </w:tbl>
    <w:p w14:paraId="60874680" w14:textId="77777777" w:rsidR="007712B2" w:rsidRPr="007712B2" w:rsidRDefault="007712B2" w:rsidP="007712B2"/>
    <w:sectPr w:rsidR="007712B2" w:rsidRPr="007712B2">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CE2AA" w14:textId="77777777" w:rsidR="004F5EC3" w:rsidRDefault="004F5EC3" w:rsidP="00997841">
      <w:pPr>
        <w:spacing w:after="0" w:line="240" w:lineRule="auto"/>
      </w:pPr>
      <w:r>
        <w:separator/>
      </w:r>
    </w:p>
  </w:endnote>
  <w:endnote w:type="continuationSeparator" w:id="0">
    <w:p w14:paraId="092CE004" w14:textId="77777777" w:rsidR="004F5EC3" w:rsidRDefault="004F5EC3" w:rsidP="00997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146097537"/>
      <w:docPartObj>
        <w:docPartGallery w:val="Page Numbers (Bottom of Page)"/>
        <w:docPartUnique/>
      </w:docPartObj>
    </w:sdtPr>
    <w:sdtEndPr>
      <w:rPr>
        <w:noProof/>
      </w:rPr>
    </w:sdtEndPr>
    <w:sdtContent>
      <w:p w14:paraId="2970406E" w14:textId="77777777" w:rsidR="00BA6EE6" w:rsidRPr="00997841" w:rsidRDefault="00BA6EE6">
        <w:pPr>
          <w:pStyle w:val="Footer"/>
          <w:jc w:val="right"/>
          <w:rPr>
            <w:rFonts w:ascii="Arial" w:hAnsi="Arial" w:cs="Arial"/>
            <w:sz w:val="24"/>
            <w:szCs w:val="24"/>
          </w:rPr>
        </w:pPr>
        <w:r w:rsidRPr="00997841">
          <w:rPr>
            <w:rFonts w:ascii="Arial" w:hAnsi="Arial" w:cs="Arial"/>
            <w:sz w:val="24"/>
            <w:szCs w:val="24"/>
          </w:rPr>
          <w:fldChar w:fldCharType="begin"/>
        </w:r>
        <w:r w:rsidRPr="00997841">
          <w:rPr>
            <w:rFonts w:ascii="Arial" w:hAnsi="Arial" w:cs="Arial"/>
            <w:sz w:val="24"/>
            <w:szCs w:val="24"/>
          </w:rPr>
          <w:instrText xml:space="preserve"> PAGE   \* MERGEFORMAT </w:instrText>
        </w:r>
        <w:r w:rsidRPr="00997841">
          <w:rPr>
            <w:rFonts w:ascii="Arial" w:hAnsi="Arial" w:cs="Arial"/>
            <w:sz w:val="24"/>
            <w:szCs w:val="24"/>
          </w:rPr>
          <w:fldChar w:fldCharType="separate"/>
        </w:r>
        <w:r w:rsidR="007712B2">
          <w:rPr>
            <w:rFonts w:ascii="Arial" w:hAnsi="Arial" w:cs="Arial"/>
            <w:noProof/>
            <w:sz w:val="24"/>
            <w:szCs w:val="24"/>
          </w:rPr>
          <w:t>21</w:t>
        </w:r>
        <w:r w:rsidRPr="00997841">
          <w:rPr>
            <w:rFonts w:ascii="Arial" w:hAnsi="Arial" w:cs="Arial"/>
            <w:noProof/>
            <w:sz w:val="24"/>
            <w:szCs w:val="24"/>
          </w:rPr>
          <w:fldChar w:fldCharType="end"/>
        </w:r>
      </w:p>
    </w:sdtContent>
  </w:sdt>
  <w:p w14:paraId="52647B33" w14:textId="77777777" w:rsidR="00BA6EE6" w:rsidRPr="00997841" w:rsidRDefault="00BA6EE6">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9C89A" w14:textId="77777777" w:rsidR="004F5EC3" w:rsidRDefault="004F5EC3" w:rsidP="00997841">
      <w:pPr>
        <w:spacing w:after="0" w:line="240" w:lineRule="auto"/>
      </w:pPr>
      <w:r>
        <w:separator/>
      </w:r>
    </w:p>
  </w:footnote>
  <w:footnote w:type="continuationSeparator" w:id="0">
    <w:p w14:paraId="1BAC435B" w14:textId="77777777" w:rsidR="004F5EC3" w:rsidRDefault="004F5EC3" w:rsidP="009978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0CB"/>
    <w:rsid w:val="00007F77"/>
    <w:rsid w:val="0004573B"/>
    <w:rsid w:val="000819B0"/>
    <w:rsid w:val="000C5D28"/>
    <w:rsid w:val="000D50CB"/>
    <w:rsid w:val="000F3C7B"/>
    <w:rsid w:val="001112B1"/>
    <w:rsid w:val="00162F43"/>
    <w:rsid w:val="001B271D"/>
    <w:rsid w:val="001F657F"/>
    <w:rsid w:val="002623BF"/>
    <w:rsid w:val="002717BF"/>
    <w:rsid w:val="00334A86"/>
    <w:rsid w:val="00340DAF"/>
    <w:rsid w:val="0036309F"/>
    <w:rsid w:val="003A5AFF"/>
    <w:rsid w:val="003E6051"/>
    <w:rsid w:val="0047217B"/>
    <w:rsid w:val="004860BC"/>
    <w:rsid w:val="004F5EC3"/>
    <w:rsid w:val="00523D4A"/>
    <w:rsid w:val="00533729"/>
    <w:rsid w:val="0057019F"/>
    <w:rsid w:val="005D2B4F"/>
    <w:rsid w:val="00626449"/>
    <w:rsid w:val="006365FA"/>
    <w:rsid w:val="00665912"/>
    <w:rsid w:val="007240D7"/>
    <w:rsid w:val="007702CF"/>
    <w:rsid w:val="007712B2"/>
    <w:rsid w:val="00832C44"/>
    <w:rsid w:val="00857AA6"/>
    <w:rsid w:val="00883EA6"/>
    <w:rsid w:val="00943F12"/>
    <w:rsid w:val="00990072"/>
    <w:rsid w:val="00997841"/>
    <w:rsid w:val="00AE75B3"/>
    <w:rsid w:val="00B15E95"/>
    <w:rsid w:val="00B33111"/>
    <w:rsid w:val="00B373E8"/>
    <w:rsid w:val="00B46C3B"/>
    <w:rsid w:val="00BA6EE6"/>
    <w:rsid w:val="00BC7E61"/>
    <w:rsid w:val="00C12C3B"/>
    <w:rsid w:val="00CA3781"/>
    <w:rsid w:val="00D0139D"/>
    <w:rsid w:val="00D82FD7"/>
    <w:rsid w:val="00D963DA"/>
    <w:rsid w:val="00E021B1"/>
    <w:rsid w:val="00E1716F"/>
    <w:rsid w:val="00E92530"/>
    <w:rsid w:val="00EA40FE"/>
    <w:rsid w:val="00F21A8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32DD0"/>
  <w15:chartTrackingRefBased/>
  <w15:docId w15:val="{E8F190D2-CEA2-4E90-8CCD-43F819881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C7B"/>
    <w:rPr>
      <w:lang w:val="en-GB"/>
    </w:rPr>
  </w:style>
  <w:style w:type="paragraph" w:styleId="Heading1">
    <w:name w:val="heading 1"/>
    <w:basedOn w:val="Normal"/>
    <w:next w:val="Normal"/>
    <w:link w:val="Heading1Char"/>
    <w:uiPriority w:val="9"/>
    <w:qFormat/>
    <w:rsid w:val="003A5A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5AF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457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0CB"/>
    <w:pPr>
      <w:ind w:left="720"/>
      <w:contextualSpacing/>
    </w:pPr>
  </w:style>
  <w:style w:type="character" w:customStyle="1" w:styleId="Heading1Char">
    <w:name w:val="Heading 1 Char"/>
    <w:basedOn w:val="DefaultParagraphFont"/>
    <w:link w:val="Heading1"/>
    <w:uiPriority w:val="9"/>
    <w:rsid w:val="003A5AFF"/>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3A5AFF"/>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04573B"/>
    <w:rPr>
      <w:b/>
      <w:bCs/>
    </w:rPr>
  </w:style>
  <w:style w:type="table" w:styleId="TableGrid">
    <w:name w:val="Table Grid"/>
    <w:basedOn w:val="TableNormal"/>
    <w:uiPriority w:val="39"/>
    <w:rsid w:val="00045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04573B"/>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04573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B373E8"/>
    <w:rPr>
      <w:color w:val="0000FF"/>
      <w:u w:val="single"/>
    </w:rPr>
  </w:style>
  <w:style w:type="paragraph" w:styleId="TOCHeading">
    <w:name w:val="TOC Heading"/>
    <w:basedOn w:val="Heading1"/>
    <w:next w:val="Normal"/>
    <w:uiPriority w:val="39"/>
    <w:unhideWhenUsed/>
    <w:qFormat/>
    <w:rsid w:val="000F3C7B"/>
    <w:pPr>
      <w:outlineLvl w:val="9"/>
    </w:pPr>
    <w:rPr>
      <w:lang w:val="en-US"/>
    </w:rPr>
  </w:style>
  <w:style w:type="paragraph" w:styleId="TOC1">
    <w:name w:val="toc 1"/>
    <w:basedOn w:val="Normal"/>
    <w:next w:val="Normal"/>
    <w:autoRedefine/>
    <w:uiPriority w:val="39"/>
    <w:unhideWhenUsed/>
    <w:rsid w:val="000F3C7B"/>
    <w:pPr>
      <w:spacing w:after="100"/>
    </w:pPr>
  </w:style>
  <w:style w:type="paragraph" w:styleId="TOC2">
    <w:name w:val="toc 2"/>
    <w:basedOn w:val="Normal"/>
    <w:next w:val="Normal"/>
    <w:autoRedefine/>
    <w:uiPriority w:val="39"/>
    <w:unhideWhenUsed/>
    <w:rsid w:val="000F3C7B"/>
    <w:pPr>
      <w:spacing w:after="100"/>
      <w:ind w:left="220"/>
    </w:pPr>
  </w:style>
  <w:style w:type="paragraph" w:styleId="Header">
    <w:name w:val="header"/>
    <w:basedOn w:val="Normal"/>
    <w:link w:val="HeaderChar"/>
    <w:uiPriority w:val="99"/>
    <w:unhideWhenUsed/>
    <w:rsid w:val="00997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841"/>
    <w:rPr>
      <w:lang w:val="en-GB"/>
    </w:rPr>
  </w:style>
  <w:style w:type="paragraph" w:styleId="Footer">
    <w:name w:val="footer"/>
    <w:basedOn w:val="Normal"/>
    <w:link w:val="FooterChar"/>
    <w:uiPriority w:val="99"/>
    <w:unhideWhenUsed/>
    <w:rsid w:val="00997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841"/>
    <w:rPr>
      <w:lang w:val="en-GB"/>
    </w:rPr>
  </w:style>
  <w:style w:type="character" w:customStyle="1" w:styleId="cursor-pointer">
    <w:name w:val="cursor-pointer"/>
    <w:basedOn w:val="DefaultParagraphFont"/>
    <w:rsid w:val="00523D4A"/>
  </w:style>
  <w:style w:type="paragraph" w:customStyle="1" w:styleId="pdq2pgselectionanchorcontainer">
    <w:name w:val="pdq2pg_selectionanchorcontainer"/>
    <w:basedOn w:val="Normal"/>
    <w:rsid w:val="00990072"/>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08047">
      <w:bodyDiv w:val="1"/>
      <w:marLeft w:val="0"/>
      <w:marRight w:val="0"/>
      <w:marTop w:val="0"/>
      <w:marBottom w:val="0"/>
      <w:divBdr>
        <w:top w:val="none" w:sz="0" w:space="0" w:color="auto"/>
        <w:left w:val="none" w:sz="0" w:space="0" w:color="auto"/>
        <w:bottom w:val="none" w:sz="0" w:space="0" w:color="auto"/>
        <w:right w:val="none" w:sz="0" w:space="0" w:color="auto"/>
      </w:divBdr>
    </w:div>
    <w:div w:id="48237371">
      <w:bodyDiv w:val="1"/>
      <w:marLeft w:val="0"/>
      <w:marRight w:val="0"/>
      <w:marTop w:val="0"/>
      <w:marBottom w:val="0"/>
      <w:divBdr>
        <w:top w:val="none" w:sz="0" w:space="0" w:color="auto"/>
        <w:left w:val="none" w:sz="0" w:space="0" w:color="auto"/>
        <w:bottom w:val="none" w:sz="0" w:space="0" w:color="auto"/>
        <w:right w:val="none" w:sz="0" w:space="0" w:color="auto"/>
      </w:divBdr>
      <w:divsChild>
        <w:div w:id="202791305">
          <w:marLeft w:val="0"/>
          <w:marRight w:val="0"/>
          <w:marTop w:val="0"/>
          <w:marBottom w:val="0"/>
          <w:divBdr>
            <w:top w:val="none" w:sz="0" w:space="0" w:color="auto"/>
            <w:left w:val="none" w:sz="0" w:space="0" w:color="auto"/>
            <w:bottom w:val="none" w:sz="0" w:space="0" w:color="auto"/>
            <w:right w:val="none" w:sz="0" w:space="0" w:color="auto"/>
          </w:divBdr>
          <w:divsChild>
            <w:div w:id="1920872178">
              <w:marLeft w:val="0"/>
              <w:marRight w:val="0"/>
              <w:marTop w:val="0"/>
              <w:marBottom w:val="0"/>
              <w:divBdr>
                <w:top w:val="none" w:sz="0" w:space="0" w:color="auto"/>
                <w:left w:val="none" w:sz="0" w:space="0" w:color="auto"/>
                <w:bottom w:val="none" w:sz="0" w:space="0" w:color="auto"/>
                <w:right w:val="none" w:sz="0" w:space="0" w:color="auto"/>
              </w:divBdr>
              <w:divsChild>
                <w:div w:id="181551128">
                  <w:marLeft w:val="0"/>
                  <w:marRight w:val="0"/>
                  <w:marTop w:val="0"/>
                  <w:marBottom w:val="0"/>
                  <w:divBdr>
                    <w:top w:val="none" w:sz="0" w:space="0" w:color="auto"/>
                    <w:left w:val="none" w:sz="0" w:space="0" w:color="auto"/>
                    <w:bottom w:val="none" w:sz="0" w:space="0" w:color="auto"/>
                    <w:right w:val="none" w:sz="0" w:space="0" w:color="auto"/>
                  </w:divBdr>
                  <w:divsChild>
                    <w:div w:id="112485540">
                      <w:marLeft w:val="0"/>
                      <w:marRight w:val="0"/>
                      <w:marTop w:val="0"/>
                      <w:marBottom w:val="0"/>
                      <w:divBdr>
                        <w:top w:val="none" w:sz="0" w:space="0" w:color="auto"/>
                        <w:left w:val="none" w:sz="0" w:space="0" w:color="auto"/>
                        <w:bottom w:val="none" w:sz="0" w:space="0" w:color="auto"/>
                        <w:right w:val="none" w:sz="0" w:space="0" w:color="auto"/>
                      </w:divBdr>
                      <w:divsChild>
                        <w:div w:id="1529219246">
                          <w:marLeft w:val="0"/>
                          <w:marRight w:val="0"/>
                          <w:marTop w:val="0"/>
                          <w:marBottom w:val="0"/>
                          <w:divBdr>
                            <w:top w:val="none" w:sz="0" w:space="0" w:color="auto"/>
                            <w:left w:val="none" w:sz="0" w:space="0" w:color="auto"/>
                            <w:bottom w:val="none" w:sz="0" w:space="0" w:color="auto"/>
                            <w:right w:val="none" w:sz="0" w:space="0" w:color="auto"/>
                          </w:divBdr>
                          <w:divsChild>
                            <w:div w:id="1051614393">
                              <w:marLeft w:val="0"/>
                              <w:marRight w:val="0"/>
                              <w:marTop w:val="0"/>
                              <w:marBottom w:val="0"/>
                              <w:divBdr>
                                <w:top w:val="none" w:sz="0" w:space="0" w:color="auto"/>
                                <w:left w:val="none" w:sz="0" w:space="0" w:color="auto"/>
                                <w:bottom w:val="none" w:sz="0" w:space="0" w:color="auto"/>
                                <w:right w:val="none" w:sz="0" w:space="0" w:color="auto"/>
                              </w:divBdr>
                              <w:divsChild>
                                <w:div w:id="213394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208055">
      <w:bodyDiv w:val="1"/>
      <w:marLeft w:val="0"/>
      <w:marRight w:val="0"/>
      <w:marTop w:val="0"/>
      <w:marBottom w:val="0"/>
      <w:divBdr>
        <w:top w:val="none" w:sz="0" w:space="0" w:color="auto"/>
        <w:left w:val="none" w:sz="0" w:space="0" w:color="auto"/>
        <w:bottom w:val="none" w:sz="0" w:space="0" w:color="auto"/>
        <w:right w:val="none" w:sz="0" w:space="0" w:color="auto"/>
      </w:divBdr>
    </w:div>
    <w:div w:id="180436813">
      <w:bodyDiv w:val="1"/>
      <w:marLeft w:val="0"/>
      <w:marRight w:val="0"/>
      <w:marTop w:val="0"/>
      <w:marBottom w:val="0"/>
      <w:divBdr>
        <w:top w:val="none" w:sz="0" w:space="0" w:color="auto"/>
        <w:left w:val="none" w:sz="0" w:space="0" w:color="auto"/>
        <w:bottom w:val="none" w:sz="0" w:space="0" w:color="auto"/>
        <w:right w:val="none" w:sz="0" w:space="0" w:color="auto"/>
      </w:divBdr>
      <w:divsChild>
        <w:div w:id="2073766291">
          <w:marLeft w:val="0"/>
          <w:marRight w:val="0"/>
          <w:marTop w:val="0"/>
          <w:marBottom w:val="0"/>
          <w:divBdr>
            <w:top w:val="none" w:sz="0" w:space="0" w:color="auto"/>
            <w:left w:val="none" w:sz="0" w:space="0" w:color="auto"/>
            <w:bottom w:val="none" w:sz="0" w:space="0" w:color="auto"/>
            <w:right w:val="none" w:sz="0" w:space="0" w:color="auto"/>
          </w:divBdr>
          <w:divsChild>
            <w:div w:id="1835532498">
              <w:marLeft w:val="0"/>
              <w:marRight w:val="0"/>
              <w:marTop w:val="0"/>
              <w:marBottom w:val="0"/>
              <w:divBdr>
                <w:top w:val="none" w:sz="0" w:space="0" w:color="auto"/>
                <w:left w:val="none" w:sz="0" w:space="0" w:color="auto"/>
                <w:bottom w:val="none" w:sz="0" w:space="0" w:color="auto"/>
                <w:right w:val="none" w:sz="0" w:space="0" w:color="auto"/>
              </w:divBdr>
              <w:divsChild>
                <w:div w:id="696583548">
                  <w:marLeft w:val="0"/>
                  <w:marRight w:val="0"/>
                  <w:marTop w:val="0"/>
                  <w:marBottom w:val="0"/>
                  <w:divBdr>
                    <w:top w:val="none" w:sz="0" w:space="0" w:color="auto"/>
                    <w:left w:val="none" w:sz="0" w:space="0" w:color="auto"/>
                    <w:bottom w:val="none" w:sz="0" w:space="0" w:color="auto"/>
                    <w:right w:val="none" w:sz="0" w:space="0" w:color="auto"/>
                  </w:divBdr>
                  <w:divsChild>
                    <w:div w:id="61148846">
                      <w:marLeft w:val="0"/>
                      <w:marRight w:val="0"/>
                      <w:marTop w:val="0"/>
                      <w:marBottom w:val="0"/>
                      <w:divBdr>
                        <w:top w:val="none" w:sz="0" w:space="0" w:color="auto"/>
                        <w:left w:val="none" w:sz="0" w:space="0" w:color="auto"/>
                        <w:bottom w:val="none" w:sz="0" w:space="0" w:color="auto"/>
                        <w:right w:val="none" w:sz="0" w:space="0" w:color="auto"/>
                      </w:divBdr>
                      <w:divsChild>
                        <w:div w:id="1957908339">
                          <w:marLeft w:val="0"/>
                          <w:marRight w:val="0"/>
                          <w:marTop w:val="0"/>
                          <w:marBottom w:val="0"/>
                          <w:divBdr>
                            <w:top w:val="none" w:sz="0" w:space="0" w:color="auto"/>
                            <w:left w:val="none" w:sz="0" w:space="0" w:color="auto"/>
                            <w:bottom w:val="none" w:sz="0" w:space="0" w:color="auto"/>
                            <w:right w:val="none" w:sz="0" w:space="0" w:color="auto"/>
                          </w:divBdr>
                          <w:divsChild>
                            <w:div w:id="314337203">
                              <w:marLeft w:val="0"/>
                              <w:marRight w:val="0"/>
                              <w:marTop w:val="0"/>
                              <w:marBottom w:val="0"/>
                              <w:divBdr>
                                <w:top w:val="none" w:sz="0" w:space="0" w:color="auto"/>
                                <w:left w:val="none" w:sz="0" w:space="0" w:color="auto"/>
                                <w:bottom w:val="none" w:sz="0" w:space="0" w:color="auto"/>
                                <w:right w:val="none" w:sz="0" w:space="0" w:color="auto"/>
                              </w:divBdr>
                              <w:divsChild>
                                <w:div w:id="472137356">
                                  <w:marLeft w:val="0"/>
                                  <w:marRight w:val="0"/>
                                  <w:marTop w:val="0"/>
                                  <w:marBottom w:val="0"/>
                                  <w:divBdr>
                                    <w:top w:val="none" w:sz="0" w:space="0" w:color="auto"/>
                                    <w:left w:val="none" w:sz="0" w:space="0" w:color="auto"/>
                                    <w:bottom w:val="none" w:sz="0" w:space="0" w:color="auto"/>
                                    <w:right w:val="none" w:sz="0" w:space="0" w:color="auto"/>
                                  </w:divBdr>
                                  <w:divsChild>
                                    <w:div w:id="189630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7856069">
      <w:bodyDiv w:val="1"/>
      <w:marLeft w:val="0"/>
      <w:marRight w:val="0"/>
      <w:marTop w:val="0"/>
      <w:marBottom w:val="0"/>
      <w:divBdr>
        <w:top w:val="none" w:sz="0" w:space="0" w:color="auto"/>
        <w:left w:val="none" w:sz="0" w:space="0" w:color="auto"/>
        <w:bottom w:val="none" w:sz="0" w:space="0" w:color="auto"/>
        <w:right w:val="none" w:sz="0" w:space="0" w:color="auto"/>
      </w:divBdr>
    </w:div>
    <w:div w:id="268513238">
      <w:bodyDiv w:val="1"/>
      <w:marLeft w:val="0"/>
      <w:marRight w:val="0"/>
      <w:marTop w:val="0"/>
      <w:marBottom w:val="0"/>
      <w:divBdr>
        <w:top w:val="none" w:sz="0" w:space="0" w:color="auto"/>
        <w:left w:val="none" w:sz="0" w:space="0" w:color="auto"/>
        <w:bottom w:val="none" w:sz="0" w:space="0" w:color="auto"/>
        <w:right w:val="none" w:sz="0" w:space="0" w:color="auto"/>
      </w:divBdr>
    </w:div>
    <w:div w:id="338311335">
      <w:bodyDiv w:val="1"/>
      <w:marLeft w:val="0"/>
      <w:marRight w:val="0"/>
      <w:marTop w:val="0"/>
      <w:marBottom w:val="0"/>
      <w:divBdr>
        <w:top w:val="none" w:sz="0" w:space="0" w:color="auto"/>
        <w:left w:val="none" w:sz="0" w:space="0" w:color="auto"/>
        <w:bottom w:val="none" w:sz="0" w:space="0" w:color="auto"/>
        <w:right w:val="none" w:sz="0" w:space="0" w:color="auto"/>
      </w:divBdr>
    </w:div>
    <w:div w:id="353387090">
      <w:bodyDiv w:val="1"/>
      <w:marLeft w:val="0"/>
      <w:marRight w:val="0"/>
      <w:marTop w:val="0"/>
      <w:marBottom w:val="0"/>
      <w:divBdr>
        <w:top w:val="none" w:sz="0" w:space="0" w:color="auto"/>
        <w:left w:val="none" w:sz="0" w:space="0" w:color="auto"/>
        <w:bottom w:val="none" w:sz="0" w:space="0" w:color="auto"/>
        <w:right w:val="none" w:sz="0" w:space="0" w:color="auto"/>
      </w:divBdr>
    </w:div>
    <w:div w:id="414018316">
      <w:bodyDiv w:val="1"/>
      <w:marLeft w:val="0"/>
      <w:marRight w:val="0"/>
      <w:marTop w:val="0"/>
      <w:marBottom w:val="0"/>
      <w:divBdr>
        <w:top w:val="none" w:sz="0" w:space="0" w:color="auto"/>
        <w:left w:val="none" w:sz="0" w:space="0" w:color="auto"/>
        <w:bottom w:val="none" w:sz="0" w:space="0" w:color="auto"/>
        <w:right w:val="none" w:sz="0" w:space="0" w:color="auto"/>
      </w:divBdr>
    </w:div>
    <w:div w:id="466243508">
      <w:bodyDiv w:val="1"/>
      <w:marLeft w:val="0"/>
      <w:marRight w:val="0"/>
      <w:marTop w:val="0"/>
      <w:marBottom w:val="0"/>
      <w:divBdr>
        <w:top w:val="none" w:sz="0" w:space="0" w:color="auto"/>
        <w:left w:val="none" w:sz="0" w:space="0" w:color="auto"/>
        <w:bottom w:val="none" w:sz="0" w:space="0" w:color="auto"/>
        <w:right w:val="none" w:sz="0" w:space="0" w:color="auto"/>
      </w:divBdr>
    </w:div>
    <w:div w:id="576549906">
      <w:bodyDiv w:val="1"/>
      <w:marLeft w:val="0"/>
      <w:marRight w:val="0"/>
      <w:marTop w:val="0"/>
      <w:marBottom w:val="0"/>
      <w:divBdr>
        <w:top w:val="none" w:sz="0" w:space="0" w:color="auto"/>
        <w:left w:val="none" w:sz="0" w:space="0" w:color="auto"/>
        <w:bottom w:val="none" w:sz="0" w:space="0" w:color="auto"/>
        <w:right w:val="none" w:sz="0" w:space="0" w:color="auto"/>
      </w:divBdr>
      <w:divsChild>
        <w:div w:id="1769884842">
          <w:marLeft w:val="0"/>
          <w:marRight w:val="0"/>
          <w:marTop w:val="0"/>
          <w:marBottom w:val="0"/>
          <w:divBdr>
            <w:top w:val="none" w:sz="0" w:space="0" w:color="auto"/>
            <w:left w:val="none" w:sz="0" w:space="0" w:color="auto"/>
            <w:bottom w:val="none" w:sz="0" w:space="0" w:color="auto"/>
            <w:right w:val="none" w:sz="0" w:space="0" w:color="auto"/>
          </w:divBdr>
          <w:divsChild>
            <w:div w:id="78966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524345">
      <w:bodyDiv w:val="1"/>
      <w:marLeft w:val="0"/>
      <w:marRight w:val="0"/>
      <w:marTop w:val="0"/>
      <w:marBottom w:val="0"/>
      <w:divBdr>
        <w:top w:val="none" w:sz="0" w:space="0" w:color="auto"/>
        <w:left w:val="none" w:sz="0" w:space="0" w:color="auto"/>
        <w:bottom w:val="none" w:sz="0" w:space="0" w:color="auto"/>
        <w:right w:val="none" w:sz="0" w:space="0" w:color="auto"/>
      </w:divBdr>
      <w:divsChild>
        <w:div w:id="286277757">
          <w:marLeft w:val="0"/>
          <w:marRight w:val="0"/>
          <w:marTop w:val="0"/>
          <w:marBottom w:val="0"/>
          <w:divBdr>
            <w:top w:val="none" w:sz="0" w:space="0" w:color="auto"/>
            <w:left w:val="none" w:sz="0" w:space="0" w:color="auto"/>
            <w:bottom w:val="none" w:sz="0" w:space="0" w:color="auto"/>
            <w:right w:val="none" w:sz="0" w:space="0" w:color="auto"/>
          </w:divBdr>
          <w:divsChild>
            <w:div w:id="301665822">
              <w:marLeft w:val="0"/>
              <w:marRight w:val="0"/>
              <w:marTop w:val="0"/>
              <w:marBottom w:val="0"/>
              <w:divBdr>
                <w:top w:val="none" w:sz="0" w:space="0" w:color="auto"/>
                <w:left w:val="none" w:sz="0" w:space="0" w:color="auto"/>
                <w:bottom w:val="none" w:sz="0" w:space="0" w:color="auto"/>
                <w:right w:val="none" w:sz="0" w:space="0" w:color="auto"/>
              </w:divBdr>
            </w:div>
          </w:divsChild>
        </w:div>
        <w:div w:id="842747144">
          <w:marLeft w:val="0"/>
          <w:marRight w:val="0"/>
          <w:marTop w:val="0"/>
          <w:marBottom w:val="0"/>
          <w:divBdr>
            <w:top w:val="none" w:sz="0" w:space="0" w:color="auto"/>
            <w:left w:val="none" w:sz="0" w:space="0" w:color="auto"/>
            <w:bottom w:val="none" w:sz="0" w:space="0" w:color="auto"/>
            <w:right w:val="none" w:sz="0" w:space="0" w:color="auto"/>
          </w:divBdr>
          <w:divsChild>
            <w:div w:id="2095004647">
              <w:marLeft w:val="0"/>
              <w:marRight w:val="0"/>
              <w:marTop w:val="0"/>
              <w:marBottom w:val="0"/>
              <w:divBdr>
                <w:top w:val="none" w:sz="0" w:space="0" w:color="auto"/>
                <w:left w:val="none" w:sz="0" w:space="0" w:color="auto"/>
                <w:bottom w:val="none" w:sz="0" w:space="0" w:color="auto"/>
                <w:right w:val="none" w:sz="0" w:space="0" w:color="auto"/>
              </w:divBdr>
            </w:div>
          </w:divsChild>
        </w:div>
        <w:div w:id="1421490947">
          <w:marLeft w:val="0"/>
          <w:marRight w:val="0"/>
          <w:marTop w:val="0"/>
          <w:marBottom w:val="0"/>
          <w:divBdr>
            <w:top w:val="none" w:sz="0" w:space="0" w:color="auto"/>
            <w:left w:val="none" w:sz="0" w:space="0" w:color="auto"/>
            <w:bottom w:val="none" w:sz="0" w:space="0" w:color="auto"/>
            <w:right w:val="none" w:sz="0" w:space="0" w:color="auto"/>
          </w:divBdr>
          <w:divsChild>
            <w:div w:id="1544513742">
              <w:marLeft w:val="0"/>
              <w:marRight w:val="0"/>
              <w:marTop w:val="0"/>
              <w:marBottom w:val="0"/>
              <w:divBdr>
                <w:top w:val="none" w:sz="0" w:space="0" w:color="auto"/>
                <w:left w:val="none" w:sz="0" w:space="0" w:color="auto"/>
                <w:bottom w:val="none" w:sz="0" w:space="0" w:color="auto"/>
                <w:right w:val="none" w:sz="0" w:space="0" w:color="auto"/>
              </w:divBdr>
            </w:div>
          </w:divsChild>
        </w:div>
        <w:div w:id="142507957">
          <w:marLeft w:val="0"/>
          <w:marRight w:val="0"/>
          <w:marTop w:val="0"/>
          <w:marBottom w:val="0"/>
          <w:divBdr>
            <w:top w:val="none" w:sz="0" w:space="0" w:color="auto"/>
            <w:left w:val="none" w:sz="0" w:space="0" w:color="auto"/>
            <w:bottom w:val="none" w:sz="0" w:space="0" w:color="auto"/>
            <w:right w:val="none" w:sz="0" w:space="0" w:color="auto"/>
          </w:divBdr>
          <w:divsChild>
            <w:div w:id="282270025">
              <w:marLeft w:val="0"/>
              <w:marRight w:val="0"/>
              <w:marTop w:val="0"/>
              <w:marBottom w:val="0"/>
              <w:divBdr>
                <w:top w:val="none" w:sz="0" w:space="0" w:color="auto"/>
                <w:left w:val="none" w:sz="0" w:space="0" w:color="auto"/>
                <w:bottom w:val="none" w:sz="0" w:space="0" w:color="auto"/>
                <w:right w:val="none" w:sz="0" w:space="0" w:color="auto"/>
              </w:divBdr>
            </w:div>
          </w:divsChild>
        </w:div>
        <w:div w:id="1667247044">
          <w:marLeft w:val="0"/>
          <w:marRight w:val="0"/>
          <w:marTop w:val="0"/>
          <w:marBottom w:val="0"/>
          <w:divBdr>
            <w:top w:val="none" w:sz="0" w:space="0" w:color="auto"/>
            <w:left w:val="none" w:sz="0" w:space="0" w:color="auto"/>
            <w:bottom w:val="none" w:sz="0" w:space="0" w:color="auto"/>
            <w:right w:val="none" w:sz="0" w:space="0" w:color="auto"/>
          </w:divBdr>
          <w:divsChild>
            <w:div w:id="1751542037">
              <w:marLeft w:val="0"/>
              <w:marRight w:val="0"/>
              <w:marTop w:val="0"/>
              <w:marBottom w:val="0"/>
              <w:divBdr>
                <w:top w:val="none" w:sz="0" w:space="0" w:color="auto"/>
                <w:left w:val="none" w:sz="0" w:space="0" w:color="auto"/>
                <w:bottom w:val="none" w:sz="0" w:space="0" w:color="auto"/>
                <w:right w:val="none" w:sz="0" w:space="0" w:color="auto"/>
              </w:divBdr>
            </w:div>
          </w:divsChild>
        </w:div>
        <w:div w:id="185753267">
          <w:marLeft w:val="0"/>
          <w:marRight w:val="0"/>
          <w:marTop w:val="0"/>
          <w:marBottom w:val="0"/>
          <w:divBdr>
            <w:top w:val="none" w:sz="0" w:space="0" w:color="auto"/>
            <w:left w:val="none" w:sz="0" w:space="0" w:color="auto"/>
            <w:bottom w:val="none" w:sz="0" w:space="0" w:color="auto"/>
            <w:right w:val="none" w:sz="0" w:space="0" w:color="auto"/>
          </w:divBdr>
          <w:divsChild>
            <w:div w:id="69373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023573">
      <w:bodyDiv w:val="1"/>
      <w:marLeft w:val="0"/>
      <w:marRight w:val="0"/>
      <w:marTop w:val="0"/>
      <w:marBottom w:val="0"/>
      <w:divBdr>
        <w:top w:val="none" w:sz="0" w:space="0" w:color="auto"/>
        <w:left w:val="none" w:sz="0" w:space="0" w:color="auto"/>
        <w:bottom w:val="none" w:sz="0" w:space="0" w:color="auto"/>
        <w:right w:val="none" w:sz="0" w:space="0" w:color="auto"/>
      </w:divBdr>
    </w:div>
    <w:div w:id="657461164">
      <w:bodyDiv w:val="1"/>
      <w:marLeft w:val="0"/>
      <w:marRight w:val="0"/>
      <w:marTop w:val="0"/>
      <w:marBottom w:val="0"/>
      <w:divBdr>
        <w:top w:val="none" w:sz="0" w:space="0" w:color="auto"/>
        <w:left w:val="none" w:sz="0" w:space="0" w:color="auto"/>
        <w:bottom w:val="none" w:sz="0" w:space="0" w:color="auto"/>
        <w:right w:val="none" w:sz="0" w:space="0" w:color="auto"/>
      </w:divBdr>
    </w:div>
    <w:div w:id="665861651">
      <w:bodyDiv w:val="1"/>
      <w:marLeft w:val="0"/>
      <w:marRight w:val="0"/>
      <w:marTop w:val="0"/>
      <w:marBottom w:val="0"/>
      <w:divBdr>
        <w:top w:val="none" w:sz="0" w:space="0" w:color="auto"/>
        <w:left w:val="none" w:sz="0" w:space="0" w:color="auto"/>
        <w:bottom w:val="none" w:sz="0" w:space="0" w:color="auto"/>
        <w:right w:val="none" w:sz="0" w:space="0" w:color="auto"/>
      </w:divBdr>
      <w:divsChild>
        <w:div w:id="1095514877">
          <w:marLeft w:val="0"/>
          <w:marRight w:val="0"/>
          <w:marTop w:val="0"/>
          <w:marBottom w:val="0"/>
          <w:divBdr>
            <w:top w:val="none" w:sz="0" w:space="0" w:color="auto"/>
            <w:left w:val="none" w:sz="0" w:space="0" w:color="auto"/>
            <w:bottom w:val="none" w:sz="0" w:space="0" w:color="auto"/>
            <w:right w:val="none" w:sz="0" w:space="0" w:color="auto"/>
          </w:divBdr>
          <w:divsChild>
            <w:div w:id="1468161296">
              <w:marLeft w:val="0"/>
              <w:marRight w:val="0"/>
              <w:marTop w:val="0"/>
              <w:marBottom w:val="0"/>
              <w:divBdr>
                <w:top w:val="none" w:sz="0" w:space="0" w:color="auto"/>
                <w:left w:val="none" w:sz="0" w:space="0" w:color="auto"/>
                <w:bottom w:val="none" w:sz="0" w:space="0" w:color="auto"/>
                <w:right w:val="none" w:sz="0" w:space="0" w:color="auto"/>
              </w:divBdr>
              <w:divsChild>
                <w:div w:id="646517286">
                  <w:marLeft w:val="0"/>
                  <w:marRight w:val="0"/>
                  <w:marTop w:val="0"/>
                  <w:marBottom w:val="0"/>
                  <w:divBdr>
                    <w:top w:val="none" w:sz="0" w:space="0" w:color="auto"/>
                    <w:left w:val="none" w:sz="0" w:space="0" w:color="auto"/>
                    <w:bottom w:val="none" w:sz="0" w:space="0" w:color="auto"/>
                    <w:right w:val="none" w:sz="0" w:space="0" w:color="auto"/>
                  </w:divBdr>
                  <w:divsChild>
                    <w:div w:id="662852405">
                      <w:marLeft w:val="0"/>
                      <w:marRight w:val="0"/>
                      <w:marTop w:val="0"/>
                      <w:marBottom w:val="0"/>
                      <w:divBdr>
                        <w:top w:val="none" w:sz="0" w:space="0" w:color="auto"/>
                        <w:left w:val="none" w:sz="0" w:space="0" w:color="auto"/>
                        <w:bottom w:val="none" w:sz="0" w:space="0" w:color="auto"/>
                        <w:right w:val="none" w:sz="0" w:space="0" w:color="auto"/>
                      </w:divBdr>
                      <w:divsChild>
                        <w:div w:id="1655405584">
                          <w:marLeft w:val="0"/>
                          <w:marRight w:val="0"/>
                          <w:marTop w:val="0"/>
                          <w:marBottom w:val="0"/>
                          <w:divBdr>
                            <w:top w:val="none" w:sz="0" w:space="0" w:color="auto"/>
                            <w:left w:val="none" w:sz="0" w:space="0" w:color="auto"/>
                            <w:bottom w:val="none" w:sz="0" w:space="0" w:color="auto"/>
                            <w:right w:val="none" w:sz="0" w:space="0" w:color="auto"/>
                          </w:divBdr>
                          <w:divsChild>
                            <w:div w:id="14815376">
                              <w:marLeft w:val="0"/>
                              <w:marRight w:val="0"/>
                              <w:marTop w:val="0"/>
                              <w:marBottom w:val="0"/>
                              <w:divBdr>
                                <w:top w:val="none" w:sz="0" w:space="0" w:color="auto"/>
                                <w:left w:val="none" w:sz="0" w:space="0" w:color="auto"/>
                                <w:bottom w:val="none" w:sz="0" w:space="0" w:color="auto"/>
                                <w:right w:val="none" w:sz="0" w:space="0" w:color="auto"/>
                              </w:divBdr>
                              <w:divsChild>
                                <w:div w:id="1519732371">
                                  <w:marLeft w:val="0"/>
                                  <w:marRight w:val="0"/>
                                  <w:marTop w:val="0"/>
                                  <w:marBottom w:val="0"/>
                                  <w:divBdr>
                                    <w:top w:val="none" w:sz="0" w:space="0" w:color="auto"/>
                                    <w:left w:val="none" w:sz="0" w:space="0" w:color="auto"/>
                                    <w:bottom w:val="none" w:sz="0" w:space="0" w:color="auto"/>
                                    <w:right w:val="none" w:sz="0" w:space="0" w:color="auto"/>
                                  </w:divBdr>
                                  <w:divsChild>
                                    <w:div w:id="1203055171">
                                      <w:marLeft w:val="0"/>
                                      <w:marRight w:val="0"/>
                                      <w:marTop w:val="0"/>
                                      <w:marBottom w:val="0"/>
                                      <w:divBdr>
                                        <w:top w:val="none" w:sz="0" w:space="0" w:color="auto"/>
                                        <w:left w:val="none" w:sz="0" w:space="0" w:color="auto"/>
                                        <w:bottom w:val="none" w:sz="0" w:space="0" w:color="auto"/>
                                        <w:right w:val="none" w:sz="0" w:space="0" w:color="auto"/>
                                      </w:divBdr>
                                      <w:divsChild>
                                        <w:div w:id="1992977641">
                                          <w:marLeft w:val="0"/>
                                          <w:marRight w:val="0"/>
                                          <w:marTop w:val="0"/>
                                          <w:marBottom w:val="0"/>
                                          <w:divBdr>
                                            <w:top w:val="none" w:sz="0" w:space="0" w:color="auto"/>
                                            <w:left w:val="none" w:sz="0" w:space="0" w:color="auto"/>
                                            <w:bottom w:val="none" w:sz="0" w:space="0" w:color="auto"/>
                                            <w:right w:val="none" w:sz="0" w:space="0" w:color="auto"/>
                                          </w:divBdr>
                                          <w:divsChild>
                                            <w:div w:id="14738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80593253">
      <w:bodyDiv w:val="1"/>
      <w:marLeft w:val="0"/>
      <w:marRight w:val="0"/>
      <w:marTop w:val="0"/>
      <w:marBottom w:val="0"/>
      <w:divBdr>
        <w:top w:val="none" w:sz="0" w:space="0" w:color="auto"/>
        <w:left w:val="none" w:sz="0" w:space="0" w:color="auto"/>
        <w:bottom w:val="none" w:sz="0" w:space="0" w:color="auto"/>
        <w:right w:val="none" w:sz="0" w:space="0" w:color="auto"/>
      </w:divBdr>
      <w:divsChild>
        <w:div w:id="1020854336">
          <w:marLeft w:val="0"/>
          <w:marRight w:val="0"/>
          <w:marTop w:val="0"/>
          <w:marBottom w:val="0"/>
          <w:divBdr>
            <w:top w:val="none" w:sz="0" w:space="0" w:color="auto"/>
            <w:left w:val="none" w:sz="0" w:space="0" w:color="auto"/>
            <w:bottom w:val="none" w:sz="0" w:space="0" w:color="auto"/>
            <w:right w:val="none" w:sz="0" w:space="0" w:color="auto"/>
          </w:divBdr>
          <w:divsChild>
            <w:div w:id="768426741">
              <w:marLeft w:val="0"/>
              <w:marRight w:val="0"/>
              <w:marTop w:val="0"/>
              <w:marBottom w:val="0"/>
              <w:divBdr>
                <w:top w:val="none" w:sz="0" w:space="0" w:color="auto"/>
                <w:left w:val="none" w:sz="0" w:space="0" w:color="auto"/>
                <w:bottom w:val="none" w:sz="0" w:space="0" w:color="auto"/>
                <w:right w:val="none" w:sz="0" w:space="0" w:color="auto"/>
              </w:divBdr>
              <w:divsChild>
                <w:div w:id="355083935">
                  <w:marLeft w:val="0"/>
                  <w:marRight w:val="0"/>
                  <w:marTop w:val="0"/>
                  <w:marBottom w:val="0"/>
                  <w:divBdr>
                    <w:top w:val="none" w:sz="0" w:space="0" w:color="auto"/>
                    <w:left w:val="none" w:sz="0" w:space="0" w:color="auto"/>
                    <w:bottom w:val="none" w:sz="0" w:space="0" w:color="auto"/>
                    <w:right w:val="none" w:sz="0" w:space="0" w:color="auto"/>
                  </w:divBdr>
                  <w:divsChild>
                    <w:div w:id="1571770734">
                      <w:marLeft w:val="0"/>
                      <w:marRight w:val="0"/>
                      <w:marTop w:val="0"/>
                      <w:marBottom w:val="0"/>
                      <w:divBdr>
                        <w:top w:val="none" w:sz="0" w:space="0" w:color="auto"/>
                        <w:left w:val="none" w:sz="0" w:space="0" w:color="auto"/>
                        <w:bottom w:val="none" w:sz="0" w:space="0" w:color="auto"/>
                        <w:right w:val="none" w:sz="0" w:space="0" w:color="auto"/>
                      </w:divBdr>
                      <w:divsChild>
                        <w:div w:id="2075855952">
                          <w:marLeft w:val="0"/>
                          <w:marRight w:val="0"/>
                          <w:marTop w:val="0"/>
                          <w:marBottom w:val="0"/>
                          <w:divBdr>
                            <w:top w:val="none" w:sz="0" w:space="0" w:color="auto"/>
                            <w:left w:val="none" w:sz="0" w:space="0" w:color="auto"/>
                            <w:bottom w:val="none" w:sz="0" w:space="0" w:color="auto"/>
                            <w:right w:val="none" w:sz="0" w:space="0" w:color="auto"/>
                          </w:divBdr>
                          <w:divsChild>
                            <w:div w:id="1069186207">
                              <w:marLeft w:val="0"/>
                              <w:marRight w:val="0"/>
                              <w:marTop w:val="0"/>
                              <w:marBottom w:val="0"/>
                              <w:divBdr>
                                <w:top w:val="none" w:sz="0" w:space="0" w:color="auto"/>
                                <w:left w:val="none" w:sz="0" w:space="0" w:color="auto"/>
                                <w:bottom w:val="none" w:sz="0" w:space="0" w:color="auto"/>
                                <w:right w:val="none" w:sz="0" w:space="0" w:color="auto"/>
                              </w:divBdr>
                              <w:divsChild>
                                <w:div w:id="948128431">
                                  <w:marLeft w:val="0"/>
                                  <w:marRight w:val="0"/>
                                  <w:marTop w:val="0"/>
                                  <w:marBottom w:val="0"/>
                                  <w:divBdr>
                                    <w:top w:val="none" w:sz="0" w:space="0" w:color="auto"/>
                                    <w:left w:val="none" w:sz="0" w:space="0" w:color="auto"/>
                                    <w:bottom w:val="none" w:sz="0" w:space="0" w:color="auto"/>
                                    <w:right w:val="none" w:sz="0" w:space="0" w:color="auto"/>
                                  </w:divBdr>
                                  <w:divsChild>
                                    <w:div w:id="20147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5696283">
      <w:bodyDiv w:val="1"/>
      <w:marLeft w:val="0"/>
      <w:marRight w:val="0"/>
      <w:marTop w:val="0"/>
      <w:marBottom w:val="0"/>
      <w:divBdr>
        <w:top w:val="none" w:sz="0" w:space="0" w:color="auto"/>
        <w:left w:val="none" w:sz="0" w:space="0" w:color="auto"/>
        <w:bottom w:val="none" w:sz="0" w:space="0" w:color="auto"/>
        <w:right w:val="none" w:sz="0" w:space="0" w:color="auto"/>
      </w:divBdr>
    </w:div>
    <w:div w:id="766728725">
      <w:bodyDiv w:val="1"/>
      <w:marLeft w:val="0"/>
      <w:marRight w:val="0"/>
      <w:marTop w:val="0"/>
      <w:marBottom w:val="0"/>
      <w:divBdr>
        <w:top w:val="none" w:sz="0" w:space="0" w:color="auto"/>
        <w:left w:val="none" w:sz="0" w:space="0" w:color="auto"/>
        <w:bottom w:val="none" w:sz="0" w:space="0" w:color="auto"/>
        <w:right w:val="none" w:sz="0" w:space="0" w:color="auto"/>
      </w:divBdr>
    </w:div>
    <w:div w:id="777872440">
      <w:bodyDiv w:val="1"/>
      <w:marLeft w:val="0"/>
      <w:marRight w:val="0"/>
      <w:marTop w:val="0"/>
      <w:marBottom w:val="0"/>
      <w:divBdr>
        <w:top w:val="none" w:sz="0" w:space="0" w:color="auto"/>
        <w:left w:val="none" w:sz="0" w:space="0" w:color="auto"/>
        <w:bottom w:val="none" w:sz="0" w:space="0" w:color="auto"/>
        <w:right w:val="none" w:sz="0" w:space="0" w:color="auto"/>
      </w:divBdr>
    </w:div>
    <w:div w:id="818618470">
      <w:bodyDiv w:val="1"/>
      <w:marLeft w:val="0"/>
      <w:marRight w:val="0"/>
      <w:marTop w:val="0"/>
      <w:marBottom w:val="0"/>
      <w:divBdr>
        <w:top w:val="none" w:sz="0" w:space="0" w:color="auto"/>
        <w:left w:val="none" w:sz="0" w:space="0" w:color="auto"/>
        <w:bottom w:val="none" w:sz="0" w:space="0" w:color="auto"/>
        <w:right w:val="none" w:sz="0" w:space="0" w:color="auto"/>
      </w:divBdr>
    </w:div>
    <w:div w:id="894898723">
      <w:bodyDiv w:val="1"/>
      <w:marLeft w:val="0"/>
      <w:marRight w:val="0"/>
      <w:marTop w:val="0"/>
      <w:marBottom w:val="0"/>
      <w:divBdr>
        <w:top w:val="none" w:sz="0" w:space="0" w:color="auto"/>
        <w:left w:val="none" w:sz="0" w:space="0" w:color="auto"/>
        <w:bottom w:val="none" w:sz="0" w:space="0" w:color="auto"/>
        <w:right w:val="none" w:sz="0" w:space="0" w:color="auto"/>
      </w:divBdr>
    </w:div>
    <w:div w:id="908416822">
      <w:bodyDiv w:val="1"/>
      <w:marLeft w:val="0"/>
      <w:marRight w:val="0"/>
      <w:marTop w:val="0"/>
      <w:marBottom w:val="0"/>
      <w:divBdr>
        <w:top w:val="none" w:sz="0" w:space="0" w:color="auto"/>
        <w:left w:val="none" w:sz="0" w:space="0" w:color="auto"/>
        <w:bottom w:val="none" w:sz="0" w:space="0" w:color="auto"/>
        <w:right w:val="none" w:sz="0" w:space="0" w:color="auto"/>
      </w:divBdr>
    </w:div>
    <w:div w:id="946353888">
      <w:bodyDiv w:val="1"/>
      <w:marLeft w:val="0"/>
      <w:marRight w:val="0"/>
      <w:marTop w:val="0"/>
      <w:marBottom w:val="0"/>
      <w:divBdr>
        <w:top w:val="none" w:sz="0" w:space="0" w:color="auto"/>
        <w:left w:val="none" w:sz="0" w:space="0" w:color="auto"/>
        <w:bottom w:val="none" w:sz="0" w:space="0" w:color="auto"/>
        <w:right w:val="none" w:sz="0" w:space="0" w:color="auto"/>
      </w:divBdr>
      <w:divsChild>
        <w:div w:id="283390290">
          <w:marLeft w:val="0"/>
          <w:marRight w:val="0"/>
          <w:marTop w:val="0"/>
          <w:marBottom w:val="0"/>
          <w:divBdr>
            <w:top w:val="none" w:sz="0" w:space="0" w:color="auto"/>
            <w:left w:val="none" w:sz="0" w:space="0" w:color="auto"/>
            <w:bottom w:val="none" w:sz="0" w:space="0" w:color="auto"/>
            <w:right w:val="none" w:sz="0" w:space="0" w:color="auto"/>
          </w:divBdr>
          <w:divsChild>
            <w:div w:id="46092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296525">
      <w:bodyDiv w:val="1"/>
      <w:marLeft w:val="0"/>
      <w:marRight w:val="0"/>
      <w:marTop w:val="0"/>
      <w:marBottom w:val="0"/>
      <w:divBdr>
        <w:top w:val="none" w:sz="0" w:space="0" w:color="auto"/>
        <w:left w:val="none" w:sz="0" w:space="0" w:color="auto"/>
        <w:bottom w:val="none" w:sz="0" w:space="0" w:color="auto"/>
        <w:right w:val="none" w:sz="0" w:space="0" w:color="auto"/>
      </w:divBdr>
    </w:div>
    <w:div w:id="1248617312">
      <w:bodyDiv w:val="1"/>
      <w:marLeft w:val="0"/>
      <w:marRight w:val="0"/>
      <w:marTop w:val="0"/>
      <w:marBottom w:val="0"/>
      <w:divBdr>
        <w:top w:val="none" w:sz="0" w:space="0" w:color="auto"/>
        <w:left w:val="none" w:sz="0" w:space="0" w:color="auto"/>
        <w:bottom w:val="none" w:sz="0" w:space="0" w:color="auto"/>
        <w:right w:val="none" w:sz="0" w:space="0" w:color="auto"/>
      </w:divBdr>
      <w:divsChild>
        <w:div w:id="2077581771">
          <w:marLeft w:val="0"/>
          <w:marRight w:val="0"/>
          <w:marTop w:val="0"/>
          <w:marBottom w:val="0"/>
          <w:divBdr>
            <w:top w:val="none" w:sz="0" w:space="0" w:color="auto"/>
            <w:left w:val="none" w:sz="0" w:space="0" w:color="auto"/>
            <w:bottom w:val="none" w:sz="0" w:space="0" w:color="auto"/>
            <w:right w:val="none" w:sz="0" w:space="0" w:color="auto"/>
          </w:divBdr>
          <w:divsChild>
            <w:div w:id="846216026">
              <w:marLeft w:val="0"/>
              <w:marRight w:val="0"/>
              <w:marTop w:val="0"/>
              <w:marBottom w:val="0"/>
              <w:divBdr>
                <w:top w:val="none" w:sz="0" w:space="0" w:color="auto"/>
                <w:left w:val="none" w:sz="0" w:space="0" w:color="auto"/>
                <w:bottom w:val="none" w:sz="0" w:space="0" w:color="auto"/>
                <w:right w:val="none" w:sz="0" w:space="0" w:color="auto"/>
              </w:divBdr>
              <w:divsChild>
                <w:div w:id="1652174576">
                  <w:marLeft w:val="0"/>
                  <w:marRight w:val="0"/>
                  <w:marTop w:val="0"/>
                  <w:marBottom w:val="0"/>
                  <w:divBdr>
                    <w:top w:val="none" w:sz="0" w:space="0" w:color="auto"/>
                    <w:left w:val="none" w:sz="0" w:space="0" w:color="auto"/>
                    <w:bottom w:val="none" w:sz="0" w:space="0" w:color="auto"/>
                    <w:right w:val="none" w:sz="0" w:space="0" w:color="auto"/>
                  </w:divBdr>
                  <w:divsChild>
                    <w:div w:id="1888251400">
                      <w:marLeft w:val="0"/>
                      <w:marRight w:val="0"/>
                      <w:marTop w:val="0"/>
                      <w:marBottom w:val="0"/>
                      <w:divBdr>
                        <w:top w:val="none" w:sz="0" w:space="0" w:color="auto"/>
                        <w:left w:val="none" w:sz="0" w:space="0" w:color="auto"/>
                        <w:bottom w:val="none" w:sz="0" w:space="0" w:color="auto"/>
                        <w:right w:val="none" w:sz="0" w:space="0" w:color="auto"/>
                      </w:divBdr>
                      <w:divsChild>
                        <w:div w:id="1055354337">
                          <w:marLeft w:val="0"/>
                          <w:marRight w:val="0"/>
                          <w:marTop w:val="0"/>
                          <w:marBottom w:val="0"/>
                          <w:divBdr>
                            <w:top w:val="none" w:sz="0" w:space="0" w:color="auto"/>
                            <w:left w:val="none" w:sz="0" w:space="0" w:color="auto"/>
                            <w:bottom w:val="none" w:sz="0" w:space="0" w:color="auto"/>
                            <w:right w:val="none" w:sz="0" w:space="0" w:color="auto"/>
                          </w:divBdr>
                          <w:divsChild>
                            <w:div w:id="1863129768">
                              <w:marLeft w:val="0"/>
                              <w:marRight w:val="0"/>
                              <w:marTop w:val="0"/>
                              <w:marBottom w:val="0"/>
                              <w:divBdr>
                                <w:top w:val="none" w:sz="0" w:space="0" w:color="auto"/>
                                <w:left w:val="none" w:sz="0" w:space="0" w:color="auto"/>
                                <w:bottom w:val="none" w:sz="0" w:space="0" w:color="auto"/>
                                <w:right w:val="none" w:sz="0" w:space="0" w:color="auto"/>
                              </w:divBdr>
                              <w:divsChild>
                                <w:div w:id="1866861872">
                                  <w:marLeft w:val="0"/>
                                  <w:marRight w:val="0"/>
                                  <w:marTop w:val="0"/>
                                  <w:marBottom w:val="0"/>
                                  <w:divBdr>
                                    <w:top w:val="none" w:sz="0" w:space="0" w:color="auto"/>
                                    <w:left w:val="none" w:sz="0" w:space="0" w:color="auto"/>
                                    <w:bottom w:val="none" w:sz="0" w:space="0" w:color="auto"/>
                                    <w:right w:val="none" w:sz="0" w:space="0" w:color="auto"/>
                                  </w:divBdr>
                                  <w:divsChild>
                                    <w:div w:id="138159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0137788">
      <w:bodyDiv w:val="1"/>
      <w:marLeft w:val="0"/>
      <w:marRight w:val="0"/>
      <w:marTop w:val="0"/>
      <w:marBottom w:val="0"/>
      <w:divBdr>
        <w:top w:val="none" w:sz="0" w:space="0" w:color="auto"/>
        <w:left w:val="none" w:sz="0" w:space="0" w:color="auto"/>
        <w:bottom w:val="none" w:sz="0" w:space="0" w:color="auto"/>
        <w:right w:val="none" w:sz="0" w:space="0" w:color="auto"/>
      </w:divBdr>
      <w:divsChild>
        <w:div w:id="379523215">
          <w:marLeft w:val="0"/>
          <w:marRight w:val="0"/>
          <w:marTop w:val="0"/>
          <w:marBottom w:val="0"/>
          <w:divBdr>
            <w:top w:val="none" w:sz="0" w:space="0" w:color="auto"/>
            <w:left w:val="none" w:sz="0" w:space="0" w:color="auto"/>
            <w:bottom w:val="none" w:sz="0" w:space="0" w:color="auto"/>
            <w:right w:val="none" w:sz="0" w:space="0" w:color="auto"/>
          </w:divBdr>
          <w:divsChild>
            <w:div w:id="77219111">
              <w:marLeft w:val="0"/>
              <w:marRight w:val="0"/>
              <w:marTop w:val="0"/>
              <w:marBottom w:val="0"/>
              <w:divBdr>
                <w:top w:val="none" w:sz="0" w:space="0" w:color="auto"/>
                <w:left w:val="none" w:sz="0" w:space="0" w:color="auto"/>
                <w:bottom w:val="none" w:sz="0" w:space="0" w:color="auto"/>
                <w:right w:val="none" w:sz="0" w:space="0" w:color="auto"/>
              </w:divBdr>
              <w:divsChild>
                <w:div w:id="395393168">
                  <w:marLeft w:val="0"/>
                  <w:marRight w:val="0"/>
                  <w:marTop w:val="0"/>
                  <w:marBottom w:val="0"/>
                  <w:divBdr>
                    <w:top w:val="none" w:sz="0" w:space="0" w:color="auto"/>
                    <w:left w:val="none" w:sz="0" w:space="0" w:color="auto"/>
                    <w:bottom w:val="none" w:sz="0" w:space="0" w:color="auto"/>
                    <w:right w:val="none" w:sz="0" w:space="0" w:color="auto"/>
                  </w:divBdr>
                  <w:divsChild>
                    <w:div w:id="1218856979">
                      <w:marLeft w:val="0"/>
                      <w:marRight w:val="0"/>
                      <w:marTop w:val="0"/>
                      <w:marBottom w:val="0"/>
                      <w:divBdr>
                        <w:top w:val="none" w:sz="0" w:space="0" w:color="auto"/>
                        <w:left w:val="none" w:sz="0" w:space="0" w:color="auto"/>
                        <w:bottom w:val="none" w:sz="0" w:space="0" w:color="auto"/>
                        <w:right w:val="none" w:sz="0" w:space="0" w:color="auto"/>
                      </w:divBdr>
                      <w:divsChild>
                        <w:div w:id="1714648237">
                          <w:marLeft w:val="0"/>
                          <w:marRight w:val="0"/>
                          <w:marTop w:val="0"/>
                          <w:marBottom w:val="0"/>
                          <w:divBdr>
                            <w:top w:val="none" w:sz="0" w:space="0" w:color="auto"/>
                            <w:left w:val="none" w:sz="0" w:space="0" w:color="auto"/>
                            <w:bottom w:val="none" w:sz="0" w:space="0" w:color="auto"/>
                            <w:right w:val="none" w:sz="0" w:space="0" w:color="auto"/>
                          </w:divBdr>
                          <w:divsChild>
                            <w:div w:id="1521163108">
                              <w:marLeft w:val="0"/>
                              <w:marRight w:val="0"/>
                              <w:marTop w:val="0"/>
                              <w:marBottom w:val="0"/>
                              <w:divBdr>
                                <w:top w:val="none" w:sz="0" w:space="0" w:color="auto"/>
                                <w:left w:val="none" w:sz="0" w:space="0" w:color="auto"/>
                                <w:bottom w:val="none" w:sz="0" w:space="0" w:color="auto"/>
                                <w:right w:val="none" w:sz="0" w:space="0" w:color="auto"/>
                              </w:divBdr>
                              <w:divsChild>
                                <w:div w:id="1225484121">
                                  <w:marLeft w:val="0"/>
                                  <w:marRight w:val="0"/>
                                  <w:marTop w:val="0"/>
                                  <w:marBottom w:val="0"/>
                                  <w:divBdr>
                                    <w:top w:val="none" w:sz="0" w:space="0" w:color="auto"/>
                                    <w:left w:val="none" w:sz="0" w:space="0" w:color="auto"/>
                                    <w:bottom w:val="none" w:sz="0" w:space="0" w:color="auto"/>
                                    <w:right w:val="none" w:sz="0" w:space="0" w:color="auto"/>
                                  </w:divBdr>
                                  <w:divsChild>
                                    <w:div w:id="108226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8959762">
      <w:bodyDiv w:val="1"/>
      <w:marLeft w:val="0"/>
      <w:marRight w:val="0"/>
      <w:marTop w:val="0"/>
      <w:marBottom w:val="0"/>
      <w:divBdr>
        <w:top w:val="none" w:sz="0" w:space="0" w:color="auto"/>
        <w:left w:val="none" w:sz="0" w:space="0" w:color="auto"/>
        <w:bottom w:val="none" w:sz="0" w:space="0" w:color="auto"/>
        <w:right w:val="none" w:sz="0" w:space="0" w:color="auto"/>
      </w:divBdr>
    </w:div>
    <w:div w:id="1626504573">
      <w:bodyDiv w:val="1"/>
      <w:marLeft w:val="0"/>
      <w:marRight w:val="0"/>
      <w:marTop w:val="0"/>
      <w:marBottom w:val="0"/>
      <w:divBdr>
        <w:top w:val="none" w:sz="0" w:space="0" w:color="auto"/>
        <w:left w:val="none" w:sz="0" w:space="0" w:color="auto"/>
        <w:bottom w:val="none" w:sz="0" w:space="0" w:color="auto"/>
        <w:right w:val="none" w:sz="0" w:space="0" w:color="auto"/>
      </w:divBdr>
    </w:div>
    <w:div w:id="1637762363">
      <w:bodyDiv w:val="1"/>
      <w:marLeft w:val="0"/>
      <w:marRight w:val="0"/>
      <w:marTop w:val="0"/>
      <w:marBottom w:val="0"/>
      <w:divBdr>
        <w:top w:val="none" w:sz="0" w:space="0" w:color="auto"/>
        <w:left w:val="none" w:sz="0" w:space="0" w:color="auto"/>
        <w:bottom w:val="none" w:sz="0" w:space="0" w:color="auto"/>
        <w:right w:val="none" w:sz="0" w:space="0" w:color="auto"/>
      </w:divBdr>
      <w:divsChild>
        <w:div w:id="408115142">
          <w:marLeft w:val="0"/>
          <w:marRight w:val="0"/>
          <w:marTop w:val="0"/>
          <w:marBottom w:val="0"/>
          <w:divBdr>
            <w:top w:val="none" w:sz="0" w:space="0" w:color="auto"/>
            <w:left w:val="none" w:sz="0" w:space="0" w:color="auto"/>
            <w:bottom w:val="none" w:sz="0" w:space="0" w:color="auto"/>
            <w:right w:val="none" w:sz="0" w:space="0" w:color="auto"/>
          </w:divBdr>
          <w:divsChild>
            <w:div w:id="94426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277317">
      <w:bodyDiv w:val="1"/>
      <w:marLeft w:val="0"/>
      <w:marRight w:val="0"/>
      <w:marTop w:val="0"/>
      <w:marBottom w:val="0"/>
      <w:divBdr>
        <w:top w:val="none" w:sz="0" w:space="0" w:color="auto"/>
        <w:left w:val="none" w:sz="0" w:space="0" w:color="auto"/>
        <w:bottom w:val="none" w:sz="0" w:space="0" w:color="auto"/>
        <w:right w:val="none" w:sz="0" w:space="0" w:color="auto"/>
      </w:divBdr>
    </w:div>
    <w:div w:id="1673491614">
      <w:bodyDiv w:val="1"/>
      <w:marLeft w:val="0"/>
      <w:marRight w:val="0"/>
      <w:marTop w:val="0"/>
      <w:marBottom w:val="0"/>
      <w:divBdr>
        <w:top w:val="none" w:sz="0" w:space="0" w:color="auto"/>
        <w:left w:val="none" w:sz="0" w:space="0" w:color="auto"/>
        <w:bottom w:val="none" w:sz="0" w:space="0" w:color="auto"/>
        <w:right w:val="none" w:sz="0" w:space="0" w:color="auto"/>
      </w:divBdr>
    </w:div>
    <w:div w:id="1709066787">
      <w:bodyDiv w:val="1"/>
      <w:marLeft w:val="0"/>
      <w:marRight w:val="0"/>
      <w:marTop w:val="0"/>
      <w:marBottom w:val="0"/>
      <w:divBdr>
        <w:top w:val="none" w:sz="0" w:space="0" w:color="auto"/>
        <w:left w:val="none" w:sz="0" w:space="0" w:color="auto"/>
        <w:bottom w:val="none" w:sz="0" w:space="0" w:color="auto"/>
        <w:right w:val="none" w:sz="0" w:space="0" w:color="auto"/>
      </w:divBdr>
    </w:div>
    <w:div w:id="1712143997">
      <w:bodyDiv w:val="1"/>
      <w:marLeft w:val="0"/>
      <w:marRight w:val="0"/>
      <w:marTop w:val="0"/>
      <w:marBottom w:val="0"/>
      <w:divBdr>
        <w:top w:val="none" w:sz="0" w:space="0" w:color="auto"/>
        <w:left w:val="none" w:sz="0" w:space="0" w:color="auto"/>
        <w:bottom w:val="none" w:sz="0" w:space="0" w:color="auto"/>
        <w:right w:val="none" w:sz="0" w:space="0" w:color="auto"/>
      </w:divBdr>
    </w:div>
    <w:div w:id="1743794782">
      <w:bodyDiv w:val="1"/>
      <w:marLeft w:val="0"/>
      <w:marRight w:val="0"/>
      <w:marTop w:val="0"/>
      <w:marBottom w:val="0"/>
      <w:divBdr>
        <w:top w:val="none" w:sz="0" w:space="0" w:color="auto"/>
        <w:left w:val="none" w:sz="0" w:space="0" w:color="auto"/>
        <w:bottom w:val="none" w:sz="0" w:space="0" w:color="auto"/>
        <w:right w:val="none" w:sz="0" w:space="0" w:color="auto"/>
      </w:divBdr>
    </w:div>
    <w:div w:id="1755778012">
      <w:bodyDiv w:val="1"/>
      <w:marLeft w:val="0"/>
      <w:marRight w:val="0"/>
      <w:marTop w:val="0"/>
      <w:marBottom w:val="0"/>
      <w:divBdr>
        <w:top w:val="none" w:sz="0" w:space="0" w:color="auto"/>
        <w:left w:val="none" w:sz="0" w:space="0" w:color="auto"/>
        <w:bottom w:val="none" w:sz="0" w:space="0" w:color="auto"/>
        <w:right w:val="none" w:sz="0" w:space="0" w:color="auto"/>
      </w:divBdr>
    </w:div>
    <w:div w:id="1765497188">
      <w:bodyDiv w:val="1"/>
      <w:marLeft w:val="0"/>
      <w:marRight w:val="0"/>
      <w:marTop w:val="0"/>
      <w:marBottom w:val="0"/>
      <w:divBdr>
        <w:top w:val="none" w:sz="0" w:space="0" w:color="auto"/>
        <w:left w:val="none" w:sz="0" w:space="0" w:color="auto"/>
        <w:bottom w:val="none" w:sz="0" w:space="0" w:color="auto"/>
        <w:right w:val="none" w:sz="0" w:space="0" w:color="auto"/>
      </w:divBdr>
      <w:divsChild>
        <w:div w:id="1733427753">
          <w:marLeft w:val="0"/>
          <w:marRight w:val="0"/>
          <w:marTop w:val="0"/>
          <w:marBottom w:val="0"/>
          <w:divBdr>
            <w:top w:val="none" w:sz="0" w:space="0" w:color="auto"/>
            <w:left w:val="none" w:sz="0" w:space="0" w:color="auto"/>
            <w:bottom w:val="none" w:sz="0" w:space="0" w:color="auto"/>
            <w:right w:val="none" w:sz="0" w:space="0" w:color="auto"/>
          </w:divBdr>
          <w:divsChild>
            <w:div w:id="160975106">
              <w:marLeft w:val="0"/>
              <w:marRight w:val="0"/>
              <w:marTop w:val="0"/>
              <w:marBottom w:val="0"/>
              <w:divBdr>
                <w:top w:val="none" w:sz="0" w:space="0" w:color="auto"/>
                <w:left w:val="none" w:sz="0" w:space="0" w:color="auto"/>
                <w:bottom w:val="none" w:sz="0" w:space="0" w:color="auto"/>
                <w:right w:val="none" w:sz="0" w:space="0" w:color="auto"/>
              </w:divBdr>
              <w:divsChild>
                <w:div w:id="353195324">
                  <w:marLeft w:val="0"/>
                  <w:marRight w:val="0"/>
                  <w:marTop w:val="0"/>
                  <w:marBottom w:val="0"/>
                  <w:divBdr>
                    <w:top w:val="none" w:sz="0" w:space="0" w:color="auto"/>
                    <w:left w:val="none" w:sz="0" w:space="0" w:color="auto"/>
                    <w:bottom w:val="none" w:sz="0" w:space="0" w:color="auto"/>
                    <w:right w:val="none" w:sz="0" w:space="0" w:color="auto"/>
                  </w:divBdr>
                  <w:divsChild>
                    <w:div w:id="1995910898">
                      <w:marLeft w:val="0"/>
                      <w:marRight w:val="0"/>
                      <w:marTop w:val="0"/>
                      <w:marBottom w:val="0"/>
                      <w:divBdr>
                        <w:top w:val="none" w:sz="0" w:space="0" w:color="auto"/>
                        <w:left w:val="none" w:sz="0" w:space="0" w:color="auto"/>
                        <w:bottom w:val="none" w:sz="0" w:space="0" w:color="auto"/>
                        <w:right w:val="none" w:sz="0" w:space="0" w:color="auto"/>
                      </w:divBdr>
                      <w:divsChild>
                        <w:div w:id="919679486">
                          <w:marLeft w:val="0"/>
                          <w:marRight w:val="0"/>
                          <w:marTop w:val="0"/>
                          <w:marBottom w:val="0"/>
                          <w:divBdr>
                            <w:top w:val="none" w:sz="0" w:space="0" w:color="auto"/>
                            <w:left w:val="none" w:sz="0" w:space="0" w:color="auto"/>
                            <w:bottom w:val="none" w:sz="0" w:space="0" w:color="auto"/>
                            <w:right w:val="none" w:sz="0" w:space="0" w:color="auto"/>
                          </w:divBdr>
                          <w:divsChild>
                            <w:div w:id="1026952331">
                              <w:marLeft w:val="0"/>
                              <w:marRight w:val="0"/>
                              <w:marTop w:val="0"/>
                              <w:marBottom w:val="0"/>
                              <w:divBdr>
                                <w:top w:val="none" w:sz="0" w:space="0" w:color="auto"/>
                                <w:left w:val="none" w:sz="0" w:space="0" w:color="auto"/>
                                <w:bottom w:val="none" w:sz="0" w:space="0" w:color="auto"/>
                                <w:right w:val="none" w:sz="0" w:space="0" w:color="auto"/>
                              </w:divBdr>
                              <w:divsChild>
                                <w:div w:id="453522914">
                                  <w:marLeft w:val="0"/>
                                  <w:marRight w:val="0"/>
                                  <w:marTop w:val="0"/>
                                  <w:marBottom w:val="0"/>
                                  <w:divBdr>
                                    <w:top w:val="none" w:sz="0" w:space="0" w:color="auto"/>
                                    <w:left w:val="none" w:sz="0" w:space="0" w:color="auto"/>
                                    <w:bottom w:val="none" w:sz="0" w:space="0" w:color="auto"/>
                                    <w:right w:val="none" w:sz="0" w:space="0" w:color="auto"/>
                                  </w:divBdr>
                                  <w:divsChild>
                                    <w:div w:id="97251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6994568">
      <w:bodyDiv w:val="1"/>
      <w:marLeft w:val="0"/>
      <w:marRight w:val="0"/>
      <w:marTop w:val="0"/>
      <w:marBottom w:val="0"/>
      <w:divBdr>
        <w:top w:val="none" w:sz="0" w:space="0" w:color="auto"/>
        <w:left w:val="none" w:sz="0" w:space="0" w:color="auto"/>
        <w:bottom w:val="none" w:sz="0" w:space="0" w:color="auto"/>
        <w:right w:val="none" w:sz="0" w:space="0" w:color="auto"/>
      </w:divBdr>
    </w:div>
    <w:div w:id="1887375053">
      <w:bodyDiv w:val="1"/>
      <w:marLeft w:val="0"/>
      <w:marRight w:val="0"/>
      <w:marTop w:val="0"/>
      <w:marBottom w:val="0"/>
      <w:divBdr>
        <w:top w:val="none" w:sz="0" w:space="0" w:color="auto"/>
        <w:left w:val="none" w:sz="0" w:space="0" w:color="auto"/>
        <w:bottom w:val="none" w:sz="0" w:space="0" w:color="auto"/>
        <w:right w:val="none" w:sz="0" w:space="0" w:color="auto"/>
      </w:divBdr>
    </w:div>
    <w:div w:id="1896816426">
      <w:bodyDiv w:val="1"/>
      <w:marLeft w:val="0"/>
      <w:marRight w:val="0"/>
      <w:marTop w:val="0"/>
      <w:marBottom w:val="0"/>
      <w:divBdr>
        <w:top w:val="none" w:sz="0" w:space="0" w:color="auto"/>
        <w:left w:val="none" w:sz="0" w:space="0" w:color="auto"/>
        <w:bottom w:val="none" w:sz="0" w:space="0" w:color="auto"/>
        <w:right w:val="none" w:sz="0" w:space="0" w:color="auto"/>
      </w:divBdr>
    </w:div>
    <w:div w:id="1902472898">
      <w:bodyDiv w:val="1"/>
      <w:marLeft w:val="0"/>
      <w:marRight w:val="0"/>
      <w:marTop w:val="0"/>
      <w:marBottom w:val="0"/>
      <w:divBdr>
        <w:top w:val="none" w:sz="0" w:space="0" w:color="auto"/>
        <w:left w:val="none" w:sz="0" w:space="0" w:color="auto"/>
        <w:bottom w:val="none" w:sz="0" w:space="0" w:color="auto"/>
        <w:right w:val="none" w:sz="0" w:space="0" w:color="auto"/>
      </w:divBdr>
    </w:div>
    <w:div w:id="2005935613">
      <w:bodyDiv w:val="1"/>
      <w:marLeft w:val="0"/>
      <w:marRight w:val="0"/>
      <w:marTop w:val="0"/>
      <w:marBottom w:val="0"/>
      <w:divBdr>
        <w:top w:val="none" w:sz="0" w:space="0" w:color="auto"/>
        <w:left w:val="none" w:sz="0" w:space="0" w:color="auto"/>
        <w:bottom w:val="none" w:sz="0" w:space="0" w:color="auto"/>
        <w:right w:val="none" w:sz="0" w:space="0" w:color="auto"/>
      </w:divBdr>
    </w:div>
    <w:div w:id="2019960952">
      <w:bodyDiv w:val="1"/>
      <w:marLeft w:val="0"/>
      <w:marRight w:val="0"/>
      <w:marTop w:val="0"/>
      <w:marBottom w:val="0"/>
      <w:divBdr>
        <w:top w:val="none" w:sz="0" w:space="0" w:color="auto"/>
        <w:left w:val="none" w:sz="0" w:space="0" w:color="auto"/>
        <w:bottom w:val="none" w:sz="0" w:space="0" w:color="auto"/>
        <w:right w:val="none" w:sz="0" w:space="0" w:color="auto"/>
      </w:divBdr>
      <w:divsChild>
        <w:div w:id="285044860">
          <w:marLeft w:val="0"/>
          <w:marRight w:val="0"/>
          <w:marTop w:val="0"/>
          <w:marBottom w:val="0"/>
          <w:divBdr>
            <w:top w:val="none" w:sz="0" w:space="0" w:color="auto"/>
            <w:left w:val="none" w:sz="0" w:space="0" w:color="auto"/>
            <w:bottom w:val="none" w:sz="0" w:space="0" w:color="auto"/>
            <w:right w:val="none" w:sz="0" w:space="0" w:color="auto"/>
          </w:divBdr>
          <w:divsChild>
            <w:div w:id="38391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112417">
      <w:bodyDiv w:val="1"/>
      <w:marLeft w:val="0"/>
      <w:marRight w:val="0"/>
      <w:marTop w:val="0"/>
      <w:marBottom w:val="0"/>
      <w:divBdr>
        <w:top w:val="none" w:sz="0" w:space="0" w:color="auto"/>
        <w:left w:val="none" w:sz="0" w:space="0" w:color="auto"/>
        <w:bottom w:val="none" w:sz="0" w:space="0" w:color="auto"/>
        <w:right w:val="none" w:sz="0" w:space="0" w:color="auto"/>
      </w:divBdr>
      <w:divsChild>
        <w:div w:id="412630958">
          <w:marLeft w:val="0"/>
          <w:marRight w:val="0"/>
          <w:marTop w:val="0"/>
          <w:marBottom w:val="0"/>
          <w:divBdr>
            <w:top w:val="none" w:sz="0" w:space="0" w:color="auto"/>
            <w:left w:val="none" w:sz="0" w:space="0" w:color="auto"/>
            <w:bottom w:val="none" w:sz="0" w:space="0" w:color="auto"/>
            <w:right w:val="none" w:sz="0" w:space="0" w:color="auto"/>
          </w:divBdr>
          <w:divsChild>
            <w:div w:id="8551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y.com/en_gl/consumer-products-retail" TargetMode="External"/><Relationship Id="rId21" Type="http://schemas.openxmlformats.org/officeDocument/2006/relationships/chart" Target="charts/chart7.xml"/><Relationship Id="rId42" Type="http://schemas.openxmlformats.org/officeDocument/2006/relationships/hyperlink" Target="https://investors.hyatt.com" TargetMode="External"/><Relationship Id="rId47" Type="http://schemas.openxmlformats.org/officeDocument/2006/relationships/hyperlink" Target="https://www.ihgplc.com/en/investors" TargetMode="External"/><Relationship Id="rId63" Type="http://schemas.openxmlformats.org/officeDocument/2006/relationships/hyperlink" Target="https://www.unwto.org/tourism-data" TargetMode="External"/><Relationship Id="rId68" Type="http://schemas.openxmlformats.org/officeDocument/2006/relationships/chart" Target="charts/chart12.xm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www.hilton.com/en/corporate/investors/" TargetMode="External"/><Relationship Id="rId11" Type="http://schemas.openxmlformats.org/officeDocument/2006/relationships/chart" Target="charts/chart2.xml"/><Relationship Id="rId24" Type="http://schemas.openxmlformats.org/officeDocument/2006/relationships/hyperlink" Target="https://corporatefinanceinstitute.com" TargetMode="External"/><Relationship Id="rId32" Type="http://schemas.openxmlformats.org/officeDocument/2006/relationships/hyperlink" Target="https://www.hilton.com/en/corporate/investors/" TargetMode="External"/><Relationship Id="rId37" Type="http://schemas.openxmlformats.org/officeDocument/2006/relationships/hyperlink" Target="https://www.hilton.com/en/corporate/responsibility/" TargetMode="External"/><Relationship Id="rId40" Type="http://schemas.openxmlformats.org/officeDocument/2006/relationships/hyperlink" Target="https://www.hilton.com/en/corporate/investors/" TargetMode="External"/><Relationship Id="rId45" Type="http://schemas.openxmlformats.org/officeDocument/2006/relationships/hyperlink" Target="https://www.ihgplc.com/en/responsible-business" TargetMode="External"/><Relationship Id="rId53" Type="http://schemas.openxmlformats.org/officeDocument/2006/relationships/hyperlink" Target="https://www.mckinsey.com/industries/travel-logistics-and-infrastructure" TargetMode="External"/><Relationship Id="rId58" Type="http://schemas.openxmlformats.org/officeDocument/2006/relationships/hyperlink" Target="https://www.pwc.com/gx/en/industries/consumer-markets/hospitality-leisure.html" TargetMode="External"/><Relationship Id="rId66" Type="http://schemas.openxmlformats.org/officeDocument/2006/relationships/chart" Target="charts/chart10.xm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sec.gov/edgar" TargetMode="External"/><Relationship Id="rId19" Type="http://schemas.openxmlformats.org/officeDocument/2006/relationships/chart" Target="charts/chart6.xml"/><Relationship Id="rId14" Type="http://schemas.openxmlformats.org/officeDocument/2006/relationships/image" Target="media/image5.png"/><Relationship Id="rId22" Type="http://schemas.openxmlformats.org/officeDocument/2006/relationships/chart" Target="charts/chart8.xml"/><Relationship Id="rId27" Type="http://schemas.openxmlformats.org/officeDocument/2006/relationships/hyperlink" Target="https://fred.stlouisfed.org" TargetMode="External"/><Relationship Id="rId30" Type="http://schemas.openxmlformats.org/officeDocument/2006/relationships/hyperlink" Target="https://www.hilton.com/en/corporate/investors/" TargetMode="External"/><Relationship Id="rId35" Type="http://schemas.openxmlformats.org/officeDocument/2006/relationships/hyperlink" Target="https://www.hilton.com/en/corporate/investors/" TargetMode="External"/><Relationship Id="rId43" Type="http://schemas.openxmlformats.org/officeDocument/2006/relationships/hyperlink" Target="https://investors.hyatt.com" TargetMode="External"/><Relationship Id="rId48" Type="http://schemas.openxmlformats.org/officeDocument/2006/relationships/hyperlink" Target="https://www.imf.org/en/Publications/WEO" TargetMode="External"/><Relationship Id="rId56" Type="http://schemas.openxmlformats.org/officeDocument/2006/relationships/hyperlink" Target="https://www.nasdaq.com" TargetMode="External"/><Relationship Id="rId64" Type="http://schemas.openxmlformats.org/officeDocument/2006/relationships/hyperlink" Target="https://www.worldbank.org/en/publication/global-economic-prospects" TargetMode="External"/><Relationship Id="rId69" Type="http://schemas.openxmlformats.org/officeDocument/2006/relationships/chart" Target="charts/chart13.xml"/><Relationship Id="rId8" Type="http://schemas.openxmlformats.org/officeDocument/2006/relationships/image" Target="media/image2.png"/><Relationship Id="rId51" Type="http://schemas.openxmlformats.org/officeDocument/2006/relationships/hyperlink" Target="https://marriott.gcs-web.com"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chart" Target="charts/chart5.xml"/><Relationship Id="rId25" Type="http://schemas.openxmlformats.org/officeDocument/2006/relationships/hyperlink" Target="https://www.deloitte.com/global/en/industries/consumer/industries/travel-hospitality.html" TargetMode="External"/><Relationship Id="rId33" Type="http://schemas.openxmlformats.org/officeDocument/2006/relationships/hyperlink" Target="https://www.hilton.com/en/corporate/investors/" TargetMode="External"/><Relationship Id="rId38" Type="http://schemas.openxmlformats.org/officeDocument/2006/relationships/hyperlink" Target="https://www.hilton.com/en/corporate/investors/" TargetMode="External"/><Relationship Id="rId46" Type="http://schemas.openxmlformats.org/officeDocument/2006/relationships/hyperlink" Target="https://www.ihgplc.com/en/investors" TargetMode="External"/><Relationship Id="rId59" Type="http://schemas.openxmlformats.org/officeDocument/2006/relationships/hyperlink" Target="https://www.spglobal.com/marketintelligence/en" TargetMode="External"/><Relationship Id="rId67" Type="http://schemas.openxmlformats.org/officeDocument/2006/relationships/chart" Target="charts/chart11.xml"/><Relationship Id="rId20" Type="http://schemas.openxmlformats.org/officeDocument/2006/relationships/image" Target="media/image8.png"/><Relationship Id="rId41" Type="http://schemas.openxmlformats.org/officeDocument/2006/relationships/hyperlink" Target="https://www.hilton.com/en/corporate/investors/" TargetMode="External"/><Relationship Id="rId54" Type="http://schemas.openxmlformats.org/officeDocument/2006/relationships/hyperlink" Target="https://www.microsoft.com/ai/responsible-ai" TargetMode="External"/><Relationship Id="rId62" Type="http://schemas.openxmlformats.org/officeDocument/2006/relationships/hyperlink" Target="https://www.sec.gov/edgar" TargetMode="External"/><Relationship Id="rId70" Type="http://schemas.openxmlformats.org/officeDocument/2006/relationships/chart" Target="charts/chart14.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chart" Target="charts/chart4.xml"/><Relationship Id="rId23" Type="http://schemas.openxmlformats.org/officeDocument/2006/relationships/chart" Target="charts/chart9.xml"/><Relationship Id="rId28" Type="http://schemas.openxmlformats.org/officeDocument/2006/relationships/hyperlink" Target="https://www.hilton.com/en/corporate/investors/" TargetMode="External"/><Relationship Id="rId36" Type="http://schemas.openxmlformats.org/officeDocument/2006/relationships/hyperlink" Target="https://www.hilton.com/en/corporate/investors/" TargetMode="External"/><Relationship Id="rId49" Type="http://schemas.openxmlformats.org/officeDocument/2006/relationships/hyperlink" Target="https://kpmg.com/xx/en/home/industries/travel-leisure.html" TargetMode="External"/><Relationship Id="rId57" Type="http://schemas.openxmlformats.org/officeDocument/2006/relationships/hyperlink" Target="https://www.oecd.org/economic-outlook" TargetMode="External"/><Relationship Id="rId10" Type="http://schemas.openxmlformats.org/officeDocument/2006/relationships/image" Target="media/image3.png"/><Relationship Id="rId31" Type="http://schemas.openxmlformats.org/officeDocument/2006/relationships/hyperlink" Target="https://www.sec.gov/ixviewer/" TargetMode="External"/><Relationship Id="rId44" Type="http://schemas.openxmlformats.org/officeDocument/2006/relationships/hyperlink" Target="https://www.ihgplc.com/en/investors" TargetMode="External"/><Relationship Id="rId52" Type="http://schemas.openxmlformats.org/officeDocument/2006/relationships/hyperlink" Target="https://marriott.gcs-web.com/financial-information/annual-reports" TargetMode="External"/><Relationship Id="rId60" Type="http://schemas.openxmlformats.org/officeDocument/2006/relationships/hyperlink" Target="https://www.bls.gov/cpi" TargetMode="External"/><Relationship Id="rId65" Type="http://schemas.openxmlformats.org/officeDocument/2006/relationships/hyperlink" Target="https://wttc.org/research"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 Id="rId13" Type="http://schemas.openxmlformats.org/officeDocument/2006/relationships/chart" Target="charts/chart3.xml"/><Relationship Id="rId18" Type="http://schemas.openxmlformats.org/officeDocument/2006/relationships/image" Target="media/image7.png"/><Relationship Id="rId39" Type="http://schemas.openxmlformats.org/officeDocument/2006/relationships/hyperlink" Target="https://stories.hilton.com/" TargetMode="External"/><Relationship Id="rId34" Type="http://schemas.openxmlformats.org/officeDocument/2006/relationships/hyperlink" Target="https://www.hilton.com/en/corporate/investors/" TargetMode="External"/><Relationship Id="rId50" Type="http://schemas.openxmlformats.org/officeDocument/2006/relationships/hyperlink" Target="https://www.macrotrends.net" TargetMode="External"/><Relationship Id="rId55" Type="http://schemas.openxmlformats.org/officeDocument/2006/relationships/hyperlink" Target="https://www.morningstar.com" TargetMode="External"/><Relationship Id="rId7" Type="http://schemas.openxmlformats.org/officeDocument/2006/relationships/image" Target="media/image1.png"/><Relationship Id="rId71" Type="http://schemas.openxmlformats.org/officeDocument/2006/relationships/chart" Target="charts/chart15.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Sheet1!$A$2</c:f>
              <c:strCache>
                <c:ptCount val="1"/>
                <c:pt idx="0">
                  <c:v>Revenue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2021 (US$m)</c:v>
                </c:pt>
                <c:pt idx="1">
                  <c:v>2022 (US$m)</c:v>
                </c:pt>
                <c:pt idx="2">
                  <c:v>2023 (US$m)</c:v>
                </c:pt>
                <c:pt idx="3">
                  <c:v>2024 (US$m)</c:v>
                </c:pt>
                <c:pt idx="4">
                  <c:v>2025 (US$m)</c:v>
                </c:pt>
              </c:strCache>
            </c:strRef>
          </c:cat>
          <c:val>
            <c:numRef>
              <c:f>Sheet1!$B$2:$F$2</c:f>
              <c:numCache>
                <c:formatCode>#,##0</c:formatCode>
                <c:ptCount val="5"/>
                <c:pt idx="0">
                  <c:v>5788</c:v>
                </c:pt>
                <c:pt idx="1">
                  <c:v>8773</c:v>
                </c:pt>
                <c:pt idx="2">
                  <c:v>10235</c:v>
                </c:pt>
                <c:pt idx="3">
                  <c:v>11174</c:v>
                </c:pt>
                <c:pt idx="4">
                  <c:v>12039</c:v>
                </c:pt>
              </c:numCache>
            </c:numRef>
          </c:val>
          <c:extLst>
            <c:ext xmlns:c16="http://schemas.microsoft.com/office/drawing/2014/chart" uri="{C3380CC4-5D6E-409C-BE32-E72D297353CC}">
              <c16:uniqueId val="{00000000-2939-46DD-9F24-73FFE86B7F65}"/>
            </c:ext>
          </c:extLst>
        </c:ser>
        <c:ser>
          <c:idx val="1"/>
          <c:order val="1"/>
          <c:tx>
            <c:strRef>
              <c:f>Sheet1!$A$3</c:f>
              <c:strCache>
                <c:ptCount val="1"/>
                <c:pt idx="0">
                  <c:v>Operating Costs (Total Expenses)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2021 (US$m)</c:v>
                </c:pt>
                <c:pt idx="1">
                  <c:v>2022 (US$m)</c:v>
                </c:pt>
                <c:pt idx="2">
                  <c:v>2023 (US$m)</c:v>
                </c:pt>
                <c:pt idx="3">
                  <c:v>2024 (US$m)</c:v>
                </c:pt>
                <c:pt idx="4">
                  <c:v>2025 (US$m)</c:v>
                </c:pt>
              </c:strCache>
            </c:strRef>
          </c:cat>
          <c:val>
            <c:numRef>
              <c:f>Sheet1!$B$3:$F$3</c:f>
              <c:numCache>
                <c:formatCode>#,##0</c:formatCode>
                <c:ptCount val="5"/>
                <c:pt idx="0">
                  <c:v>5247</c:v>
                </c:pt>
                <c:pt idx="1">
                  <c:v>7047</c:v>
                </c:pt>
                <c:pt idx="2">
                  <c:v>8010</c:v>
                </c:pt>
                <c:pt idx="3">
                  <c:v>8809</c:v>
                </c:pt>
                <c:pt idx="4">
                  <c:v>9346</c:v>
                </c:pt>
              </c:numCache>
            </c:numRef>
          </c:val>
          <c:extLst>
            <c:ext xmlns:c16="http://schemas.microsoft.com/office/drawing/2014/chart" uri="{C3380CC4-5D6E-409C-BE32-E72D297353CC}">
              <c16:uniqueId val="{00000001-2939-46DD-9F24-73FFE86B7F65}"/>
            </c:ext>
          </c:extLst>
        </c:ser>
        <c:ser>
          <c:idx val="2"/>
          <c:order val="2"/>
          <c:tx>
            <c:strRef>
              <c:f>Sheet1!$A$4</c:f>
              <c:strCache>
                <c:ptCount val="1"/>
                <c:pt idx="0">
                  <c:v>Net Profit</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2021 (US$m)</c:v>
                </c:pt>
                <c:pt idx="1">
                  <c:v>2022 (US$m)</c:v>
                </c:pt>
                <c:pt idx="2">
                  <c:v>2023 (US$m)</c:v>
                </c:pt>
                <c:pt idx="3">
                  <c:v>2024 (US$m)</c:v>
                </c:pt>
                <c:pt idx="4">
                  <c:v>2025 (US$m)</c:v>
                </c:pt>
              </c:strCache>
            </c:strRef>
          </c:cat>
          <c:val>
            <c:numRef>
              <c:f>Sheet1!$B$4:$F$4</c:f>
              <c:numCache>
                <c:formatCode>#,##0</c:formatCode>
                <c:ptCount val="5"/>
                <c:pt idx="0" formatCode="General">
                  <c:v>407</c:v>
                </c:pt>
                <c:pt idx="1">
                  <c:v>1257</c:v>
                </c:pt>
                <c:pt idx="2">
                  <c:v>1151</c:v>
                </c:pt>
                <c:pt idx="3">
                  <c:v>1539</c:v>
                </c:pt>
                <c:pt idx="4">
                  <c:v>1461</c:v>
                </c:pt>
              </c:numCache>
            </c:numRef>
          </c:val>
          <c:extLst>
            <c:ext xmlns:c16="http://schemas.microsoft.com/office/drawing/2014/chart" uri="{C3380CC4-5D6E-409C-BE32-E72D297353CC}">
              <c16:uniqueId val="{00000002-2939-46DD-9F24-73FFE86B7F65}"/>
            </c:ext>
          </c:extLst>
        </c:ser>
        <c:dLbls>
          <c:dLblPos val="outEnd"/>
          <c:showLegendKey val="0"/>
          <c:showVal val="1"/>
          <c:showCatName val="0"/>
          <c:showSerName val="0"/>
          <c:showPercent val="0"/>
          <c:showBubbleSize val="0"/>
        </c:dLbls>
        <c:gapWidth val="444"/>
        <c:overlap val="-90"/>
        <c:axId val="1214160752"/>
        <c:axId val="1214159120"/>
      </c:barChart>
      <c:catAx>
        <c:axId val="12141607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214159120"/>
        <c:crosses val="autoZero"/>
        <c:auto val="1"/>
        <c:lblAlgn val="ctr"/>
        <c:lblOffset val="100"/>
        <c:noMultiLvlLbl val="0"/>
      </c:catAx>
      <c:valAx>
        <c:axId val="1214159120"/>
        <c:scaling>
          <c:orientation val="minMax"/>
        </c:scaling>
        <c:delete val="1"/>
        <c:axPos val="l"/>
        <c:numFmt formatCode="#,##0" sourceLinked="1"/>
        <c:majorTickMark val="none"/>
        <c:minorTickMark val="none"/>
        <c:tickLblPos val="nextTo"/>
        <c:crossAx val="12141607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Sheet2!$A$12:$B$12</c:f>
              <c:strCache>
                <c:ptCount val="2"/>
                <c:pt idx="0">
                  <c:v>Net Margin (%)</c:v>
                </c:pt>
                <c:pt idx="1">
                  <c:v>C/A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Sheet2!$C$11:$G$11</c:f>
              <c:numCache>
                <c:formatCode>General</c:formatCode>
                <c:ptCount val="5"/>
                <c:pt idx="0">
                  <c:v>2021</c:v>
                </c:pt>
                <c:pt idx="1">
                  <c:v>2022</c:v>
                </c:pt>
                <c:pt idx="2">
                  <c:v>2023</c:v>
                </c:pt>
                <c:pt idx="3">
                  <c:v>2024</c:v>
                </c:pt>
                <c:pt idx="4">
                  <c:v>2025</c:v>
                </c:pt>
              </c:numCache>
            </c:numRef>
          </c:cat>
          <c:val>
            <c:numRef>
              <c:f>Sheet2!$C$12:$G$12</c:f>
              <c:numCache>
                <c:formatCode>0.00%</c:formatCode>
                <c:ptCount val="5"/>
                <c:pt idx="0">
                  <c:v>7.0300000000000001E-2</c:v>
                </c:pt>
                <c:pt idx="1">
                  <c:v>0.14330000000000001</c:v>
                </c:pt>
                <c:pt idx="2">
                  <c:v>0.1124</c:v>
                </c:pt>
                <c:pt idx="3">
                  <c:v>0.13769999999999999</c:v>
                </c:pt>
                <c:pt idx="4">
                  <c:v>0.12139999999999999</c:v>
                </c:pt>
              </c:numCache>
            </c:numRef>
          </c:val>
          <c:extLst>
            <c:ext xmlns:c16="http://schemas.microsoft.com/office/drawing/2014/chart" uri="{C3380CC4-5D6E-409C-BE32-E72D297353CC}">
              <c16:uniqueId val="{00000000-072A-46B5-A22C-85A26675673B}"/>
            </c:ext>
          </c:extLst>
        </c:ser>
        <c:ser>
          <c:idx val="1"/>
          <c:order val="1"/>
          <c:tx>
            <c:strRef>
              <c:f>Sheet2!$A$13:$B$13</c:f>
              <c:strCache>
                <c:ptCount val="2"/>
                <c:pt idx="0">
                  <c:v>Return on Capital Employed (ROCE) (%)</c:v>
                </c:pt>
                <c:pt idx="1">
                  <c:v>B/(D−E)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Sheet2!$C$11:$G$11</c:f>
              <c:numCache>
                <c:formatCode>General</c:formatCode>
                <c:ptCount val="5"/>
                <c:pt idx="0">
                  <c:v>2021</c:v>
                </c:pt>
                <c:pt idx="1">
                  <c:v>2022</c:v>
                </c:pt>
                <c:pt idx="2">
                  <c:v>2023</c:v>
                </c:pt>
                <c:pt idx="3">
                  <c:v>2024</c:v>
                </c:pt>
                <c:pt idx="4">
                  <c:v>2025</c:v>
                </c:pt>
              </c:numCache>
            </c:numRef>
          </c:cat>
          <c:val>
            <c:numRef>
              <c:f>Sheet2!$C$13:$G$13</c:f>
              <c:numCache>
                <c:formatCode>0.00%</c:formatCode>
                <c:ptCount val="5"/>
                <c:pt idx="0">
                  <c:v>5.1999999999999998E-2</c:v>
                </c:pt>
                <c:pt idx="1">
                  <c:v>0.16220000000000001</c:v>
                </c:pt>
                <c:pt idx="2">
                  <c:v>0.18640000000000001</c:v>
                </c:pt>
                <c:pt idx="3">
                  <c:v>0.1905</c:v>
                </c:pt>
                <c:pt idx="4">
                  <c:v>0.2218</c:v>
                </c:pt>
              </c:numCache>
            </c:numRef>
          </c:val>
          <c:extLst>
            <c:ext xmlns:c16="http://schemas.microsoft.com/office/drawing/2014/chart" uri="{C3380CC4-5D6E-409C-BE32-E72D297353CC}">
              <c16:uniqueId val="{00000001-072A-46B5-A22C-85A26675673B}"/>
            </c:ext>
          </c:extLst>
        </c:ser>
        <c:dLbls>
          <c:dLblPos val="outEnd"/>
          <c:showLegendKey val="0"/>
          <c:showVal val="1"/>
          <c:showCatName val="0"/>
          <c:showSerName val="0"/>
          <c:showPercent val="0"/>
          <c:showBubbleSize val="0"/>
        </c:dLbls>
        <c:gapWidth val="100"/>
        <c:overlap val="-24"/>
        <c:axId val="1214164016"/>
        <c:axId val="1000800240"/>
      </c:barChart>
      <c:catAx>
        <c:axId val="121416401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00800240"/>
        <c:crosses val="autoZero"/>
        <c:auto val="1"/>
        <c:lblAlgn val="ctr"/>
        <c:lblOffset val="100"/>
        <c:noMultiLvlLbl val="0"/>
      </c:catAx>
      <c:valAx>
        <c:axId val="1000800240"/>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14164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Sheet3!$A$2:$B$2</c:f>
              <c:strCache>
                <c:ptCount val="2"/>
                <c:pt idx="0">
                  <c:v>Current Ratio</c:v>
                </c:pt>
                <c:pt idx="1">
                  <c:v>A/C</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Sheet3!$C$2:$G$2</c:f>
              <c:numCache>
                <c:formatCode>General</c:formatCode>
                <c:ptCount val="5"/>
                <c:pt idx="0">
                  <c:v>1.21</c:v>
                </c:pt>
                <c:pt idx="1">
                  <c:v>1.17</c:v>
                </c:pt>
                <c:pt idx="2">
                  <c:v>1.21</c:v>
                </c:pt>
                <c:pt idx="3">
                  <c:v>1.22</c:v>
                </c:pt>
                <c:pt idx="4">
                  <c:v>1.19</c:v>
                </c:pt>
              </c:numCache>
            </c:numRef>
          </c:val>
          <c:extLst>
            <c:ext xmlns:c16="http://schemas.microsoft.com/office/drawing/2014/chart" uri="{C3380CC4-5D6E-409C-BE32-E72D297353CC}">
              <c16:uniqueId val="{00000000-0DA0-4D24-AAB3-2F3ECFB8EFF6}"/>
            </c:ext>
          </c:extLst>
        </c:ser>
        <c:ser>
          <c:idx val="1"/>
          <c:order val="1"/>
          <c:tx>
            <c:strRef>
              <c:f>Sheet3!$A$3:$B$3</c:f>
              <c:strCache>
                <c:ptCount val="2"/>
                <c:pt idx="0">
                  <c:v>Quick Ratio</c:v>
                </c:pt>
                <c:pt idx="1">
                  <c:v>(A−B)/C</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Sheet3!$C$3:$G$3</c:f>
              <c:numCache>
                <c:formatCode>General</c:formatCode>
                <c:ptCount val="5"/>
                <c:pt idx="0">
                  <c:v>1.19</c:v>
                </c:pt>
                <c:pt idx="1">
                  <c:v>1.1599999999999999</c:v>
                </c:pt>
                <c:pt idx="2">
                  <c:v>1.2</c:v>
                </c:pt>
                <c:pt idx="3">
                  <c:v>1.2</c:v>
                </c:pt>
                <c:pt idx="4">
                  <c:v>1.17</c:v>
                </c:pt>
              </c:numCache>
            </c:numRef>
          </c:val>
          <c:extLst>
            <c:ext xmlns:c16="http://schemas.microsoft.com/office/drawing/2014/chart" uri="{C3380CC4-5D6E-409C-BE32-E72D297353CC}">
              <c16:uniqueId val="{00000001-0DA0-4D24-AAB3-2F3ECFB8EFF6}"/>
            </c:ext>
          </c:extLst>
        </c:ser>
        <c:dLbls>
          <c:dLblPos val="outEnd"/>
          <c:showLegendKey val="0"/>
          <c:showVal val="1"/>
          <c:showCatName val="0"/>
          <c:showSerName val="0"/>
          <c:showPercent val="0"/>
          <c:showBubbleSize val="0"/>
        </c:dLbls>
        <c:gapWidth val="100"/>
        <c:overlap val="-24"/>
        <c:axId val="1000793168"/>
        <c:axId val="1000794256"/>
      </c:barChart>
      <c:catAx>
        <c:axId val="100079316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00794256"/>
        <c:crosses val="autoZero"/>
        <c:auto val="1"/>
        <c:lblAlgn val="ctr"/>
        <c:lblOffset val="100"/>
        <c:noMultiLvlLbl val="0"/>
      </c:catAx>
      <c:valAx>
        <c:axId val="10007942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00793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Sheet4!$A$2:$B$2</c:f>
              <c:strCache>
                <c:ptCount val="2"/>
                <c:pt idx="0">
                  <c:v>Inventory Turnover Days</c:v>
                </c:pt>
                <c:pt idx="1">
                  <c:v>365/(B/E)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Sheet4!$C$2:$G$2</c:f>
              <c:numCache>
                <c:formatCode>General</c:formatCode>
                <c:ptCount val="5"/>
                <c:pt idx="0">
                  <c:v>7</c:v>
                </c:pt>
                <c:pt idx="1">
                  <c:v>6</c:v>
                </c:pt>
                <c:pt idx="2">
                  <c:v>6</c:v>
                </c:pt>
                <c:pt idx="3">
                  <c:v>6</c:v>
                </c:pt>
                <c:pt idx="4">
                  <c:v>6</c:v>
                </c:pt>
              </c:numCache>
            </c:numRef>
          </c:val>
          <c:extLst>
            <c:ext xmlns:c16="http://schemas.microsoft.com/office/drawing/2014/chart" uri="{C3380CC4-5D6E-409C-BE32-E72D297353CC}">
              <c16:uniqueId val="{00000000-57CA-41D3-A6A4-E20900E75F5E}"/>
            </c:ext>
          </c:extLst>
        </c:ser>
        <c:ser>
          <c:idx val="1"/>
          <c:order val="1"/>
          <c:tx>
            <c:strRef>
              <c:f>Sheet4!$A$3:$B$3</c:f>
              <c:strCache>
                <c:ptCount val="2"/>
                <c:pt idx="0">
                  <c:v>Receivables Turnover Days</c:v>
                </c:pt>
                <c:pt idx="1">
                  <c:v>365/(A/H)</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Sheet4!$C$3:$G$3</c:f>
              <c:numCache>
                <c:formatCode>General</c:formatCode>
                <c:ptCount val="5"/>
                <c:pt idx="0">
                  <c:v>20</c:v>
                </c:pt>
                <c:pt idx="1">
                  <c:v>15</c:v>
                </c:pt>
                <c:pt idx="2">
                  <c:v>15</c:v>
                </c:pt>
                <c:pt idx="3">
                  <c:v>15</c:v>
                </c:pt>
                <c:pt idx="4">
                  <c:v>15</c:v>
                </c:pt>
              </c:numCache>
            </c:numRef>
          </c:val>
          <c:extLst>
            <c:ext xmlns:c16="http://schemas.microsoft.com/office/drawing/2014/chart" uri="{C3380CC4-5D6E-409C-BE32-E72D297353CC}">
              <c16:uniqueId val="{00000001-57CA-41D3-A6A4-E20900E75F5E}"/>
            </c:ext>
          </c:extLst>
        </c:ser>
        <c:ser>
          <c:idx val="2"/>
          <c:order val="2"/>
          <c:tx>
            <c:strRef>
              <c:f>Sheet4!$A$4:$B$4</c:f>
              <c:strCache>
                <c:ptCount val="2"/>
                <c:pt idx="0">
                  <c:v>Payables Turnover Days</c:v>
                </c:pt>
                <c:pt idx="1">
                  <c:v>365/(B/K)</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Sheet4!$C$4:$G$4</c:f>
              <c:numCache>
                <c:formatCode>General</c:formatCode>
                <c:ptCount val="5"/>
                <c:pt idx="0">
                  <c:v>116</c:v>
                </c:pt>
                <c:pt idx="1">
                  <c:v>97</c:v>
                </c:pt>
                <c:pt idx="2">
                  <c:v>94</c:v>
                </c:pt>
                <c:pt idx="3">
                  <c:v>95</c:v>
                </c:pt>
                <c:pt idx="4">
                  <c:v>97</c:v>
                </c:pt>
              </c:numCache>
            </c:numRef>
          </c:val>
          <c:extLst>
            <c:ext xmlns:c16="http://schemas.microsoft.com/office/drawing/2014/chart" uri="{C3380CC4-5D6E-409C-BE32-E72D297353CC}">
              <c16:uniqueId val="{00000002-57CA-41D3-A6A4-E20900E75F5E}"/>
            </c:ext>
          </c:extLst>
        </c:ser>
        <c:dLbls>
          <c:dLblPos val="outEnd"/>
          <c:showLegendKey val="0"/>
          <c:showVal val="1"/>
          <c:showCatName val="0"/>
          <c:showSerName val="0"/>
          <c:showPercent val="0"/>
          <c:showBubbleSize val="0"/>
        </c:dLbls>
        <c:gapWidth val="315"/>
        <c:overlap val="-40"/>
        <c:axId val="1311726480"/>
        <c:axId val="1311720496"/>
      </c:barChart>
      <c:catAx>
        <c:axId val="131172648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11720496"/>
        <c:crosses val="autoZero"/>
        <c:auto val="1"/>
        <c:lblAlgn val="ctr"/>
        <c:lblOffset val="100"/>
        <c:noMultiLvlLbl val="0"/>
      </c:catAx>
      <c:valAx>
        <c:axId val="131172049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117264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Sheet5!$A$2:$B$2</c:f>
              <c:strCache>
                <c:ptCount val="2"/>
                <c:pt idx="0">
                  <c:v>Debt/Equity Ratio</c:v>
                </c:pt>
                <c:pt idx="1">
                  <c:v>A/B</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Sheet5!$C$1:$G$1</c:f>
              <c:numCache>
                <c:formatCode>General</c:formatCode>
                <c:ptCount val="5"/>
                <c:pt idx="0">
                  <c:v>2021</c:v>
                </c:pt>
                <c:pt idx="1">
                  <c:v>2022</c:v>
                </c:pt>
                <c:pt idx="2">
                  <c:v>2023</c:v>
                </c:pt>
                <c:pt idx="3">
                  <c:v>2024</c:v>
                </c:pt>
                <c:pt idx="4">
                  <c:v>2025</c:v>
                </c:pt>
              </c:numCache>
            </c:numRef>
          </c:cat>
          <c:val>
            <c:numRef>
              <c:f>Sheet5!$C$2:$G$2</c:f>
              <c:numCache>
                <c:formatCode>General</c:formatCode>
                <c:ptCount val="5"/>
                <c:pt idx="0">
                  <c:v>-3.59</c:v>
                </c:pt>
                <c:pt idx="1">
                  <c:v>-3.71</c:v>
                </c:pt>
                <c:pt idx="2">
                  <c:v>-4.25</c:v>
                </c:pt>
                <c:pt idx="3">
                  <c:v>-4.41</c:v>
                </c:pt>
                <c:pt idx="4">
                  <c:v>-4.32</c:v>
                </c:pt>
              </c:numCache>
            </c:numRef>
          </c:val>
          <c:extLst>
            <c:ext xmlns:c16="http://schemas.microsoft.com/office/drawing/2014/chart" uri="{C3380CC4-5D6E-409C-BE32-E72D297353CC}">
              <c16:uniqueId val="{00000000-DC47-4F97-B587-907F87E3192F}"/>
            </c:ext>
          </c:extLst>
        </c:ser>
        <c:ser>
          <c:idx val="1"/>
          <c:order val="1"/>
          <c:tx>
            <c:strRef>
              <c:f>Sheet5!$A$3:$B$3</c:f>
              <c:strCache>
                <c:ptCount val="2"/>
                <c:pt idx="0">
                  <c:v>Interest Coverage Ratio</c:v>
                </c:pt>
                <c:pt idx="1">
                  <c:v>C/D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Sheet5!$C$1:$G$1</c:f>
              <c:numCache>
                <c:formatCode>General</c:formatCode>
                <c:ptCount val="5"/>
                <c:pt idx="0">
                  <c:v>2021</c:v>
                </c:pt>
                <c:pt idx="1">
                  <c:v>2022</c:v>
                </c:pt>
                <c:pt idx="2">
                  <c:v>2023</c:v>
                </c:pt>
                <c:pt idx="3">
                  <c:v>2024</c:v>
                </c:pt>
                <c:pt idx="4">
                  <c:v>2025</c:v>
                </c:pt>
              </c:numCache>
            </c:numRef>
          </c:cat>
          <c:val>
            <c:numRef>
              <c:f>Sheet5!$C$3:$G$3</c:f>
              <c:numCache>
                <c:formatCode>General</c:formatCode>
                <c:ptCount val="5"/>
                <c:pt idx="0">
                  <c:v>1.26</c:v>
                </c:pt>
                <c:pt idx="1">
                  <c:v>3.84</c:v>
                </c:pt>
                <c:pt idx="2">
                  <c:v>4.67</c:v>
                </c:pt>
                <c:pt idx="3">
                  <c:v>4.75</c:v>
                </c:pt>
                <c:pt idx="4">
                  <c:v>5.17</c:v>
                </c:pt>
              </c:numCache>
            </c:numRef>
          </c:val>
          <c:extLst>
            <c:ext xmlns:c16="http://schemas.microsoft.com/office/drawing/2014/chart" uri="{C3380CC4-5D6E-409C-BE32-E72D297353CC}">
              <c16:uniqueId val="{00000001-DC47-4F97-B587-907F87E3192F}"/>
            </c:ext>
          </c:extLst>
        </c:ser>
        <c:dLbls>
          <c:dLblPos val="outEnd"/>
          <c:showLegendKey val="0"/>
          <c:showVal val="1"/>
          <c:showCatName val="0"/>
          <c:showSerName val="0"/>
          <c:showPercent val="0"/>
          <c:showBubbleSize val="0"/>
        </c:dLbls>
        <c:gapWidth val="100"/>
        <c:overlap val="-24"/>
        <c:axId val="1311721584"/>
        <c:axId val="1324450560"/>
      </c:barChart>
      <c:catAx>
        <c:axId val="1311721584"/>
        <c:scaling>
          <c:orientation val="minMax"/>
        </c:scaling>
        <c:delete val="0"/>
        <c:axPos val="b"/>
        <c:numFmt formatCode="General" sourceLinked="1"/>
        <c:majorTickMark val="none"/>
        <c:minorTickMark val="none"/>
        <c:tickLblPos val="low"/>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4450560"/>
        <c:crosses val="autoZero"/>
        <c:auto val="1"/>
        <c:lblAlgn val="ctr"/>
        <c:lblOffset val="100"/>
        <c:noMultiLvlLbl val="0"/>
      </c:catAx>
      <c:valAx>
        <c:axId val="132445056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11721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Sheet6!$A$2:$B$2</c:f>
              <c:strCache>
                <c:ptCount val="2"/>
                <c:pt idx="0">
                  <c:v>Price Earnings (P/E) Ratio</c:v>
                </c:pt>
                <c:pt idx="1">
                  <c:v>D/B</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Sheet6!$C$1:$G$1</c:f>
              <c:numCache>
                <c:formatCode>General</c:formatCode>
                <c:ptCount val="5"/>
                <c:pt idx="0">
                  <c:v>2021</c:v>
                </c:pt>
                <c:pt idx="1">
                  <c:v>2022</c:v>
                </c:pt>
                <c:pt idx="2">
                  <c:v>2023</c:v>
                </c:pt>
                <c:pt idx="3">
                  <c:v>2024</c:v>
                </c:pt>
                <c:pt idx="4">
                  <c:v>2025</c:v>
                </c:pt>
              </c:numCache>
            </c:numRef>
          </c:cat>
          <c:val>
            <c:numRef>
              <c:f>Sheet6!$C$2:$G$2</c:f>
              <c:numCache>
                <c:formatCode>General</c:formatCode>
                <c:ptCount val="5"/>
                <c:pt idx="0">
                  <c:v>108.69</c:v>
                </c:pt>
                <c:pt idx="1">
                  <c:v>28.03</c:v>
                </c:pt>
                <c:pt idx="2">
                  <c:v>42.15</c:v>
                </c:pt>
                <c:pt idx="3">
                  <c:v>40.479999999999997</c:v>
                </c:pt>
                <c:pt idx="4">
                  <c:v>44.95</c:v>
                </c:pt>
              </c:numCache>
            </c:numRef>
          </c:val>
          <c:extLst>
            <c:ext xmlns:c16="http://schemas.microsoft.com/office/drawing/2014/chart" uri="{C3380CC4-5D6E-409C-BE32-E72D297353CC}">
              <c16:uniqueId val="{00000000-2ED7-48A8-9E12-67BF5C5F60AC}"/>
            </c:ext>
          </c:extLst>
        </c:ser>
        <c:ser>
          <c:idx val="1"/>
          <c:order val="1"/>
          <c:tx>
            <c:strRef>
              <c:f>Sheet6!$A$3:$B$3</c:f>
              <c:strCache>
                <c:ptCount val="2"/>
                <c:pt idx="0">
                  <c:v>Dividend Yield (%)</c:v>
                </c:pt>
                <c:pt idx="1">
                  <c:v>(E/D) × 100</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Sheet6!$C$1:$G$1</c:f>
              <c:numCache>
                <c:formatCode>General</c:formatCode>
                <c:ptCount val="5"/>
                <c:pt idx="0">
                  <c:v>2021</c:v>
                </c:pt>
                <c:pt idx="1">
                  <c:v>2022</c:v>
                </c:pt>
                <c:pt idx="2">
                  <c:v>2023</c:v>
                </c:pt>
                <c:pt idx="3">
                  <c:v>2024</c:v>
                </c:pt>
                <c:pt idx="4">
                  <c:v>2025</c:v>
                </c:pt>
              </c:numCache>
            </c:numRef>
          </c:cat>
          <c:val>
            <c:numRef>
              <c:f>Sheet6!$C$3:$G$3</c:f>
              <c:numCache>
                <c:formatCode>0%</c:formatCode>
                <c:ptCount val="5"/>
                <c:pt idx="0">
                  <c:v>0</c:v>
                </c:pt>
                <c:pt idx="1">
                  <c:v>0</c:v>
                </c:pt>
                <c:pt idx="2" formatCode="0.00%">
                  <c:v>3.3E-3</c:v>
                </c:pt>
                <c:pt idx="3" formatCode="0.00%">
                  <c:v>2.3999999999999998E-3</c:v>
                </c:pt>
                <c:pt idx="4" formatCode="0.00%">
                  <c:v>2.2000000000000001E-3</c:v>
                </c:pt>
              </c:numCache>
            </c:numRef>
          </c:val>
          <c:extLst>
            <c:ext xmlns:c16="http://schemas.microsoft.com/office/drawing/2014/chart" uri="{C3380CC4-5D6E-409C-BE32-E72D297353CC}">
              <c16:uniqueId val="{00000001-2ED7-48A8-9E12-67BF5C5F60AC}"/>
            </c:ext>
          </c:extLst>
        </c:ser>
        <c:ser>
          <c:idx val="2"/>
          <c:order val="2"/>
          <c:tx>
            <c:strRef>
              <c:f>Sheet6!$A$4:$B$4</c:f>
              <c:strCache>
                <c:ptCount val="2"/>
                <c:pt idx="0">
                  <c:v>Book Value per Share (US$)</c:v>
                </c:pt>
                <c:pt idx="1">
                  <c:v>C / Shares Outstanding</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Sheet6!$C$1:$G$1</c:f>
              <c:numCache>
                <c:formatCode>General</c:formatCode>
                <c:ptCount val="5"/>
                <c:pt idx="0">
                  <c:v>2021</c:v>
                </c:pt>
                <c:pt idx="1">
                  <c:v>2022</c:v>
                </c:pt>
                <c:pt idx="2">
                  <c:v>2023</c:v>
                </c:pt>
                <c:pt idx="3">
                  <c:v>2024</c:v>
                </c:pt>
                <c:pt idx="4">
                  <c:v>2025</c:v>
                </c:pt>
              </c:numCache>
            </c:numRef>
          </c:cat>
          <c:val>
            <c:numRef>
              <c:f>Sheet6!$C$4:$G$4</c:f>
              <c:numCache>
                <c:formatCode>General</c:formatCode>
                <c:ptCount val="5"/>
                <c:pt idx="0">
                  <c:v>-17.739999999999998</c:v>
                </c:pt>
                <c:pt idx="1">
                  <c:v>-18</c:v>
                </c:pt>
                <c:pt idx="2">
                  <c:v>-17.43</c:v>
                </c:pt>
                <c:pt idx="3">
                  <c:v>-18.309999999999999</c:v>
                </c:pt>
                <c:pt idx="4">
                  <c:v>-20.71</c:v>
                </c:pt>
              </c:numCache>
            </c:numRef>
          </c:val>
          <c:extLst>
            <c:ext xmlns:c16="http://schemas.microsoft.com/office/drawing/2014/chart" uri="{C3380CC4-5D6E-409C-BE32-E72D297353CC}">
              <c16:uniqueId val="{00000002-2ED7-48A8-9E12-67BF5C5F60AC}"/>
            </c:ext>
          </c:extLst>
        </c:ser>
        <c:dLbls>
          <c:dLblPos val="outEnd"/>
          <c:showLegendKey val="0"/>
          <c:showVal val="1"/>
          <c:showCatName val="0"/>
          <c:showSerName val="0"/>
          <c:showPercent val="0"/>
          <c:showBubbleSize val="0"/>
        </c:dLbls>
        <c:gapWidth val="444"/>
        <c:overlap val="-90"/>
        <c:axId val="1324448384"/>
        <c:axId val="1324451648"/>
      </c:barChart>
      <c:catAx>
        <c:axId val="13244483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324451648"/>
        <c:crosses val="autoZero"/>
        <c:auto val="1"/>
        <c:lblAlgn val="ctr"/>
        <c:lblOffset val="100"/>
        <c:noMultiLvlLbl val="0"/>
      </c:catAx>
      <c:valAx>
        <c:axId val="1324451648"/>
        <c:scaling>
          <c:orientation val="minMax"/>
        </c:scaling>
        <c:delete val="1"/>
        <c:axPos val="l"/>
        <c:numFmt formatCode="General" sourceLinked="1"/>
        <c:majorTickMark val="none"/>
        <c:minorTickMark val="none"/>
        <c:tickLblPos val="nextTo"/>
        <c:crossAx val="13244483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Sheet7!$A$2:$B$2</c:f>
              <c:strCache>
                <c:ptCount val="2"/>
                <c:pt idx="0">
                  <c:v>Operating Cash Flow Ratio</c:v>
                </c:pt>
                <c:pt idx="1">
                  <c:v>A/C</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Sheet7!$C$2:$G$2</c:f>
              <c:numCache>
                <c:formatCode>General</c:formatCode>
                <c:ptCount val="5"/>
                <c:pt idx="0">
                  <c:v>0.49</c:v>
                </c:pt>
                <c:pt idx="1">
                  <c:v>0.73</c:v>
                </c:pt>
                <c:pt idx="2">
                  <c:v>0.77</c:v>
                </c:pt>
                <c:pt idx="3">
                  <c:v>0.78</c:v>
                </c:pt>
                <c:pt idx="4">
                  <c:v>0.76</c:v>
                </c:pt>
              </c:numCache>
            </c:numRef>
          </c:val>
          <c:extLst>
            <c:ext xmlns:c16="http://schemas.microsoft.com/office/drawing/2014/chart" uri="{C3380CC4-5D6E-409C-BE32-E72D297353CC}">
              <c16:uniqueId val="{00000000-B728-4C33-B29F-CDC45D4D2CD5}"/>
            </c:ext>
          </c:extLst>
        </c:ser>
        <c:ser>
          <c:idx val="1"/>
          <c:order val="1"/>
          <c:tx>
            <c:strRef>
              <c:f>Sheet7!$A$3:$B$3</c:f>
              <c:strCache>
                <c:ptCount val="2"/>
                <c:pt idx="0">
                  <c:v>Operating Cash Flow Margin (%)</c:v>
                </c:pt>
                <c:pt idx="1">
                  <c:v>A/B</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Sheet7!$C$3:$G$3</c:f>
              <c:numCache>
                <c:formatCode>0.00%</c:formatCode>
                <c:ptCount val="5"/>
                <c:pt idx="0">
                  <c:v>0.22600000000000001</c:v>
                </c:pt>
                <c:pt idx="1">
                  <c:v>0.24709999999999999</c:v>
                </c:pt>
                <c:pt idx="2">
                  <c:v>0.23150000000000001</c:v>
                </c:pt>
                <c:pt idx="3">
                  <c:v>0.23089999999999999</c:v>
                </c:pt>
                <c:pt idx="4">
                  <c:v>0.22770000000000001</c:v>
                </c:pt>
              </c:numCache>
            </c:numRef>
          </c:val>
          <c:extLst>
            <c:ext xmlns:c16="http://schemas.microsoft.com/office/drawing/2014/chart" uri="{C3380CC4-5D6E-409C-BE32-E72D297353CC}">
              <c16:uniqueId val="{00000001-B728-4C33-B29F-CDC45D4D2CD5}"/>
            </c:ext>
          </c:extLst>
        </c:ser>
        <c:ser>
          <c:idx val="2"/>
          <c:order val="2"/>
          <c:tx>
            <c:strRef>
              <c:f>Sheet7!$A$4:$B$4</c:f>
              <c:strCache>
                <c:ptCount val="2"/>
                <c:pt idx="0">
                  <c:v>Cash Flow to Debt Ratio</c:v>
                </c:pt>
                <c:pt idx="1">
                  <c:v>A/D</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Sheet7!$C$4:$G$4</c:f>
              <c:numCache>
                <c:formatCode>General</c:formatCode>
                <c:ptCount val="5"/>
                <c:pt idx="0">
                  <c:v>0.14000000000000001</c:v>
                </c:pt>
                <c:pt idx="1">
                  <c:v>0.22</c:v>
                </c:pt>
                <c:pt idx="2">
                  <c:v>0.23</c:v>
                </c:pt>
                <c:pt idx="3">
                  <c:v>0.24</c:v>
                </c:pt>
                <c:pt idx="4">
                  <c:v>0.25</c:v>
                </c:pt>
              </c:numCache>
            </c:numRef>
          </c:val>
          <c:extLst>
            <c:ext xmlns:c16="http://schemas.microsoft.com/office/drawing/2014/chart" uri="{C3380CC4-5D6E-409C-BE32-E72D297353CC}">
              <c16:uniqueId val="{00000002-B728-4C33-B29F-CDC45D4D2CD5}"/>
            </c:ext>
          </c:extLst>
        </c:ser>
        <c:ser>
          <c:idx val="3"/>
          <c:order val="3"/>
          <c:tx>
            <c:strRef>
              <c:f>Sheet7!$A$5:$B$5</c:f>
              <c:strCache>
                <c:ptCount val="2"/>
                <c:pt idx="0">
                  <c:v>Free Cash Flow (US$m)</c:v>
                </c:pt>
                <c:pt idx="1">
                  <c:v>A − E</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Sheet7!$C$5:$G$5</c:f>
              <c:numCache>
                <c:formatCode>#,##0</c:formatCode>
                <c:ptCount val="5"/>
                <c:pt idx="0">
                  <c:v>1162</c:v>
                </c:pt>
                <c:pt idx="1">
                  <c:v>1986</c:v>
                </c:pt>
                <c:pt idx="2">
                  <c:v>2156</c:v>
                </c:pt>
                <c:pt idx="3">
                  <c:v>2344</c:v>
                </c:pt>
                <c:pt idx="4">
                  <c:v>2490</c:v>
                </c:pt>
              </c:numCache>
            </c:numRef>
          </c:val>
          <c:extLst>
            <c:ext xmlns:c16="http://schemas.microsoft.com/office/drawing/2014/chart" uri="{C3380CC4-5D6E-409C-BE32-E72D297353CC}">
              <c16:uniqueId val="{00000003-B728-4C33-B29F-CDC45D4D2CD5}"/>
            </c:ext>
          </c:extLst>
        </c:ser>
        <c:dLbls>
          <c:dLblPos val="outEnd"/>
          <c:showLegendKey val="0"/>
          <c:showVal val="1"/>
          <c:showCatName val="0"/>
          <c:showSerName val="0"/>
          <c:showPercent val="0"/>
          <c:showBubbleSize val="0"/>
        </c:dLbls>
        <c:gapWidth val="444"/>
        <c:overlap val="-90"/>
        <c:axId val="884442096"/>
        <c:axId val="884437200"/>
      </c:barChart>
      <c:catAx>
        <c:axId val="8844420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884437200"/>
        <c:crosses val="autoZero"/>
        <c:auto val="1"/>
        <c:lblAlgn val="ctr"/>
        <c:lblOffset val="100"/>
        <c:noMultiLvlLbl val="0"/>
      </c:catAx>
      <c:valAx>
        <c:axId val="884437200"/>
        <c:scaling>
          <c:orientation val="minMax"/>
        </c:scaling>
        <c:delete val="1"/>
        <c:axPos val="l"/>
        <c:numFmt formatCode="General" sourceLinked="1"/>
        <c:majorTickMark val="none"/>
        <c:minorTickMark val="none"/>
        <c:tickLblPos val="nextTo"/>
        <c:crossAx val="88444209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Sheet8!$A$2:$B$2</c:f>
              <c:strCache>
                <c:ptCount val="2"/>
                <c:pt idx="0">
                  <c:v>Cash Conversion Cycle (Days)</c:v>
                </c:pt>
                <c:pt idx="1">
                  <c:v>A + B − C</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Sheet8!$C$1:$G$1</c:f>
              <c:numCache>
                <c:formatCode>General</c:formatCode>
                <c:ptCount val="5"/>
                <c:pt idx="0">
                  <c:v>2021</c:v>
                </c:pt>
                <c:pt idx="1">
                  <c:v>2022</c:v>
                </c:pt>
                <c:pt idx="2">
                  <c:v>2023</c:v>
                </c:pt>
                <c:pt idx="3">
                  <c:v>2024</c:v>
                </c:pt>
                <c:pt idx="4">
                  <c:v>2025</c:v>
                </c:pt>
              </c:numCache>
            </c:numRef>
          </c:cat>
          <c:val>
            <c:numRef>
              <c:f>Sheet8!$C$2:$G$2</c:f>
              <c:numCache>
                <c:formatCode>General</c:formatCode>
                <c:ptCount val="5"/>
                <c:pt idx="0">
                  <c:v>-89</c:v>
                </c:pt>
                <c:pt idx="1">
                  <c:v>-76</c:v>
                </c:pt>
                <c:pt idx="2">
                  <c:v>-73</c:v>
                </c:pt>
                <c:pt idx="3">
                  <c:v>-74</c:v>
                </c:pt>
                <c:pt idx="4">
                  <c:v>-76</c:v>
                </c:pt>
              </c:numCache>
            </c:numRef>
          </c:val>
          <c:extLst>
            <c:ext xmlns:c16="http://schemas.microsoft.com/office/drawing/2014/chart" uri="{C3380CC4-5D6E-409C-BE32-E72D297353CC}">
              <c16:uniqueId val="{00000000-5618-4CFA-946B-D6ACCA4F6DC2}"/>
            </c:ext>
          </c:extLst>
        </c:ser>
        <c:dLbls>
          <c:dLblPos val="outEnd"/>
          <c:showLegendKey val="0"/>
          <c:showVal val="1"/>
          <c:showCatName val="0"/>
          <c:showSerName val="0"/>
          <c:showPercent val="0"/>
          <c:showBubbleSize val="0"/>
        </c:dLbls>
        <c:gapWidth val="444"/>
        <c:overlap val="-90"/>
        <c:axId val="1180220256"/>
        <c:axId val="1180215904"/>
      </c:barChart>
      <c:catAx>
        <c:axId val="11802202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180215904"/>
        <c:crosses val="autoZero"/>
        <c:auto val="1"/>
        <c:lblAlgn val="ctr"/>
        <c:lblOffset val="100"/>
        <c:noMultiLvlLbl val="0"/>
      </c:catAx>
      <c:valAx>
        <c:axId val="1180215904"/>
        <c:scaling>
          <c:orientation val="minMax"/>
        </c:scaling>
        <c:delete val="1"/>
        <c:axPos val="l"/>
        <c:numFmt formatCode="General" sourceLinked="1"/>
        <c:majorTickMark val="none"/>
        <c:minorTickMark val="none"/>
        <c:tickLblPos val="nextTo"/>
        <c:crossAx val="118022025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Sheet9!$A$2:$B$2</c:f>
              <c:strCache>
                <c:ptCount val="2"/>
                <c:pt idx="0">
                  <c:v>Working Capital</c:v>
                </c:pt>
                <c:pt idx="1">
                  <c:v>A − B</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Sheet9!$C$1:$G$1</c:f>
              <c:strCache>
                <c:ptCount val="5"/>
                <c:pt idx="0">
                  <c:v>2021 (US$m)</c:v>
                </c:pt>
                <c:pt idx="1">
                  <c:v>2022 (US$m)</c:v>
                </c:pt>
                <c:pt idx="2">
                  <c:v>2023 (US$m)</c:v>
                </c:pt>
                <c:pt idx="3">
                  <c:v>2024 (US$m)</c:v>
                </c:pt>
                <c:pt idx="4">
                  <c:v>2025 (US$m)</c:v>
                </c:pt>
              </c:strCache>
            </c:strRef>
          </c:cat>
          <c:val>
            <c:numRef>
              <c:f>Sheet9!$C$2:$G$2</c:f>
              <c:numCache>
                <c:formatCode>General</c:formatCode>
                <c:ptCount val="5"/>
                <c:pt idx="0">
                  <c:v>561</c:v>
                </c:pt>
                <c:pt idx="1">
                  <c:v>513</c:v>
                </c:pt>
                <c:pt idx="2">
                  <c:v>652</c:v>
                </c:pt>
                <c:pt idx="3">
                  <c:v>727</c:v>
                </c:pt>
                <c:pt idx="4">
                  <c:v>677</c:v>
                </c:pt>
              </c:numCache>
            </c:numRef>
          </c:val>
          <c:extLst>
            <c:ext xmlns:c16="http://schemas.microsoft.com/office/drawing/2014/chart" uri="{C3380CC4-5D6E-409C-BE32-E72D297353CC}">
              <c16:uniqueId val="{00000000-1271-46DF-855C-6FBC05EA32B2}"/>
            </c:ext>
          </c:extLst>
        </c:ser>
        <c:dLbls>
          <c:dLblPos val="outEnd"/>
          <c:showLegendKey val="0"/>
          <c:showVal val="1"/>
          <c:showCatName val="0"/>
          <c:showSerName val="0"/>
          <c:showPercent val="0"/>
          <c:showBubbleSize val="0"/>
        </c:dLbls>
        <c:gapWidth val="100"/>
        <c:overlap val="-24"/>
        <c:axId val="1204684432"/>
        <c:axId val="1204681712"/>
      </c:barChart>
      <c:catAx>
        <c:axId val="120468443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4681712"/>
        <c:crosses val="autoZero"/>
        <c:auto val="1"/>
        <c:lblAlgn val="ctr"/>
        <c:lblOffset val="100"/>
        <c:noMultiLvlLbl val="0"/>
      </c:catAx>
      <c:valAx>
        <c:axId val="120468171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46844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Sheet2!$A$12:$B$12</c:f>
              <c:strCache>
                <c:ptCount val="2"/>
                <c:pt idx="0">
                  <c:v>Net Margin (%)</c:v>
                </c:pt>
                <c:pt idx="1">
                  <c:v>C/A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Sheet2!$C$11:$G$11</c:f>
              <c:numCache>
                <c:formatCode>General</c:formatCode>
                <c:ptCount val="5"/>
                <c:pt idx="0">
                  <c:v>2021</c:v>
                </c:pt>
                <c:pt idx="1">
                  <c:v>2022</c:v>
                </c:pt>
                <c:pt idx="2">
                  <c:v>2023</c:v>
                </c:pt>
                <c:pt idx="3">
                  <c:v>2024</c:v>
                </c:pt>
                <c:pt idx="4">
                  <c:v>2025</c:v>
                </c:pt>
              </c:numCache>
            </c:numRef>
          </c:cat>
          <c:val>
            <c:numRef>
              <c:f>Sheet2!$C$12:$G$12</c:f>
              <c:numCache>
                <c:formatCode>0.00%</c:formatCode>
                <c:ptCount val="5"/>
                <c:pt idx="0">
                  <c:v>7.0300000000000001E-2</c:v>
                </c:pt>
                <c:pt idx="1">
                  <c:v>0.14330000000000001</c:v>
                </c:pt>
                <c:pt idx="2">
                  <c:v>0.1124</c:v>
                </c:pt>
                <c:pt idx="3">
                  <c:v>0.13769999999999999</c:v>
                </c:pt>
                <c:pt idx="4">
                  <c:v>0.12139999999999999</c:v>
                </c:pt>
              </c:numCache>
            </c:numRef>
          </c:val>
          <c:extLst>
            <c:ext xmlns:c16="http://schemas.microsoft.com/office/drawing/2014/chart" uri="{C3380CC4-5D6E-409C-BE32-E72D297353CC}">
              <c16:uniqueId val="{00000000-7E00-4171-A956-9FAD78880B9C}"/>
            </c:ext>
          </c:extLst>
        </c:ser>
        <c:ser>
          <c:idx val="1"/>
          <c:order val="1"/>
          <c:tx>
            <c:strRef>
              <c:f>Sheet2!$A$13:$B$13</c:f>
              <c:strCache>
                <c:ptCount val="2"/>
                <c:pt idx="0">
                  <c:v>Return on Capital Employed (ROCE) (%)</c:v>
                </c:pt>
                <c:pt idx="1">
                  <c:v>B/(D−E)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Sheet2!$C$11:$G$11</c:f>
              <c:numCache>
                <c:formatCode>General</c:formatCode>
                <c:ptCount val="5"/>
                <c:pt idx="0">
                  <c:v>2021</c:v>
                </c:pt>
                <c:pt idx="1">
                  <c:v>2022</c:v>
                </c:pt>
                <c:pt idx="2">
                  <c:v>2023</c:v>
                </c:pt>
                <c:pt idx="3">
                  <c:v>2024</c:v>
                </c:pt>
                <c:pt idx="4">
                  <c:v>2025</c:v>
                </c:pt>
              </c:numCache>
            </c:numRef>
          </c:cat>
          <c:val>
            <c:numRef>
              <c:f>Sheet2!$C$13:$G$13</c:f>
              <c:numCache>
                <c:formatCode>0.00%</c:formatCode>
                <c:ptCount val="5"/>
                <c:pt idx="0">
                  <c:v>5.1999999999999998E-2</c:v>
                </c:pt>
                <c:pt idx="1">
                  <c:v>0.16220000000000001</c:v>
                </c:pt>
                <c:pt idx="2">
                  <c:v>0.18640000000000001</c:v>
                </c:pt>
                <c:pt idx="3">
                  <c:v>0.1905</c:v>
                </c:pt>
                <c:pt idx="4">
                  <c:v>0.2218</c:v>
                </c:pt>
              </c:numCache>
            </c:numRef>
          </c:val>
          <c:extLst>
            <c:ext xmlns:c16="http://schemas.microsoft.com/office/drawing/2014/chart" uri="{C3380CC4-5D6E-409C-BE32-E72D297353CC}">
              <c16:uniqueId val="{00000001-7E00-4171-A956-9FAD78880B9C}"/>
            </c:ext>
          </c:extLst>
        </c:ser>
        <c:dLbls>
          <c:dLblPos val="outEnd"/>
          <c:showLegendKey val="0"/>
          <c:showVal val="1"/>
          <c:showCatName val="0"/>
          <c:showSerName val="0"/>
          <c:showPercent val="0"/>
          <c:showBubbleSize val="0"/>
        </c:dLbls>
        <c:gapWidth val="100"/>
        <c:overlap val="-24"/>
        <c:axId val="1204682800"/>
        <c:axId val="1204684976"/>
      </c:barChart>
      <c:catAx>
        <c:axId val="12046828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04684976"/>
        <c:crosses val="autoZero"/>
        <c:auto val="1"/>
        <c:lblAlgn val="ctr"/>
        <c:lblOffset val="100"/>
        <c:noMultiLvlLbl val="0"/>
      </c:catAx>
      <c:valAx>
        <c:axId val="1204684976"/>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04682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Sheet3!$A$2:$B$2</c:f>
              <c:strCache>
                <c:ptCount val="2"/>
                <c:pt idx="0">
                  <c:v>Current Ratio</c:v>
                </c:pt>
                <c:pt idx="1">
                  <c:v>A/C</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Sheet3!$C$2:$G$2</c:f>
              <c:numCache>
                <c:formatCode>General</c:formatCode>
                <c:ptCount val="5"/>
                <c:pt idx="0">
                  <c:v>1.21</c:v>
                </c:pt>
                <c:pt idx="1">
                  <c:v>1.17</c:v>
                </c:pt>
                <c:pt idx="2">
                  <c:v>1.21</c:v>
                </c:pt>
                <c:pt idx="3">
                  <c:v>1.22</c:v>
                </c:pt>
                <c:pt idx="4">
                  <c:v>1.19</c:v>
                </c:pt>
              </c:numCache>
            </c:numRef>
          </c:val>
          <c:extLst>
            <c:ext xmlns:c16="http://schemas.microsoft.com/office/drawing/2014/chart" uri="{C3380CC4-5D6E-409C-BE32-E72D297353CC}">
              <c16:uniqueId val="{00000000-3921-4CBA-9EEA-75F77DBDD9FB}"/>
            </c:ext>
          </c:extLst>
        </c:ser>
        <c:ser>
          <c:idx val="1"/>
          <c:order val="1"/>
          <c:tx>
            <c:strRef>
              <c:f>Sheet3!$A$3:$B$3</c:f>
              <c:strCache>
                <c:ptCount val="2"/>
                <c:pt idx="0">
                  <c:v>Quick Ratio</c:v>
                </c:pt>
                <c:pt idx="1">
                  <c:v>(A−B)/C</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Sheet3!$C$3:$G$3</c:f>
              <c:numCache>
                <c:formatCode>General</c:formatCode>
                <c:ptCount val="5"/>
                <c:pt idx="0">
                  <c:v>1.19</c:v>
                </c:pt>
                <c:pt idx="1">
                  <c:v>1.1599999999999999</c:v>
                </c:pt>
                <c:pt idx="2">
                  <c:v>1.2</c:v>
                </c:pt>
                <c:pt idx="3">
                  <c:v>1.2</c:v>
                </c:pt>
                <c:pt idx="4">
                  <c:v>1.17</c:v>
                </c:pt>
              </c:numCache>
            </c:numRef>
          </c:val>
          <c:extLst>
            <c:ext xmlns:c16="http://schemas.microsoft.com/office/drawing/2014/chart" uri="{C3380CC4-5D6E-409C-BE32-E72D297353CC}">
              <c16:uniqueId val="{00000001-3921-4CBA-9EEA-75F77DBDD9FB}"/>
            </c:ext>
          </c:extLst>
        </c:ser>
        <c:dLbls>
          <c:dLblPos val="outEnd"/>
          <c:showLegendKey val="0"/>
          <c:showVal val="1"/>
          <c:showCatName val="0"/>
          <c:showSerName val="0"/>
          <c:showPercent val="0"/>
          <c:showBubbleSize val="0"/>
        </c:dLbls>
        <c:gapWidth val="100"/>
        <c:overlap val="-24"/>
        <c:axId val="1204679536"/>
        <c:axId val="1204685520"/>
      </c:barChart>
      <c:catAx>
        <c:axId val="120467953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4685520"/>
        <c:crosses val="autoZero"/>
        <c:auto val="1"/>
        <c:lblAlgn val="ctr"/>
        <c:lblOffset val="100"/>
        <c:noMultiLvlLbl val="0"/>
      </c:catAx>
      <c:valAx>
        <c:axId val="120468552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4679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Sheet4!$A$2:$B$2</c:f>
              <c:strCache>
                <c:ptCount val="2"/>
                <c:pt idx="0">
                  <c:v>Inventory Turnover Days</c:v>
                </c:pt>
                <c:pt idx="1">
                  <c:v>365/(B/E)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Sheet4!$C$2:$G$2</c:f>
              <c:numCache>
                <c:formatCode>General</c:formatCode>
                <c:ptCount val="5"/>
                <c:pt idx="0">
                  <c:v>7</c:v>
                </c:pt>
                <c:pt idx="1">
                  <c:v>6</c:v>
                </c:pt>
                <c:pt idx="2">
                  <c:v>6</c:v>
                </c:pt>
                <c:pt idx="3">
                  <c:v>6</c:v>
                </c:pt>
                <c:pt idx="4">
                  <c:v>6</c:v>
                </c:pt>
              </c:numCache>
            </c:numRef>
          </c:val>
          <c:extLst>
            <c:ext xmlns:c16="http://schemas.microsoft.com/office/drawing/2014/chart" uri="{C3380CC4-5D6E-409C-BE32-E72D297353CC}">
              <c16:uniqueId val="{00000000-E959-447D-9F31-21D8D2108A16}"/>
            </c:ext>
          </c:extLst>
        </c:ser>
        <c:ser>
          <c:idx val="1"/>
          <c:order val="1"/>
          <c:tx>
            <c:strRef>
              <c:f>Sheet4!$A$3:$B$3</c:f>
              <c:strCache>
                <c:ptCount val="2"/>
                <c:pt idx="0">
                  <c:v>Receivables Turnover Days</c:v>
                </c:pt>
                <c:pt idx="1">
                  <c:v>365/(A/H)</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Sheet4!$C$3:$G$3</c:f>
              <c:numCache>
                <c:formatCode>General</c:formatCode>
                <c:ptCount val="5"/>
                <c:pt idx="0">
                  <c:v>20</c:v>
                </c:pt>
                <c:pt idx="1">
                  <c:v>15</c:v>
                </c:pt>
                <c:pt idx="2">
                  <c:v>15</c:v>
                </c:pt>
                <c:pt idx="3">
                  <c:v>15</c:v>
                </c:pt>
                <c:pt idx="4">
                  <c:v>15</c:v>
                </c:pt>
              </c:numCache>
            </c:numRef>
          </c:val>
          <c:extLst>
            <c:ext xmlns:c16="http://schemas.microsoft.com/office/drawing/2014/chart" uri="{C3380CC4-5D6E-409C-BE32-E72D297353CC}">
              <c16:uniqueId val="{00000001-E959-447D-9F31-21D8D2108A16}"/>
            </c:ext>
          </c:extLst>
        </c:ser>
        <c:ser>
          <c:idx val="2"/>
          <c:order val="2"/>
          <c:tx>
            <c:strRef>
              <c:f>Sheet4!$A$4:$B$4</c:f>
              <c:strCache>
                <c:ptCount val="2"/>
                <c:pt idx="0">
                  <c:v>Payables Turnover Days</c:v>
                </c:pt>
                <c:pt idx="1">
                  <c:v>365/(B/K)</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Sheet4!$C$4:$G$4</c:f>
              <c:numCache>
                <c:formatCode>General</c:formatCode>
                <c:ptCount val="5"/>
                <c:pt idx="0">
                  <c:v>116</c:v>
                </c:pt>
                <c:pt idx="1">
                  <c:v>97</c:v>
                </c:pt>
                <c:pt idx="2">
                  <c:v>94</c:v>
                </c:pt>
                <c:pt idx="3">
                  <c:v>95</c:v>
                </c:pt>
                <c:pt idx="4">
                  <c:v>97</c:v>
                </c:pt>
              </c:numCache>
            </c:numRef>
          </c:val>
          <c:extLst>
            <c:ext xmlns:c16="http://schemas.microsoft.com/office/drawing/2014/chart" uri="{C3380CC4-5D6E-409C-BE32-E72D297353CC}">
              <c16:uniqueId val="{00000002-E959-447D-9F31-21D8D2108A16}"/>
            </c:ext>
          </c:extLst>
        </c:ser>
        <c:dLbls>
          <c:dLblPos val="outEnd"/>
          <c:showLegendKey val="0"/>
          <c:showVal val="1"/>
          <c:showCatName val="0"/>
          <c:showSerName val="0"/>
          <c:showPercent val="0"/>
          <c:showBubbleSize val="0"/>
        </c:dLbls>
        <c:gapWidth val="315"/>
        <c:overlap val="-40"/>
        <c:axId val="1204683344"/>
        <c:axId val="1204683888"/>
      </c:barChart>
      <c:catAx>
        <c:axId val="120468334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04683888"/>
        <c:crosses val="autoZero"/>
        <c:auto val="1"/>
        <c:lblAlgn val="ctr"/>
        <c:lblOffset val="100"/>
        <c:noMultiLvlLbl val="0"/>
      </c:catAx>
      <c:valAx>
        <c:axId val="120468388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0468334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Sheet5!$A$2:$B$2</c:f>
              <c:strCache>
                <c:ptCount val="2"/>
                <c:pt idx="0">
                  <c:v>Debt/Equity Ratio</c:v>
                </c:pt>
                <c:pt idx="1">
                  <c:v>A/B</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Sheet5!$C$1:$G$1</c:f>
              <c:numCache>
                <c:formatCode>General</c:formatCode>
                <c:ptCount val="5"/>
                <c:pt idx="0">
                  <c:v>2021</c:v>
                </c:pt>
                <c:pt idx="1">
                  <c:v>2022</c:v>
                </c:pt>
                <c:pt idx="2">
                  <c:v>2023</c:v>
                </c:pt>
                <c:pt idx="3">
                  <c:v>2024</c:v>
                </c:pt>
                <c:pt idx="4">
                  <c:v>2025</c:v>
                </c:pt>
              </c:numCache>
            </c:numRef>
          </c:cat>
          <c:val>
            <c:numRef>
              <c:f>Sheet5!$C$2:$G$2</c:f>
              <c:numCache>
                <c:formatCode>General</c:formatCode>
                <c:ptCount val="5"/>
                <c:pt idx="0">
                  <c:v>-3.59</c:v>
                </c:pt>
                <c:pt idx="1">
                  <c:v>-3.71</c:v>
                </c:pt>
                <c:pt idx="2">
                  <c:v>-4.25</c:v>
                </c:pt>
                <c:pt idx="3">
                  <c:v>-4.41</c:v>
                </c:pt>
                <c:pt idx="4">
                  <c:v>-4.32</c:v>
                </c:pt>
              </c:numCache>
            </c:numRef>
          </c:val>
          <c:extLst>
            <c:ext xmlns:c16="http://schemas.microsoft.com/office/drawing/2014/chart" uri="{C3380CC4-5D6E-409C-BE32-E72D297353CC}">
              <c16:uniqueId val="{00000000-EB1E-4B4A-8F93-24302732C606}"/>
            </c:ext>
          </c:extLst>
        </c:ser>
        <c:ser>
          <c:idx val="1"/>
          <c:order val="1"/>
          <c:tx>
            <c:strRef>
              <c:f>Sheet5!$A$3:$B$3</c:f>
              <c:strCache>
                <c:ptCount val="2"/>
                <c:pt idx="0">
                  <c:v>Interest Coverage Ratio</c:v>
                </c:pt>
                <c:pt idx="1">
                  <c:v>C/D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Sheet5!$C$1:$G$1</c:f>
              <c:numCache>
                <c:formatCode>General</c:formatCode>
                <c:ptCount val="5"/>
                <c:pt idx="0">
                  <c:v>2021</c:v>
                </c:pt>
                <c:pt idx="1">
                  <c:v>2022</c:v>
                </c:pt>
                <c:pt idx="2">
                  <c:v>2023</c:v>
                </c:pt>
                <c:pt idx="3">
                  <c:v>2024</c:v>
                </c:pt>
                <c:pt idx="4">
                  <c:v>2025</c:v>
                </c:pt>
              </c:numCache>
            </c:numRef>
          </c:cat>
          <c:val>
            <c:numRef>
              <c:f>Sheet5!$C$3:$G$3</c:f>
              <c:numCache>
                <c:formatCode>General</c:formatCode>
                <c:ptCount val="5"/>
                <c:pt idx="0">
                  <c:v>1.26</c:v>
                </c:pt>
                <c:pt idx="1">
                  <c:v>3.84</c:v>
                </c:pt>
                <c:pt idx="2">
                  <c:v>4.67</c:v>
                </c:pt>
                <c:pt idx="3">
                  <c:v>4.75</c:v>
                </c:pt>
                <c:pt idx="4">
                  <c:v>5.17</c:v>
                </c:pt>
              </c:numCache>
            </c:numRef>
          </c:val>
          <c:extLst>
            <c:ext xmlns:c16="http://schemas.microsoft.com/office/drawing/2014/chart" uri="{C3380CC4-5D6E-409C-BE32-E72D297353CC}">
              <c16:uniqueId val="{00000001-EB1E-4B4A-8F93-24302732C606}"/>
            </c:ext>
          </c:extLst>
        </c:ser>
        <c:dLbls>
          <c:dLblPos val="outEnd"/>
          <c:showLegendKey val="0"/>
          <c:showVal val="1"/>
          <c:showCatName val="0"/>
          <c:showSerName val="0"/>
          <c:showPercent val="0"/>
          <c:showBubbleSize val="0"/>
        </c:dLbls>
        <c:gapWidth val="100"/>
        <c:overlap val="-24"/>
        <c:axId val="1518277664"/>
        <c:axId val="1518274400"/>
      </c:barChart>
      <c:catAx>
        <c:axId val="1518277664"/>
        <c:scaling>
          <c:orientation val="minMax"/>
        </c:scaling>
        <c:delete val="0"/>
        <c:axPos val="b"/>
        <c:numFmt formatCode="General" sourceLinked="1"/>
        <c:majorTickMark val="none"/>
        <c:minorTickMark val="none"/>
        <c:tickLblPos val="low"/>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18274400"/>
        <c:crosses val="autoZero"/>
        <c:auto val="1"/>
        <c:lblAlgn val="ctr"/>
        <c:lblOffset val="100"/>
        <c:noMultiLvlLbl val="0"/>
      </c:catAx>
      <c:valAx>
        <c:axId val="151827440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18277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Sheet6!$A$2:$B$2</c:f>
              <c:strCache>
                <c:ptCount val="2"/>
                <c:pt idx="0">
                  <c:v>Price Earnings (P/E) Ratio</c:v>
                </c:pt>
                <c:pt idx="1">
                  <c:v>D/B</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Sheet6!$C$1:$G$1</c:f>
              <c:numCache>
                <c:formatCode>General</c:formatCode>
                <c:ptCount val="5"/>
                <c:pt idx="0">
                  <c:v>2021</c:v>
                </c:pt>
                <c:pt idx="1">
                  <c:v>2022</c:v>
                </c:pt>
                <c:pt idx="2">
                  <c:v>2023</c:v>
                </c:pt>
                <c:pt idx="3">
                  <c:v>2024</c:v>
                </c:pt>
                <c:pt idx="4">
                  <c:v>2025</c:v>
                </c:pt>
              </c:numCache>
            </c:numRef>
          </c:cat>
          <c:val>
            <c:numRef>
              <c:f>Sheet6!$C$2:$G$2</c:f>
              <c:numCache>
                <c:formatCode>General</c:formatCode>
                <c:ptCount val="5"/>
                <c:pt idx="0">
                  <c:v>108.69</c:v>
                </c:pt>
                <c:pt idx="1">
                  <c:v>28.03</c:v>
                </c:pt>
                <c:pt idx="2">
                  <c:v>42.15</c:v>
                </c:pt>
                <c:pt idx="3">
                  <c:v>40.479999999999997</c:v>
                </c:pt>
                <c:pt idx="4">
                  <c:v>44.95</c:v>
                </c:pt>
              </c:numCache>
            </c:numRef>
          </c:val>
          <c:extLst>
            <c:ext xmlns:c16="http://schemas.microsoft.com/office/drawing/2014/chart" uri="{C3380CC4-5D6E-409C-BE32-E72D297353CC}">
              <c16:uniqueId val="{00000000-3445-4A97-97DA-1A084BD0249F}"/>
            </c:ext>
          </c:extLst>
        </c:ser>
        <c:ser>
          <c:idx val="1"/>
          <c:order val="1"/>
          <c:tx>
            <c:strRef>
              <c:f>Sheet6!$A$3:$B$3</c:f>
              <c:strCache>
                <c:ptCount val="2"/>
                <c:pt idx="0">
                  <c:v>Dividend Yield (%)</c:v>
                </c:pt>
                <c:pt idx="1">
                  <c:v>(E/D) × 100</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Sheet6!$C$1:$G$1</c:f>
              <c:numCache>
                <c:formatCode>General</c:formatCode>
                <c:ptCount val="5"/>
                <c:pt idx="0">
                  <c:v>2021</c:v>
                </c:pt>
                <c:pt idx="1">
                  <c:v>2022</c:v>
                </c:pt>
                <c:pt idx="2">
                  <c:v>2023</c:v>
                </c:pt>
                <c:pt idx="3">
                  <c:v>2024</c:v>
                </c:pt>
                <c:pt idx="4">
                  <c:v>2025</c:v>
                </c:pt>
              </c:numCache>
            </c:numRef>
          </c:cat>
          <c:val>
            <c:numRef>
              <c:f>Sheet6!$C$3:$G$3</c:f>
              <c:numCache>
                <c:formatCode>0%</c:formatCode>
                <c:ptCount val="5"/>
                <c:pt idx="0">
                  <c:v>0</c:v>
                </c:pt>
                <c:pt idx="1">
                  <c:v>0</c:v>
                </c:pt>
                <c:pt idx="2" formatCode="0.00%">
                  <c:v>3.3E-3</c:v>
                </c:pt>
                <c:pt idx="3" formatCode="0.00%">
                  <c:v>2.3999999999999998E-3</c:v>
                </c:pt>
                <c:pt idx="4" formatCode="0.00%">
                  <c:v>2.2000000000000001E-3</c:v>
                </c:pt>
              </c:numCache>
            </c:numRef>
          </c:val>
          <c:extLst>
            <c:ext xmlns:c16="http://schemas.microsoft.com/office/drawing/2014/chart" uri="{C3380CC4-5D6E-409C-BE32-E72D297353CC}">
              <c16:uniqueId val="{00000001-3445-4A97-97DA-1A084BD0249F}"/>
            </c:ext>
          </c:extLst>
        </c:ser>
        <c:ser>
          <c:idx val="2"/>
          <c:order val="2"/>
          <c:tx>
            <c:strRef>
              <c:f>Sheet6!$A$4:$B$4</c:f>
              <c:strCache>
                <c:ptCount val="2"/>
                <c:pt idx="0">
                  <c:v>Book Value per Share (US$)</c:v>
                </c:pt>
                <c:pt idx="1">
                  <c:v>C / Shares Outstanding</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Sheet6!$C$1:$G$1</c:f>
              <c:numCache>
                <c:formatCode>General</c:formatCode>
                <c:ptCount val="5"/>
                <c:pt idx="0">
                  <c:v>2021</c:v>
                </c:pt>
                <c:pt idx="1">
                  <c:v>2022</c:v>
                </c:pt>
                <c:pt idx="2">
                  <c:v>2023</c:v>
                </c:pt>
                <c:pt idx="3">
                  <c:v>2024</c:v>
                </c:pt>
                <c:pt idx="4">
                  <c:v>2025</c:v>
                </c:pt>
              </c:numCache>
            </c:numRef>
          </c:cat>
          <c:val>
            <c:numRef>
              <c:f>Sheet6!$C$4:$G$4</c:f>
              <c:numCache>
                <c:formatCode>General</c:formatCode>
                <c:ptCount val="5"/>
                <c:pt idx="0">
                  <c:v>-17.739999999999998</c:v>
                </c:pt>
                <c:pt idx="1">
                  <c:v>-18</c:v>
                </c:pt>
                <c:pt idx="2">
                  <c:v>-17.43</c:v>
                </c:pt>
                <c:pt idx="3">
                  <c:v>-18.309999999999999</c:v>
                </c:pt>
                <c:pt idx="4">
                  <c:v>-20.71</c:v>
                </c:pt>
              </c:numCache>
            </c:numRef>
          </c:val>
          <c:extLst>
            <c:ext xmlns:c16="http://schemas.microsoft.com/office/drawing/2014/chart" uri="{C3380CC4-5D6E-409C-BE32-E72D297353CC}">
              <c16:uniqueId val="{00000002-3445-4A97-97DA-1A084BD0249F}"/>
            </c:ext>
          </c:extLst>
        </c:ser>
        <c:dLbls>
          <c:dLblPos val="outEnd"/>
          <c:showLegendKey val="0"/>
          <c:showVal val="1"/>
          <c:showCatName val="0"/>
          <c:showSerName val="0"/>
          <c:showPercent val="0"/>
          <c:showBubbleSize val="0"/>
        </c:dLbls>
        <c:gapWidth val="444"/>
        <c:overlap val="-90"/>
        <c:axId val="1518278208"/>
        <c:axId val="1518272768"/>
      </c:barChart>
      <c:catAx>
        <c:axId val="15182782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518272768"/>
        <c:crosses val="autoZero"/>
        <c:auto val="1"/>
        <c:lblAlgn val="ctr"/>
        <c:lblOffset val="100"/>
        <c:noMultiLvlLbl val="0"/>
      </c:catAx>
      <c:valAx>
        <c:axId val="1518272768"/>
        <c:scaling>
          <c:orientation val="minMax"/>
        </c:scaling>
        <c:delete val="1"/>
        <c:axPos val="l"/>
        <c:numFmt formatCode="General" sourceLinked="1"/>
        <c:majorTickMark val="none"/>
        <c:minorTickMark val="none"/>
        <c:tickLblPos val="nextTo"/>
        <c:crossAx val="15182782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Sheet7!$A$2:$B$2</c:f>
              <c:strCache>
                <c:ptCount val="2"/>
                <c:pt idx="0">
                  <c:v>Operating Cash Flow Ratio</c:v>
                </c:pt>
                <c:pt idx="1">
                  <c:v>A/C</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Sheet7!$C$2:$G$2</c:f>
              <c:numCache>
                <c:formatCode>General</c:formatCode>
                <c:ptCount val="5"/>
                <c:pt idx="0">
                  <c:v>0.49</c:v>
                </c:pt>
                <c:pt idx="1">
                  <c:v>0.73</c:v>
                </c:pt>
                <c:pt idx="2">
                  <c:v>0.77</c:v>
                </c:pt>
                <c:pt idx="3">
                  <c:v>0.78</c:v>
                </c:pt>
                <c:pt idx="4">
                  <c:v>0.76</c:v>
                </c:pt>
              </c:numCache>
            </c:numRef>
          </c:val>
          <c:extLst>
            <c:ext xmlns:c16="http://schemas.microsoft.com/office/drawing/2014/chart" uri="{C3380CC4-5D6E-409C-BE32-E72D297353CC}">
              <c16:uniqueId val="{00000000-6270-4333-8410-D9FBD564E2E5}"/>
            </c:ext>
          </c:extLst>
        </c:ser>
        <c:ser>
          <c:idx val="1"/>
          <c:order val="1"/>
          <c:tx>
            <c:strRef>
              <c:f>Sheet7!$A$3:$B$3</c:f>
              <c:strCache>
                <c:ptCount val="2"/>
                <c:pt idx="0">
                  <c:v>Operating Cash Flow Margin (%)</c:v>
                </c:pt>
                <c:pt idx="1">
                  <c:v>A/B</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Sheet7!$C$3:$G$3</c:f>
              <c:numCache>
                <c:formatCode>0.00%</c:formatCode>
                <c:ptCount val="5"/>
                <c:pt idx="0">
                  <c:v>0.22600000000000001</c:v>
                </c:pt>
                <c:pt idx="1">
                  <c:v>0.24709999999999999</c:v>
                </c:pt>
                <c:pt idx="2">
                  <c:v>0.23150000000000001</c:v>
                </c:pt>
                <c:pt idx="3">
                  <c:v>0.23089999999999999</c:v>
                </c:pt>
                <c:pt idx="4">
                  <c:v>0.22770000000000001</c:v>
                </c:pt>
              </c:numCache>
            </c:numRef>
          </c:val>
          <c:extLst>
            <c:ext xmlns:c16="http://schemas.microsoft.com/office/drawing/2014/chart" uri="{C3380CC4-5D6E-409C-BE32-E72D297353CC}">
              <c16:uniqueId val="{00000001-6270-4333-8410-D9FBD564E2E5}"/>
            </c:ext>
          </c:extLst>
        </c:ser>
        <c:ser>
          <c:idx val="2"/>
          <c:order val="2"/>
          <c:tx>
            <c:strRef>
              <c:f>Sheet7!$A$4:$B$4</c:f>
              <c:strCache>
                <c:ptCount val="2"/>
                <c:pt idx="0">
                  <c:v>Cash Flow to Debt Ratio</c:v>
                </c:pt>
                <c:pt idx="1">
                  <c:v>A/D</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Sheet7!$C$4:$G$4</c:f>
              <c:numCache>
                <c:formatCode>General</c:formatCode>
                <c:ptCount val="5"/>
                <c:pt idx="0">
                  <c:v>0.14000000000000001</c:v>
                </c:pt>
                <c:pt idx="1">
                  <c:v>0.22</c:v>
                </c:pt>
                <c:pt idx="2">
                  <c:v>0.23</c:v>
                </c:pt>
                <c:pt idx="3">
                  <c:v>0.24</c:v>
                </c:pt>
                <c:pt idx="4">
                  <c:v>0.25</c:v>
                </c:pt>
              </c:numCache>
            </c:numRef>
          </c:val>
          <c:extLst>
            <c:ext xmlns:c16="http://schemas.microsoft.com/office/drawing/2014/chart" uri="{C3380CC4-5D6E-409C-BE32-E72D297353CC}">
              <c16:uniqueId val="{00000002-6270-4333-8410-D9FBD564E2E5}"/>
            </c:ext>
          </c:extLst>
        </c:ser>
        <c:ser>
          <c:idx val="3"/>
          <c:order val="3"/>
          <c:tx>
            <c:strRef>
              <c:f>Sheet7!$A$5:$B$5</c:f>
              <c:strCache>
                <c:ptCount val="2"/>
                <c:pt idx="0">
                  <c:v>Free Cash Flow (US$m)</c:v>
                </c:pt>
                <c:pt idx="1">
                  <c:v>A − E</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Sheet7!$C$5:$G$5</c:f>
              <c:numCache>
                <c:formatCode>#,##0</c:formatCode>
                <c:ptCount val="5"/>
                <c:pt idx="0">
                  <c:v>1162</c:v>
                </c:pt>
                <c:pt idx="1">
                  <c:v>1986</c:v>
                </c:pt>
                <c:pt idx="2">
                  <c:v>2156</c:v>
                </c:pt>
                <c:pt idx="3">
                  <c:v>2344</c:v>
                </c:pt>
                <c:pt idx="4">
                  <c:v>2490</c:v>
                </c:pt>
              </c:numCache>
            </c:numRef>
          </c:val>
          <c:extLst>
            <c:ext xmlns:c16="http://schemas.microsoft.com/office/drawing/2014/chart" uri="{C3380CC4-5D6E-409C-BE32-E72D297353CC}">
              <c16:uniqueId val="{00000003-6270-4333-8410-D9FBD564E2E5}"/>
            </c:ext>
          </c:extLst>
        </c:ser>
        <c:dLbls>
          <c:dLblPos val="outEnd"/>
          <c:showLegendKey val="0"/>
          <c:showVal val="1"/>
          <c:showCatName val="0"/>
          <c:showSerName val="0"/>
          <c:showPercent val="0"/>
          <c:showBubbleSize val="0"/>
        </c:dLbls>
        <c:gapWidth val="444"/>
        <c:overlap val="-90"/>
        <c:axId val="1518276576"/>
        <c:axId val="1518273856"/>
      </c:barChart>
      <c:catAx>
        <c:axId val="15182765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518273856"/>
        <c:crosses val="autoZero"/>
        <c:auto val="1"/>
        <c:lblAlgn val="ctr"/>
        <c:lblOffset val="100"/>
        <c:noMultiLvlLbl val="0"/>
      </c:catAx>
      <c:valAx>
        <c:axId val="1518273856"/>
        <c:scaling>
          <c:orientation val="minMax"/>
        </c:scaling>
        <c:delete val="1"/>
        <c:axPos val="l"/>
        <c:numFmt formatCode="General" sourceLinked="1"/>
        <c:majorTickMark val="none"/>
        <c:minorTickMark val="none"/>
        <c:tickLblPos val="nextTo"/>
        <c:crossAx val="151827657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2.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C9F22-28BA-4096-8E35-679D55918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40</Pages>
  <Words>7375</Words>
  <Characters>42039</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Bending Moments</cp:lastModifiedBy>
  <cp:revision>13</cp:revision>
  <dcterms:created xsi:type="dcterms:W3CDTF">2026-07-21T06:01:00Z</dcterms:created>
  <dcterms:modified xsi:type="dcterms:W3CDTF">2026-08-06T23:56:00Z</dcterms:modified>
</cp:coreProperties>
</file>