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2BA8DF" w14:textId="77777777" w:rsidR="008C39E8" w:rsidRDefault="00000000">
      <w:r>
        <w:rPr>
          <w:noProof/>
        </w:rPr>
        <w:drawing>
          <wp:inline distT="114300" distB="114300" distL="114300" distR="114300" wp14:anchorId="140BF1EE" wp14:editId="294CF6ED">
            <wp:extent cx="2476500" cy="11049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2476500" cy="1104900"/>
                    </a:xfrm>
                    <a:prstGeom prst="rect">
                      <a:avLst/>
                    </a:prstGeom>
                    <a:ln/>
                  </pic:spPr>
                </pic:pic>
              </a:graphicData>
            </a:graphic>
          </wp:inline>
        </w:drawing>
      </w:r>
    </w:p>
    <w:p w14:paraId="64FA4236" w14:textId="77777777" w:rsidR="008C39E8" w:rsidRDefault="008C39E8"/>
    <w:p w14:paraId="6FCAEB3B" w14:textId="77777777" w:rsidR="008C39E8" w:rsidRDefault="008C39E8"/>
    <w:p w14:paraId="56AF1990" w14:textId="77777777" w:rsidR="008C39E8" w:rsidRDefault="008C39E8"/>
    <w:p w14:paraId="49C163CE" w14:textId="77777777" w:rsidR="008C39E8" w:rsidRDefault="00000000" w:rsidP="00BE7B85">
      <w:pPr>
        <w:pStyle w:val="Title"/>
        <w:jc w:val="both"/>
        <w:rPr>
          <w:sz w:val="36"/>
          <w:szCs w:val="36"/>
        </w:rPr>
      </w:pPr>
      <w:bookmarkStart w:id="0" w:name="_y0pxsyggcc9d" w:colFirst="0" w:colLast="0"/>
      <w:bookmarkEnd w:id="0"/>
      <w:r>
        <w:rPr>
          <w:sz w:val="36"/>
          <w:szCs w:val="36"/>
        </w:rPr>
        <w:t>Contemporary Themes in the Hotel and Hospitality Sector</w:t>
      </w:r>
    </w:p>
    <w:p w14:paraId="1B1EAD94" w14:textId="77777777" w:rsidR="008C39E8" w:rsidRDefault="00000000">
      <w:pPr>
        <w:pStyle w:val="Title"/>
      </w:pPr>
      <w:bookmarkStart w:id="1" w:name="_ggeqhyxamm36" w:colFirst="0" w:colLast="0"/>
      <w:bookmarkEnd w:id="1"/>
      <w:r>
        <w:t>BMIH6001</w:t>
      </w:r>
    </w:p>
    <w:p w14:paraId="02F5D525" w14:textId="77777777" w:rsidR="008C39E8" w:rsidRDefault="00000000">
      <w:pPr>
        <w:jc w:val="center"/>
        <w:rPr>
          <w:b/>
          <w:i/>
        </w:rPr>
      </w:pPr>
      <w:r>
        <w:rPr>
          <w:b/>
          <w:i/>
        </w:rPr>
        <w:t>Sustainability in Terms of Food Waste and Its Efficiency in the Hospitality Sector</w:t>
      </w:r>
    </w:p>
    <w:p w14:paraId="3151ADBF" w14:textId="77777777" w:rsidR="00BE7B85" w:rsidRDefault="00BE7B85">
      <w:pPr>
        <w:jc w:val="center"/>
        <w:rPr>
          <w:b/>
          <w:i/>
        </w:rPr>
      </w:pPr>
    </w:p>
    <w:p w14:paraId="40BC428A" w14:textId="77777777" w:rsidR="00BE7B85" w:rsidRPr="00E77CFF" w:rsidRDefault="00BE7B85" w:rsidP="00BE7B85">
      <w:pPr>
        <w:jc w:val="center"/>
        <w:rPr>
          <w:b/>
          <w:bCs/>
        </w:rPr>
      </w:pPr>
      <w:r w:rsidRPr="00E77CFF">
        <w:rPr>
          <w:b/>
          <w:bCs/>
        </w:rPr>
        <w:t xml:space="preserve">Student Name: </w:t>
      </w:r>
      <w:r>
        <w:rPr>
          <w:b/>
          <w:bCs/>
        </w:rPr>
        <w:t>Mihaela Calin</w:t>
      </w:r>
    </w:p>
    <w:p w14:paraId="11517F94" w14:textId="77777777" w:rsidR="00BE7B85" w:rsidRDefault="00BE7B85" w:rsidP="00BE7B85">
      <w:pPr>
        <w:jc w:val="center"/>
        <w:rPr>
          <w:b/>
          <w:bCs/>
        </w:rPr>
      </w:pPr>
      <w:r w:rsidRPr="00E77CFF">
        <w:rPr>
          <w:b/>
          <w:bCs/>
        </w:rPr>
        <w:t>Student ID:</w:t>
      </w:r>
      <w:r>
        <w:rPr>
          <w:b/>
          <w:bCs/>
        </w:rPr>
        <w:t>2226828</w:t>
      </w:r>
    </w:p>
    <w:p w14:paraId="7E980344" w14:textId="0DF2B87D" w:rsidR="00BE7B85" w:rsidRPr="00E77CFF" w:rsidRDefault="00BE7B85" w:rsidP="00BE7B85">
      <w:pPr>
        <w:jc w:val="center"/>
        <w:rPr>
          <w:b/>
          <w:bCs/>
        </w:rPr>
      </w:pPr>
      <w:r>
        <w:rPr>
          <w:b/>
          <w:bCs/>
        </w:rPr>
        <w:t>Module Lead Natalie Brailsford</w:t>
      </w:r>
    </w:p>
    <w:p w14:paraId="4EB28E0C" w14:textId="026DD5CF" w:rsidR="00BE7B85" w:rsidRPr="00E77CFF" w:rsidRDefault="00BE7B85" w:rsidP="00BE7B85">
      <w:pPr>
        <w:jc w:val="center"/>
        <w:rPr>
          <w:b/>
          <w:bCs/>
        </w:rPr>
      </w:pPr>
    </w:p>
    <w:p w14:paraId="6F292084" w14:textId="77777777" w:rsidR="00BE7B85" w:rsidRDefault="00BE7B85"/>
    <w:p w14:paraId="53120C44" w14:textId="77777777" w:rsidR="00BE7B85" w:rsidRDefault="00BE7B85"/>
    <w:p w14:paraId="600BFCC2" w14:textId="77777777" w:rsidR="00BE7B85" w:rsidRDefault="00BE7B85"/>
    <w:p w14:paraId="7BF568E2" w14:textId="77777777" w:rsidR="00BE7B85" w:rsidRDefault="00BE7B85"/>
    <w:p w14:paraId="09059609" w14:textId="77777777" w:rsidR="00BE7B85" w:rsidRDefault="00BE7B85"/>
    <w:p w14:paraId="24D06BB0" w14:textId="77777777" w:rsidR="00BE7B85" w:rsidRDefault="00BE7B85"/>
    <w:p w14:paraId="65BD04E3" w14:textId="77777777" w:rsidR="00BE7B85" w:rsidRDefault="00BE7B85"/>
    <w:p w14:paraId="5BBC917F" w14:textId="77777777" w:rsidR="00BE7B85" w:rsidRDefault="00BE7B85"/>
    <w:p w14:paraId="1E1700B1" w14:textId="77777777" w:rsidR="00BE7B85" w:rsidRDefault="00BE7B85"/>
    <w:p w14:paraId="6AA0E2E8" w14:textId="77777777" w:rsidR="00BE7B85" w:rsidRDefault="00BE7B85"/>
    <w:p w14:paraId="2A7BC93F" w14:textId="77777777" w:rsidR="00BE7B85" w:rsidRDefault="00BE7B85"/>
    <w:p w14:paraId="0924D434" w14:textId="69E43367" w:rsidR="00BE7B85" w:rsidRDefault="00BE7B85">
      <w:r w:rsidRPr="00C43D87">
        <w:rPr>
          <w:b/>
          <w:bCs/>
          <w:sz w:val="20"/>
          <w:szCs w:val="20"/>
          <w:lang w:val="en-IN"/>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br w:type="page"/>
      </w:r>
    </w:p>
    <w:p w14:paraId="62440C4D" w14:textId="77777777" w:rsidR="008C39E8" w:rsidRDefault="00000000">
      <w:pPr>
        <w:pStyle w:val="Heading1"/>
      </w:pPr>
      <w:bookmarkStart w:id="2" w:name="_u848ixv7fv5j" w:colFirst="0" w:colLast="0"/>
      <w:bookmarkEnd w:id="2"/>
      <w:r>
        <w:lastRenderedPageBreak/>
        <w:t>Abstract</w:t>
      </w:r>
    </w:p>
    <w:p w14:paraId="6798DE9B" w14:textId="77777777" w:rsidR="008C39E8" w:rsidRDefault="00000000">
      <w:r>
        <w:t>The study examines the importance of sustainable food waste management and its effectiveness in the hospitality industry. As the pressure to the environment and economy increases, hotels are becoming sustainable to reduce waste and enhance efficiency of operations. The paper examines the benefits of implementing frameworks, including waste hierarchy and circular economy in improving the use of resources, minimising cost, and promoting environmental performance. It uses new literature and industry examples to determine the most significant sustainability indicators and best practises that would lead to net-zero achievement. The results indicate that proper management of food waste is a key to profitability in the long run and sustainable hospitality management.</w:t>
      </w:r>
      <w:r>
        <w:br w:type="page"/>
      </w:r>
    </w:p>
    <w:p w14:paraId="6EA0CB14" w14:textId="77777777" w:rsidR="008C39E8" w:rsidRDefault="00000000">
      <w:pPr>
        <w:jc w:val="center"/>
        <w:rPr>
          <w:b/>
          <w:sz w:val="28"/>
          <w:szCs w:val="28"/>
        </w:rPr>
      </w:pPr>
      <w:r>
        <w:rPr>
          <w:b/>
          <w:sz w:val="28"/>
          <w:szCs w:val="28"/>
        </w:rPr>
        <w:lastRenderedPageBreak/>
        <w:t>Table of Contents</w:t>
      </w:r>
    </w:p>
    <w:sdt>
      <w:sdtPr>
        <w:id w:val="-1150115640"/>
        <w:docPartObj>
          <w:docPartGallery w:val="Table of Contents"/>
          <w:docPartUnique/>
        </w:docPartObj>
      </w:sdtPr>
      <w:sdtContent>
        <w:p w14:paraId="299BB840" w14:textId="77777777" w:rsidR="008C39E8" w:rsidRDefault="008C39E8">
          <w:pPr>
            <w:widowControl w:val="0"/>
            <w:tabs>
              <w:tab w:val="right" w:leader="dot" w:pos="12000"/>
            </w:tabs>
            <w:spacing w:before="60" w:line="240" w:lineRule="auto"/>
            <w:jc w:val="left"/>
            <w:rPr>
              <w:b/>
              <w:color w:val="000000"/>
            </w:rPr>
          </w:pPr>
          <w:r>
            <w:fldChar w:fldCharType="begin"/>
          </w:r>
          <w:r w:rsidR="00000000">
            <w:instrText xml:space="preserve"> TOC \h \u \z \t "Heading 1,1,Heading 2,2,Heading 3,3,Heading 4,4,Heading 5,5,Heading 6,6,"</w:instrText>
          </w:r>
          <w:r>
            <w:fldChar w:fldCharType="separate"/>
          </w:r>
          <w:hyperlink w:anchor="_u848ixv7fv5j">
            <w:r>
              <w:rPr>
                <w:b/>
                <w:color w:val="000000"/>
              </w:rPr>
              <w:t>Abstract</w:t>
            </w:r>
            <w:r>
              <w:rPr>
                <w:b/>
                <w:color w:val="000000"/>
              </w:rPr>
              <w:tab/>
              <w:t>2</w:t>
            </w:r>
          </w:hyperlink>
        </w:p>
        <w:p w14:paraId="55F83E00" w14:textId="77777777" w:rsidR="008C39E8" w:rsidRDefault="008C39E8">
          <w:pPr>
            <w:widowControl w:val="0"/>
            <w:tabs>
              <w:tab w:val="right" w:leader="dot" w:pos="12000"/>
            </w:tabs>
            <w:spacing w:before="60" w:line="240" w:lineRule="auto"/>
            <w:jc w:val="left"/>
            <w:rPr>
              <w:b/>
              <w:color w:val="000000"/>
            </w:rPr>
          </w:pPr>
          <w:hyperlink w:anchor="_i0ox0uvvxnh4">
            <w:r>
              <w:rPr>
                <w:b/>
                <w:color w:val="000000"/>
              </w:rPr>
              <w:t>1. Introduction</w:t>
            </w:r>
            <w:r>
              <w:rPr>
                <w:b/>
                <w:color w:val="000000"/>
              </w:rPr>
              <w:tab/>
              <w:t>4</w:t>
            </w:r>
          </w:hyperlink>
        </w:p>
        <w:p w14:paraId="2F6F5C2B" w14:textId="77777777" w:rsidR="008C39E8" w:rsidRDefault="008C39E8">
          <w:pPr>
            <w:widowControl w:val="0"/>
            <w:tabs>
              <w:tab w:val="right" w:leader="dot" w:pos="12000"/>
            </w:tabs>
            <w:spacing w:before="60" w:line="240" w:lineRule="auto"/>
            <w:jc w:val="left"/>
            <w:rPr>
              <w:b/>
              <w:color w:val="000000"/>
            </w:rPr>
          </w:pPr>
          <w:hyperlink w:anchor="_65kkx3ovdqio">
            <w:r>
              <w:rPr>
                <w:b/>
                <w:color w:val="000000"/>
              </w:rPr>
              <w:t>2. Literature Review</w:t>
            </w:r>
            <w:r>
              <w:rPr>
                <w:b/>
                <w:color w:val="000000"/>
              </w:rPr>
              <w:tab/>
              <w:t>4</w:t>
            </w:r>
          </w:hyperlink>
        </w:p>
        <w:p w14:paraId="5E2FB31D" w14:textId="77777777" w:rsidR="008C39E8" w:rsidRDefault="008C39E8">
          <w:pPr>
            <w:widowControl w:val="0"/>
            <w:tabs>
              <w:tab w:val="right" w:leader="dot" w:pos="12000"/>
            </w:tabs>
            <w:spacing w:before="60" w:line="240" w:lineRule="auto"/>
            <w:ind w:left="360"/>
            <w:jc w:val="left"/>
            <w:rPr>
              <w:color w:val="000000"/>
            </w:rPr>
          </w:pPr>
          <w:hyperlink w:anchor="_x76j3q8sqvzh">
            <w:r>
              <w:rPr>
                <w:color w:val="000000"/>
              </w:rPr>
              <w:t>2.1 Definition of Sustainability in Hospitality</w:t>
            </w:r>
            <w:r>
              <w:rPr>
                <w:color w:val="000000"/>
              </w:rPr>
              <w:tab/>
              <w:t>4</w:t>
            </w:r>
          </w:hyperlink>
        </w:p>
        <w:p w14:paraId="66F7430A" w14:textId="77777777" w:rsidR="008C39E8" w:rsidRDefault="008C39E8">
          <w:pPr>
            <w:widowControl w:val="0"/>
            <w:tabs>
              <w:tab w:val="right" w:leader="dot" w:pos="12000"/>
            </w:tabs>
            <w:spacing w:before="60" w:line="240" w:lineRule="auto"/>
            <w:ind w:left="360"/>
            <w:jc w:val="left"/>
            <w:rPr>
              <w:color w:val="000000"/>
            </w:rPr>
          </w:pPr>
          <w:hyperlink w:anchor="_aldbwt2bkyqj">
            <w:r>
              <w:rPr>
                <w:color w:val="000000"/>
              </w:rPr>
              <w:t>2.2 What is Food Waste and what are its origins?</w:t>
            </w:r>
            <w:r>
              <w:rPr>
                <w:color w:val="000000"/>
              </w:rPr>
              <w:tab/>
              <w:t>4</w:t>
            </w:r>
          </w:hyperlink>
        </w:p>
        <w:p w14:paraId="36D3B8DD" w14:textId="77777777" w:rsidR="008C39E8" w:rsidRDefault="008C39E8">
          <w:pPr>
            <w:widowControl w:val="0"/>
            <w:tabs>
              <w:tab w:val="right" w:leader="dot" w:pos="12000"/>
            </w:tabs>
            <w:spacing w:before="60" w:line="240" w:lineRule="auto"/>
            <w:ind w:left="360"/>
            <w:jc w:val="left"/>
            <w:rPr>
              <w:color w:val="000000"/>
            </w:rPr>
          </w:pPr>
          <w:hyperlink w:anchor="_rbz5vo1eyvbh">
            <w:r>
              <w:rPr>
                <w:color w:val="000000"/>
              </w:rPr>
              <w:t>2.3 Impacts of Food Waste</w:t>
            </w:r>
            <w:r>
              <w:rPr>
                <w:color w:val="000000"/>
              </w:rPr>
              <w:tab/>
              <w:t>5</w:t>
            </w:r>
          </w:hyperlink>
        </w:p>
        <w:p w14:paraId="7367D524" w14:textId="77777777" w:rsidR="008C39E8" w:rsidRDefault="008C39E8">
          <w:pPr>
            <w:widowControl w:val="0"/>
            <w:tabs>
              <w:tab w:val="right" w:leader="dot" w:pos="12000"/>
            </w:tabs>
            <w:spacing w:before="60" w:line="240" w:lineRule="auto"/>
            <w:ind w:left="360"/>
            <w:jc w:val="left"/>
            <w:rPr>
              <w:color w:val="000000"/>
            </w:rPr>
          </w:pPr>
          <w:hyperlink w:anchor="_jo372psopmvb">
            <w:r>
              <w:rPr>
                <w:color w:val="000000"/>
              </w:rPr>
              <w:t>2.4 Models of efficiency in food waste management practices</w:t>
            </w:r>
            <w:r>
              <w:rPr>
                <w:color w:val="000000"/>
              </w:rPr>
              <w:tab/>
              <w:t>5</w:t>
            </w:r>
          </w:hyperlink>
        </w:p>
        <w:p w14:paraId="7168C4A1" w14:textId="77777777" w:rsidR="008C39E8" w:rsidRDefault="008C39E8">
          <w:pPr>
            <w:widowControl w:val="0"/>
            <w:tabs>
              <w:tab w:val="right" w:leader="dot" w:pos="12000"/>
            </w:tabs>
            <w:spacing w:before="60" w:line="240" w:lineRule="auto"/>
            <w:ind w:left="360"/>
            <w:jc w:val="left"/>
            <w:rPr>
              <w:color w:val="000000"/>
            </w:rPr>
          </w:pPr>
          <w:hyperlink w:anchor="_yvgqoh5ij56c">
            <w:r>
              <w:rPr>
                <w:color w:val="000000"/>
              </w:rPr>
              <w:t>2.5 Theoretical Framework</w:t>
            </w:r>
            <w:r>
              <w:rPr>
                <w:color w:val="000000"/>
              </w:rPr>
              <w:tab/>
              <w:t>6</w:t>
            </w:r>
          </w:hyperlink>
        </w:p>
        <w:p w14:paraId="5B4C4CBF" w14:textId="77777777" w:rsidR="008C39E8" w:rsidRDefault="008C39E8">
          <w:pPr>
            <w:widowControl w:val="0"/>
            <w:tabs>
              <w:tab w:val="right" w:leader="dot" w:pos="12000"/>
            </w:tabs>
            <w:spacing w:before="60" w:line="240" w:lineRule="auto"/>
            <w:ind w:left="360"/>
            <w:jc w:val="left"/>
            <w:rPr>
              <w:color w:val="000000"/>
            </w:rPr>
          </w:pPr>
          <w:hyperlink w:anchor="_15227295ami9">
            <w:r>
              <w:rPr>
                <w:color w:val="000000"/>
              </w:rPr>
              <w:t>2.6 Gaps</w:t>
            </w:r>
            <w:r>
              <w:rPr>
                <w:color w:val="000000"/>
              </w:rPr>
              <w:tab/>
              <w:t>6</w:t>
            </w:r>
          </w:hyperlink>
        </w:p>
        <w:p w14:paraId="192929C2" w14:textId="77777777" w:rsidR="008C39E8" w:rsidRDefault="008C39E8">
          <w:pPr>
            <w:widowControl w:val="0"/>
            <w:tabs>
              <w:tab w:val="right" w:leader="dot" w:pos="12000"/>
            </w:tabs>
            <w:spacing w:before="60" w:line="240" w:lineRule="auto"/>
            <w:jc w:val="left"/>
            <w:rPr>
              <w:b/>
              <w:color w:val="000000"/>
            </w:rPr>
          </w:pPr>
          <w:hyperlink w:anchor="_60m6l3aiq1po">
            <w:r>
              <w:rPr>
                <w:b/>
                <w:color w:val="000000"/>
              </w:rPr>
              <w:t>3. Methodology</w:t>
            </w:r>
            <w:r>
              <w:rPr>
                <w:b/>
                <w:color w:val="000000"/>
              </w:rPr>
              <w:tab/>
              <w:t>6</w:t>
            </w:r>
          </w:hyperlink>
        </w:p>
        <w:p w14:paraId="5B33C04E" w14:textId="77777777" w:rsidR="008C39E8" w:rsidRDefault="008C39E8">
          <w:pPr>
            <w:widowControl w:val="0"/>
            <w:tabs>
              <w:tab w:val="right" w:leader="dot" w:pos="12000"/>
            </w:tabs>
            <w:spacing w:before="60" w:line="240" w:lineRule="auto"/>
            <w:jc w:val="left"/>
            <w:rPr>
              <w:b/>
              <w:color w:val="000000"/>
            </w:rPr>
          </w:pPr>
          <w:hyperlink w:anchor="_t08e8aox0qfu">
            <w:r>
              <w:rPr>
                <w:b/>
                <w:color w:val="000000"/>
              </w:rPr>
              <w:t>4. Theme Impact Analysis</w:t>
            </w:r>
            <w:r>
              <w:rPr>
                <w:b/>
                <w:color w:val="000000"/>
              </w:rPr>
              <w:tab/>
              <w:t>7</w:t>
            </w:r>
          </w:hyperlink>
        </w:p>
        <w:p w14:paraId="6B655F74" w14:textId="77777777" w:rsidR="008C39E8" w:rsidRDefault="008C39E8">
          <w:pPr>
            <w:widowControl w:val="0"/>
            <w:tabs>
              <w:tab w:val="right" w:leader="dot" w:pos="12000"/>
            </w:tabs>
            <w:spacing w:before="60" w:line="240" w:lineRule="auto"/>
            <w:ind w:left="360"/>
            <w:jc w:val="left"/>
            <w:rPr>
              <w:color w:val="000000"/>
            </w:rPr>
          </w:pPr>
          <w:hyperlink w:anchor="_hbfarmbezeja">
            <w:r>
              <w:rPr>
                <w:color w:val="000000"/>
              </w:rPr>
              <w:t>4.1 Environmental Impact and Efficiency</w:t>
            </w:r>
            <w:r>
              <w:rPr>
                <w:color w:val="000000"/>
              </w:rPr>
              <w:tab/>
              <w:t>7</w:t>
            </w:r>
          </w:hyperlink>
        </w:p>
        <w:p w14:paraId="2B0BCD4B" w14:textId="77777777" w:rsidR="008C39E8" w:rsidRDefault="008C39E8">
          <w:pPr>
            <w:widowControl w:val="0"/>
            <w:tabs>
              <w:tab w:val="right" w:leader="dot" w:pos="12000"/>
            </w:tabs>
            <w:spacing w:before="60" w:line="240" w:lineRule="auto"/>
            <w:ind w:left="360"/>
            <w:jc w:val="left"/>
            <w:rPr>
              <w:color w:val="000000"/>
            </w:rPr>
          </w:pPr>
          <w:hyperlink w:anchor="_x1qjgi71q4z3">
            <w:r>
              <w:rPr>
                <w:color w:val="000000"/>
              </w:rPr>
              <w:t>4.2 Economic Efficiency</w:t>
            </w:r>
            <w:r>
              <w:rPr>
                <w:color w:val="000000"/>
              </w:rPr>
              <w:tab/>
              <w:t>7</w:t>
            </w:r>
          </w:hyperlink>
        </w:p>
        <w:p w14:paraId="7ECF7C4D" w14:textId="77777777" w:rsidR="008C39E8" w:rsidRDefault="008C39E8">
          <w:pPr>
            <w:widowControl w:val="0"/>
            <w:tabs>
              <w:tab w:val="right" w:leader="dot" w:pos="12000"/>
            </w:tabs>
            <w:spacing w:before="60" w:line="240" w:lineRule="auto"/>
            <w:ind w:left="360"/>
            <w:jc w:val="left"/>
            <w:rPr>
              <w:color w:val="000000"/>
            </w:rPr>
          </w:pPr>
          <w:hyperlink w:anchor="_tzpx8glil4rh">
            <w:r>
              <w:rPr>
                <w:color w:val="000000"/>
              </w:rPr>
              <w:t>4.3 Social and Ethical Implications</w:t>
            </w:r>
            <w:r>
              <w:rPr>
                <w:color w:val="000000"/>
              </w:rPr>
              <w:tab/>
              <w:t>8</w:t>
            </w:r>
          </w:hyperlink>
        </w:p>
        <w:p w14:paraId="78E08FCE" w14:textId="77777777" w:rsidR="008C39E8" w:rsidRDefault="008C39E8">
          <w:pPr>
            <w:widowControl w:val="0"/>
            <w:tabs>
              <w:tab w:val="right" w:leader="dot" w:pos="12000"/>
            </w:tabs>
            <w:spacing w:before="60" w:line="240" w:lineRule="auto"/>
            <w:ind w:left="360"/>
            <w:jc w:val="left"/>
            <w:rPr>
              <w:color w:val="000000"/>
            </w:rPr>
          </w:pPr>
          <w:hyperlink w:anchor="_bqotuq17i5rl">
            <w:r>
              <w:rPr>
                <w:color w:val="000000"/>
              </w:rPr>
              <w:t>4.4 Industry Responses and Critical Reflection</w:t>
            </w:r>
            <w:r>
              <w:rPr>
                <w:color w:val="000000"/>
              </w:rPr>
              <w:tab/>
              <w:t>8</w:t>
            </w:r>
          </w:hyperlink>
        </w:p>
        <w:p w14:paraId="59F9B929" w14:textId="77777777" w:rsidR="008C39E8" w:rsidRDefault="008C39E8">
          <w:pPr>
            <w:widowControl w:val="0"/>
            <w:tabs>
              <w:tab w:val="right" w:leader="dot" w:pos="12000"/>
            </w:tabs>
            <w:spacing w:before="60" w:line="240" w:lineRule="auto"/>
            <w:jc w:val="left"/>
            <w:rPr>
              <w:b/>
              <w:color w:val="000000"/>
            </w:rPr>
          </w:pPr>
          <w:hyperlink w:anchor="_7qg4i2iyren">
            <w:r>
              <w:rPr>
                <w:b/>
                <w:color w:val="000000"/>
              </w:rPr>
              <w:t>5. Conclusion</w:t>
            </w:r>
            <w:r>
              <w:rPr>
                <w:b/>
                <w:color w:val="000000"/>
              </w:rPr>
              <w:tab/>
              <w:t>8</w:t>
            </w:r>
          </w:hyperlink>
        </w:p>
        <w:p w14:paraId="5C414650" w14:textId="77777777" w:rsidR="008C39E8" w:rsidRDefault="008C39E8">
          <w:pPr>
            <w:widowControl w:val="0"/>
            <w:tabs>
              <w:tab w:val="right" w:leader="dot" w:pos="12000"/>
            </w:tabs>
            <w:spacing w:before="60" w:line="240" w:lineRule="auto"/>
            <w:jc w:val="left"/>
            <w:rPr>
              <w:b/>
              <w:color w:val="000000"/>
            </w:rPr>
          </w:pPr>
          <w:hyperlink w:anchor="_oub76cyj0k94">
            <w:r>
              <w:rPr>
                <w:b/>
                <w:color w:val="000000"/>
              </w:rPr>
              <w:t>6. Recommendations</w:t>
            </w:r>
            <w:r>
              <w:rPr>
                <w:b/>
                <w:color w:val="000000"/>
              </w:rPr>
              <w:tab/>
              <w:t>9</w:t>
            </w:r>
          </w:hyperlink>
        </w:p>
        <w:p w14:paraId="4F3364E5" w14:textId="77777777" w:rsidR="008C39E8" w:rsidRDefault="008C39E8">
          <w:pPr>
            <w:widowControl w:val="0"/>
            <w:tabs>
              <w:tab w:val="right" w:leader="dot" w:pos="12000"/>
            </w:tabs>
            <w:spacing w:before="60" w:line="240" w:lineRule="auto"/>
            <w:ind w:left="360"/>
            <w:jc w:val="left"/>
            <w:rPr>
              <w:color w:val="000000"/>
            </w:rPr>
          </w:pPr>
          <w:hyperlink w:anchor="_al7g536wucg6">
            <w:r>
              <w:rPr>
                <w:color w:val="000000"/>
              </w:rPr>
              <w:t>6.1 Operational Recommendations</w:t>
            </w:r>
            <w:r>
              <w:rPr>
                <w:color w:val="000000"/>
              </w:rPr>
              <w:tab/>
              <w:t>9</w:t>
            </w:r>
          </w:hyperlink>
        </w:p>
        <w:p w14:paraId="01B28C5F" w14:textId="77777777" w:rsidR="008C39E8" w:rsidRDefault="008C39E8">
          <w:pPr>
            <w:widowControl w:val="0"/>
            <w:tabs>
              <w:tab w:val="right" w:leader="dot" w:pos="12000"/>
            </w:tabs>
            <w:spacing w:before="60" w:line="240" w:lineRule="auto"/>
            <w:ind w:left="360"/>
            <w:jc w:val="left"/>
            <w:rPr>
              <w:color w:val="000000"/>
            </w:rPr>
          </w:pPr>
          <w:hyperlink w:anchor="_9o9klx6qvys1">
            <w:r>
              <w:rPr>
                <w:color w:val="000000"/>
              </w:rPr>
              <w:t>6.2 Recommendations on Policy and Management</w:t>
            </w:r>
            <w:r>
              <w:rPr>
                <w:color w:val="000000"/>
              </w:rPr>
              <w:tab/>
              <w:t>9</w:t>
            </w:r>
          </w:hyperlink>
        </w:p>
        <w:p w14:paraId="39BFD08F" w14:textId="77777777" w:rsidR="008C39E8" w:rsidRDefault="008C39E8">
          <w:pPr>
            <w:widowControl w:val="0"/>
            <w:tabs>
              <w:tab w:val="right" w:leader="dot" w:pos="12000"/>
            </w:tabs>
            <w:spacing w:before="60" w:line="240" w:lineRule="auto"/>
            <w:ind w:left="360"/>
            <w:jc w:val="left"/>
            <w:rPr>
              <w:color w:val="000000"/>
            </w:rPr>
          </w:pPr>
          <w:hyperlink w:anchor="_9wjj7g7r3e78">
            <w:r>
              <w:rPr>
                <w:color w:val="000000"/>
              </w:rPr>
              <w:t>6.3 Future Research and innovation</w:t>
            </w:r>
            <w:r>
              <w:rPr>
                <w:color w:val="000000"/>
              </w:rPr>
              <w:tab/>
              <w:t>10</w:t>
            </w:r>
          </w:hyperlink>
        </w:p>
        <w:p w14:paraId="0EB0D2B3" w14:textId="77777777" w:rsidR="008C39E8" w:rsidRDefault="008C39E8">
          <w:pPr>
            <w:widowControl w:val="0"/>
            <w:tabs>
              <w:tab w:val="right" w:leader="dot" w:pos="12000"/>
            </w:tabs>
            <w:spacing w:before="60" w:line="240" w:lineRule="auto"/>
            <w:jc w:val="left"/>
            <w:rPr>
              <w:b/>
              <w:color w:val="000000"/>
            </w:rPr>
          </w:pPr>
          <w:hyperlink w:anchor="_s20mz7jjnxn1">
            <w:r>
              <w:rPr>
                <w:b/>
                <w:color w:val="000000"/>
              </w:rPr>
              <w:t>Reference</w:t>
            </w:r>
            <w:r>
              <w:rPr>
                <w:b/>
                <w:color w:val="000000"/>
              </w:rPr>
              <w:tab/>
              <w:t>11</w:t>
            </w:r>
          </w:hyperlink>
          <w:r>
            <w:fldChar w:fldCharType="end"/>
          </w:r>
        </w:p>
      </w:sdtContent>
    </w:sdt>
    <w:p w14:paraId="308FD1DA" w14:textId="77777777" w:rsidR="008C39E8" w:rsidRDefault="00000000">
      <w:pPr>
        <w:jc w:val="center"/>
      </w:pPr>
      <w:r>
        <w:br w:type="page"/>
      </w:r>
    </w:p>
    <w:p w14:paraId="18727436" w14:textId="77777777" w:rsidR="008C39E8" w:rsidRDefault="00000000">
      <w:pPr>
        <w:pStyle w:val="Heading1"/>
      </w:pPr>
      <w:bookmarkStart w:id="3" w:name="_i0ox0uvvxnh4" w:colFirst="0" w:colLast="0"/>
      <w:bookmarkEnd w:id="3"/>
      <w:r>
        <w:lastRenderedPageBreak/>
        <w:t>1. Introduction</w:t>
      </w:r>
    </w:p>
    <w:p w14:paraId="79E0F130" w14:textId="77777777" w:rsidR="008C39E8" w:rsidRDefault="00000000">
      <w:r>
        <w:t>Food waste is one of the sustainability issues in the global hospitality industry. Responsible hotel operations are based on sustainability, which means the satisfaction of the current needs without preventing the future generations of the people in the country to fulfil theirs. It is coordinating environmental preservation, social responsibility, and economic performance in hospitality. UNEP (2024) claims that 1.05 billion tonnes of food are wasted every year all over the world, and WRAP (2023) states that the UK hospitality and food service sector produce one million tonnes of waste every year. The losses registered by this waste are serious economic setbacks, and they are detrimental to greenhouse gas emissions, as well as they are a social wrongdoing of the distribution of the resources which can be used to eliminate hunger. In the case of the contemporary hotel which seeks to achieve net-zero and greater corporate responsibility, sound food waste management is not only ethically justified but operational as well. In the current paper, the researcher discusses the practise of sustainable food waste, its effects, and best practises to recommend how the hospitality industry can be resilient in the long term.</w:t>
      </w:r>
    </w:p>
    <w:p w14:paraId="4591B9C5" w14:textId="77777777" w:rsidR="008C39E8" w:rsidRDefault="00000000">
      <w:pPr>
        <w:pStyle w:val="Heading1"/>
      </w:pPr>
      <w:bookmarkStart w:id="4" w:name="_65kkx3ovdqio" w:colFirst="0" w:colLast="0"/>
      <w:bookmarkEnd w:id="4"/>
      <w:r>
        <w:t>2. Literature Review</w:t>
      </w:r>
    </w:p>
    <w:p w14:paraId="029093CF" w14:textId="77777777" w:rsidR="008C39E8" w:rsidRDefault="00000000">
      <w:pPr>
        <w:pStyle w:val="Heading2"/>
      </w:pPr>
      <w:bookmarkStart w:id="5" w:name="_x76j3q8sqvzh" w:colFirst="0" w:colLast="0"/>
      <w:bookmarkEnd w:id="5"/>
      <w:r>
        <w:t>2.1 Definition of Sustainability in Hospitality</w:t>
      </w:r>
    </w:p>
    <w:p w14:paraId="7F832C7C" w14:textId="77777777" w:rsidR="008C39E8" w:rsidRDefault="00000000">
      <w:r>
        <w:t>The concept of sustainability in the hospitality industry incorporates the triple bottom line model people, planet and profit to balance the social well-being, environmental protection and economic performance. By implementing sustainable practises, the hotels are also able to reduce the impact of environmental degradation but also enhance their brand image and loyalty in the eyes of the customers. Costa and Costa (2022) mention the Sustainable Development Goal of the United Nations 12 (Responsible Consumption and Production) which highlights the necessity of resource efficiency and waste minimisation, which is directly related to hospitality operations. According to Cooper, and Hall, (2019), the use of energy efficient systems, less food waste and helping communities around will boost operational credibility and draw ethically conscious guests. Since consumer needs are changing toward green hospitality, sustainability is a competitive advantage provider, driving the hotels to long-term profitability and making them the industry leaders in terms of environmental as well as social responsibility.</w:t>
      </w:r>
    </w:p>
    <w:p w14:paraId="664E8B68" w14:textId="77777777" w:rsidR="008C39E8" w:rsidRDefault="00000000">
      <w:pPr>
        <w:pStyle w:val="Heading2"/>
      </w:pPr>
      <w:bookmarkStart w:id="6" w:name="_aldbwt2bkyqj" w:colFirst="0" w:colLast="0"/>
      <w:bookmarkEnd w:id="6"/>
      <w:r>
        <w:t>2.2 What is Food Waste and what are its origins?</w:t>
      </w:r>
    </w:p>
    <w:p w14:paraId="6E46F702" w14:textId="77777777" w:rsidR="008C39E8" w:rsidRDefault="00000000">
      <w:r>
        <w:t xml:space="preserve">According to Ford. In the case of food waste in hospitality, Sturman (2020) defines food waste as avoidable and unavoidable waste during preparation, service, and consumption. It comprises plate waste, kitchen waste and Buffet waste, and it usually comes about due to overproduction, </w:t>
      </w:r>
      <w:r>
        <w:lastRenderedPageBreak/>
        <w:t>bad forecasting of the inventory, inconsistency in portion control, and inconsistency in customer behaviour. In the case of restaurants, buffets, and large-scale banquets, they are key contributors since they depend on over-preparation to satisfy the changeable demand. The situation is also worsened by seasonal changes in the menu and complicated supply chains. Lee and Huang, (2023) find that the incorrect estimation of demand in most hotels and the focus on food presentation due to its abundance contribute to the level of waste. The knowledge of those reasons allows specific actions, including better demand analysis and standardisation of portions, to assist hospitality managers to find a balance between guest satisfaction and sustainable management and effective use of resources.</w:t>
      </w:r>
    </w:p>
    <w:p w14:paraId="337F0CF3" w14:textId="77777777" w:rsidR="008C39E8" w:rsidRDefault="00000000">
      <w:pPr>
        <w:pStyle w:val="Heading2"/>
      </w:pPr>
      <w:bookmarkStart w:id="7" w:name="_rbz5vo1eyvbh" w:colFirst="0" w:colLast="0"/>
      <w:bookmarkEnd w:id="7"/>
      <w:r>
        <w:t>2.3 Impacts of Food Waste</w:t>
      </w:r>
    </w:p>
    <w:p w14:paraId="2C209E9F" w14:textId="77777777" w:rsidR="008C39E8" w:rsidRDefault="00000000">
      <w:r>
        <w:t>Food waste is not only harmful to the environment, but also economically and socially. In terms of environment, food decompositions emit methane a strong greenhouse gas that causes climatic changes. It further overloads water and energy sources needed in food production and transportation that increases the ecological footprint of the sector. Wasted food is a loss of investment in ingredients, labour and energy and disposal costs also increase operational costs. On the social front, food waste is a problem that creates ethical issues in a hungry world where there is food insecurity. Programmes such as FareShare and Too Good To Go show that redistribution of excess food helps communities as well as benefiting a hotel in terms of social responsibility. Sustainability objectives, consequently, are achieved through waste reduction, which helps to increase operational efficiency and community involvement (Population Sustainability Development, 2025).</w:t>
      </w:r>
    </w:p>
    <w:p w14:paraId="7A71F327" w14:textId="77777777" w:rsidR="008C39E8" w:rsidRDefault="00000000">
      <w:pPr>
        <w:pStyle w:val="Heading2"/>
      </w:pPr>
      <w:bookmarkStart w:id="8" w:name="_jo372psopmvb" w:colFirst="0" w:colLast="0"/>
      <w:bookmarkEnd w:id="8"/>
      <w:r>
        <w:t>2.4 Models of efficiency in food waste management practices</w:t>
      </w:r>
    </w:p>
    <w:p w14:paraId="008A249F" w14:textId="77777777" w:rsidR="008C39E8" w:rsidRDefault="00000000">
      <w:r>
        <w:t xml:space="preserve">Good management of food waste is based on the waste hierarchy where prevention, reuse, recycling, recovery, and disposal are prioritised. The most effective measure is the prevention by proper forecasting and training of staff. Reuse involves food donation and recycling is the composting or conversion of waste into energy. Hazen </w:t>
      </w:r>
      <w:r>
        <w:rPr>
          <w:i/>
        </w:rPr>
        <w:t>et al</w:t>
      </w:r>
      <w:r>
        <w:t>., (2021) argue that Lean Management, the Circular Economy and Life Cycle Assessment (LCA) offer systematic systems of efficiency maximisation and waste reduction throughout the supply chain. Hotels are now adopting AI-based inventory management, IoT, and smart kitchen sensors as a means to keep track of waste production. Other methods of ensuring sustainability performance comprise composting, menu optimisation and portion control technologies, which showed that efficiency and environmental responsibility could exist together in the hospitality operations.</w:t>
      </w:r>
    </w:p>
    <w:p w14:paraId="4EAB8835" w14:textId="77777777" w:rsidR="008C39E8" w:rsidRDefault="00000000">
      <w:pPr>
        <w:pStyle w:val="Heading2"/>
      </w:pPr>
      <w:bookmarkStart w:id="9" w:name="_yvgqoh5ij56c" w:colFirst="0" w:colLast="0"/>
      <w:bookmarkEnd w:id="9"/>
      <w:r>
        <w:lastRenderedPageBreak/>
        <w:t>2.5 Theoretical Framework</w:t>
      </w:r>
    </w:p>
    <w:p w14:paraId="259525AF" w14:textId="77777777" w:rsidR="008C39E8" w:rsidRDefault="00000000">
      <w:r>
        <w:t xml:space="preserve">This paper relies on the Triple Bottom Line (TBL) and Circular Economy (CE) models to look at the intersection point of sustainability and operational efficiency. According to Elshaer </w:t>
      </w:r>
      <w:r>
        <w:rPr>
          <w:i/>
        </w:rPr>
        <w:t>et al</w:t>
      </w:r>
      <w:r>
        <w:t>. (2025), the TBL model evaluates the hotel performance based on the social, environmental, and economic aspects, whereas the CE model encourages the reuse and regeneration of material as a means of resource circularity. Collectively, they lead the analysis of how the management of food waste in a sustainable way helps reduce the operational costs and improve the ecological performance. This conceptual background allows viewing the concept of waste reduction practises in terms of the long-term competitiveness, and harmonising the operations of the hospitality in the context of the global environmental policies and sustainable goals.</w:t>
      </w:r>
    </w:p>
    <w:p w14:paraId="65D37401" w14:textId="77777777" w:rsidR="008C39E8" w:rsidRDefault="00000000">
      <w:pPr>
        <w:pStyle w:val="Heading2"/>
      </w:pPr>
      <w:bookmarkStart w:id="10" w:name="_15227295ami9" w:colFirst="0" w:colLast="0"/>
      <w:bookmarkEnd w:id="10"/>
      <w:r>
        <w:t>2.6 Gaps</w:t>
      </w:r>
    </w:p>
    <w:p w14:paraId="7C162480" w14:textId="77777777" w:rsidR="008C39E8" w:rsidRDefault="00000000">
      <w:r>
        <w:t xml:space="preserve">Singh </w:t>
      </w:r>
      <w:r>
        <w:rPr>
          <w:i/>
        </w:rPr>
        <w:t>et al</w:t>
      </w:r>
      <w:r>
        <w:t>., (2024) state that although there is increased awareness, sustainable food waste practises are directly related to operational efficiency in the hospitality sector. The literature at hand is more inclined on the environmental end result than quantifiable performance gains. The missing linkage on how both technological and behavioural interventions contribute to sustainability and profitability in various hotel environments has not been fulfilled.</w:t>
      </w:r>
    </w:p>
    <w:p w14:paraId="7883300B" w14:textId="77777777" w:rsidR="008C39E8" w:rsidRDefault="00000000">
      <w:pPr>
        <w:pStyle w:val="Heading1"/>
      </w:pPr>
      <w:bookmarkStart w:id="11" w:name="_60m6l3aiq1po" w:colFirst="0" w:colLast="0"/>
      <w:bookmarkEnd w:id="11"/>
      <w:r>
        <w:t>3. Methodology</w:t>
      </w:r>
    </w:p>
    <w:p w14:paraId="5BD7056A" w14:textId="77777777" w:rsidR="008C39E8" w:rsidRDefault="00000000">
      <w:r>
        <w:t xml:space="preserve">The research philosophy in this study is positivism, which focuses on objective study of the data available in order to establish trends in sustainable management of food waste in hospitality industry. An approach that will be used is a deductive approach where theories of sustainability like the Triple Bottom Line and the Circular Economy are identified and the theories are tested by interpreting secondary data. The study uses a secondary qualitative approach, which collects data on the basis of credible sources, such as academic journals, industry articles, authentic websites, newspaper articles, and company annual reports of the top hotel chains. These resources of data allow having a thorough understanding of the existing practises, issues, and innovations associated with food waste minimisation (Cheong, </w:t>
      </w:r>
      <w:r>
        <w:rPr>
          <w:i/>
        </w:rPr>
        <w:t>et al</w:t>
      </w:r>
      <w:r>
        <w:t>., 2023). The research is analysed in a thematic manner, which enables the researcher to sort out the common themes like operational efficiency, environmental impact, and technological adaptation (Saunders, Lewis, and Thornhill, 2019). This systematic approach is reliable and comprehensive, whereby theoretical models are connected to empirical findings in the industry to determine the success of sustainability measures in food waste.</w:t>
      </w:r>
    </w:p>
    <w:p w14:paraId="62F7913E" w14:textId="77777777" w:rsidR="008C39E8" w:rsidRDefault="00000000">
      <w:pPr>
        <w:pStyle w:val="Heading1"/>
      </w:pPr>
      <w:bookmarkStart w:id="12" w:name="_t08e8aox0qfu" w:colFirst="0" w:colLast="0"/>
      <w:bookmarkEnd w:id="12"/>
      <w:r>
        <w:lastRenderedPageBreak/>
        <w:t>4. Theme Impact Analysis</w:t>
      </w:r>
    </w:p>
    <w:p w14:paraId="4E8BDA47" w14:textId="77777777" w:rsidR="008C39E8" w:rsidRDefault="00000000">
      <w:pPr>
        <w:pStyle w:val="Heading2"/>
      </w:pPr>
      <w:bookmarkStart w:id="13" w:name="_hbfarmbezeja" w:colFirst="0" w:colLast="0"/>
      <w:bookmarkEnd w:id="13"/>
      <w:r>
        <w:t>4.1 Environmental Impact and Efficiency</w:t>
      </w:r>
    </w:p>
    <w:p w14:paraId="6641BF11" w14:textId="77777777" w:rsidR="008C39E8" w:rsidRDefault="00000000">
      <w:r>
        <w:t>Food waste reduction would greatly reduce the environmental footprint of the hospitality industry because fewer organic substances will be deposited in the landfill, and no one will emit as much methane and CO2. Sustainable waste management is also more resource-efficient, both in terms of using less water, energy, and raw materials in the hotel activity (Parsakia, 2023). The use of new technologies like AI-based kitchen surveillance systems, smart metres, and composting machines have become useful in tracking and reducing waste. To illustrate, Hilton Hotels has pledged to reduce its food wastage by 50 percent by the year 2030 by using digital inventory tools that will detect on-hand production and enhance portion planning. On the same note, IHG Green Engage programme also integrates waste audit and composting project in an effort to cut down landfill reliance. The practises do not only help to safeguard the environment but also increase brand responsibility and stakeholder confidence showing that environmental efficiency has a direct impact on operational sustainability and global sustainability objectives like SDG 12 and SDG 13.</w:t>
      </w:r>
    </w:p>
    <w:p w14:paraId="034BD0E3" w14:textId="77777777" w:rsidR="008C39E8" w:rsidRDefault="00000000">
      <w:pPr>
        <w:pStyle w:val="Heading2"/>
      </w:pPr>
      <w:bookmarkStart w:id="14" w:name="_x1qjgi71q4z3" w:colFirst="0" w:colLast="0"/>
      <w:bookmarkEnd w:id="14"/>
      <w:r>
        <w:t>4.2 Economic Efficiency</w:t>
      </w:r>
    </w:p>
    <w:p w14:paraId="0E99428D" w14:textId="77777777" w:rsidR="008C39E8" w:rsidRDefault="00000000">
      <w:r>
        <w:t>Reduction of food waste directly results in savings in cost in the form of efficient purchasing, optimisation of supply chain and increased resource utilisation. Hotels can reduce costs of ingredients, labour and disposal costs by avoiding overproduction and enhanced management of storage (Business Waste, 2025). Also, local sourcing will lower transportation expenses and local economies. Sustainable practises are becoming easily quantifiable in terms of their payback (return on investment or ROI), with research carried out by WRAP showing that with each PS1 spent on food waste reduction, up to PS14 can be saved by businesses. Best practises of major brands (i.e. Marriott International) show the better profit margins through energy-efficient kitchens, menu optimisation, and waste analytics systems. The financial sustainability of smaller boutique hotels is also reported following low-cost composting and portion control policies. Therefore, sustainability efforts are not only ethical but also a financial strategic choice, which will lead to profitability in the long term, increased productivity and agility of operations in the competitive market.</w:t>
      </w:r>
    </w:p>
    <w:p w14:paraId="289AC38A" w14:textId="77777777" w:rsidR="008C39E8" w:rsidRDefault="00000000">
      <w:pPr>
        <w:pStyle w:val="Heading2"/>
      </w:pPr>
      <w:bookmarkStart w:id="15" w:name="_tzpx8glil4rh" w:colFirst="0" w:colLast="0"/>
      <w:bookmarkEnd w:id="15"/>
      <w:r>
        <w:t>4.3 Social and Ethical Implications</w:t>
      </w:r>
    </w:p>
    <w:p w14:paraId="544C44F9" w14:textId="77777777" w:rsidR="008C39E8" w:rsidRDefault="00000000">
      <w:r>
        <w:t xml:space="preserve">Sustainability in management of food waste, socially, brings out community participation and enhances corporate social responsibility. Several hotels partner with charities like FareShare and Too Good To Go, which redistribute excess food to disadvantaged groups of people and </w:t>
      </w:r>
      <w:r>
        <w:lastRenderedPageBreak/>
        <w:t>minimise starvation. Such endeavours improve brand image and customer goodwill. Hospitality businesses need to be ethical, comply with the principles of the Equality Act (2010) and adhere to ESG (Environmental, Social, and Governance) standards through promoting fairness, inclusivity, and responsibility in their decisions related to waste (Akbar, 2024). Employee involvement is also very essential - employee training and employee awareness programmes help in behaviours change among members of staff such as chefs to service staff to promote a culture of sustainability. Energy drinks and snacks in portion sizes or sensitisation of the guests also instil ethical dedication (Cozzio, Tokarchuk, and Maurer, 2021). Combined, these social and ethical aspects make sustainability a moral obligation in hospitality, and food waste reduction is part of the contribution to environmental objectives as well as social justice and responsible corporate citizenship.</w:t>
      </w:r>
    </w:p>
    <w:p w14:paraId="0CFED502" w14:textId="77777777" w:rsidR="008C39E8" w:rsidRDefault="00000000">
      <w:pPr>
        <w:pStyle w:val="Heading2"/>
      </w:pPr>
      <w:bookmarkStart w:id="16" w:name="_bqotuq17i5rl" w:colFirst="0" w:colLast="0"/>
      <w:bookmarkEnd w:id="16"/>
      <w:r>
        <w:t>4.4 Industry Responses and Critical Reflection</w:t>
      </w:r>
    </w:p>
    <w:p w14:paraId="273E6B52" w14:textId="77777777" w:rsidR="008C39E8" w:rsidRDefault="00000000">
      <w:r>
        <w:t>Big hotel chains, such as Hilton, IHG, and Accor, have adopted sustainability as a part of corporate strategy by monitoring waste using data and publishing sustainability reports every year. They have the financial resources and the infrastructure to put into effect modern technologies in areas of AI-based forecasting and smart waste sorting. On the contrary, small and medium-sized businesses (SMEs) have obstacles such as high startup costs, inadequate access to green technology, and inadequate quality of data on waste tracking. The level of consumer engagement is also different because not every guest is concerned with sustainable dining experiences (Alotaibi, 2025). Although the existing solutions decreased the total amount of waste, their applicability and uniformity are still low depending on various market segments. The industry needs to be innovative at a broader level, including government incentives, cross sector cooperation and common sustainability frameworks to seal the gaps which exist. Critical reflection shows that although there is an enhancement, sustainability in food waste management needs the continuous investment, education, and accountability transparently to realise long-term change.</w:t>
      </w:r>
    </w:p>
    <w:p w14:paraId="20A7E81B" w14:textId="77777777" w:rsidR="008C39E8" w:rsidRDefault="00000000">
      <w:pPr>
        <w:pStyle w:val="Heading1"/>
      </w:pPr>
      <w:bookmarkStart w:id="17" w:name="_7qg4i2iyren" w:colFirst="0" w:colLast="0"/>
      <w:bookmarkEnd w:id="17"/>
      <w:r>
        <w:t>5. Conclusion</w:t>
      </w:r>
    </w:p>
    <w:p w14:paraId="648019F1" w14:textId="77777777" w:rsidR="008C39E8" w:rsidRDefault="00000000">
      <w:r>
        <w:t xml:space="preserve">Reduction in food waste is critical towards attaining the sustainability of the environment and improving operational efficiency of the hospitality industry. This paper notes that sustainable practises do not only conserve resources and cut carbon emissions, but they also lead to long-term profitability and a strong brand reputation. It is essential to incorporate the monitoring systems based on technology, staff training initiatives, and codes of ethics to guarantee the presence of the steady and quantifiable advancement toward avoiding wastages. Going </w:t>
      </w:r>
      <w:r>
        <w:lastRenderedPageBreak/>
        <w:t>forward, any hospitality organisation that places emphasis on sustainability will experience a major competitive edge, as it manages to satisfy an increasing consumer demand and at the same time invest in a sustainable global environmental agenda and create a strong and sustainable base to the future development of the industry.</w:t>
      </w:r>
    </w:p>
    <w:p w14:paraId="21700CFE" w14:textId="77777777" w:rsidR="008C39E8" w:rsidRDefault="00000000">
      <w:pPr>
        <w:pStyle w:val="Heading1"/>
      </w:pPr>
      <w:bookmarkStart w:id="18" w:name="_oub76cyj0k94" w:colFirst="0" w:colLast="0"/>
      <w:bookmarkEnd w:id="18"/>
      <w:r>
        <w:t>6. Recommendations</w:t>
      </w:r>
    </w:p>
    <w:p w14:paraId="62AF28F7" w14:textId="77777777" w:rsidR="008C39E8" w:rsidRDefault="00000000">
      <w:pPr>
        <w:pStyle w:val="Heading2"/>
      </w:pPr>
      <w:bookmarkStart w:id="19" w:name="_al7g536wucg6" w:colFirst="0" w:colLast="0"/>
      <w:bookmarkEnd w:id="19"/>
      <w:r>
        <w:t>6.1 Operational Recommendations</w:t>
      </w:r>
    </w:p>
    <w:p w14:paraId="74C36A83" w14:textId="77777777" w:rsidR="008C39E8" w:rsidRDefault="00000000">
      <w:r>
        <w:t>Hotels ought to introduce digital monitoring systems and AI predictive applications to track purchasing, preparation, and disposal trends to have a real-time picture of waste production. The surplus production may be greatly reduced by creating zero waste kitchens by means of better portion control, cross-use of ingredients and clever menu design. The partnership with local farms and food redistribution charities would allow to organise organic waste and donate extra food, which strengthens the community participation and moral accountability (Rut, Davies, and Ng, 2021). Also, the on-site composting and anaerobic digestion units will convert waste into renewable energy and align the work with the principles of the circular economy and enhance the environmental footprint and resource efficiency of a hotel.</w:t>
      </w:r>
    </w:p>
    <w:p w14:paraId="07DA1B2E" w14:textId="77777777" w:rsidR="008C39E8" w:rsidRDefault="00000000">
      <w:pPr>
        <w:pStyle w:val="Heading2"/>
      </w:pPr>
      <w:bookmarkStart w:id="20" w:name="_9o9klx6qvys1" w:colFirst="0" w:colLast="0"/>
      <w:bookmarkEnd w:id="20"/>
      <w:r>
        <w:t>6.2 Recommendations on Policy and Management</w:t>
      </w:r>
    </w:p>
    <w:p w14:paraId="5551634A" w14:textId="77777777" w:rsidR="008C39E8" w:rsidRDefault="00000000">
      <w:r>
        <w:t>To reduce waste, hospitality organisations need to implement internal sustainability audits, and Key Performance Indicators (KPIs) should be associated with UN Sustainable Development Goals (SDG 12 and SDG 13) (de Visser-Amundson, 2022). The management should require employee training programmes as a way of instilling a sense of awareness and accountability in all the departments, including procurement through service delivery departments. Supply chain responsibility will be improved by developing supplier sustainability agreements based on local sourcing and ethical packaging and transparent reporting. Moreover, the integration of sustainability plans with the Environmental, Social, and Governance (ESG) systems can guarantee adherence to the universal reporting requirements and allow preserving the trust of investors and guests by providing clear environmental reporting.</w:t>
      </w:r>
    </w:p>
    <w:p w14:paraId="2E5AF4D6" w14:textId="77777777" w:rsidR="008C39E8" w:rsidRDefault="00000000">
      <w:pPr>
        <w:pStyle w:val="Heading2"/>
      </w:pPr>
      <w:bookmarkStart w:id="21" w:name="_9wjj7g7r3e78" w:colFirst="0" w:colLast="0"/>
      <w:bookmarkEnd w:id="21"/>
      <w:r>
        <w:t>6.3 Future Research and innovation</w:t>
      </w:r>
    </w:p>
    <w:p w14:paraId="726F7F3E" w14:textId="77777777" w:rsidR="008C39E8" w:rsidRDefault="00000000">
      <w:r>
        <w:t xml:space="preserve">The studies in the future should be directed towards longitudinal studies to quantify the effectiveness of food waste reduction programmes on a long-term basis, in the hotel category. The analysis of the role of the Internet of Things (IoT) sensors and Artificial Intelligence (AI) analytics could improve predictive modelling of procurement, waste separation, and consumption forecast (Paramesha, Rane, and Rane, 2024). Additionally, the change of consumer behavioural change and its effects on sustainable eating practises can offer new </w:t>
      </w:r>
      <w:r>
        <w:lastRenderedPageBreak/>
        <w:t>knowledge on waste prevention practises. Academic, technological developer, and hospitality provider cross-disciplinary partnerships are able to innovate structures that will not only reduce wastages, but also enhance a more data-driven, environmentally sustainable, and future-oriented hospitality sector.</w:t>
      </w:r>
      <w:r>
        <w:br w:type="page"/>
      </w:r>
    </w:p>
    <w:p w14:paraId="3A7174FF" w14:textId="77777777" w:rsidR="008C39E8" w:rsidRDefault="00000000">
      <w:pPr>
        <w:pStyle w:val="Heading1"/>
      </w:pPr>
      <w:bookmarkStart w:id="22" w:name="_s20mz7jjnxn1" w:colFirst="0" w:colLast="0"/>
      <w:bookmarkEnd w:id="22"/>
      <w:r>
        <w:lastRenderedPageBreak/>
        <w:t>Reference</w:t>
      </w:r>
    </w:p>
    <w:p w14:paraId="5065A514" w14:textId="77777777" w:rsidR="00947602" w:rsidRDefault="00947602">
      <w:pPr>
        <w:rPr>
          <w:color w:val="222222"/>
          <w:highlight w:val="white"/>
        </w:rPr>
      </w:pPr>
      <w:r>
        <w:rPr>
          <w:color w:val="222222"/>
          <w:highlight w:val="white"/>
        </w:rPr>
        <w:t xml:space="preserve">Akbar, F.A., (2024). A Holistic Approach to Sustainable Corporate Governance: Exploring the Role of Business Ethics and Technology–A Bibliometric Study. </w:t>
      </w:r>
      <w:r>
        <w:rPr>
          <w:i/>
          <w:color w:val="222222"/>
          <w:highlight w:val="white"/>
        </w:rPr>
        <w:t>Economics, Business, Accounting &amp; Society Review</w:t>
      </w:r>
      <w:r>
        <w:rPr>
          <w:color w:val="222222"/>
          <w:highlight w:val="white"/>
        </w:rPr>
        <w:t xml:space="preserve">, </w:t>
      </w:r>
      <w:r>
        <w:rPr>
          <w:i/>
          <w:color w:val="222222"/>
          <w:highlight w:val="white"/>
        </w:rPr>
        <w:t>3</w:t>
      </w:r>
      <w:r>
        <w:rPr>
          <w:color w:val="222222"/>
          <w:highlight w:val="white"/>
        </w:rPr>
        <w:t>(3), pp.182-196.</w:t>
      </w:r>
    </w:p>
    <w:p w14:paraId="50CB9985" w14:textId="77777777" w:rsidR="0046268E" w:rsidRPr="0046268E" w:rsidRDefault="0046268E" w:rsidP="0046268E">
      <w:pPr>
        <w:rPr>
          <w:color w:val="222222"/>
          <w:highlight w:val="white"/>
        </w:rPr>
      </w:pPr>
      <w:r w:rsidRPr="0046268E">
        <w:rPr>
          <w:color w:val="222222"/>
          <w:highlight w:val="white"/>
          <w:lang w:val="en-US"/>
        </w:rPr>
        <w:t xml:space="preserve">Albayrak Ünal, Ö., Erkayman, B. and Usanmaz, B., (2023). Applications of artificial intelligence in inventory management: A systematic review of the literature. </w:t>
      </w:r>
      <w:r w:rsidRPr="0046268E">
        <w:rPr>
          <w:i/>
          <w:iCs/>
          <w:color w:val="222222"/>
          <w:highlight w:val="white"/>
          <w:lang w:val="en-US"/>
        </w:rPr>
        <w:t>Archives of computational methods in engineering</w:t>
      </w:r>
      <w:r w:rsidRPr="0046268E">
        <w:rPr>
          <w:color w:val="222222"/>
          <w:highlight w:val="white"/>
          <w:lang w:val="en-US"/>
        </w:rPr>
        <w:t xml:space="preserve">, </w:t>
      </w:r>
      <w:r w:rsidRPr="0046268E">
        <w:rPr>
          <w:i/>
          <w:iCs/>
          <w:color w:val="222222"/>
          <w:highlight w:val="white"/>
          <w:lang w:val="en-US"/>
        </w:rPr>
        <w:t>30</w:t>
      </w:r>
      <w:r w:rsidRPr="0046268E">
        <w:rPr>
          <w:color w:val="222222"/>
          <w:highlight w:val="white"/>
          <w:lang w:val="en-US"/>
        </w:rPr>
        <w:t>(4), pp.2605-2625.</w:t>
      </w:r>
    </w:p>
    <w:p w14:paraId="667ACCBA" w14:textId="77777777" w:rsidR="00947602" w:rsidRDefault="00947602">
      <w:pPr>
        <w:rPr>
          <w:color w:val="222222"/>
          <w:highlight w:val="white"/>
        </w:rPr>
      </w:pPr>
      <w:r>
        <w:rPr>
          <w:color w:val="222222"/>
          <w:highlight w:val="white"/>
        </w:rPr>
        <w:t xml:space="preserve">Alotaibi, S., (2025). Boosting customer participation and visit intentions: the role of information quality in co-creation dining experiences. </w:t>
      </w:r>
      <w:r>
        <w:rPr>
          <w:i/>
          <w:color w:val="222222"/>
          <w:highlight w:val="white"/>
        </w:rPr>
        <w:t>Journal of Hospitality and Tourism Insights</w:t>
      </w:r>
      <w:r>
        <w:rPr>
          <w:color w:val="222222"/>
          <w:highlight w:val="white"/>
        </w:rPr>
        <w:t>.</w:t>
      </w:r>
    </w:p>
    <w:p w14:paraId="372E0636" w14:textId="77777777" w:rsidR="0046268E" w:rsidRPr="0046268E" w:rsidRDefault="0046268E" w:rsidP="0046268E">
      <w:pPr>
        <w:rPr>
          <w:color w:val="222222"/>
          <w:highlight w:val="white"/>
        </w:rPr>
      </w:pPr>
      <w:r w:rsidRPr="0046268E">
        <w:rPr>
          <w:color w:val="222222"/>
          <w:highlight w:val="white"/>
          <w:lang w:val="en-US"/>
        </w:rPr>
        <w:t>Batabyal, D. and Das, D.K. (eds) (2019) Global trends, practices, and challenges in contemporary tourism and hospitality management. Hershey, Pennsylvania: Business Science Reference, an imprint of IGI Global.</w:t>
      </w:r>
    </w:p>
    <w:p w14:paraId="100CDAF5" w14:textId="77777777" w:rsidR="00947602" w:rsidRDefault="00947602">
      <w:pPr>
        <w:rPr>
          <w:color w:val="222222"/>
          <w:highlight w:val="white"/>
        </w:rPr>
      </w:pPr>
      <w:r>
        <w:rPr>
          <w:color w:val="222222"/>
          <w:highlight w:val="white"/>
        </w:rPr>
        <w:t>Business Waste, (2025), “</w:t>
      </w:r>
      <w:r>
        <w:rPr>
          <w:i/>
          <w:color w:val="222222"/>
          <w:highlight w:val="white"/>
        </w:rPr>
        <w:t>How to Reduce Waste in Hotels and Hospitality</w:t>
      </w:r>
      <w:r>
        <w:rPr>
          <w:color w:val="222222"/>
          <w:highlight w:val="white"/>
        </w:rPr>
        <w:t xml:space="preserve">”, Available at </w:t>
      </w:r>
      <w:hyperlink r:id="rId6">
        <w:r>
          <w:rPr>
            <w:color w:val="1155CC"/>
            <w:highlight w:val="white"/>
            <w:u w:val="single"/>
          </w:rPr>
          <w:t>https://www.businesswaste.co.uk/reduce-waste/how-to-reduce-waste-in-hotels-and-the-hospitality-industry/</w:t>
        </w:r>
      </w:hyperlink>
      <w:r>
        <w:rPr>
          <w:color w:val="222222"/>
          <w:highlight w:val="white"/>
        </w:rPr>
        <w:t xml:space="preserve"> [Accessed on 26th October]</w:t>
      </w:r>
    </w:p>
    <w:p w14:paraId="5838A53F" w14:textId="77777777" w:rsidR="00947602" w:rsidRDefault="00947602">
      <w:pPr>
        <w:rPr>
          <w:color w:val="222222"/>
          <w:highlight w:val="white"/>
        </w:rPr>
      </w:pPr>
      <w:r>
        <w:rPr>
          <w:color w:val="222222"/>
          <w:highlight w:val="white"/>
        </w:rPr>
        <w:t xml:space="preserve">Cheong, H.I., Lyons, A., Houghton, R. and Majumdar, A., (2023). Secondary qualitative research methodology using online data within the context of social sciences. </w:t>
      </w:r>
      <w:r>
        <w:rPr>
          <w:i/>
          <w:color w:val="222222"/>
          <w:highlight w:val="white"/>
        </w:rPr>
        <w:t>International Journal of Qualitative Methods</w:t>
      </w:r>
      <w:r>
        <w:rPr>
          <w:color w:val="222222"/>
          <w:highlight w:val="white"/>
        </w:rPr>
        <w:t xml:space="preserve">, </w:t>
      </w:r>
      <w:r>
        <w:rPr>
          <w:i/>
          <w:color w:val="222222"/>
          <w:highlight w:val="white"/>
        </w:rPr>
        <w:t>22</w:t>
      </w:r>
      <w:r>
        <w:rPr>
          <w:color w:val="222222"/>
          <w:highlight w:val="white"/>
        </w:rPr>
        <w:t>, p.16094069231180160.</w:t>
      </w:r>
    </w:p>
    <w:p w14:paraId="10283D3A" w14:textId="77777777" w:rsidR="00947602" w:rsidRDefault="00947602">
      <w:r>
        <w:t>Cooper, C. and Hall, M. (2019). Contemporary Tourism: An International Approach, 4th Edn. Goodfellows, Oxford.</w:t>
      </w:r>
    </w:p>
    <w:p w14:paraId="72C19DA7" w14:textId="77777777" w:rsidR="00947602" w:rsidRDefault="00947602">
      <w:r>
        <w:t>Costa, V. and Costa, C. (eds) (2022) Sustainability and competitiveness in the hospitality industry. Hershey, Pennsylvania: Business Science Reference.</w:t>
      </w:r>
    </w:p>
    <w:p w14:paraId="08CA09BB" w14:textId="77777777" w:rsidR="00947602" w:rsidRDefault="00947602">
      <w:pPr>
        <w:rPr>
          <w:color w:val="222222"/>
          <w:highlight w:val="white"/>
        </w:rPr>
      </w:pPr>
      <w:r>
        <w:rPr>
          <w:color w:val="222222"/>
          <w:highlight w:val="white"/>
        </w:rPr>
        <w:t xml:space="preserve">Cozzio, C., Tokarchuk, O. and Maurer, O., (2021). Minimising plate waste at hotel breakfast buffets: an experimental approach through persuasive messages. </w:t>
      </w:r>
      <w:r>
        <w:rPr>
          <w:i/>
          <w:color w:val="222222"/>
          <w:highlight w:val="white"/>
        </w:rPr>
        <w:t>British Food Journal</w:t>
      </w:r>
      <w:r>
        <w:rPr>
          <w:color w:val="222222"/>
          <w:highlight w:val="white"/>
        </w:rPr>
        <w:t xml:space="preserve">, </w:t>
      </w:r>
      <w:r>
        <w:rPr>
          <w:i/>
          <w:color w:val="222222"/>
          <w:highlight w:val="white"/>
        </w:rPr>
        <w:t>123</w:t>
      </w:r>
      <w:r>
        <w:rPr>
          <w:color w:val="222222"/>
          <w:highlight w:val="white"/>
        </w:rPr>
        <w:t>(9), pp.3208-3227.</w:t>
      </w:r>
    </w:p>
    <w:p w14:paraId="49E3FA5D" w14:textId="77777777" w:rsidR="00947602" w:rsidRDefault="00947602">
      <w:pPr>
        <w:rPr>
          <w:color w:val="222222"/>
          <w:highlight w:val="white"/>
        </w:rPr>
      </w:pPr>
      <w:r>
        <w:rPr>
          <w:color w:val="222222"/>
          <w:highlight w:val="white"/>
        </w:rPr>
        <w:t xml:space="preserve">de Visser-Amundson, A., (2022). A multi-stakeholder partnership to fight food waste in the hospitality industry: A contribution to the United Nations Sustainable Development Goals 12 and 17. </w:t>
      </w:r>
      <w:r>
        <w:rPr>
          <w:i/>
          <w:color w:val="222222"/>
          <w:highlight w:val="white"/>
        </w:rPr>
        <w:t>Journal of sustainable tourism</w:t>
      </w:r>
      <w:r>
        <w:rPr>
          <w:color w:val="222222"/>
          <w:highlight w:val="white"/>
        </w:rPr>
        <w:t xml:space="preserve">, </w:t>
      </w:r>
      <w:r>
        <w:rPr>
          <w:i/>
          <w:color w:val="222222"/>
          <w:highlight w:val="white"/>
        </w:rPr>
        <w:t>30</w:t>
      </w:r>
      <w:r>
        <w:rPr>
          <w:color w:val="222222"/>
          <w:highlight w:val="white"/>
        </w:rPr>
        <w:t>(10), pp.2448-2475.</w:t>
      </w:r>
    </w:p>
    <w:p w14:paraId="4A089ACD" w14:textId="77777777" w:rsidR="00947602" w:rsidRDefault="00947602">
      <w:pPr>
        <w:rPr>
          <w:color w:val="222222"/>
          <w:highlight w:val="white"/>
        </w:rPr>
      </w:pPr>
      <w:r>
        <w:rPr>
          <w:color w:val="222222"/>
          <w:highlight w:val="white"/>
        </w:rPr>
        <w:t xml:space="preserve">Elshaer, I.A., Azazz, A.M., Alyahya, M., Fayyad, S., Aboutaleb, M. and Mohammad, A.A., (2025). Driving Sustainability Performance in Hotels Through Green Digital Leadership and Circular Economy: The Moderating Role of Hotel Green Efficacy. </w:t>
      </w:r>
      <w:r>
        <w:rPr>
          <w:i/>
          <w:color w:val="222222"/>
          <w:highlight w:val="white"/>
        </w:rPr>
        <w:t>Systems</w:t>
      </w:r>
      <w:r>
        <w:rPr>
          <w:color w:val="222222"/>
          <w:highlight w:val="white"/>
        </w:rPr>
        <w:t xml:space="preserve">, </w:t>
      </w:r>
      <w:r>
        <w:rPr>
          <w:i/>
          <w:color w:val="222222"/>
          <w:highlight w:val="white"/>
        </w:rPr>
        <w:t>13</w:t>
      </w:r>
      <w:r>
        <w:rPr>
          <w:color w:val="222222"/>
          <w:highlight w:val="white"/>
        </w:rPr>
        <w:t>(6), p.415.</w:t>
      </w:r>
    </w:p>
    <w:p w14:paraId="47277C38" w14:textId="77777777" w:rsidR="00947602" w:rsidRDefault="00947602">
      <w:pPr>
        <w:rPr>
          <w:color w:val="222222"/>
          <w:highlight w:val="white"/>
        </w:rPr>
      </w:pPr>
      <w:r>
        <w:rPr>
          <w:color w:val="222222"/>
          <w:highlight w:val="white"/>
        </w:rPr>
        <w:lastRenderedPageBreak/>
        <w:t xml:space="preserve">Filonchyk, M., Peterson, M.P., Zhang, L., Hurynovich, V. and He, Y., (2024). Greenhouse gases emissions and global climate change: Examining the influence of CO2, CH4, and N2O. </w:t>
      </w:r>
      <w:r>
        <w:rPr>
          <w:i/>
          <w:color w:val="222222"/>
          <w:highlight w:val="white"/>
        </w:rPr>
        <w:t>Science of The Total Environment</w:t>
      </w:r>
      <w:r>
        <w:rPr>
          <w:color w:val="222222"/>
          <w:highlight w:val="white"/>
        </w:rPr>
        <w:t xml:space="preserve">, </w:t>
      </w:r>
      <w:r>
        <w:rPr>
          <w:i/>
          <w:color w:val="222222"/>
          <w:highlight w:val="white"/>
        </w:rPr>
        <w:t>935</w:t>
      </w:r>
      <w:r>
        <w:rPr>
          <w:color w:val="222222"/>
          <w:highlight w:val="white"/>
        </w:rPr>
        <w:t>, p.173359.</w:t>
      </w:r>
    </w:p>
    <w:p w14:paraId="50D550B3" w14:textId="77777777" w:rsidR="00947602" w:rsidRDefault="00947602">
      <w:r>
        <w:t>Ford. R.C Sturman, M.C. (2020). Managing Hospitality Organisations 2nd Edn. Sage, London.</w:t>
      </w:r>
    </w:p>
    <w:p w14:paraId="2285D37F" w14:textId="77777777" w:rsidR="00947602" w:rsidRDefault="00947602">
      <w:pPr>
        <w:rPr>
          <w:color w:val="222222"/>
          <w:highlight w:val="white"/>
        </w:rPr>
      </w:pPr>
      <w:r>
        <w:rPr>
          <w:color w:val="222222"/>
          <w:highlight w:val="white"/>
        </w:rPr>
        <w:t xml:space="preserve">Hazen, B.T., Russo, I., Confente, I. and Pellathy, D., (2021). Supply chain management for circular economy: conceptual framework and research agenda. </w:t>
      </w:r>
      <w:r>
        <w:rPr>
          <w:i/>
          <w:color w:val="222222"/>
          <w:highlight w:val="white"/>
        </w:rPr>
        <w:t>The International Journal of Logistics Management</w:t>
      </w:r>
      <w:r>
        <w:rPr>
          <w:color w:val="222222"/>
          <w:highlight w:val="white"/>
        </w:rPr>
        <w:t xml:space="preserve">, </w:t>
      </w:r>
      <w:r>
        <w:rPr>
          <w:i/>
          <w:color w:val="222222"/>
          <w:highlight w:val="white"/>
        </w:rPr>
        <w:t>32</w:t>
      </w:r>
      <w:r>
        <w:rPr>
          <w:color w:val="222222"/>
          <w:highlight w:val="white"/>
        </w:rPr>
        <w:t>(2), pp.510-537.</w:t>
      </w:r>
    </w:p>
    <w:p w14:paraId="639318DD" w14:textId="77777777" w:rsidR="0046268E" w:rsidRPr="0046268E" w:rsidRDefault="0046268E" w:rsidP="0046268E">
      <w:pPr>
        <w:rPr>
          <w:color w:val="222222"/>
          <w:highlight w:val="white"/>
        </w:rPr>
      </w:pPr>
      <w:r w:rsidRPr="0046268E">
        <w:rPr>
          <w:color w:val="222222"/>
          <w:highlight w:val="white"/>
          <w:lang w:val="en-US"/>
        </w:rPr>
        <w:t xml:space="preserve">Konttila, J., Siira, H., Kyngäs, H., Lahtinen, M., Elo, S., Kääriäinen, M., Kaakinen, P., Oikarinen, A., Yamakawa, M., Fukui, S. and Utsumi, M., (2019). Healthcare professionals’ competence in digitalisation: A systematic review. </w:t>
      </w:r>
      <w:r w:rsidRPr="0046268E">
        <w:rPr>
          <w:i/>
          <w:iCs/>
          <w:color w:val="222222"/>
          <w:highlight w:val="white"/>
          <w:lang w:val="en-US"/>
        </w:rPr>
        <w:t>Journal of clinical nursing</w:t>
      </w:r>
      <w:r w:rsidRPr="0046268E">
        <w:rPr>
          <w:color w:val="222222"/>
          <w:highlight w:val="white"/>
          <w:lang w:val="en-US"/>
        </w:rPr>
        <w:t xml:space="preserve">, </w:t>
      </w:r>
      <w:r w:rsidRPr="0046268E">
        <w:rPr>
          <w:i/>
          <w:iCs/>
          <w:color w:val="222222"/>
          <w:highlight w:val="white"/>
          <w:lang w:val="en-US"/>
        </w:rPr>
        <w:t>28</w:t>
      </w:r>
      <w:r w:rsidRPr="0046268E">
        <w:rPr>
          <w:color w:val="222222"/>
          <w:highlight w:val="white"/>
          <w:lang w:val="en-US"/>
        </w:rPr>
        <w:t>(5-6), pp.745-761.</w:t>
      </w:r>
    </w:p>
    <w:p w14:paraId="030F7B45" w14:textId="77777777" w:rsidR="00947602" w:rsidRDefault="00947602">
      <w:pPr>
        <w:rPr>
          <w:color w:val="222222"/>
          <w:highlight w:val="white"/>
        </w:rPr>
      </w:pPr>
      <w:r>
        <w:rPr>
          <w:color w:val="222222"/>
          <w:highlight w:val="white"/>
        </w:rPr>
        <w:t xml:space="preserve">Lee, H.H. and Huang, P.Y., (2023). Food waste and environmental sustainability of the hotel industry in Taiwan. </w:t>
      </w:r>
      <w:r>
        <w:rPr>
          <w:i/>
          <w:color w:val="222222"/>
          <w:highlight w:val="white"/>
        </w:rPr>
        <w:t>Sustainability</w:t>
      </w:r>
      <w:r>
        <w:rPr>
          <w:color w:val="222222"/>
          <w:highlight w:val="white"/>
        </w:rPr>
        <w:t xml:space="preserve">, </w:t>
      </w:r>
      <w:r>
        <w:rPr>
          <w:i/>
          <w:color w:val="222222"/>
          <w:highlight w:val="white"/>
        </w:rPr>
        <w:t>15</w:t>
      </w:r>
      <w:r>
        <w:rPr>
          <w:color w:val="222222"/>
          <w:highlight w:val="white"/>
        </w:rPr>
        <w:t>(21), p.15459.</w:t>
      </w:r>
    </w:p>
    <w:p w14:paraId="07A351EE" w14:textId="77777777" w:rsidR="0046268E" w:rsidRPr="0046268E" w:rsidRDefault="0046268E" w:rsidP="0046268E">
      <w:pPr>
        <w:rPr>
          <w:color w:val="222222"/>
          <w:highlight w:val="white"/>
        </w:rPr>
      </w:pPr>
      <w:r w:rsidRPr="0046268E">
        <w:rPr>
          <w:color w:val="222222"/>
          <w:highlight w:val="white"/>
          <w:lang w:val="en-US"/>
        </w:rPr>
        <w:t xml:space="preserve">McKinsey &amp; Company (2022) </w:t>
      </w:r>
      <w:r w:rsidRPr="0046268E">
        <w:rPr>
          <w:i/>
          <w:iCs/>
          <w:color w:val="222222"/>
          <w:highlight w:val="white"/>
          <w:lang w:val="en-US"/>
        </w:rPr>
        <w:t xml:space="preserve">“AI-driven operations forecasting in data-light environments” </w:t>
      </w:r>
      <w:r w:rsidRPr="0046268E">
        <w:rPr>
          <w:color w:val="222222"/>
          <w:highlight w:val="white"/>
          <w:lang w:val="en-US"/>
        </w:rPr>
        <w:t>Available at:</w:t>
      </w:r>
      <w:hyperlink r:id="rId7" w:history="1">
        <w:r w:rsidRPr="0046268E">
          <w:rPr>
            <w:rStyle w:val="Hyperlink"/>
            <w:highlight w:val="white"/>
            <w:lang w:val="en-US"/>
          </w:rPr>
          <w:t xml:space="preserve"> https://www.mckinsey.com/capabilities/operations/our-insights/ai-driven-operations-forecasting-in-data-light-environments</w:t>
        </w:r>
      </w:hyperlink>
      <w:r w:rsidRPr="0046268E">
        <w:rPr>
          <w:color w:val="222222"/>
          <w:highlight w:val="white"/>
          <w:lang w:val="en-US"/>
        </w:rPr>
        <w:t xml:space="preserve"> [Accessed on 13th October 2025]</w:t>
      </w:r>
    </w:p>
    <w:p w14:paraId="1F8ACF6D" w14:textId="77777777" w:rsidR="0046268E" w:rsidRPr="0046268E" w:rsidRDefault="0046268E" w:rsidP="0046268E">
      <w:pPr>
        <w:rPr>
          <w:color w:val="222222"/>
          <w:highlight w:val="white"/>
        </w:rPr>
      </w:pPr>
      <w:r w:rsidRPr="0046268E">
        <w:rPr>
          <w:color w:val="222222"/>
          <w:highlight w:val="white"/>
          <w:lang w:val="en-US"/>
        </w:rPr>
        <w:t xml:space="preserve">Meltzer, H.M., Eneroth, H., Erkkola, M., Trolle, E., Fantke, P., Helenius, J., Olesen, J.E., Saarinen, M., Maage, A. and Ydersbond, T.A., (2024). Challenges and opportunities when moving food production and consumption toward sustainable diets in the Nordics: a scoping review for Nordic Nutrition Recommendations 2023. </w:t>
      </w:r>
      <w:r w:rsidRPr="0046268E">
        <w:rPr>
          <w:i/>
          <w:iCs/>
          <w:color w:val="222222"/>
          <w:highlight w:val="white"/>
          <w:lang w:val="en-US"/>
        </w:rPr>
        <w:t>Food &amp; Nutrition Research</w:t>
      </w:r>
      <w:r w:rsidRPr="0046268E">
        <w:rPr>
          <w:color w:val="222222"/>
          <w:highlight w:val="white"/>
          <w:lang w:val="en-US"/>
        </w:rPr>
        <w:t xml:space="preserve">, </w:t>
      </w:r>
      <w:r w:rsidRPr="0046268E">
        <w:rPr>
          <w:i/>
          <w:iCs/>
          <w:color w:val="222222"/>
          <w:highlight w:val="white"/>
          <w:lang w:val="en-US"/>
        </w:rPr>
        <w:t>68</w:t>
      </w:r>
      <w:r w:rsidRPr="0046268E">
        <w:rPr>
          <w:color w:val="222222"/>
          <w:highlight w:val="white"/>
          <w:lang w:val="en-US"/>
        </w:rPr>
        <w:t>, pp.10-29219.</w:t>
      </w:r>
    </w:p>
    <w:p w14:paraId="2B44471E" w14:textId="77777777" w:rsidR="0046268E" w:rsidRPr="0046268E" w:rsidRDefault="0046268E" w:rsidP="0046268E">
      <w:pPr>
        <w:rPr>
          <w:color w:val="222222"/>
          <w:highlight w:val="white"/>
        </w:rPr>
      </w:pPr>
      <w:r w:rsidRPr="0046268E">
        <w:rPr>
          <w:color w:val="222222"/>
          <w:highlight w:val="white"/>
          <w:lang w:val="en-US"/>
        </w:rPr>
        <w:t xml:space="preserve">NIH (2024) </w:t>
      </w:r>
      <w:r w:rsidRPr="0046268E">
        <w:rPr>
          <w:i/>
          <w:iCs/>
          <w:color w:val="222222"/>
          <w:highlight w:val="white"/>
          <w:lang w:val="en-US"/>
        </w:rPr>
        <w:t xml:space="preserve">“Editorial: Nutrition and sustainable development goal 12: responsible consumption” </w:t>
      </w:r>
      <w:r w:rsidRPr="0046268E">
        <w:rPr>
          <w:color w:val="222222"/>
          <w:highlight w:val="white"/>
          <w:lang w:val="en-US"/>
        </w:rPr>
        <w:t>Available at:</w:t>
      </w:r>
      <w:hyperlink r:id="rId8" w:history="1">
        <w:r w:rsidRPr="0046268E">
          <w:rPr>
            <w:rStyle w:val="Hyperlink"/>
            <w:highlight w:val="white"/>
            <w:lang w:val="en-US"/>
          </w:rPr>
          <w:t xml:space="preserve"> https://pmc.ncbi.nlm.nih.gov/articles/PMC10996280/</w:t>
        </w:r>
      </w:hyperlink>
      <w:r w:rsidRPr="0046268E">
        <w:rPr>
          <w:color w:val="222222"/>
          <w:highlight w:val="white"/>
          <w:lang w:val="en-US"/>
        </w:rPr>
        <w:t xml:space="preserve"> [Accessed on 13th October 2025]</w:t>
      </w:r>
    </w:p>
    <w:p w14:paraId="03F8A82A" w14:textId="77777777" w:rsidR="00947602" w:rsidRDefault="00947602">
      <w:pPr>
        <w:rPr>
          <w:color w:val="222222"/>
          <w:highlight w:val="white"/>
        </w:rPr>
      </w:pPr>
      <w:r>
        <w:rPr>
          <w:color w:val="222222"/>
          <w:highlight w:val="white"/>
        </w:rPr>
        <w:t xml:space="preserve">Paramesha, M., Rane, N. and Rane, J., (2024). Big data analytics, artificial intelligence, machine learning, internet of things, and blockchain for enhanced business intelligence. </w:t>
      </w:r>
      <w:r>
        <w:rPr>
          <w:i/>
          <w:color w:val="222222"/>
          <w:highlight w:val="white"/>
        </w:rPr>
        <w:t>Artificial Intelligence, Machine Learning, Internet of Things, and Blockchain for Enhanced Business Intelligence (June 6, 2024)</w:t>
      </w:r>
      <w:r>
        <w:rPr>
          <w:color w:val="222222"/>
          <w:highlight w:val="white"/>
        </w:rPr>
        <w:t>.</w:t>
      </w:r>
    </w:p>
    <w:p w14:paraId="7557F92C" w14:textId="77777777" w:rsidR="00947602" w:rsidRDefault="00947602">
      <w:pPr>
        <w:rPr>
          <w:color w:val="222222"/>
          <w:highlight w:val="white"/>
        </w:rPr>
      </w:pPr>
      <w:r>
        <w:rPr>
          <w:color w:val="222222"/>
          <w:highlight w:val="white"/>
        </w:rPr>
        <w:t xml:space="preserve">Parsakia, K., (2023). Resource Management Strategies in the Hospitality Industry: Balancing Profit and Sustainability. </w:t>
      </w:r>
      <w:r>
        <w:rPr>
          <w:i/>
          <w:color w:val="222222"/>
          <w:highlight w:val="white"/>
        </w:rPr>
        <w:t>Journal of Resource Management and Decision Engineering</w:t>
      </w:r>
      <w:r>
        <w:rPr>
          <w:color w:val="222222"/>
          <w:highlight w:val="white"/>
        </w:rPr>
        <w:t xml:space="preserve">, </w:t>
      </w:r>
      <w:r>
        <w:rPr>
          <w:i/>
          <w:color w:val="222222"/>
          <w:highlight w:val="white"/>
        </w:rPr>
        <w:t>2</w:t>
      </w:r>
      <w:r>
        <w:rPr>
          <w:color w:val="222222"/>
          <w:highlight w:val="white"/>
        </w:rPr>
        <w:t>(4), pp.17-23.</w:t>
      </w:r>
    </w:p>
    <w:p w14:paraId="4AFEFA5F" w14:textId="77777777" w:rsidR="00947602" w:rsidRDefault="00947602">
      <w:pPr>
        <w:rPr>
          <w:color w:val="222222"/>
          <w:highlight w:val="white"/>
        </w:rPr>
      </w:pPr>
      <w:r>
        <w:rPr>
          <w:color w:val="222222"/>
          <w:highlight w:val="white"/>
        </w:rPr>
        <w:t>Population Sustainability Development, (2025), “</w:t>
      </w:r>
      <w:r>
        <w:rPr>
          <w:i/>
          <w:color w:val="222222"/>
          <w:highlight w:val="white"/>
        </w:rPr>
        <w:t>Why Is Community Engagement Important for Waste Reduction?”,</w:t>
      </w:r>
      <w:r>
        <w:rPr>
          <w:color w:val="222222"/>
          <w:highlight w:val="white"/>
        </w:rPr>
        <w:t xml:space="preserve"> Available at </w:t>
      </w:r>
      <w:hyperlink r:id="rId9">
        <w:r>
          <w:rPr>
            <w:color w:val="1155CC"/>
            <w:highlight w:val="white"/>
            <w:u w:val="single"/>
          </w:rPr>
          <w:t>https://pollution.sustainability-</w:t>
        </w:r>
        <w:r>
          <w:rPr>
            <w:color w:val="1155CC"/>
            <w:highlight w:val="white"/>
            <w:u w:val="single"/>
          </w:rPr>
          <w:lastRenderedPageBreak/>
          <w:t>directory.com/question/why-is-community-engagement-important-for-waste-reduction/</w:t>
        </w:r>
      </w:hyperlink>
      <w:r>
        <w:rPr>
          <w:color w:val="222222"/>
          <w:highlight w:val="white"/>
        </w:rPr>
        <w:t xml:space="preserve"> [Accessed on 26th October]</w:t>
      </w:r>
    </w:p>
    <w:p w14:paraId="32D7E0B6" w14:textId="77777777" w:rsidR="00947602" w:rsidRDefault="00947602">
      <w:pPr>
        <w:rPr>
          <w:color w:val="222222"/>
          <w:highlight w:val="white"/>
        </w:rPr>
      </w:pPr>
      <w:r>
        <w:rPr>
          <w:color w:val="222222"/>
          <w:highlight w:val="white"/>
        </w:rPr>
        <w:t xml:space="preserve">Rut, M., Davies, A.R. and Ng, H., (2021). Participating in food waste transitions: Exploring surplus food redistribution in Singapore through the ecologies of participation framework. </w:t>
      </w:r>
      <w:r>
        <w:rPr>
          <w:i/>
          <w:color w:val="222222"/>
          <w:highlight w:val="white"/>
        </w:rPr>
        <w:t>Journal of Environmental Policy &amp; Planning</w:t>
      </w:r>
      <w:r>
        <w:rPr>
          <w:color w:val="222222"/>
          <w:highlight w:val="white"/>
        </w:rPr>
        <w:t xml:space="preserve">, </w:t>
      </w:r>
      <w:r>
        <w:rPr>
          <w:i/>
          <w:color w:val="222222"/>
          <w:highlight w:val="white"/>
        </w:rPr>
        <w:t>23</w:t>
      </w:r>
      <w:r>
        <w:rPr>
          <w:color w:val="222222"/>
          <w:highlight w:val="white"/>
        </w:rPr>
        <w:t>(1), pp.34-47.</w:t>
      </w:r>
    </w:p>
    <w:p w14:paraId="1ED46390" w14:textId="77777777" w:rsidR="00947602" w:rsidRDefault="00947602">
      <w:pPr>
        <w:rPr>
          <w:color w:val="222222"/>
          <w:highlight w:val="white"/>
        </w:rPr>
      </w:pPr>
      <w:r>
        <w:rPr>
          <w:color w:val="222222"/>
          <w:highlight w:val="white"/>
        </w:rPr>
        <w:t>Saunders, M.N.K., Lewis, P. and Thornhill, A. (2019) Research Methods for Business Students. 8th Edition, Pearson, New York.</w:t>
      </w:r>
    </w:p>
    <w:p w14:paraId="6F5D465D" w14:textId="77777777" w:rsidR="0046268E" w:rsidRPr="0046268E" w:rsidRDefault="0046268E" w:rsidP="0046268E">
      <w:pPr>
        <w:rPr>
          <w:color w:val="222222"/>
          <w:highlight w:val="white"/>
        </w:rPr>
      </w:pPr>
      <w:r w:rsidRPr="0046268E">
        <w:rPr>
          <w:color w:val="222222"/>
          <w:highlight w:val="white"/>
          <w:lang w:val="en-US"/>
        </w:rPr>
        <w:t>Sharma, M., Singh, A.K. and Tyagi, P. (2024). Proceedings of the International Conference on Innovation and Regenerative Trends in Tourism and Hospitality Industry (IRTTHI 2024). 1st ed. Dordrecht: Atlantis Press Zeger Karssen.</w:t>
      </w:r>
    </w:p>
    <w:p w14:paraId="54FC3CB0" w14:textId="77777777" w:rsidR="00947602" w:rsidRDefault="00947602">
      <w:pPr>
        <w:rPr>
          <w:color w:val="222222"/>
          <w:highlight w:val="white"/>
        </w:rPr>
      </w:pPr>
      <w:r>
        <w:rPr>
          <w:color w:val="222222"/>
          <w:highlight w:val="white"/>
        </w:rPr>
        <w:t xml:space="preserve">Singh, A., Tyagi, P.K. and Garg, A. eds., (2024). </w:t>
      </w:r>
      <w:r>
        <w:rPr>
          <w:i/>
          <w:color w:val="222222"/>
          <w:highlight w:val="white"/>
        </w:rPr>
        <w:t>Sustainable disposal methods of food wastes in hospitality operations</w:t>
      </w:r>
      <w:r>
        <w:rPr>
          <w:color w:val="222222"/>
          <w:highlight w:val="white"/>
        </w:rPr>
        <w:t>. IGI Global.</w:t>
      </w:r>
    </w:p>
    <w:p w14:paraId="16CD8CE9" w14:textId="2636E886" w:rsidR="0046268E" w:rsidRPr="0046268E" w:rsidRDefault="0046268E" w:rsidP="0046268E">
      <w:pPr>
        <w:rPr>
          <w:color w:val="222222"/>
          <w:highlight w:val="white"/>
        </w:rPr>
      </w:pPr>
      <w:r w:rsidRPr="0046268E">
        <w:rPr>
          <w:color w:val="222222"/>
          <w:highlight w:val="white"/>
          <w:lang w:val="en-US"/>
        </w:rPr>
        <w:t>Tribe J (2009) Philosophical issues in Tourism (Aspects of Tourism), Channel View</w:t>
      </w:r>
      <w:r>
        <w:rPr>
          <w:color w:val="222222"/>
          <w:highlight w:val="white"/>
          <w:lang w:val="en-US"/>
        </w:rPr>
        <w:t>.</w:t>
      </w:r>
    </w:p>
    <w:p w14:paraId="50F87DE7" w14:textId="77777777" w:rsidR="0046268E" w:rsidRDefault="0046268E">
      <w:pPr>
        <w:rPr>
          <w:color w:val="222222"/>
          <w:highlight w:val="white"/>
        </w:rPr>
      </w:pPr>
    </w:p>
    <w:sectPr w:rsidR="0046268E">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50D4892F-1181-4BDD-83C5-685BD0516EDB}"/>
  </w:font>
  <w:font w:name="Vrinda">
    <w:panose1 w:val="00000400000000000000"/>
    <w:charset w:val="00"/>
    <w:family w:val="swiss"/>
    <w:pitch w:val="variable"/>
    <w:sig w:usb0="00010003" w:usb1="00000000" w:usb2="00000000" w:usb3="00000000" w:csb0="00000001" w:csb1="00000000"/>
    <w:embedRegular r:id="rId2" w:fontKey="{4A74A1BD-2DAE-4A29-9780-61CD64FEE052}"/>
  </w:font>
  <w:font w:name="Cambria">
    <w:panose1 w:val="02040503050406030204"/>
    <w:charset w:val="00"/>
    <w:family w:val="roman"/>
    <w:pitch w:val="variable"/>
    <w:sig w:usb0="E00006FF" w:usb1="420024FF" w:usb2="02000000" w:usb3="00000000" w:csb0="0000019F" w:csb1="00000000"/>
    <w:embedRegular r:id="rId3" w:fontKey="{BEEEC180-AFE4-41FE-90E8-FBB3D1ED2BA3}"/>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D5B02"/>
    <w:multiLevelType w:val="hybridMultilevel"/>
    <w:tmpl w:val="408EEBA8"/>
    <w:lvl w:ilvl="0" w:tplc="4DB455E2">
      <w:start w:val="1"/>
      <w:numFmt w:val="bullet"/>
      <w:lvlText w:val="•"/>
      <w:lvlJc w:val="left"/>
      <w:pPr>
        <w:tabs>
          <w:tab w:val="num" w:pos="720"/>
        </w:tabs>
        <w:ind w:left="720" w:hanging="360"/>
      </w:pPr>
      <w:rPr>
        <w:rFonts w:ascii="Arial" w:hAnsi="Arial" w:hint="default"/>
      </w:rPr>
    </w:lvl>
    <w:lvl w:ilvl="1" w:tplc="29CE3EBA" w:tentative="1">
      <w:start w:val="1"/>
      <w:numFmt w:val="bullet"/>
      <w:lvlText w:val="•"/>
      <w:lvlJc w:val="left"/>
      <w:pPr>
        <w:tabs>
          <w:tab w:val="num" w:pos="1440"/>
        </w:tabs>
        <w:ind w:left="1440" w:hanging="360"/>
      </w:pPr>
      <w:rPr>
        <w:rFonts w:ascii="Arial" w:hAnsi="Arial" w:hint="default"/>
      </w:rPr>
    </w:lvl>
    <w:lvl w:ilvl="2" w:tplc="ED4896EE" w:tentative="1">
      <w:start w:val="1"/>
      <w:numFmt w:val="bullet"/>
      <w:lvlText w:val="•"/>
      <w:lvlJc w:val="left"/>
      <w:pPr>
        <w:tabs>
          <w:tab w:val="num" w:pos="2160"/>
        </w:tabs>
        <w:ind w:left="2160" w:hanging="360"/>
      </w:pPr>
      <w:rPr>
        <w:rFonts w:ascii="Arial" w:hAnsi="Arial" w:hint="default"/>
      </w:rPr>
    </w:lvl>
    <w:lvl w:ilvl="3" w:tplc="A4A82AF8" w:tentative="1">
      <w:start w:val="1"/>
      <w:numFmt w:val="bullet"/>
      <w:lvlText w:val="•"/>
      <w:lvlJc w:val="left"/>
      <w:pPr>
        <w:tabs>
          <w:tab w:val="num" w:pos="2880"/>
        </w:tabs>
        <w:ind w:left="2880" w:hanging="360"/>
      </w:pPr>
      <w:rPr>
        <w:rFonts w:ascii="Arial" w:hAnsi="Arial" w:hint="default"/>
      </w:rPr>
    </w:lvl>
    <w:lvl w:ilvl="4" w:tplc="BA7E06E0" w:tentative="1">
      <w:start w:val="1"/>
      <w:numFmt w:val="bullet"/>
      <w:lvlText w:val="•"/>
      <w:lvlJc w:val="left"/>
      <w:pPr>
        <w:tabs>
          <w:tab w:val="num" w:pos="3600"/>
        </w:tabs>
        <w:ind w:left="3600" w:hanging="360"/>
      </w:pPr>
      <w:rPr>
        <w:rFonts w:ascii="Arial" w:hAnsi="Arial" w:hint="default"/>
      </w:rPr>
    </w:lvl>
    <w:lvl w:ilvl="5" w:tplc="3C76E246" w:tentative="1">
      <w:start w:val="1"/>
      <w:numFmt w:val="bullet"/>
      <w:lvlText w:val="•"/>
      <w:lvlJc w:val="left"/>
      <w:pPr>
        <w:tabs>
          <w:tab w:val="num" w:pos="4320"/>
        </w:tabs>
        <w:ind w:left="4320" w:hanging="360"/>
      </w:pPr>
      <w:rPr>
        <w:rFonts w:ascii="Arial" w:hAnsi="Arial" w:hint="default"/>
      </w:rPr>
    </w:lvl>
    <w:lvl w:ilvl="6" w:tplc="22B4B4DC" w:tentative="1">
      <w:start w:val="1"/>
      <w:numFmt w:val="bullet"/>
      <w:lvlText w:val="•"/>
      <w:lvlJc w:val="left"/>
      <w:pPr>
        <w:tabs>
          <w:tab w:val="num" w:pos="5040"/>
        </w:tabs>
        <w:ind w:left="5040" w:hanging="360"/>
      </w:pPr>
      <w:rPr>
        <w:rFonts w:ascii="Arial" w:hAnsi="Arial" w:hint="default"/>
      </w:rPr>
    </w:lvl>
    <w:lvl w:ilvl="7" w:tplc="0BBEB7B0" w:tentative="1">
      <w:start w:val="1"/>
      <w:numFmt w:val="bullet"/>
      <w:lvlText w:val="•"/>
      <w:lvlJc w:val="left"/>
      <w:pPr>
        <w:tabs>
          <w:tab w:val="num" w:pos="5760"/>
        </w:tabs>
        <w:ind w:left="5760" w:hanging="360"/>
      </w:pPr>
      <w:rPr>
        <w:rFonts w:ascii="Arial" w:hAnsi="Arial" w:hint="default"/>
      </w:rPr>
    </w:lvl>
    <w:lvl w:ilvl="8" w:tplc="7222F69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C41718C"/>
    <w:multiLevelType w:val="hybridMultilevel"/>
    <w:tmpl w:val="9A88022A"/>
    <w:lvl w:ilvl="0" w:tplc="82D493BC">
      <w:start w:val="1"/>
      <w:numFmt w:val="bullet"/>
      <w:lvlText w:val="•"/>
      <w:lvlJc w:val="left"/>
      <w:pPr>
        <w:tabs>
          <w:tab w:val="num" w:pos="720"/>
        </w:tabs>
        <w:ind w:left="720" w:hanging="360"/>
      </w:pPr>
      <w:rPr>
        <w:rFonts w:ascii="Arial" w:hAnsi="Arial" w:hint="default"/>
      </w:rPr>
    </w:lvl>
    <w:lvl w:ilvl="1" w:tplc="25C8B6C8" w:tentative="1">
      <w:start w:val="1"/>
      <w:numFmt w:val="bullet"/>
      <w:lvlText w:val="•"/>
      <w:lvlJc w:val="left"/>
      <w:pPr>
        <w:tabs>
          <w:tab w:val="num" w:pos="1440"/>
        </w:tabs>
        <w:ind w:left="1440" w:hanging="360"/>
      </w:pPr>
      <w:rPr>
        <w:rFonts w:ascii="Arial" w:hAnsi="Arial" w:hint="default"/>
      </w:rPr>
    </w:lvl>
    <w:lvl w:ilvl="2" w:tplc="95A8C48C" w:tentative="1">
      <w:start w:val="1"/>
      <w:numFmt w:val="bullet"/>
      <w:lvlText w:val="•"/>
      <w:lvlJc w:val="left"/>
      <w:pPr>
        <w:tabs>
          <w:tab w:val="num" w:pos="2160"/>
        </w:tabs>
        <w:ind w:left="2160" w:hanging="360"/>
      </w:pPr>
      <w:rPr>
        <w:rFonts w:ascii="Arial" w:hAnsi="Arial" w:hint="default"/>
      </w:rPr>
    </w:lvl>
    <w:lvl w:ilvl="3" w:tplc="D07833D8" w:tentative="1">
      <w:start w:val="1"/>
      <w:numFmt w:val="bullet"/>
      <w:lvlText w:val="•"/>
      <w:lvlJc w:val="left"/>
      <w:pPr>
        <w:tabs>
          <w:tab w:val="num" w:pos="2880"/>
        </w:tabs>
        <w:ind w:left="2880" w:hanging="360"/>
      </w:pPr>
      <w:rPr>
        <w:rFonts w:ascii="Arial" w:hAnsi="Arial" w:hint="default"/>
      </w:rPr>
    </w:lvl>
    <w:lvl w:ilvl="4" w:tplc="5E94AD60" w:tentative="1">
      <w:start w:val="1"/>
      <w:numFmt w:val="bullet"/>
      <w:lvlText w:val="•"/>
      <w:lvlJc w:val="left"/>
      <w:pPr>
        <w:tabs>
          <w:tab w:val="num" w:pos="3600"/>
        </w:tabs>
        <w:ind w:left="3600" w:hanging="360"/>
      </w:pPr>
      <w:rPr>
        <w:rFonts w:ascii="Arial" w:hAnsi="Arial" w:hint="default"/>
      </w:rPr>
    </w:lvl>
    <w:lvl w:ilvl="5" w:tplc="BB0653D8" w:tentative="1">
      <w:start w:val="1"/>
      <w:numFmt w:val="bullet"/>
      <w:lvlText w:val="•"/>
      <w:lvlJc w:val="left"/>
      <w:pPr>
        <w:tabs>
          <w:tab w:val="num" w:pos="4320"/>
        </w:tabs>
        <w:ind w:left="4320" w:hanging="360"/>
      </w:pPr>
      <w:rPr>
        <w:rFonts w:ascii="Arial" w:hAnsi="Arial" w:hint="default"/>
      </w:rPr>
    </w:lvl>
    <w:lvl w:ilvl="6" w:tplc="EF4AA886" w:tentative="1">
      <w:start w:val="1"/>
      <w:numFmt w:val="bullet"/>
      <w:lvlText w:val="•"/>
      <w:lvlJc w:val="left"/>
      <w:pPr>
        <w:tabs>
          <w:tab w:val="num" w:pos="5040"/>
        </w:tabs>
        <w:ind w:left="5040" w:hanging="360"/>
      </w:pPr>
      <w:rPr>
        <w:rFonts w:ascii="Arial" w:hAnsi="Arial" w:hint="default"/>
      </w:rPr>
    </w:lvl>
    <w:lvl w:ilvl="7" w:tplc="9BD6D9F4" w:tentative="1">
      <w:start w:val="1"/>
      <w:numFmt w:val="bullet"/>
      <w:lvlText w:val="•"/>
      <w:lvlJc w:val="left"/>
      <w:pPr>
        <w:tabs>
          <w:tab w:val="num" w:pos="5760"/>
        </w:tabs>
        <w:ind w:left="5760" w:hanging="360"/>
      </w:pPr>
      <w:rPr>
        <w:rFonts w:ascii="Arial" w:hAnsi="Arial" w:hint="default"/>
      </w:rPr>
    </w:lvl>
    <w:lvl w:ilvl="8" w:tplc="0114C4E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FC04132"/>
    <w:multiLevelType w:val="hybridMultilevel"/>
    <w:tmpl w:val="B80E9048"/>
    <w:lvl w:ilvl="0" w:tplc="C27C8E5A">
      <w:start w:val="1"/>
      <w:numFmt w:val="bullet"/>
      <w:lvlText w:val="•"/>
      <w:lvlJc w:val="left"/>
      <w:pPr>
        <w:tabs>
          <w:tab w:val="num" w:pos="720"/>
        </w:tabs>
        <w:ind w:left="720" w:hanging="360"/>
      </w:pPr>
      <w:rPr>
        <w:rFonts w:ascii="Arial" w:hAnsi="Arial" w:hint="default"/>
      </w:rPr>
    </w:lvl>
    <w:lvl w:ilvl="1" w:tplc="87347612" w:tentative="1">
      <w:start w:val="1"/>
      <w:numFmt w:val="bullet"/>
      <w:lvlText w:val="•"/>
      <w:lvlJc w:val="left"/>
      <w:pPr>
        <w:tabs>
          <w:tab w:val="num" w:pos="1440"/>
        </w:tabs>
        <w:ind w:left="1440" w:hanging="360"/>
      </w:pPr>
      <w:rPr>
        <w:rFonts w:ascii="Arial" w:hAnsi="Arial" w:hint="default"/>
      </w:rPr>
    </w:lvl>
    <w:lvl w:ilvl="2" w:tplc="2E48C6E6" w:tentative="1">
      <w:start w:val="1"/>
      <w:numFmt w:val="bullet"/>
      <w:lvlText w:val="•"/>
      <w:lvlJc w:val="left"/>
      <w:pPr>
        <w:tabs>
          <w:tab w:val="num" w:pos="2160"/>
        </w:tabs>
        <w:ind w:left="2160" w:hanging="360"/>
      </w:pPr>
      <w:rPr>
        <w:rFonts w:ascii="Arial" w:hAnsi="Arial" w:hint="default"/>
      </w:rPr>
    </w:lvl>
    <w:lvl w:ilvl="3" w:tplc="00201394" w:tentative="1">
      <w:start w:val="1"/>
      <w:numFmt w:val="bullet"/>
      <w:lvlText w:val="•"/>
      <w:lvlJc w:val="left"/>
      <w:pPr>
        <w:tabs>
          <w:tab w:val="num" w:pos="2880"/>
        </w:tabs>
        <w:ind w:left="2880" w:hanging="360"/>
      </w:pPr>
      <w:rPr>
        <w:rFonts w:ascii="Arial" w:hAnsi="Arial" w:hint="default"/>
      </w:rPr>
    </w:lvl>
    <w:lvl w:ilvl="4" w:tplc="87322752" w:tentative="1">
      <w:start w:val="1"/>
      <w:numFmt w:val="bullet"/>
      <w:lvlText w:val="•"/>
      <w:lvlJc w:val="left"/>
      <w:pPr>
        <w:tabs>
          <w:tab w:val="num" w:pos="3600"/>
        </w:tabs>
        <w:ind w:left="3600" w:hanging="360"/>
      </w:pPr>
      <w:rPr>
        <w:rFonts w:ascii="Arial" w:hAnsi="Arial" w:hint="default"/>
      </w:rPr>
    </w:lvl>
    <w:lvl w:ilvl="5" w:tplc="E960A8EE" w:tentative="1">
      <w:start w:val="1"/>
      <w:numFmt w:val="bullet"/>
      <w:lvlText w:val="•"/>
      <w:lvlJc w:val="left"/>
      <w:pPr>
        <w:tabs>
          <w:tab w:val="num" w:pos="4320"/>
        </w:tabs>
        <w:ind w:left="4320" w:hanging="360"/>
      </w:pPr>
      <w:rPr>
        <w:rFonts w:ascii="Arial" w:hAnsi="Arial" w:hint="default"/>
      </w:rPr>
    </w:lvl>
    <w:lvl w:ilvl="6" w:tplc="5784C84E" w:tentative="1">
      <w:start w:val="1"/>
      <w:numFmt w:val="bullet"/>
      <w:lvlText w:val="•"/>
      <w:lvlJc w:val="left"/>
      <w:pPr>
        <w:tabs>
          <w:tab w:val="num" w:pos="5040"/>
        </w:tabs>
        <w:ind w:left="5040" w:hanging="360"/>
      </w:pPr>
      <w:rPr>
        <w:rFonts w:ascii="Arial" w:hAnsi="Arial" w:hint="default"/>
      </w:rPr>
    </w:lvl>
    <w:lvl w:ilvl="7" w:tplc="FEC692BE" w:tentative="1">
      <w:start w:val="1"/>
      <w:numFmt w:val="bullet"/>
      <w:lvlText w:val="•"/>
      <w:lvlJc w:val="left"/>
      <w:pPr>
        <w:tabs>
          <w:tab w:val="num" w:pos="5760"/>
        </w:tabs>
        <w:ind w:left="5760" w:hanging="360"/>
      </w:pPr>
      <w:rPr>
        <w:rFonts w:ascii="Arial" w:hAnsi="Arial" w:hint="default"/>
      </w:rPr>
    </w:lvl>
    <w:lvl w:ilvl="8" w:tplc="22A8F63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F5B55CF"/>
    <w:multiLevelType w:val="hybridMultilevel"/>
    <w:tmpl w:val="433E3746"/>
    <w:lvl w:ilvl="0" w:tplc="05D41230">
      <w:start w:val="1"/>
      <w:numFmt w:val="bullet"/>
      <w:lvlText w:val="•"/>
      <w:lvlJc w:val="left"/>
      <w:pPr>
        <w:tabs>
          <w:tab w:val="num" w:pos="720"/>
        </w:tabs>
        <w:ind w:left="720" w:hanging="360"/>
      </w:pPr>
      <w:rPr>
        <w:rFonts w:ascii="Arial" w:hAnsi="Arial" w:hint="default"/>
      </w:rPr>
    </w:lvl>
    <w:lvl w:ilvl="1" w:tplc="190AFC62" w:tentative="1">
      <w:start w:val="1"/>
      <w:numFmt w:val="bullet"/>
      <w:lvlText w:val="•"/>
      <w:lvlJc w:val="left"/>
      <w:pPr>
        <w:tabs>
          <w:tab w:val="num" w:pos="1440"/>
        </w:tabs>
        <w:ind w:left="1440" w:hanging="360"/>
      </w:pPr>
      <w:rPr>
        <w:rFonts w:ascii="Arial" w:hAnsi="Arial" w:hint="default"/>
      </w:rPr>
    </w:lvl>
    <w:lvl w:ilvl="2" w:tplc="E132FAF8" w:tentative="1">
      <w:start w:val="1"/>
      <w:numFmt w:val="bullet"/>
      <w:lvlText w:val="•"/>
      <w:lvlJc w:val="left"/>
      <w:pPr>
        <w:tabs>
          <w:tab w:val="num" w:pos="2160"/>
        </w:tabs>
        <w:ind w:left="2160" w:hanging="360"/>
      </w:pPr>
      <w:rPr>
        <w:rFonts w:ascii="Arial" w:hAnsi="Arial" w:hint="default"/>
      </w:rPr>
    </w:lvl>
    <w:lvl w:ilvl="3" w:tplc="BB765126" w:tentative="1">
      <w:start w:val="1"/>
      <w:numFmt w:val="bullet"/>
      <w:lvlText w:val="•"/>
      <w:lvlJc w:val="left"/>
      <w:pPr>
        <w:tabs>
          <w:tab w:val="num" w:pos="2880"/>
        </w:tabs>
        <w:ind w:left="2880" w:hanging="360"/>
      </w:pPr>
      <w:rPr>
        <w:rFonts w:ascii="Arial" w:hAnsi="Arial" w:hint="default"/>
      </w:rPr>
    </w:lvl>
    <w:lvl w:ilvl="4" w:tplc="A62E9B90" w:tentative="1">
      <w:start w:val="1"/>
      <w:numFmt w:val="bullet"/>
      <w:lvlText w:val="•"/>
      <w:lvlJc w:val="left"/>
      <w:pPr>
        <w:tabs>
          <w:tab w:val="num" w:pos="3600"/>
        </w:tabs>
        <w:ind w:left="3600" w:hanging="360"/>
      </w:pPr>
      <w:rPr>
        <w:rFonts w:ascii="Arial" w:hAnsi="Arial" w:hint="default"/>
      </w:rPr>
    </w:lvl>
    <w:lvl w:ilvl="5" w:tplc="6B42426E" w:tentative="1">
      <w:start w:val="1"/>
      <w:numFmt w:val="bullet"/>
      <w:lvlText w:val="•"/>
      <w:lvlJc w:val="left"/>
      <w:pPr>
        <w:tabs>
          <w:tab w:val="num" w:pos="4320"/>
        </w:tabs>
        <w:ind w:left="4320" w:hanging="360"/>
      </w:pPr>
      <w:rPr>
        <w:rFonts w:ascii="Arial" w:hAnsi="Arial" w:hint="default"/>
      </w:rPr>
    </w:lvl>
    <w:lvl w:ilvl="6" w:tplc="C3E60794" w:tentative="1">
      <w:start w:val="1"/>
      <w:numFmt w:val="bullet"/>
      <w:lvlText w:val="•"/>
      <w:lvlJc w:val="left"/>
      <w:pPr>
        <w:tabs>
          <w:tab w:val="num" w:pos="5040"/>
        </w:tabs>
        <w:ind w:left="5040" w:hanging="360"/>
      </w:pPr>
      <w:rPr>
        <w:rFonts w:ascii="Arial" w:hAnsi="Arial" w:hint="default"/>
      </w:rPr>
    </w:lvl>
    <w:lvl w:ilvl="7" w:tplc="046C0B14" w:tentative="1">
      <w:start w:val="1"/>
      <w:numFmt w:val="bullet"/>
      <w:lvlText w:val="•"/>
      <w:lvlJc w:val="left"/>
      <w:pPr>
        <w:tabs>
          <w:tab w:val="num" w:pos="5760"/>
        </w:tabs>
        <w:ind w:left="5760" w:hanging="360"/>
      </w:pPr>
      <w:rPr>
        <w:rFonts w:ascii="Arial" w:hAnsi="Arial" w:hint="default"/>
      </w:rPr>
    </w:lvl>
    <w:lvl w:ilvl="8" w:tplc="75665F1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1CB546C"/>
    <w:multiLevelType w:val="hybridMultilevel"/>
    <w:tmpl w:val="F3A256BC"/>
    <w:lvl w:ilvl="0" w:tplc="DF3A762E">
      <w:start w:val="1"/>
      <w:numFmt w:val="bullet"/>
      <w:lvlText w:val="•"/>
      <w:lvlJc w:val="left"/>
      <w:pPr>
        <w:tabs>
          <w:tab w:val="num" w:pos="720"/>
        </w:tabs>
        <w:ind w:left="720" w:hanging="360"/>
      </w:pPr>
      <w:rPr>
        <w:rFonts w:ascii="Arial" w:hAnsi="Arial" w:hint="default"/>
      </w:rPr>
    </w:lvl>
    <w:lvl w:ilvl="1" w:tplc="1FDC87E2" w:tentative="1">
      <w:start w:val="1"/>
      <w:numFmt w:val="bullet"/>
      <w:lvlText w:val="•"/>
      <w:lvlJc w:val="left"/>
      <w:pPr>
        <w:tabs>
          <w:tab w:val="num" w:pos="1440"/>
        </w:tabs>
        <w:ind w:left="1440" w:hanging="360"/>
      </w:pPr>
      <w:rPr>
        <w:rFonts w:ascii="Arial" w:hAnsi="Arial" w:hint="default"/>
      </w:rPr>
    </w:lvl>
    <w:lvl w:ilvl="2" w:tplc="4B3CBE76" w:tentative="1">
      <w:start w:val="1"/>
      <w:numFmt w:val="bullet"/>
      <w:lvlText w:val="•"/>
      <w:lvlJc w:val="left"/>
      <w:pPr>
        <w:tabs>
          <w:tab w:val="num" w:pos="2160"/>
        </w:tabs>
        <w:ind w:left="2160" w:hanging="360"/>
      </w:pPr>
      <w:rPr>
        <w:rFonts w:ascii="Arial" w:hAnsi="Arial" w:hint="default"/>
      </w:rPr>
    </w:lvl>
    <w:lvl w:ilvl="3" w:tplc="341C73D8" w:tentative="1">
      <w:start w:val="1"/>
      <w:numFmt w:val="bullet"/>
      <w:lvlText w:val="•"/>
      <w:lvlJc w:val="left"/>
      <w:pPr>
        <w:tabs>
          <w:tab w:val="num" w:pos="2880"/>
        </w:tabs>
        <w:ind w:left="2880" w:hanging="360"/>
      </w:pPr>
      <w:rPr>
        <w:rFonts w:ascii="Arial" w:hAnsi="Arial" w:hint="default"/>
      </w:rPr>
    </w:lvl>
    <w:lvl w:ilvl="4" w:tplc="7E70012E" w:tentative="1">
      <w:start w:val="1"/>
      <w:numFmt w:val="bullet"/>
      <w:lvlText w:val="•"/>
      <w:lvlJc w:val="left"/>
      <w:pPr>
        <w:tabs>
          <w:tab w:val="num" w:pos="3600"/>
        </w:tabs>
        <w:ind w:left="3600" w:hanging="360"/>
      </w:pPr>
      <w:rPr>
        <w:rFonts w:ascii="Arial" w:hAnsi="Arial" w:hint="default"/>
      </w:rPr>
    </w:lvl>
    <w:lvl w:ilvl="5" w:tplc="9584623E" w:tentative="1">
      <w:start w:val="1"/>
      <w:numFmt w:val="bullet"/>
      <w:lvlText w:val="•"/>
      <w:lvlJc w:val="left"/>
      <w:pPr>
        <w:tabs>
          <w:tab w:val="num" w:pos="4320"/>
        </w:tabs>
        <w:ind w:left="4320" w:hanging="360"/>
      </w:pPr>
      <w:rPr>
        <w:rFonts w:ascii="Arial" w:hAnsi="Arial" w:hint="default"/>
      </w:rPr>
    </w:lvl>
    <w:lvl w:ilvl="6" w:tplc="5D260EFE" w:tentative="1">
      <w:start w:val="1"/>
      <w:numFmt w:val="bullet"/>
      <w:lvlText w:val="•"/>
      <w:lvlJc w:val="left"/>
      <w:pPr>
        <w:tabs>
          <w:tab w:val="num" w:pos="5040"/>
        </w:tabs>
        <w:ind w:left="5040" w:hanging="360"/>
      </w:pPr>
      <w:rPr>
        <w:rFonts w:ascii="Arial" w:hAnsi="Arial" w:hint="default"/>
      </w:rPr>
    </w:lvl>
    <w:lvl w:ilvl="7" w:tplc="712E6010" w:tentative="1">
      <w:start w:val="1"/>
      <w:numFmt w:val="bullet"/>
      <w:lvlText w:val="•"/>
      <w:lvlJc w:val="left"/>
      <w:pPr>
        <w:tabs>
          <w:tab w:val="num" w:pos="5760"/>
        </w:tabs>
        <w:ind w:left="5760" w:hanging="360"/>
      </w:pPr>
      <w:rPr>
        <w:rFonts w:ascii="Arial" w:hAnsi="Arial" w:hint="default"/>
      </w:rPr>
    </w:lvl>
    <w:lvl w:ilvl="8" w:tplc="9A5C525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B326E10"/>
    <w:multiLevelType w:val="hybridMultilevel"/>
    <w:tmpl w:val="5A62DCA0"/>
    <w:lvl w:ilvl="0" w:tplc="6DEEA34E">
      <w:start w:val="1"/>
      <w:numFmt w:val="bullet"/>
      <w:lvlText w:val="•"/>
      <w:lvlJc w:val="left"/>
      <w:pPr>
        <w:tabs>
          <w:tab w:val="num" w:pos="720"/>
        </w:tabs>
        <w:ind w:left="720" w:hanging="360"/>
      </w:pPr>
      <w:rPr>
        <w:rFonts w:ascii="Arial" w:hAnsi="Arial" w:hint="default"/>
      </w:rPr>
    </w:lvl>
    <w:lvl w:ilvl="1" w:tplc="84427254" w:tentative="1">
      <w:start w:val="1"/>
      <w:numFmt w:val="bullet"/>
      <w:lvlText w:val="•"/>
      <w:lvlJc w:val="left"/>
      <w:pPr>
        <w:tabs>
          <w:tab w:val="num" w:pos="1440"/>
        </w:tabs>
        <w:ind w:left="1440" w:hanging="360"/>
      </w:pPr>
      <w:rPr>
        <w:rFonts w:ascii="Arial" w:hAnsi="Arial" w:hint="default"/>
      </w:rPr>
    </w:lvl>
    <w:lvl w:ilvl="2" w:tplc="8F788F7E" w:tentative="1">
      <w:start w:val="1"/>
      <w:numFmt w:val="bullet"/>
      <w:lvlText w:val="•"/>
      <w:lvlJc w:val="left"/>
      <w:pPr>
        <w:tabs>
          <w:tab w:val="num" w:pos="2160"/>
        </w:tabs>
        <w:ind w:left="2160" w:hanging="360"/>
      </w:pPr>
      <w:rPr>
        <w:rFonts w:ascii="Arial" w:hAnsi="Arial" w:hint="default"/>
      </w:rPr>
    </w:lvl>
    <w:lvl w:ilvl="3" w:tplc="4B5EA2BA" w:tentative="1">
      <w:start w:val="1"/>
      <w:numFmt w:val="bullet"/>
      <w:lvlText w:val="•"/>
      <w:lvlJc w:val="left"/>
      <w:pPr>
        <w:tabs>
          <w:tab w:val="num" w:pos="2880"/>
        </w:tabs>
        <w:ind w:left="2880" w:hanging="360"/>
      </w:pPr>
      <w:rPr>
        <w:rFonts w:ascii="Arial" w:hAnsi="Arial" w:hint="default"/>
      </w:rPr>
    </w:lvl>
    <w:lvl w:ilvl="4" w:tplc="45785B00" w:tentative="1">
      <w:start w:val="1"/>
      <w:numFmt w:val="bullet"/>
      <w:lvlText w:val="•"/>
      <w:lvlJc w:val="left"/>
      <w:pPr>
        <w:tabs>
          <w:tab w:val="num" w:pos="3600"/>
        </w:tabs>
        <w:ind w:left="3600" w:hanging="360"/>
      </w:pPr>
      <w:rPr>
        <w:rFonts w:ascii="Arial" w:hAnsi="Arial" w:hint="default"/>
      </w:rPr>
    </w:lvl>
    <w:lvl w:ilvl="5" w:tplc="9674732A" w:tentative="1">
      <w:start w:val="1"/>
      <w:numFmt w:val="bullet"/>
      <w:lvlText w:val="•"/>
      <w:lvlJc w:val="left"/>
      <w:pPr>
        <w:tabs>
          <w:tab w:val="num" w:pos="4320"/>
        </w:tabs>
        <w:ind w:left="4320" w:hanging="360"/>
      </w:pPr>
      <w:rPr>
        <w:rFonts w:ascii="Arial" w:hAnsi="Arial" w:hint="default"/>
      </w:rPr>
    </w:lvl>
    <w:lvl w:ilvl="6" w:tplc="B08EBCBE" w:tentative="1">
      <w:start w:val="1"/>
      <w:numFmt w:val="bullet"/>
      <w:lvlText w:val="•"/>
      <w:lvlJc w:val="left"/>
      <w:pPr>
        <w:tabs>
          <w:tab w:val="num" w:pos="5040"/>
        </w:tabs>
        <w:ind w:left="5040" w:hanging="360"/>
      </w:pPr>
      <w:rPr>
        <w:rFonts w:ascii="Arial" w:hAnsi="Arial" w:hint="default"/>
      </w:rPr>
    </w:lvl>
    <w:lvl w:ilvl="7" w:tplc="76A05A06" w:tentative="1">
      <w:start w:val="1"/>
      <w:numFmt w:val="bullet"/>
      <w:lvlText w:val="•"/>
      <w:lvlJc w:val="left"/>
      <w:pPr>
        <w:tabs>
          <w:tab w:val="num" w:pos="5760"/>
        </w:tabs>
        <w:ind w:left="5760" w:hanging="360"/>
      </w:pPr>
      <w:rPr>
        <w:rFonts w:ascii="Arial" w:hAnsi="Arial" w:hint="default"/>
      </w:rPr>
    </w:lvl>
    <w:lvl w:ilvl="8" w:tplc="F48AF34A" w:tentative="1">
      <w:start w:val="1"/>
      <w:numFmt w:val="bullet"/>
      <w:lvlText w:val="•"/>
      <w:lvlJc w:val="left"/>
      <w:pPr>
        <w:tabs>
          <w:tab w:val="num" w:pos="6480"/>
        </w:tabs>
        <w:ind w:left="6480" w:hanging="360"/>
      </w:pPr>
      <w:rPr>
        <w:rFonts w:ascii="Arial" w:hAnsi="Arial" w:hint="default"/>
      </w:rPr>
    </w:lvl>
  </w:abstractNum>
  <w:num w:numId="1" w16cid:durableId="304050878">
    <w:abstractNumId w:val="5"/>
  </w:num>
  <w:num w:numId="2" w16cid:durableId="825438840">
    <w:abstractNumId w:val="1"/>
  </w:num>
  <w:num w:numId="3" w16cid:durableId="1302082070">
    <w:abstractNumId w:val="0"/>
  </w:num>
  <w:num w:numId="4" w16cid:durableId="205801968">
    <w:abstractNumId w:val="4"/>
  </w:num>
  <w:num w:numId="5" w16cid:durableId="529339579">
    <w:abstractNumId w:val="2"/>
  </w:num>
  <w:num w:numId="6" w16cid:durableId="1521843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39E8"/>
    <w:rsid w:val="0046268E"/>
    <w:rsid w:val="00837ADC"/>
    <w:rsid w:val="008C39E8"/>
    <w:rsid w:val="008E1882"/>
    <w:rsid w:val="00947602"/>
    <w:rsid w:val="00BC4492"/>
    <w:rsid w:val="00BE7B85"/>
    <w:rsid w:val="00DC0957"/>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D47AD"/>
  <w15:docId w15:val="{E7B1A929-682F-43CA-83D7-D2F8ED565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bn-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jc w:val="center"/>
    </w:pPr>
    <w:rPr>
      <w:b/>
      <w:sz w:val="40"/>
      <w:szCs w:val="40"/>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character" w:styleId="Hyperlink">
    <w:name w:val="Hyperlink"/>
    <w:basedOn w:val="DefaultParagraphFont"/>
    <w:uiPriority w:val="99"/>
    <w:unhideWhenUsed/>
    <w:rsid w:val="0046268E"/>
    <w:rPr>
      <w:color w:val="0000FF" w:themeColor="hyperlink"/>
      <w:u w:val="single"/>
    </w:rPr>
  </w:style>
  <w:style w:type="character" w:styleId="UnresolvedMention">
    <w:name w:val="Unresolved Mention"/>
    <w:basedOn w:val="DefaultParagraphFont"/>
    <w:uiPriority w:val="99"/>
    <w:semiHidden/>
    <w:unhideWhenUsed/>
    <w:rsid w:val="004626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pmc.ncbi.nlm.nih.gov/articles/PMC10996280/" TargetMode="External"/><Relationship Id="rId3" Type="http://schemas.openxmlformats.org/officeDocument/2006/relationships/settings" Target="settings.xml"/><Relationship Id="rId7" Type="http://schemas.openxmlformats.org/officeDocument/2006/relationships/hyperlink" Target="https://www.mckinsey.com/capabilities/operations/our-insights/ai-driven-operations-forecasting-in-data-light-environmen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usinesswaste.co.uk/reduce-waste/how-to-reduce-waste-in-hotels-and-the-hospitality-industry/"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pollution.sustainability-directory.com/question/why-is-community-engagement-important-for-waste-reduction/"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13</Pages>
  <Words>3813</Words>
  <Characters>21739</Characters>
  <Application>Microsoft Office Word</Application>
  <DocSecurity>0</DocSecurity>
  <Lines>181</Lines>
  <Paragraphs>51</Paragraphs>
  <ScaleCrop>false</ScaleCrop>
  <Company/>
  <LinksUpToDate>false</LinksUpToDate>
  <CharactersWithSpaces>25501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mihaela calin</dc:creator>
  <cp:lastModifiedBy>mihaela calin</cp:lastModifiedBy>
  <cp:revision>4</cp:revision>
  <dcterms:created xsi:type="dcterms:W3CDTF">2025-10-29T18:50:00Z</dcterms:created>
  <dcterms:modified xsi:type="dcterms:W3CDTF">2025-10-30T19:16:00Z</dcterms:modified>
</cp:coreProperties>
</file>