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B75F8" w:rsidRDefault="002B75F8" w:rsidP="00C9236A">
      <w:pPr>
        <w:spacing w:line="360" w:lineRule="auto"/>
        <w:jc w:val="center"/>
        <w:rPr>
          <w:rFonts w:ascii="Times New Roman" w:hAnsi="Times New Roman" w:cs="Times New Roman"/>
          <w:b/>
          <w:bCs/>
          <w:sz w:val="24"/>
          <w:szCs w:val="24"/>
        </w:rPr>
      </w:pPr>
    </w:p>
    <w:p w:rsidR="00E870AF" w:rsidRDefault="00E870AF" w:rsidP="00E870AF">
      <w:pPr>
        <w:spacing w:line="360" w:lineRule="auto"/>
        <w:jc w:val="center"/>
        <w:rPr>
          <w:rFonts w:ascii="Times New Roman" w:hAnsi="Times New Roman" w:cs="Times New Roman"/>
          <w:b/>
          <w:bCs/>
          <w:sz w:val="32"/>
          <w:szCs w:val="32"/>
          <w:lang w:val="en-US"/>
        </w:rPr>
      </w:pPr>
      <w:r>
        <w:rPr>
          <w:rFonts w:ascii="Times New Roman" w:hAnsi="Times New Roman" w:cs="Times New Roman"/>
          <w:noProof/>
          <w:sz w:val="24"/>
          <w:szCs w:val="24"/>
        </w:rPr>
        <w:drawing>
          <wp:inline distT="0" distB="0" distL="0" distR="0" wp14:anchorId="60B1E7FD" wp14:editId="241DCAED">
            <wp:extent cx="3449955" cy="1379855"/>
            <wp:effectExtent l="152400" t="152400" r="302895" b="296545"/>
            <wp:docPr id="136576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6757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479933" cy="1391973"/>
                    </a:xfrm>
                    <a:prstGeom prst="rect">
                      <a:avLst/>
                    </a:prstGeom>
                    <a:ln>
                      <a:noFill/>
                    </a:ln>
                    <a:effectLst>
                      <a:outerShdw blurRad="292100" dist="139700" dir="2700000" algn="tl" rotWithShape="0">
                        <a:srgbClr val="333333">
                          <a:alpha val="65000"/>
                        </a:srgbClr>
                      </a:outerShdw>
                    </a:effectLst>
                  </pic:spPr>
                </pic:pic>
              </a:graphicData>
            </a:graphic>
          </wp:inline>
        </w:drawing>
      </w:r>
    </w:p>
    <w:p w:rsidR="00E870AF" w:rsidRPr="003447B2" w:rsidRDefault="00E870AF" w:rsidP="00E870AF">
      <w:pPr>
        <w:spacing w:line="360" w:lineRule="auto"/>
        <w:jc w:val="center"/>
        <w:rPr>
          <w:rFonts w:ascii="Times New Roman" w:hAnsi="Times New Roman" w:cs="Times New Roman"/>
          <w:b/>
          <w:bCs/>
          <w:sz w:val="36"/>
          <w:szCs w:val="36"/>
          <w:u w:val="single"/>
          <w:lang w:val="en-US"/>
        </w:rPr>
      </w:pPr>
      <w:r w:rsidRPr="003447B2">
        <w:rPr>
          <w:rFonts w:ascii="Times New Roman" w:hAnsi="Times New Roman" w:cs="Times New Roman"/>
          <w:b/>
          <w:bCs/>
          <w:sz w:val="36"/>
          <w:szCs w:val="36"/>
          <w:u w:val="single"/>
          <w:lang w:val="en-US"/>
        </w:rPr>
        <w:t>University of Wales Trinity Saint David</w:t>
      </w:r>
      <w:r w:rsidRPr="00C11D0C">
        <w:rPr>
          <w:rFonts w:ascii="Times New Roman" w:hAnsi="Times New Roman" w:cs="Times New Roman"/>
          <w:b/>
          <w:bCs/>
          <w:sz w:val="36"/>
          <w:szCs w:val="36"/>
          <w:u w:val="single"/>
          <w:lang w:val="en-US"/>
        </w:rPr>
        <w:t xml:space="preserve">, </w:t>
      </w:r>
      <w:r w:rsidRPr="003447B2">
        <w:rPr>
          <w:rFonts w:ascii="Times New Roman" w:hAnsi="Times New Roman" w:cs="Times New Roman"/>
          <w:b/>
          <w:bCs/>
          <w:sz w:val="36"/>
          <w:szCs w:val="36"/>
          <w:u w:val="single"/>
          <w:lang w:val="en-US"/>
        </w:rPr>
        <w:t>London Campus</w:t>
      </w:r>
    </w:p>
    <w:p w:rsidR="00E870AF" w:rsidRDefault="00E870AF" w:rsidP="00E870AF">
      <w:pPr>
        <w:spacing w:line="360" w:lineRule="auto"/>
        <w:jc w:val="center"/>
        <w:rPr>
          <w:rFonts w:ascii="Times New Roman" w:hAnsi="Times New Roman" w:cs="Times New Roman"/>
          <w:sz w:val="28"/>
          <w:szCs w:val="28"/>
          <w:lang w:val="en-US"/>
        </w:rPr>
      </w:pPr>
    </w:p>
    <w:p w:rsidR="00E870AF" w:rsidRPr="004D207A" w:rsidRDefault="00E870AF" w:rsidP="00E870AF">
      <w:pPr>
        <w:spacing w:line="360" w:lineRule="auto"/>
        <w:jc w:val="center"/>
        <w:rPr>
          <w:rFonts w:ascii="Times New Roman" w:hAnsi="Times New Roman" w:cs="Times New Roman"/>
          <w:b/>
          <w:bCs/>
          <w:sz w:val="28"/>
          <w:szCs w:val="28"/>
          <w:u w:val="single"/>
          <w:lang w:val="en-US"/>
        </w:rPr>
      </w:pPr>
      <w:r w:rsidRPr="004D207A">
        <w:rPr>
          <w:rFonts w:ascii="Times New Roman" w:hAnsi="Times New Roman" w:cs="Times New Roman"/>
          <w:b/>
          <w:bCs/>
          <w:sz w:val="28"/>
          <w:szCs w:val="28"/>
          <w:u w:val="single"/>
          <w:lang w:val="en-US"/>
        </w:rPr>
        <w:t xml:space="preserve">Assignment Title: </w:t>
      </w:r>
      <w:r w:rsidR="001539F0" w:rsidRPr="001539F0">
        <w:rPr>
          <w:rFonts w:ascii="Times New Roman" w:hAnsi="Times New Roman" w:cs="Times New Roman"/>
          <w:b/>
          <w:bCs/>
          <w:sz w:val="28"/>
          <w:szCs w:val="28"/>
          <w:u w:val="single"/>
          <w:lang w:val="en-US"/>
        </w:rPr>
        <w:t>Tesla GridHome: Strategic Development and Marketing Portfolio for a Smart Home Energy Brand</w:t>
      </w:r>
    </w:p>
    <w:p w:rsidR="00E870AF" w:rsidRPr="003447B2" w:rsidRDefault="00E870AF" w:rsidP="00E870AF">
      <w:pPr>
        <w:spacing w:line="360" w:lineRule="auto"/>
        <w:jc w:val="center"/>
        <w:rPr>
          <w:rFonts w:ascii="Times New Roman" w:hAnsi="Times New Roman" w:cs="Times New Roman"/>
          <w:sz w:val="28"/>
          <w:szCs w:val="28"/>
          <w:lang w:val="en-US"/>
        </w:rPr>
      </w:pPr>
    </w:p>
    <w:p w:rsidR="00E870AF" w:rsidRPr="003447B2" w:rsidRDefault="00E870AF" w:rsidP="00E870AF">
      <w:pPr>
        <w:spacing w:line="360" w:lineRule="auto"/>
        <w:jc w:val="center"/>
        <w:rPr>
          <w:rFonts w:ascii="Times New Roman" w:hAnsi="Times New Roman" w:cs="Times New Roman"/>
          <w:b/>
          <w:bCs/>
          <w:sz w:val="28"/>
          <w:szCs w:val="28"/>
          <w:lang w:val="en-US"/>
        </w:rPr>
      </w:pPr>
      <w:r w:rsidRPr="003447B2">
        <w:rPr>
          <w:rFonts w:ascii="Times New Roman" w:hAnsi="Times New Roman" w:cs="Times New Roman"/>
          <w:b/>
          <w:bCs/>
          <w:sz w:val="28"/>
          <w:szCs w:val="28"/>
          <w:lang w:val="en-US"/>
        </w:rPr>
        <w:t>Module Name:</w:t>
      </w:r>
      <w:r w:rsidRPr="00575E31">
        <w:rPr>
          <w:rFonts w:ascii="Times New Roman" w:hAnsi="Times New Roman" w:cs="Times New Roman"/>
          <w:b/>
          <w:bCs/>
          <w:sz w:val="28"/>
          <w:szCs w:val="28"/>
          <w:lang w:val="en-US"/>
        </w:rPr>
        <w:t xml:space="preserve"> </w:t>
      </w:r>
      <w:r w:rsidRPr="003447B2">
        <w:rPr>
          <w:rFonts w:ascii="Times New Roman" w:hAnsi="Times New Roman" w:cs="Times New Roman"/>
          <w:b/>
          <w:bCs/>
          <w:sz w:val="28"/>
          <w:szCs w:val="28"/>
          <w:lang w:val="en-US"/>
        </w:rPr>
        <w:t>Marketing Management</w:t>
      </w:r>
    </w:p>
    <w:p w:rsidR="00E870AF" w:rsidRPr="003447B2" w:rsidRDefault="00E870AF" w:rsidP="00E870AF">
      <w:pPr>
        <w:spacing w:line="360" w:lineRule="auto"/>
        <w:jc w:val="center"/>
        <w:rPr>
          <w:rFonts w:ascii="Times New Roman" w:hAnsi="Times New Roman" w:cs="Times New Roman"/>
          <w:b/>
          <w:bCs/>
          <w:sz w:val="28"/>
          <w:szCs w:val="28"/>
          <w:lang w:val="en-US"/>
        </w:rPr>
      </w:pPr>
      <w:r w:rsidRPr="003447B2">
        <w:rPr>
          <w:rFonts w:ascii="Times New Roman" w:hAnsi="Times New Roman" w:cs="Times New Roman"/>
          <w:b/>
          <w:bCs/>
          <w:sz w:val="28"/>
          <w:szCs w:val="28"/>
          <w:lang w:val="en-US"/>
        </w:rPr>
        <w:t>Module Code:</w:t>
      </w:r>
      <w:r w:rsidRPr="00575E31">
        <w:rPr>
          <w:rFonts w:ascii="Times New Roman" w:hAnsi="Times New Roman" w:cs="Times New Roman"/>
          <w:b/>
          <w:bCs/>
          <w:sz w:val="28"/>
          <w:szCs w:val="28"/>
          <w:lang w:val="en-US"/>
        </w:rPr>
        <w:t xml:space="preserve"> </w:t>
      </w:r>
      <w:r w:rsidRPr="003447B2">
        <w:rPr>
          <w:rFonts w:ascii="Times New Roman" w:hAnsi="Times New Roman" w:cs="Times New Roman"/>
          <w:b/>
          <w:bCs/>
          <w:sz w:val="28"/>
          <w:szCs w:val="28"/>
          <w:lang w:val="en-US"/>
        </w:rPr>
        <w:t>LCMB7024</w:t>
      </w:r>
    </w:p>
    <w:p w:rsidR="00E870AF" w:rsidRPr="003447B2" w:rsidRDefault="00E870AF" w:rsidP="00E870AF">
      <w:pPr>
        <w:spacing w:line="360" w:lineRule="auto"/>
        <w:rPr>
          <w:rFonts w:ascii="Times New Roman" w:hAnsi="Times New Roman" w:cs="Times New Roman"/>
          <w:sz w:val="28"/>
          <w:szCs w:val="28"/>
          <w:lang w:val="en-US"/>
        </w:rPr>
      </w:pPr>
    </w:p>
    <w:p w:rsidR="00E870AF" w:rsidRDefault="00E870AF" w:rsidP="00E870AF">
      <w:pPr>
        <w:spacing w:line="360" w:lineRule="auto"/>
        <w:jc w:val="center"/>
        <w:rPr>
          <w:rFonts w:ascii="Times New Roman" w:hAnsi="Times New Roman" w:cs="Times New Roman"/>
          <w:b/>
          <w:bCs/>
          <w:sz w:val="28"/>
          <w:szCs w:val="28"/>
          <w:lang w:val="en-US"/>
        </w:rPr>
      </w:pPr>
      <w:r w:rsidRPr="003447B2">
        <w:rPr>
          <w:rFonts w:ascii="Times New Roman" w:hAnsi="Times New Roman" w:cs="Times New Roman"/>
          <w:b/>
          <w:bCs/>
          <w:sz w:val="28"/>
          <w:szCs w:val="28"/>
          <w:lang w:val="en-US"/>
        </w:rPr>
        <w:t>Submitted By:</w:t>
      </w:r>
      <w:r w:rsidRPr="00575E31">
        <w:rPr>
          <w:rFonts w:ascii="Times New Roman" w:hAnsi="Times New Roman" w:cs="Times New Roman"/>
          <w:b/>
          <w:bCs/>
          <w:sz w:val="28"/>
          <w:szCs w:val="28"/>
          <w:lang w:val="en-US"/>
        </w:rPr>
        <w:t xml:space="preserve"> Syed Mujtaba Ali Bukhari </w:t>
      </w:r>
    </w:p>
    <w:p w:rsidR="00E870AF" w:rsidRPr="003447B2" w:rsidRDefault="00E870AF" w:rsidP="00E870AF">
      <w:pPr>
        <w:spacing w:line="360" w:lineRule="auto"/>
        <w:jc w:val="center"/>
        <w:rPr>
          <w:rFonts w:ascii="Times New Roman" w:hAnsi="Times New Roman" w:cs="Times New Roman"/>
          <w:b/>
          <w:bCs/>
          <w:sz w:val="28"/>
          <w:szCs w:val="28"/>
          <w:lang w:val="en-US"/>
        </w:rPr>
      </w:pPr>
      <w:r w:rsidRPr="00575E31">
        <w:rPr>
          <w:rFonts w:ascii="Times New Roman" w:hAnsi="Times New Roman" w:cs="Times New Roman"/>
          <w:b/>
          <w:bCs/>
          <w:sz w:val="28"/>
          <w:szCs w:val="28"/>
          <w:lang w:val="en-US"/>
        </w:rPr>
        <w:t>Student ID:</w:t>
      </w:r>
      <w:r>
        <w:rPr>
          <w:rFonts w:ascii="Times New Roman" w:hAnsi="Times New Roman" w:cs="Times New Roman"/>
          <w:b/>
          <w:bCs/>
          <w:sz w:val="28"/>
          <w:szCs w:val="28"/>
          <w:lang w:val="en-US"/>
        </w:rPr>
        <w:t xml:space="preserve"> </w:t>
      </w:r>
      <w:r w:rsidRPr="00575E31">
        <w:rPr>
          <w:rFonts w:ascii="Times New Roman" w:hAnsi="Times New Roman" w:cs="Times New Roman"/>
          <w:b/>
          <w:bCs/>
          <w:sz w:val="28"/>
          <w:szCs w:val="28"/>
          <w:lang w:val="en-US"/>
        </w:rPr>
        <w:t>2434997</w:t>
      </w:r>
    </w:p>
    <w:p w:rsidR="00E870AF" w:rsidRPr="003447B2" w:rsidRDefault="00E870AF" w:rsidP="00E870AF">
      <w:pPr>
        <w:spacing w:line="360" w:lineRule="auto"/>
        <w:jc w:val="center"/>
        <w:rPr>
          <w:rFonts w:ascii="Times New Roman" w:hAnsi="Times New Roman" w:cs="Times New Roman"/>
          <w:b/>
          <w:bCs/>
          <w:sz w:val="28"/>
          <w:szCs w:val="28"/>
          <w:lang w:val="en-US"/>
        </w:rPr>
      </w:pPr>
      <w:r w:rsidRPr="003447B2">
        <w:rPr>
          <w:rFonts w:ascii="Times New Roman" w:hAnsi="Times New Roman" w:cs="Times New Roman"/>
          <w:b/>
          <w:bCs/>
          <w:sz w:val="28"/>
          <w:szCs w:val="28"/>
          <w:lang w:val="en-US"/>
        </w:rPr>
        <w:t>Submitted To:</w:t>
      </w:r>
      <w:r w:rsidRPr="00575E31">
        <w:rPr>
          <w:rFonts w:ascii="Times New Roman" w:hAnsi="Times New Roman" w:cs="Times New Roman"/>
          <w:b/>
          <w:bCs/>
          <w:sz w:val="28"/>
          <w:szCs w:val="28"/>
          <w:lang w:val="en-US"/>
        </w:rPr>
        <w:t xml:space="preserve"> </w:t>
      </w:r>
      <w:r w:rsidR="00EA2C21" w:rsidRPr="00EA2C21">
        <w:rPr>
          <w:rFonts w:ascii="Times New Roman" w:hAnsi="Times New Roman" w:cs="Times New Roman"/>
          <w:b/>
          <w:bCs/>
          <w:sz w:val="28"/>
          <w:szCs w:val="28"/>
          <w:lang w:val="en-US"/>
        </w:rPr>
        <w:t>Dr Gladius David Kulothungan</w:t>
      </w:r>
    </w:p>
    <w:p w:rsidR="00E870AF" w:rsidRPr="003447B2" w:rsidRDefault="00E870AF" w:rsidP="00E870AF">
      <w:pPr>
        <w:spacing w:line="360" w:lineRule="auto"/>
        <w:jc w:val="center"/>
        <w:rPr>
          <w:rFonts w:ascii="Times New Roman" w:hAnsi="Times New Roman" w:cs="Times New Roman"/>
          <w:sz w:val="28"/>
          <w:szCs w:val="28"/>
          <w:lang w:val="en-US"/>
        </w:rPr>
      </w:pPr>
    </w:p>
    <w:p w:rsidR="00E870AF" w:rsidRPr="003447B2" w:rsidRDefault="00E870AF" w:rsidP="00E870AF">
      <w:pPr>
        <w:spacing w:line="360" w:lineRule="auto"/>
        <w:jc w:val="center"/>
        <w:rPr>
          <w:rFonts w:ascii="Times New Roman" w:hAnsi="Times New Roman" w:cs="Times New Roman"/>
          <w:b/>
          <w:bCs/>
          <w:sz w:val="28"/>
          <w:szCs w:val="28"/>
          <w:lang w:val="en-US"/>
        </w:rPr>
      </w:pPr>
      <w:r w:rsidRPr="003447B2">
        <w:rPr>
          <w:rFonts w:ascii="Times New Roman" w:hAnsi="Times New Roman" w:cs="Times New Roman"/>
          <w:b/>
          <w:bCs/>
          <w:sz w:val="28"/>
          <w:szCs w:val="28"/>
          <w:lang w:val="en-US"/>
        </w:rPr>
        <w:t>Word Count:</w:t>
      </w:r>
      <w:r w:rsidR="00775A34">
        <w:rPr>
          <w:rFonts w:ascii="Times New Roman" w:hAnsi="Times New Roman" w:cs="Times New Roman"/>
          <w:b/>
          <w:bCs/>
          <w:sz w:val="28"/>
          <w:szCs w:val="28"/>
          <w:lang w:val="en-US"/>
        </w:rPr>
        <w:t>2750</w:t>
      </w:r>
    </w:p>
    <w:p w:rsidR="00E870AF" w:rsidRPr="003447B2" w:rsidRDefault="00E870AF" w:rsidP="00E870AF">
      <w:pPr>
        <w:spacing w:line="360" w:lineRule="auto"/>
        <w:jc w:val="center"/>
        <w:rPr>
          <w:rFonts w:ascii="Times New Roman" w:hAnsi="Times New Roman" w:cs="Times New Roman"/>
          <w:sz w:val="28"/>
          <w:szCs w:val="28"/>
          <w:lang w:val="en-US"/>
        </w:rPr>
      </w:pPr>
    </w:p>
    <w:p w:rsidR="00E870AF" w:rsidRPr="003447B2" w:rsidRDefault="00E870AF" w:rsidP="00E870AF">
      <w:pPr>
        <w:spacing w:line="360" w:lineRule="auto"/>
        <w:jc w:val="center"/>
        <w:rPr>
          <w:rFonts w:ascii="Times New Roman" w:hAnsi="Times New Roman" w:cs="Times New Roman"/>
          <w:b/>
          <w:bCs/>
          <w:sz w:val="28"/>
          <w:szCs w:val="28"/>
          <w:lang w:val="en-US"/>
        </w:rPr>
      </w:pPr>
      <w:r w:rsidRPr="003447B2">
        <w:rPr>
          <w:rFonts w:ascii="Times New Roman" w:hAnsi="Times New Roman" w:cs="Times New Roman"/>
          <w:b/>
          <w:bCs/>
          <w:sz w:val="28"/>
          <w:szCs w:val="28"/>
          <w:lang w:val="en-US"/>
        </w:rPr>
        <w:t>Date of Submission:</w:t>
      </w:r>
    </w:p>
    <w:p w:rsidR="002B75F8" w:rsidRPr="00E870AF" w:rsidRDefault="00EA2C21" w:rsidP="00E870AF">
      <w:pPr>
        <w:spacing w:line="360" w:lineRule="auto"/>
        <w:jc w:val="center"/>
        <w:rPr>
          <w:rFonts w:ascii="Times New Roman" w:hAnsi="Times New Roman" w:cs="Times New Roman"/>
          <w:sz w:val="28"/>
          <w:szCs w:val="28"/>
          <w:lang w:val="en-US"/>
        </w:rPr>
      </w:pPr>
      <w:r>
        <w:rPr>
          <w:rFonts w:ascii="Times New Roman" w:hAnsi="Times New Roman" w:cs="Times New Roman"/>
          <w:b/>
          <w:bCs/>
          <w:sz w:val="28"/>
          <w:szCs w:val="28"/>
          <w:lang w:val="en-US"/>
        </w:rPr>
        <w:t>17</w:t>
      </w:r>
      <w:r w:rsidRPr="00EA2C21">
        <w:rPr>
          <w:rFonts w:ascii="Times New Roman" w:hAnsi="Times New Roman" w:cs="Times New Roman"/>
          <w:b/>
          <w:bCs/>
          <w:sz w:val="28"/>
          <w:szCs w:val="28"/>
          <w:vertAlign w:val="superscript"/>
          <w:lang w:val="en-US"/>
        </w:rPr>
        <w:t>th</w:t>
      </w:r>
      <w:r>
        <w:rPr>
          <w:rFonts w:ascii="Times New Roman" w:hAnsi="Times New Roman" w:cs="Times New Roman"/>
          <w:b/>
          <w:bCs/>
          <w:sz w:val="28"/>
          <w:szCs w:val="28"/>
          <w:lang w:val="en-US"/>
        </w:rPr>
        <w:t xml:space="preserve"> </w:t>
      </w:r>
      <w:r w:rsidR="00E870AF">
        <w:rPr>
          <w:rFonts w:ascii="Times New Roman" w:hAnsi="Times New Roman" w:cs="Times New Roman"/>
          <w:b/>
          <w:bCs/>
          <w:sz w:val="28"/>
          <w:szCs w:val="28"/>
          <w:lang w:val="en-US"/>
        </w:rPr>
        <w:t xml:space="preserve">December, </w:t>
      </w:r>
      <w:r w:rsidR="00E870AF" w:rsidRPr="003447B2">
        <w:rPr>
          <w:rFonts w:ascii="Times New Roman" w:hAnsi="Times New Roman" w:cs="Times New Roman"/>
          <w:b/>
          <w:bCs/>
          <w:sz w:val="28"/>
          <w:szCs w:val="28"/>
          <w:lang w:val="en-US"/>
        </w:rPr>
        <w:t>2025</w:t>
      </w:r>
    </w:p>
    <w:sdt>
      <w:sdtPr>
        <w:rPr>
          <w:rFonts w:asciiTheme="minorHAnsi" w:eastAsiaTheme="minorHAnsi" w:hAnsiTheme="minorHAnsi" w:cstheme="minorBidi"/>
          <w:color w:val="auto"/>
          <w:kern w:val="2"/>
          <w:sz w:val="22"/>
          <w:szCs w:val="22"/>
          <w:lang w:val="en-GB"/>
          <w14:ligatures w14:val="standardContextual"/>
        </w:rPr>
        <w:id w:val="-1741012022"/>
        <w:docPartObj>
          <w:docPartGallery w:val="Table of Contents"/>
          <w:docPartUnique/>
        </w:docPartObj>
      </w:sdtPr>
      <w:sdtEndPr>
        <w:rPr>
          <w:rFonts w:ascii="Times New Roman" w:hAnsi="Times New Roman" w:cs="Times New Roman"/>
          <w:b/>
          <w:bCs/>
          <w:noProof/>
          <w:sz w:val="24"/>
          <w:szCs w:val="24"/>
        </w:rPr>
      </w:sdtEndPr>
      <w:sdtContent>
        <w:p w:rsidR="007A20D5" w:rsidRPr="0040647A" w:rsidRDefault="002B75F8" w:rsidP="0040647A">
          <w:pPr>
            <w:pStyle w:val="TOCHeading"/>
            <w:rPr>
              <w:rFonts w:ascii="Times New Roman" w:hAnsi="Times New Roman" w:cs="Times New Roman"/>
              <w:b/>
              <w:bCs/>
              <w:color w:val="auto"/>
            </w:rPr>
          </w:pPr>
          <w:r w:rsidRPr="007A20D5">
            <w:rPr>
              <w:rFonts w:ascii="Times New Roman" w:hAnsi="Times New Roman" w:cs="Times New Roman"/>
              <w:b/>
              <w:bCs/>
              <w:color w:val="auto"/>
            </w:rPr>
            <w:t>Table of Contents</w:t>
          </w:r>
        </w:p>
        <w:p w:rsidR="0040647A" w:rsidRPr="00CE0DF4" w:rsidRDefault="002B75F8" w:rsidP="00CE0DF4">
          <w:pPr>
            <w:pStyle w:val="TOC1"/>
            <w:tabs>
              <w:tab w:val="right" w:leader="dot" w:pos="9016"/>
            </w:tabs>
            <w:spacing w:line="360" w:lineRule="auto"/>
            <w:rPr>
              <w:rFonts w:ascii="Times New Roman" w:eastAsiaTheme="minorEastAsia" w:hAnsi="Times New Roman" w:cs="Times New Roman"/>
              <w:noProof/>
              <w:sz w:val="24"/>
              <w:szCs w:val="24"/>
              <w:lang w:val="en-US"/>
            </w:rPr>
          </w:pPr>
          <w:r w:rsidRPr="00CE0DF4">
            <w:rPr>
              <w:rFonts w:ascii="Times New Roman" w:hAnsi="Times New Roman" w:cs="Times New Roman"/>
              <w:sz w:val="24"/>
              <w:szCs w:val="24"/>
            </w:rPr>
            <w:fldChar w:fldCharType="begin"/>
          </w:r>
          <w:r w:rsidRPr="00CE0DF4">
            <w:rPr>
              <w:rFonts w:ascii="Times New Roman" w:hAnsi="Times New Roman" w:cs="Times New Roman"/>
              <w:sz w:val="24"/>
              <w:szCs w:val="24"/>
            </w:rPr>
            <w:instrText xml:space="preserve"> TOC \o "1-3" \h \z \u </w:instrText>
          </w:r>
          <w:r w:rsidRPr="00CE0DF4">
            <w:rPr>
              <w:rFonts w:ascii="Times New Roman" w:hAnsi="Times New Roman" w:cs="Times New Roman"/>
              <w:sz w:val="24"/>
              <w:szCs w:val="24"/>
            </w:rPr>
            <w:fldChar w:fldCharType="separate"/>
          </w:r>
          <w:hyperlink w:anchor="_Toc216541545" w:history="1">
            <w:r w:rsidR="0040647A" w:rsidRPr="00CE0DF4">
              <w:rPr>
                <w:rStyle w:val="Hyperlink"/>
                <w:rFonts w:ascii="Times New Roman" w:hAnsi="Times New Roman" w:cs="Times New Roman"/>
                <w:noProof/>
                <w:sz w:val="24"/>
                <w:szCs w:val="24"/>
                <w:lang w:val="en-US"/>
              </w:rPr>
              <w:t>ELEMENT 1: STDP ANALYSIS</w:t>
            </w:r>
            <w:r w:rsidR="0040647A" w:rsidRPr="00CE0DF4">
              <w:rPr>
                <w:rFonts w:ascii="Times New Roman" w:hAnsi="Times New Roman" w:cs="Times New Roman"/>
                <w:noProof/>
                <w:webHidden/>
                <w:sz w:val="24"/>
                <w:szCs w:val="24"/>
              </w:rPr>
              <w:tab/>
            </w:r>
            <w:r w:rsidR="0040647A" w:rsidRPr="00CE0DF4">
              <w:rPr>
                <w:rFonts w:ascii="Times New Roman" w:hAnsi="Times New Roman" w:cs="Times New Roman"/>
                <w:noProof/>
                <w:webHidden/>
                <w:sz w:val="24"/>
                <w:szCs w:val="24"/>
              </w:rPr>
              <w:fldChar w:fldCharType="begin"/>
            </w:r>
            <w:r w:rsidR="0040647A" w:rsidRPr="00CE0DF4">
              <w:rPr>
                <w:rFonts w:ascii="Times New Roman" w:hAnsi="Times New Roman" w:cs="Times New Roman"/>
                <w:noProof/>
                <w:webHidden/>
                <w:sz w:val="24"/>
                <w:szCs w:val="24"/>
              </w:rPr>
              <w:instrText xml:space="preserve"> PAGEREF _Toc216541545 \h </w:instrText>
            </w:r>
            <w:r w:rsidR="0040647A" w:rsidRPr="00CE0DF4">
              <w:rPr>
                <w:rFonts w:ascii="Times New Roman" w:hAnsi="Times New Roman" w:cs="Times New Roman"/>
                <w:noProof/>
                <w:webHidden/>
                <w:sz w:val="24"/>
                <w:szCs w:val="24"/>
              </w:rPr>
            </w:r>
            <w:r w:rsidR="0040647A" w:rsidRPr="00CE0DF4">
              <w:rPr>
                <w:rFonts w:ascii="Times New Roman" w:hAnsi="Times New Roman" w:cs="Times New Roman"/>
                <w:noProof/>
                <w:webHidden/>
                <w:sz w:val="24"/>
                <w:szCs w:val="24"/>
              </w:rPr>
              <w:fldChar w:fldCharType="separate"/>
            </w:r>
            <w:r w:rsidR="0040647A" w:rsidRPr="00CE0DF4">
              <w:rPr>
                <w:rFonts w:ascii="Times New Roman" w:hAnsi="Times New Roman" w:cs="Times New Roman"/>
                <w:noProof/>
                <w:webHidden/>
                <w:sz w:val="24"/>
                <w:szCs w:val="24"/>
              </w:rPr>
              <w:t>4</w:t>
            </w:r>
            <w:r w:rsidR="0040647A"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46" w:history="1">
            <w:r w:rsidRPr="00CE0DF4">
              <w:rPr>
                <w:rStyle w:val="Hyperlink"/>
                <w:rFonts w:ascii="Times New Roman" w:hAnsi="Times New Roman" w:cs="Times New Roman"/>
                <w:noProof/>
                <w:sz w:val="24"/>
                <w:szCs w:val="24"/>
                <w:lang w:val="en-US"/>
              </w:rPr>
              <w:t>1.1 Introduction to Tesla and GridHome Concept</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_Toc216541546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4</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47" w:history="1">
            <w:r w:rsidRPr="00CE0DF4">
              <w:rPr>
                <w:rStyle w:val="Hyperlink"/>
                <w:rFonts w:ascii="Times New Roman" w:hAnsi="Times New Roman" w:cs="Times New Roman"/>
                <w:noProof/>
                <w:sz w:val="24"/>
                <w:szCs w:val="24"/>
                <w:lang w:val="en-US"/>
              </w:rPr>
              <w:t>1.2 Segmentation</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_Toc216541547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5</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48" w:history="1">
            <w:r w:rsidRPr="00CE0DF4">
              <w:rPr>
                <w:rStyle w:val="Hyperlink"/>
                <w:rFonts w:ascii="Times New Roman" w:hAnsi="Times New Roman" w:cs="Times New Roman"/>
                <w:noProof/>
                <w:sz w:val="24"/>
                <w:szCs w:val="24"/>
                <w:lang w:val="en-US"/>
              </w:rPr>
              <w:t>1.3 Targeting</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_Toc216541548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8</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49" w:history="1">
            <w:r w:rsidRPr="00CE0DF4">
              <w:rPr>
                <w:rStyle w:val="Hyperlink"/>
                <w:rFonts w:ascii="Times New Roman" w:hAnsi="Times New Roman" w:cs="Times New Roman"/>
                <w:noProof/>
                <w:sz w:val="24"/>
                <w:szCs w:val="24"/>
                <w:lang w:val="en-US"/>
              </w:rPr>
              <w:t>1.4 Differentiation</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_Toc216541549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8</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0" w:history="1">
            <w:r w:rsidRPr="00CE0DF4">
              <w:rPr>
                <w:rStyle w:val="Hyperlink"/>
                <w:rFonts w:ascii="Times New Roman" w:hAnsi="Times New Roman" w:cs="Times New Roman"/>
                <w:noProof/>
                <w:sz w:val="24"/>
                <w:szCs w:val="24"/>
                <w:lang w:val="en-US"/>
              </w:rPr>
              <w:t>1.5 Positioning</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_Toc216541550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9</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6541551" w:history="1">
            <w:r w:rsidRPr="00CE0DF4">
              <w:rPr>
                <w:rStyle w:val="Hyperlink"/>
                <w:rFonts w:ascii="Times New Roman" w:hAnsi="Times New Roman" w:cs="Times New Roman"/>
                <w:noProof/>
                <w:sz w:val="24"/>
                <w:szCs w:val="24"/>
                <w:lang w:val="en-US"/>
              </w:rPr>
              <w:t>ELEMENT 2: MARKETING MIX - 7Ps</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_Toc216541551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10</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2" w:history="1">
            <w:r w:rsidRPr="00CE0DF4">
              <w:rPr>
                <w:rStyle w:val="Hyperlink"/>
                <w:rFonts w:ascii="Times New Roman" w:hAnsi="Times New Roman" w:cs="Times New Roman"/>
                <w:noProof/>
                <w:sz w:val="24"/>
                <w:szCs w:val="24"/>
                <w:lang w:val="en-US"/>
              </w:rPr>
              <w:t>2.1 Product</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_Toc216541552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10</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3" w:history="1">
            <w:r w:rsidRPr="00CE0DF4">
              <w:rPr>
                <w:rStyle w:val="Hyperlink"/>
                <w:rFonts w:ascii="Times New Roman" w:hAnsi="Times New Roman" w:cs="Times New Roman"/>
                <w:noProof/>
                <w:sz w:val="24"/>
                <w:szCs w:val="24"/>
                <w:lang w:val="en-US"/>
              </w:rPr>
              <w:t>2.2 Price</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_Toc216541553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11</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4" w:history="1">
            <w:r w:rsidRPr="00CE0DF4">
              <w:rPr>
                <w:rStyle w:val="Hyperlink"/>
                <w:rFonts w:ascii="Times New Roman" w:hAnsi="Times New Roman" w:cs="Times New Roman"/>
                <w:noProof/>
                <w:sz w:val="24"/>
                <w:szCs w:val="24"/>
                <w:lang w:val="en-US"/>
              </w:rPr>
              <w:t>2.3 Place</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_Toc216541554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13</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5" w:history="1">
            <w:r w:rsidRPr="00CE0DF4">
              <w:rPr>
                <w:rStyle w:val="Hyperlink"/>
                <w:rFonts w:ascii="Times New Roman" w:hAnsi="Times New Roman" w:cs="Times New Roman"/>
                <w:noProof/>
                <w:sz w:val="24"/>
                <w:szCs w:val="24"/>
                <w:lang w:val="en-US"/>
              </w:rPr>
              <w:t>2.4 Promotion</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_Toc216541555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13</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6" w:history="1">
            <w:r w:rsidRPr="00CE0DF4">
              <w:rPr>
                <w:rStyle w:val="Hyperlink"/>
                <w:rFonts w:ascii="Times New Roman" w:hAnsi="Times New Roman" w:cs="Times New Roman"/>
                <w:noProof/>
                <w:sz w:val="24"/>
                <w:szCs w:val="24"/>
                <w:lang w:val="en-US"/>
              </w:rPr>
              <w:t>2.5 People</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_Toc216541556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14</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7" w:history="1">
            <w:r w:rsidRPr="00CE0DF4">
              <w:rPr>
                <w:rStyle w:val="Hyperlink"/>
                <w:rFonts w:ascii="Times New Roman" w:hAnsi="Times New Roman" w:cs="Times New Roman"/>
                <w:noProof/>
                <w:sz w:val="24"/>
                <w:szCs w:val="24"/>
                <w:lang w:val="en-US"/>
              </w:rPr>
              <w:t>2.6 Process</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_Toc216541557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14</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58" w:history="1">
            <w:r w:rsidRPr="00CE0DF4">
              <w:rPr>
                <w:rStyle w:val="Hyperlink"/>
                <w:rFonts w:ascii="Times New Roman" w:hAnsi="Times New Roman" w:cs="Times New Roman"/>
                <w:noProof/>
                <w:sz w:val="24"/>
                <w:szCs w:val="24"/>
                <w:lang w:val="en-US"/>
              </w:rPr>
              <w:t>2.7 Physical Evidence</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_Toc216541558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15</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6541559" w:history="1">
            <w:r w:rsidRPr="00CE0DF4">
              <w:rPr>
                <w:rStyle w:val="Hyperlink"/>
                <w:rFonts w:ascii="Times New Roman" w:hAnsi="Times New Roman" w:cs="Times New Roman"/>
                <w:noProof/>
                <w:sz w:val="24"/>
                <w:szCs w:val="24"/>
                <w:lang w:val="en-US"/>
              </w:rPr>
              <w:t>ELEMENT 3: MARKETING STRATEGY PITCH SUMMARY</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_Toc216541559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16</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6541560" w:history="1">
            <w:r w:rsidRPr="00CE0DF4">
              <w:rPr>
                <w:rStyle w:val="Hyperlink"/>
                <w:rFonts w:ascii="Times New Roman" w:hAnsi="Times New Roman" w:cs="Times New Roman"/>
                <w:noProof/>
                <w:sz w:val="24"/>
                <w:szCs w:val="24"/>
                <w:lang w:val="en-US"/>
              </w:rPr>
              <w:t>ELEMENT 4: REFLECTION</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_Toc216541560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16</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6541561" w:history="1">
            <w:r w:rsidRPr="00CE0DF4">
              <w:rPr>
                <w:rStyle w:val="Hyperlink"/>
                <w:rFonts w:ascii="Times New Roman" w:hAnsi="Times New Roman" w:cs="Times New Roman"/>
                <w:noProof/>
                <w:sz w:val="24"/>
                <w:szCs w:val="24"/>
              </w:rPr>
              <w:t>References:</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_Toc216541561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18</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6541562" w:history="1">
            <w:r w:rsidRPr="00CE0DF4">
              <w:rPr>
                <w:rStyle w:val="Hyperlink"/>
                <w:rFonts w:ascii="Times New Roman" w:hAnsi="Times New Roman" w:cs="Times New Roman"/>
                <w:noProof/>
                <w:sz w:val="24"/>
                <w:szCs w:val="24"/>
              </w:rPr>
              <w:t>Appendices</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_Toc216541562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21</w:t>
            </w:r>
            <w:r w:rsidRPr="00CE0DF4">
              <w:rPr>
                <w:rFonts w:ascii="Times New Roman" w:hAnsi="Times New Roman" w:cs="Times New Roman"/>
                <w:noProof/>
                <w:webHidden/>
                <w:sz w:val="24"/>
                <w:szCs w:val="24"/>
              </w:rPr>
              <w:fldChar w:fldCharType="end"/>
            </w:r>
          </w:hyperlink>
        </w:p>
        <w:p w:rsidR="0040647A" w:rsidRPr="00CE0DF4" w:rsidRDefault="0040647A" w:rsidP="00CE0DF4">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6541563" w:history="1">
            <w:r w:rsidRPr="00CE0DF4">
              <w:rPr>
                <w:rStyle w:val="Hyperlink"/>
                <w:rFonts w:ascii="Times New Roman" w:hAnsi="Times New Roman" w:cs="Times New Roman"/>
                <w:noProof/>
                <w:sz w:val="24"/>
                <w:szCs w:val="24"/>
              </w:rPr>
              <w:t>Appendix A: Tesla GridHome Poster</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_Toc216541563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21</w:t>
            </w:r>
            <w:r w:rsidRPr="00CE0DF4">
              <w:rPr>
                <w:rFonts w:ascii="Times New Roman" w:hAnsi="Times New Roman" w:cs="Times New Roman"/>
                <w:noProof/>
                <w:webHidden/>
                <w:sz w:val="24"/>
                <w:szCs w:val="24"/>
              </w:rPr>
              <w:fldChar w:fldCharType="end"/>
            </w:r>
          </w:hyperlink>
        </w:p>
        <w:p w:rsidR="002B75F8" w:rsidRPr="007A20D5" w:rsidRDefault="002B75F8" w:rsidP="00CE0DF4">
          <w:pPr>
            <w:spacing w:line="360" w:lineRule="auto"/>
            <w:rPr>
              <w:rFonts w:ascii="Times New Roman" w:hAnsi="Times New Roman" w:cs="Times New Roman"/>
              <w:sz w:val="24"/>
              <w:szCs w:val="24"/>
            </w:rPr>
          </w:pPr>
          <w:r w:rsidRPr="00CE0DF4">
            <w:rPr>
              <w:rFonts w:ascii="Times New Roman" w:hAnsi="Times New Roman" w:cs="Times New Roman"/>
              <w:b/>
              <w:bCs/>
              <w:noProof/>
              <w:sz w:val="24"/>
              <w:szCs w:val="24"/>
            </w:rPr>
            <w:fldChar w:fldCharType="end"/>
          </w:r>
        </w:p>
      </w:sdtContent>
    </w:sdt>
    <w:p w:rsidR="007A20D5" w:rsidRPr="0040647A" w:rsidRDefault="007A20D5" w:rsidP="0040647A">
      <w:pPr>
        <w:pStyle w:val="TableofFigures"/>
        <w:tabs>
          <w:tab w:val="right" w:leader="dot" w:pos="9016"/>
        </w:tabs>
        <w:spacing w:line="360" w:lineRule="auto"/>
        <w:rPr>
          <w:rFonts w:ascii="Times New Roman" w:hAnsi="Times New Roman" w:cs="Times New Roman"/>
          <w:b/>
          <w:bCs/>
          <w:sz w:val="32"/>
          <w:szCs w:val="32"/>
        </w:rPr>
      </w:pPr>
      <w:r w:rsidRPr="007A20D5">
        <w:rPr>
          <w:rFonts w:ascii="Times New Roman" w:hAnsi="Times New Roman" w:cs="Times New Roman"/>
          <w:b/>
          <w:bCs/>
          <w:sz w:val="32"/>
          <w:szCs w:val="32"/>
        </w:rPr>
        <w:t>List of Figures &amp; Tables</w:t>
      </w:r>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r w:rsidRPr="00CE0DF4">
        <w:rPr>
          <w:rFonts w:ascii="Times New Roman" w:hAnsi="Times New Roman" w:cs="Times New Roman"/>
          <w:sz w:val="24"/>
          <w:szCs w:val="24"/>
        </w:rPr>
        <w:fldChar w:fldCharType="begin"/>
      </w:r>
      <w:r w:rsidRPr="00CE0DF4">
        <w:rPr>
          <w:rFonts w:ascii="Times New Roman" w:hAnsi="Times New Roman" w:cs="Times New Roman"/>
          <w:sz w:val="24"/>
          <w:szCs w:val="24"/>
        </w:rPr>
        <w:instrText xml:space="preserve"> TOC \h \z \c "Figure" </w:instrText>
      </w:r>
      <w:r w:rsidRPr="00CE0DF4">
        <w:rPr>
          <w:rFonts w:ascii="Times New Roman" w:hAnsi="Times New Roman" w:cs="Times New Roman"/>
          <w:sz w:val="24"/>
          <w:szCs w:val="24"/>
        </w:rPr>
        <w:fldChar w:fldCharType="separate"/>
      </w:r>
      <w:hyperlink w:anchor="_Toc216216784" w:history="1">
        <w:r w:rsidRPr="00CE0DF4">
          <w:rPr>
            <w:rStyle w:val="Hyperlink"/>
            <w:rFonts w:ascii="Times New Roman" w:hAnsi="Times New Roman" w:cs="Times New Roman"/>
            <w:noProof/>
            <w:sz w:val="24"/>
            <w:szCs w:val="24"/>
          </w:rPr>
          <w:t>Figure 1: UK household energy price index (2010–2025), showing significant increases in electricity and gas prices (Source: House of Commons Library, 2025).</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_Toc216216784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5</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85" w:history="1">
        <w:r w:rsidRPr="00CE0DF4">
          <w:rPr>
            <w:rStyle w:val="Hyperlink"/>
            <w:rFonts w:ascii="Times New Roman" w:hAnsi="Times New Roman" w:cs="Times New Roman"/>
            <w:noProof/>
            <w:sz w:val="24"/>
            <w:szCs w:val="24"/>
          </w:rPr>
          <w:t>Figure 2: EU domestic output price index for energy (2021–2025), illustrating volatility in upstream energy supply markets (Source: Eurostat, 2025).</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_Toc216216785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5</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86" w:history="1">
        <w:r w:rsidRPr="00CE0DF4">
          <w:rPr>
            <w:rStyle w:val="Hyperlink"/>
            <w:rFonts w:ascii="Times New Roman" w:hAnsi="Times New Roman" w:cs="Times New Roman"/>
            <w:noProof/>
            <w:sz w:val="24"/>
            <w:szCs w:val="24"/>
          </w:rPr>
          <w:t>Figure 3: Global solar PV capacity growth by region, 2014–2023 (REN21, 2024).</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_Toc216216786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6</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87" w:history="1">
        <w:r w:rsidRPr="00CE0DF4">
          <w:rPr>
            <w:rStyle w:val="Hyperlink"/>
            <w:rFonts w:ascii="Times New Roman" w:hAnsi="Times New Roman" w:cs="Times New Roman"/>
            <w:noProof/>
            <w:sz w:val="24"/>
            <w:szCs w:val="24"/>
          </w:rPr>
          <w:t>Figure 4: Battery-electric vehicle (BEV) registrations in European markets, Q4 2018–Q2 2024 (Statista, 2025).</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_Toc216216787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7</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88" w:history="1">
        <w:r w:rsidRPr="00CE0DF4">
          <w:rPr>
            <w:rStyle w:val="Hyperlink"/>
            <w:rFonts w:ascii="Times New Roman" w:hAnsi="Times New Roman" w:cs="Times New Roman"/>
            <w:noProof/>
            <w:sz w:val="24"/>
            <w:szCs w:val="24"/>
          </w:rPr>
          <w:t>Figure 5: Forecasted number of Home Energy Management System (HEMS) installations in Europe (EU27+3) and North America, 2024–2029. Source: IoT-Now (2024)</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_Toc216216788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8</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89" w:history="1">
        <w:r w:rsidRPr="00CE0DF4">
          <w:rPr>
            <w:rStyle w:val="Hyperlink"/>
            <w:rFonts w:ascii="Times New Roman" w:hAnsi="Times New Roman" w:cs="Times New Roman"/>
            <w:noProof/>
            <w:sz w:val="24"/>
            <w:szCs w:val="24"/>
          </w:rPr>
          <w:t>Figure 6: Figure Placeholder 3: Positioning Map – Integration Level vs. Cost Efficiency, (Source: Author’s own).</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_Toc216216789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10</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90" w:history="1">
        <w:r w:rsidRPr="00CE0DF4">
          <w:rPr>
            <w:rStyle w:val="Hyperlink"/>
            <w:rFonts w:ascii="Times New Roman" w:hAnsi="Times New Roman" w:cs="Times New Roman"/>
            <w:noProof/>
            <w:sz w:val="24"/>
            <w:szCs w:val="24"/>
          </w:rPr>
          <w:t>Figure 7: European Energy Management System (EMS) (Source: P&amp;S Market Research, 2025).</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_Toc216216790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13</w:t>
        </w:r>
        <w:r w:rsidRPr="00CE0DF4">
          <w:rPr>
            <w:rFonts w:ascii="Times New Roman" w:hAnsi="Times New Roman" w:cs="Times New Roman"/>
            <w:noProof/>
            <w:webHidden/>
            <w:sz w:val="24"/>
            <w:szCs w:val="24"/>
          </w:rPr>
          <w:fldChar w:fldCharType="end"/>
        </w:r>
      </w:hyperlink>
    </w:p>
    <w:p w:rsidR="00625AB6" w:rsidRPr="00CE0DF4" w:rsidRDefault="00625AB6"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216791" w:history="1">
        <w:r w:rsidRPr="00CE0DF4">
          <w:rPr>
            <w:rStyle w:val="Hyperlink"/>
            <w:rFonts w:ascii="Times New Roman" w:hAnsi="Times New Roman" w:cs="Times New Roman"/>
            <w:noProof/>
            <w:sz w:val="24"/>
            <w:szCs w:val="24"/>
          </w:rPr>
          <w:t>Figure 8: Example Tesla GridHome dashboard. (Source: Author’s Own)</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_Toc216216791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16</w:t>
        </w:r>
        <w:r w:rsidRPr="00CE0DF4">
          <w:rPr>
            <w:rFonts w:ascii="Times New Roman" w:hAnsi="Times New Roman" w:cs="Times New Roman"/>
            <w:noProof/>
            <w:webHidden/>
            <w:sz w:val="24"/>
            <w:szCs w:val="24"/>
          </w:rPr>
          <w:fldChar w:fldCharType="end"/>
        </w:r>
      </w:hyperlink>
    </w:p>
    <w:p w:rsidR="002B75F8" w:rsidRPr="00CE0DF4" w:rsidRDefault="00625AB6" w:rsidP="00CE0DF4">
      <w:pPr>
        <w:spacing w:line="360" w:lineRule="auto"/>
        <w:rPr>
          <w:rFonts w:ascii="Times New Roman" w:hAnsi="Times New Roman" w:cs="Times New Roman"/>
          <w:sz w:val="24"/>
          <w:szCs w:val="24"/>
        </w:rPr>
      </w:pPr>
      <w:r w:rsidRPr="00CE0DF4">
        <w:rPr>
          <w:rFonts w:ascii="Times New Roman" w:hAnsi="Times New Roman" w:cs="Times New Roman"/>
          <w:sz w:val="24"/>
          <w:szCs w:val="24"/>
        </w:rPr>
        <w:fldChar w:fldCharType="end"/>
      </w:r>
    </w:p>
    <w:p w:rsidR="00CE0DF4" w:rsidRPr="00CE0DF4" w:rsidRDefault="00CE0DF4"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r w:rsidRPr="00CE0DF4">
        <w:rPr>
          <w:rFonts w:ascii="Times New Roman" w:hAnsi="Times New Roman" w:cs="Times New Roman"/>
          <w:sz w:val="24"/>
          <w:szCs w:val="24"/>
        </w:rPr>
        <w:fldChar w:fldCharType="begin"/>
      </w:r>
      <w:r w:rsidRPr="00CE0DF4">
        <w:rPr>
          <w:rFonts w:ascii="Times New Roman" w:hAnsi="Times New Roman" w:cs="Times New Roman"/>
          <w:sz w:val="24"/>
          <w:szCs w:val="24"/>
        </w:rPr>
        <w:instrText xml:space="preserve"> TOC \h \z \c "Table" </w:instrText>
      </w:r>
      <w:r w:rsidRPr="00CE0DF4">
        <w:rPr>
          <w:rFonts w:ascii="Times New Roman" w:hAnsi="Times New Roman" w:cs="Times New Roman"/>
          <w:sz w:val="24"/>
          <w:szCs w:val="24"/>
        </w:rPr>
        <w:fldChar w:fldCharType="separate"/>
      </w:r>
      <w:hyperlink w:anchor="_Toc216571168" w:history="1">
        <w:r w:rsidRPr="00CE0DF4">
          <w:rPr>
            <w:rStyle w:val="Hyperlink"/>
            <w:rFonts w:ascii="Times New Roman" w:hAnsi="Times New Roman" w:cs="Times New Roman"/>
            <w:noProof/>
            <w:sz w:val="24"/>
            <w:szCs w:val="24"/>
          </w:rPr>
          <w:t xml:space="preserve">Table 1: </w:t>
        </w:r>
        <w:r w:rsidRPr="00CE0DF4">
          <w:rPr>
            <w:rStyle w:val="Hyperlink"/>
            <w:rFonts w:ascii="Times New Roman" w:hAnsi="Times New Roman" w:cs="Times New Roman"/>
            <w:noProof/>
            <w:sz w:val="24"/>
            <w:szCs w:val="24"/>
            <w:lang w:val="en-US"/>
          </w:rPr>
          <w:t>Strategic Evaluation of GridHome’s Segmentation Approach</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_Toc216571168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7</w:t>
        </w:r>
        <w:r w:rsidRPr="00CE0DF4">
          <w:rPr>
            <w:rFonts w:ascii="Times New Roman" w:hAnsi="Times New Roman" w:cs="Times New Roman"/>
            <w:noProof/>
            <w:webHidden/>
            <w:sz w:val="24"/>
            <w:szCs w:val="24"/>
          </w:rPr>
          <w:fldChar w:fldCharType="end"/>
        </w:r>
      </w:hyperlink>
    </w:p>
    <w:p w:rsidR="00CE0DF4" w:rsidRPr="00CE0DF4" w:rsidRDefault="00CE0DF4"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571169" w:history="1">
        <w:r w:rsidRPr="00CE0DF4">
          <w:rPr>
            <w:rStyle w:val="Hyperlink"/>
            <w:rFonts w:ascii="Times New Roman" w:hAnsi="Times New Roman" w:cs="Times New Roman"/>
            <w:noProof/>
            <w:sz w:val="24"/>
            <w:szCs w:val="24"/>
          </w:rPr>
          <w:t xml:space="preserve">Table 2: </w:t>
        </w:r>
        <w:r w:rsidRPr="00CE0DF4">
          <w:rPr>
            <w:rStyle w:val="Hyperlink"/>
            <w:rFonts w:ascii="Times New Roman" w:hAnsi="Times New Roman" w:cs="Times New Roman"/>
            <w:noProof/>
            <w:sz w:val="24"/>
            <w:szCs w:val="24"/>
            <w:lang w:val="en-US"/>
          </w:rPr>
          <w:t>Advantages and Disadvantages of Tesla GridHome’s Targeting Strategy</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_Toc216571169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9</w:t>
        </w:r>
        <w:r w:rsidRPr="00CE0DF4">
          <w:rPr>
            <w:rFonts w:ascii="Times New Roman" w:hAnsi="Times New Roman" w:cs="Times New Roman"/>
            <w:noProof/>
            <w:webHidden/>
            <w:sz w:val="24"/>
            <w:szCs w:val="24"/>
          </w:rPr>
          <w:fldChar w:fldCharType="end"/>
        </w:r>
      </w:hyperlink>
    </w:p>
    <w:p w:rsidR="00CE0DF4" w:rsidRPr="00CE0DF4" w:rsidRDefault="00CE0DF4" w:rsidP="00CE0DF4">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6571170" w:history="1">
        <w:r w:rsidRPr="00CE0DF4">
          <w:rPr>
            <w:rStyle w:val="Hyperlink"/>
            <w:rFonts w:ascii="Times New Roman" w:hAnsi="Times New Roman" w:cs="Times New Roman"/>
            <w:noProof/>
            <w:sz w:val="24"/>
            <w:szCs w:val="24"/>
          </w:rPr>
          <w:t xml:space="preserve">Table 3: </w:t>
        </w:r>
        <w:r w:rsidRPr="00CE0DF4">
          <w:rPr>
            <w:rStyle w:val="Hyperlink"/>
            <w:rFonts w:ascii="Times New Roman" w:hAnsi="Times New Roman" w:cs="Times New Roman"/>
            <w:noProof/>
            <w:sz w:val="24"/>
            <w:szCs w:val="24"/>
            <w:lang w:val="en-US"/>
          </w:rPr>
          <w:t>Comparative Table: GridHome vs Powerwall vs Utility Smart Tariffs</w:t>
        </w:r>
        <w:r w:rsidRPr="00CE0DF4">
          <w:rPr>
            <w:rFonts w:ascii="Times New Roman" w:hAnsi="Times New Roman" w:cs="Times New Roman"/>
            <w:noProof/>
            <w:webHidden/>
            <w:sz w:val="24"/>
            <w:szCs w:val="24"/>
          </w:rPr>
          <w:tab/>
        </w:r>
        <w:r w:rsidRPr="00CE0DF4">
          <w:rPr>
            <w:rFonts w:ascii="Times New Roman" w:hAnsi="Times New Roman" w:cs="Times New Roman"/>
            <w:noProof/>
            <w:webHidden/>
            <w:sz w:val="24"/>
            <w:szCs w:val="24"/>
          </w:rPr>
          <w:fldChar w:fldCharType="begin"/>
        </w:r>
        <w:r w:rsidRPr="00CE0DF4">
          <w:rPr>
            <w:rFonts w:ascii="Times New Roman" w:hAnsi="Times New Roman" w:cs="Times New Roman"/>
            <w:noProof/>
            <w:webHidden/>
            <w:sz w:val="24"/>
            <w:szCs w:val="24"/>
          </w:rPr>
          <w:instrText xml:space="preserve"> PAGEREF _Toc216571170 \h </w:instrText>
        </w:r>
        <w:r w:rsidRPr="00CE0DF4">
          <w:rPr>
            <w:rFonts w:ascii="Times New Roman" w:hAnsi="Times New Roman" w:cs="Times New Roman"/>
            <w:noProof/>
            <w:webHidden/>
            <w:sz w:val="24"/>
            <w:szCs w:val="24"/>
          </w:rPr>
        </w:r>
        <w:r w:rsidRPr="00CE0DF4">
          <w:rPr>
            <w:rFonts w:ascii="Times New Roman" w:hAnsi="Times New Roman" w:cs="Times New Roman"/>
            <w:noProof/>
            <w:webHidden/>
            <w:sz w:val="24"/>
            <w:szCs w:val="24"/>
          </w:rPr>
          <w:fldChar w:fldCharType="separate"/>
        </w:r>
        <w:r w:rsidRPr="00CE0DF4">
          <w:rPr>
            <w:rFonts w:ascii="Times New Roman" w:hAnsi="Times New Roman" w:cs="Times New Roman"/>
            <w:noProof/>
            <w:webHidden/>
            <w:sz w:val="24"/>
            <w:szCs w:val="24"/>
          </w:rPr>
          <w:t>12</w:t>
        </w:r>
        <w:r w:rsidRPr="00CE0DF4">
          <w:rPr>
            <w:rFonts w:ascii="Times New Roman" w:hAnsi="Times New Roman" w:cs="Times New Roman"/>
            <w:noProof/>
            <w:webHidden/>
            <w:sz w:val="24"/>
            <w:szCs w:val="24"/>
          </w:rPr>
          <w:fldChar w:fldCharType="end"/>
        </w:r>
      </w:hyperlink>
    </w:p>
    <w:p w:rsidR="002B75F8" w:rsidRDefault="00CE0DF4" w:rsidP="00CE0DF4">
      <w:pPr>
        <w:spacing w:line="360" w:lineRule="auto"/>
        <w:rPr>
          <w:rFonts w:ascii="Times New Roman" w:hAnsi="Times New Roman" w:cs="Times New Roman"/>
          <w:b/>
          <w:bCs/>
          <w:sz w:val="24"/>
          <w:szCs w:val="24"/>
        </w:rPr>
      </w:pPr>
      <w:r w:rsidRPr="00CE0DF4">
        <w:rPr>
          <w:rFonts w:ascii="Times New Roman" w:hAnsi="Times New Roman" w:cs="Times New Roman"/>
          <w:sz w:val="24"/>
          <w:szCs w:val="24"/>
        </w:rPr>
        <w:fldChar w:fldCharType="end"/>
      </w:r>
      <w:r w:rsidR="002B75F8">
        <w:rPr>
          <w:rFonts w:ascii="Times New Roman" w:hAnsi="Times New Roman" w:cs="Times New Roman"/>
          <w:b/>
          <w:bCs/>
          <w:sz w:val="24"/>
          <w:szCs w:val="24"/>
        </w:rPr>
        <w:br w:type="page"/>
      </w:r>
    </w:p>
    <w:p w:rsidR="006573FC" w:rsidRDefault="00C9236A" w:rsidP="002B75F8">
      <w:pPr>
        <w:pStyle w:val="Title"/>
        <w:rPr>
          <w:lang w:val="en-US"/>
        </w:rPr>
      </w:pPr>
      <w:r w:rsidRPr="00C9236A">
        <w:lastRenderedPageBreak/>
        <w:t>Tesla GridHome: Strategic Development and Marketing Portfolio for a Smart Home Energy Brand</w:t>
      </w:r>
    </w:p>
    <w:p w:rsidR="008227F7" w:rsidRPr="008227F7" w:rsidRDefault="008227F7" w:rsidP="002B75F8">
      <w:pPr>
        <w:pStyle w:val="Heading1"/>
        <w:rPr>
          <w:lang w:val="en-US"/>
        </w:rPr>
      </w:pPr>
      <w:bookmarkStart w:id="0" w:name="_Toc216541545"/>
      <w:r w:rsidRPr="008227F7">
        <w:rPr>
          <w:lang w:val="en-US"/>
        </w:rPr>
        <w:t>ELEMENT 1: STDP ANALYSIS</w:t>
      </w:r>
      <w:bookmarkEnd w:id="0"/>
    </w:p>
    <w:p w:rsidR="008227F7" w:rsidRPr="008227F7" w:rsidRDefault="008227F7" w:rsidP="00625AB6">
      <w:pPr>
        <w:pStyle w:val="Heading2"/>
        <w:jc w:val="both"/>
        <w:rPr>
          <w:lang w:val="en-US"/>
        </w:rPr>
      </w:pPr>
      <w:bookmarkStart w:id="1" w:name="_Toc216541546"/>
      <w:r w:rsidRPr="008227F7">
        <w:rPr>
          <w:lang w:val="en-US"/>
        </w:rPr>
        <w:t>1.1 Introduction to Tesla and GridHome Concept</w:t>
      </w:r>
      <w:bookmarkEnd w:id="1"/>
    </w:p>
    <w:p w:rsidR="002C2C67" w:rsidRPr="002C2C67" w:rsidRDefault="002C2C67" w:rsidP="00625AB6">
      <w:pPr>
        <w:spacing w:line="360" w:lineRule="auto"/>
        <w:jc w:val="both"/>
        <w:rPr>
          <w:rFonts w:ascii="Times New Roman" w:hAnsi="Times New Roman" w:cs="Times New Roman"/>
          <w:sz w:val="24"/>
          <w:szCs w:val="24"/>
          <w:lang w:val="en-US"/>
        </w:rPr>
      </w:pPr>
      <w:r w:rsidRPr="002C2C67">
        <w:rPr>
          <w:rFonts w:ascii="Times New Roman" w:hAnsi="Times New Roman" w:cs="Times New Roman"/>
          <w:sz w:val="24"/>
          <w:szCs w:val="24"/>
          <w:lang w:val="en-US"/>
        </w:rPr>
        <w:t xml:space="preserve">Tesla has developed an international name as an innovator of sustainable energy </w:t>
      </w:r>
      <w:r>
        <w:rPr>
          <w:rFonts w:ascii="Times New Roman" w:hAnsi="Times New Roman" w:cs="Times New Roman"/>
          <w:sz w:val="24"/>
          <w:szCs w:val="24"/>
          <w:lang w:val="en-US"/>
        </w:rPr>
        <w:t>systems</w:t>
      </w:r>
      <w:r w:rsidRPr="002C2C67">
        <w:rPr>
          <w:rFonts w:ascii="Times New Roman" w:hAnsi="Times New Roman" w:cs="Times New Roman"/>
          <w:sz w:val="24"/>
          <w:szCs w:val="24"/>
          <w:lang w:val="en-US"/>
        </w:rPr>
        <w:t xml:space="preserve"> </w:t>
      </w:r>
      <w:r>
        <w:rPr>
          <w:rFonts w:ascii="Times New Roman" w:hAnsi="Times New Roman" w:cs="Times New Roman"/>
          <w:sz w:val="24"/>
          <w:szCs w:val="24"/>
          <w:lang w:val="en-US"/>
        </w:rPr>
        <w:t>with</w:t>
      </w:r>
      <w:r w:rsidRPr="002C2C67">
        <w:rPr>
          <w:rFonts w:ascii="Times New Roman" w:hAnsi="Times New Roman" w:cs="Times New Roman"/>
          <w:sz w:val="24"/>
          <w:szCs w:val="24"/>
          <w:lang w:val="en-US"/>
        </w:rPr>
        <w:t xml:space="preserve"> a portfolio that is focused on solar technologies, Powerwall storage systems and energy-generation solutions. These services are predominantly </w:t>
      </w:r>
      <w:r w:rsidRPr="002C2C67">
        <w:rPr>
          <w:rFonts w:ascii="Times New Roman" w:hAnsi="Times New Roman" w:cs="Times New Roman"/>
          <w:b/>
          <w:bCs/>
          <w:sz w:val="24"/>
          <w:szCs w:val="24"/>
          <w:lang w:val="en-US"/>
        </w:rPr>
        <w:t>hardware-based</w:t>
      </w:r>
      <w:r w:rsidRPr="002C2C67">
        <w:rPr>
          <w:rFonts w:ascii="Times New Roman" w:hAnsi="Times New Roman" w:cs="Times New Roman"/>
          <w:sz w:val="24"/>
          <w:szCs w:val="24"/>
          <w:lang w:val="en-US"/>
        </w:rPr>
        <w:t xml:space="preserve"> and depend on a one-off sale to be installed by the homeowner </w:t>
      </w:r>
      <w:r>
        <w:rPr>
          <w:rFonts w:ascii="Times New Roman" w:hAnsi="Times New Roman" w:cs="Times New Roman"/>
          <w:sz w:val="24"/>
          <w:szCs w:val="24"/>
          <w:lang w:val="en-US"/>
        </w:rPr>
        <w:t>for</w:t>
      </w:r>
      <w:r w:rsidRPr="002C2C67">
        <w:rPr>
          <w:rFonts w:ascii="Times New Roman" w:hAnsi="Times New Roman" w:cs="Times New Roman"/>
          <w:sz w:val="24"/>
          <w:szCs w:val="24"/>
          <w:lang w:val="en-US"/>
        </w:rPr>
        <w:t xml:space="preserve"> optimisation and maintenance. Unlike that, the proposed </w:t>
      </w:r>
      <w:r w:rsidRPr="002C2C67">
        <w:rPr>
          <w:rFonts w:ascii="Times New Roman" w:hAnsi="Times New Roman" w:cs="Times New Roman"/>
          <w:b/>
          <w:bCs/>
          <w:sz w:val="24"/>
          <w:szCs w:val="24"/>
          <w:lang w:val="en-US"/>
        </w:rPr>
        <w:t>Tesla GridHome</w:t>
      </w:r>
      <w:r w:rsidRPr="002C2C67">
        <w:rPr>
          <w:rFonts w:ascii="Times New Roman" w:hAnsi="Times New Roman" w:cs="Times New Roman"/>
          <w:sz w:val="24"/>
          <w:szCs w:val="24"/>
          <w:lang w:val="en-US"/>
        </w:rPr>
        <w:t xml:space="preserve"> is a tactical advancement to a service-based model, with a proposed new brand of home-energy management based on subscription, with solar optimisation, battery storage, EV-charging smarts, smart metre connectivity and real-time monitoring combined into one digital experience.</w:t>
      </w:r>
    </w:p>
    <w:p w:rsidR="00DD1EB0" w:rsidRPr="00DD1EB0" w:rsidRDefault="002C2C67" w:rsidP="00625AB6">
      <w:pPr>
        <w:spacing w:line="360" w:lineRule="auto"/>
        <w:jc w:val="both"/>
        <w:rPr>
          <w:rFonts w:ascii="Times New Roman" w:hAnsi="Times New Roman" w:cs="Times New Roman"/>
          <w:sz w:val="24"/>
          <w:szCs w:val="24"/>
          <w:lang w:val="en-US"/>
        </w:rPr>
      </w:pPr>
      <w:r w:rsidRPr="002C2C67">
        <w:rPr>
          <w:rFonts w:ascii="Times New Roman" w:hAnsi="Times New Roman" w:cs="Times New Roman"/>
          <w:sz w:val="24"/>
          <w:szCs w:val="24"/>
          <w:lang w:val="en-US"/>
        </w:rPr>
        <w:t>The move can be explained by the increasing consumer demand towards energy resiliency, price and automated smart-home functions. The rising household energy bills and the growing frequency of grid instability, which is visible throughout the UK and EU, have reinforced the desire to adopt the highly developed home-energy management systems (Ofgem, 2023; IEA, 2024). As a result, a controlled energy platform like GridHome is similar to the current consumer interests and decarbonisation policies</w:t>
      </w:r>
      <w:r w:rsidR="00DD1EB0" w:rsidRPr="00DD1EB0">
        <w:rPr>
          <w:rFonts w:ascii="Times New Roman" w:hAnsi="Times New Roman" w:cs="Times New Roman"/>
          <w:sz w:val="24"/>
          <w:szCs w:val="24"/>
          <w:lang w:val="en-US"/>
        </w:rPr>
        <w:t>.</w:t>
      </w:r>
    </w:p>
    <w:p w:rsidR="009D5E7A" w:rsidRDefault="0088758D" w:rsidP="00625AB6">
      <w:pPr>
        <w:keepNext/>
        <w:spacing w:line="360" w:lineRule="auto"/>
        <w:jc w:val="both"/>
      </w:pPr>
      <w:r w:rsidRPr="006573FC">
        <w:rPr>
          <w:rFonts w:ascii="Times New Roman" w:hAnsi="Times New Roman" w:cs="Times New Roman"/>
          <w:noProof/>
          <w:sz w:val="24"/>
          <w:szCs w:val="24"/>
        </w:rPr>
        <w:drawing>
          <wp:inline distT="0" distB="0" distL="0" distR="0">
            <wp:extent cx="5303688" cy="2392326"/>
            <wp:effectExtent l="0" t="0" r="0" b="8255"/>
            <wp:docPr id="171039161" name="Picture 1" descr="Chart titled &quot;The unprecedented increases in gas and electricity prices in 2022 have only been partly reversed&quot; Showing Index values from the CPI for gas and electricity. These values spiked in April and October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hart titled &quot;The unprecedented increases in gas and electricity prices in 2022 have only been partly reversed&quot; Showing Index values from the CPI for gas and electricity. These values spiked in April and October 20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3612" cy="2405824"/>
                    </a:xfrm>
                    <a:prstGeom prst="rect">
                      <a:avLst/>
                    </a:prstGeom>
                    <a:noFill/>
                    <a:ln>
                      <a:noFill/>
                    </a:ln>
                  </pic:spPr>
                </pic:pic>
              </a:graphicData>
            </a:graphic>
          </wp:inline>
        </w:drawing>
      </w:r>
    </w:p>
    <w:p w:rsidR="00DD1EB0" w:rsidRPr="00DD1EB0" w:rsidRDefault="009D5E7A" w:rsidP="00625AB6">
      <w:pPr>
        <w:pStyle w:val="Caption"/>
        <w:jc w:val="both"/>
        <w:rPr>
          <w:rFonts w:ascii="Times New Roman" w:hAnsi="Times New Roman" w:cs="Times New Roman"/>
          <w:b/>
          <w:bCs/>
          <w:sz w:val="28"/>
          <w:szCs w:val="28"/>
          <w:lang w:val="en-US"/>
        </w:rPr>
      </w:pPr>
      <w:bookmarkStart w:id="2" w:name="_Toc216216784"/>
      <w:r w:rsidRPr="009D5E7A">
        <w:rPr>
          <w:b/>
          <w:bCs/>
          <w:sz w:val="20"/>
          <w:szCs w:val="20"/>
        </w:rPr>
        <w:t xml:space="preserve">Figure </w:t>
      </w:r>
      <w:r w:rsidRPr="009D5E7A">
        <w:rPr>
          <w:b/>
          <w:bCs/>
          <w:sz w:val="20"/>
          <w:szCs w:val="20"/>
        </w:rPr>
        <w:fldChar w:fldCharType="begin"/>
      </w:r>
      <w:r w:rsidRPr="009D5E7A">
        <w:rPr>
          <w:b/>
          <w:bCs/>
          <w:sz w:val="20"/>
          <w:szCs w:val="20"/>
        </w:rPr>
        <w:instrText xml:space="preserve"> SEQ Figure \* ARABIC </w:instrText>
      </w:r>
      <w:r w:rsidRPr="009D5E7A">
        <w:rPr>
          <w:b/>
          <w:bCs/>
          <w:sz w:val="20"/>
          <w:szCs w:val="20"/>
        </w:rPr>
        <w:fldChar w:fldCharType="separate"/>
      </w:r>
      <w:r w:rsidR="00625AB6">
        <w:rPr>
          <w:b/>
          <w:bCs/>
          <w:noProof/>
          <w:sz w:val="20"/>
          <w:szCs w:val="20"/>
        </w:rPr>
        <w:t>1</w:t>
      </w:r>
      <w:r w:rsidRPr="009D5E7A">
        <w:rPr>
          <w:b/>
          <w:bCs/>
          <w:sz w:val="20"/>
          <w:szCs w:val="20"/>
        </w:rPr>
        <w:fldChar w:fldCharType="end"/>
      </w:r>
      <w:r w:rsidRPr="009D5E7A">
        <w:rPr>
          <w:b/>
          <w:bCs/>
          <w:sz w:val="20"/>
          <w:szCs w:val="20"/>
        </w:rPr>
        <w:t>: UK household energy price index (2010–2025), showing significant increases in electricity and gas prices (Source: House of Commons Library, 2025).</w:t>
      </w:r>
      <w:bookmarkEnd w:id="2"/>
    </w:p>
    <w:p w:rsidR="009D5E7A" w:rsidRDefault="0088758D" w:rsidP="00625AB6">
      <w:pPr>
        <w:keepNext/>
        <w:spacing w:line="360" w:lineRule="auto"/>
        <w:jc w:val="both"/>
      </w:pPr>
      <w:r w:rsidRPr="006573FC">
        <w:rPr>
          <w:rFonts w:ascii="Times New Roman" w:hAnsi="Times New Roman" w:cs="Times New Roman"/>
          <w:noProof/>
          <w:sz w:val="24"/>
          <w:szCs w:val="24"/>
        </w:rPr>
        <w:lastRenderedPageBreak/>
        <w:drawing>
          <wp:inline distT="0" distB="0" distL="0" distR="0">
            <wp:extent cx="5305647" cy="2984993"/>
            <wp:effectExtent l="0" t="0" r="0" b="6350"/>
            <wp:docPr id="803782624" name="Picture 2" descr="Domestic output prices for energy in the EI, 2021-2024. Line chart - Click below to see full data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Domestic output prices for energy in the EI, 2021-2024. Line chart - Click below to see full datas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0516" cy="2987732"/>
                    </a:xfrm>
                    <a:prstGeom prst="rect">
                      <a:avLst/>
                    </a:prstGeom>
                    <a:noFill/>
                    <a:ln>
                      <a:noFill/>
                    </a:ln>
                  </pic:spPr>
                </pic:pic>
              </a:graphicData>
            </a:graphic>
          </wp:inline>
        </w:drawing>
      </w:r>
    </w:p>
    <w:p w:rsidR="00DD1EB0" w:rsidRPr="009D5E7A" w:rsidRDefault="009D5E7A" w:rsidP="00625AB6">
      <w:pPr>
        <w:pStyle w:val="Caption"/>
        <w:jc w:val="both"/>
        <w:rPr>
          <w:rFonts w:ascii="Times New Roman" w:hAnsi="Times New Roman" w:cs="Times New Roman"/>
          <w:b/>
          <w:bCs/>
          <w:sz w:val="28"/>
          <w:szCs w:val="28"/>
          <w:lang w:val="en-US"/>
        </w:rPr>
      </w:pPr>
      <w:bookmarkStart w:id="3" w:name="_Toc216216785"/>
      <w:r w:rsidRPr="009D5E7A">
        <w:rPr>
          <w:b/>
          <w:bCs/>
          <w:sz w:val="20"/>
          <w:szCs w:val="20"/>
        </w:rPr>
        <w:t xml:space="preserve">Figure </w:t>
      </w:r>
      <w:r w:rsidRPr="009D5E7A">
        <w:rPr>
          <w:b/>
          <w:bCs/>
          <w:sz w:val="20"/>
          <w:szCs w:val="20"/>
        </w:rPr>
        <w:fldChar w:fldCharType="begin"/>
      </w:r>
      <w:r w:rsidRPr="009D5E7A">
        <w:rPr>
          <w:b/>
          <w:bCs/>
          <w:sz w:val="20"/>
          <w:szCs w:val="20"/>
        </w:rPr>
        <w:instrText xml:space="preserve"> SEQ Figure \* ARABIC </w:instrText>
      </w:r>
      <w:r w:rsidRPr="009D5E7A">
        <w:rPr>
          <w:b/>
          <w:bCs/>
          <w:sz w:val="20"/>
          <w:szCs w:val="20"/>
        </w:rPr>
        <w:fldChar w:fldCharType="separate"/>
      </w:r>
      <w:r w:rsidR="00625AB6">
        <w:rPr>
          <w:b/>
          <w:bCs/>
          <w:noProof/>
          <w:sz w:val="20"/>
          <w:szCs w:val="20"/>
        </w:rPr>
        <w:t>2</w:t>
      </w:r>
      <w:r w:rsidRPr="009D5E7A">
        <w:rPr>
          <w:b/>
          <w:bCs/>
          <w:sz w:val="20"/>
          <w:szCs w:val="20"/>
        </w:rPr>
        <w:fldChar w:fldCharType="end"/>
      </w:r>
      <w:r w:rsidRPr="009D5E7A">
        <w:rPr>
          <w:b/>
          <w:bCs/>
          <w:sz w:val="20"/>
          <w:szCs w:val="20"/>
        </w:rPr>
        <w:t>: EU domestic output price index for energy (2021–2025), illustrating volatility in upstream energy supply markets (Source: Eurostat, 2025).</w:t>
      </w:r>
      <w:bookmarkEnd w:id="3"/>
    </w:p>
    <w:p w:rsidR="008227F7" w:rsidRPr="008227F7" w:rsidRDefault="008227F7" w:rsidP="00625AB6">
      <w:pPr>
        <w:pStyle w:val="Heading2"/>
        <w:jc w:val="both"/>
        <w:rPr>
          <w:lang w:val="en-US"/>
        </w:rPr>
      </w:pPr>
      <w:bookmarkStart w:id="4" w:name="_Toc216541547"/>
      <w:r w:rsidRPr="008227F7">
        <w:rPr>
          <w:lang w:val="en-US"/>
        </w:rPr>
        <w:t>1.2 Segmentation</w:t>
      </w:r>
      <w:bookmarkEnd w:id="4"/>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1.2.1 Demographic Segmentation</w:t>
      </w:r>
    </w:p>
    <w:p w:rsidR="00DD1EB0" w:rsidRPr="00DD1EB0" w:rsidRDefault="009D5E7A" w:rsidP="00625AB6">
      <w:pPr>
        <w:spacing w:line="360" w:lineRule="auto"/>
        <w:jc w:val="both"/>
        <w:rPr>
          <w:rFonts w:ascii="Times New Roman" w:hAnsi="Times New Roman" w:cs="Times New Roman"/>
          <w:sz w:val="24"/>
          <w:szCs w:val="24"/>
          <w:lang w:val="en-US"/>
        </w:rPr>
      </w:pPr>
      <w:r w:rsidRPr="009D5E7A">
        <w:rPr>
          <w:rFonts w:ascii="Times New Roman" w:hAnsi="Times New Roman" w:cs="Times New Roman"/>
          <w:sz w:val="24"/>
          <w:szCs w:val="24"/>
          <w:lang w:val="en-US"/>
        </w:rPr>
        <w:t xml:space="preserve">The target customers of GridHome are homeowners who have a median-to-high household income (usually more than </w:t>
      </w:r>
      <w:r w:rsidRPr="00DD1EB0">
        <w:rPr>
          <w:rFonts w:ascii="Times New Roman" w:hAnsi="Times New Roman" w:cs="Times New Roman"/>
          <w:sz w:val="24"/>
          <w:szCs w:val="24"/>
          <w:lang w:val="en-US"/>
        </w:rPr>
        <w:t>£</w:t>
      </w:r>
      <w:r w:rsidRPr="009D5E7A">
        <w:rPr>
          <w:rFonts w:ascii="Times New Roman" w:hAnsi="Times New Roman" w:cs="Times New Roman"/>
          <w:sz w:val="24"/>
          <w:szCs w:val="24"/>
          <w:lang w:val="en-US"/>
        </w:rPr>
        <w:t xml:space="preserve">70,000) and </w:t>
      </w:r>
      <w:r>
        <w:rPr>
          <w:rFonts w:ascii="Times New Roman" w:hAnsi="Times New Roman" w:cs="Times New Roman"/>
          <w:sz w:val="24"/>
          <w:szCs w:val="24"/>
          <w:lang w:val="en-US"/>
        </w:rPr>
        <w:t xml:space="preserve">are </w:t>
      </w:r>
      <w:r w:rsidRPr="009D5E7A">
        <w:rPr>
          <w:rFonts w:ascii="Times New Roman" w:hAnsi="Times New Roman" w:cs="Times New Roman"/>
          <w:sz w:val="24"/>
          <w:szCs w:val="24"/>
          <w:lang w:val="en-US"/>
        </w:rPr>
        <w:t xml:space="preserve">35-65 years old. The studies about the adoption of household technology also show increased adoption rates among middle-aged, well-to-do homeowners who place asset security and long-term savings </w:t>
      </w:r>
      <w:r>
        <w:rPr>
          <w:rFonts w:ascii="Times New Roman" w:hAnsi="Times New Roman" w:cs="Times New Roman"/>
          <w:sz w:val="24"/>
          <w:szCs w:val="24"/>
          <w:lang w:val="en-US"/>
        </w:rPr>
        <w:t>as</w:t>
      </w:r>
      <w:r w:rsidRPr="009D5E7A">
        <w:rPr>
          <w:rFonts w:ascii="Times New Roman" w:hAnsi="Times New Roman" w:cs="Times New Roman"/>
          <w:sz w:val="24"/>
          <w:szCs w:val="24"/>
          <w:lang w:val="en-US"/>
        </w:rPr>
        <w:t xml:space="preserve"> their priorities (Energy Policy Journal, 2022</w:t>
      </w:r>
      <w:r w:rsidR="00DD1EB0" w:rsidRPr="00DD1EB0">
        <w:rPr>
          <w:rFonts w:ascii="Times New Roman" w:hAnsi="Times New Roman" w:cs="Times New Roman"/>
          <w:sz w:val="24"/>
          <w:szCs w:val="24"/>
          <w:lang w:val="en-US"/>
        </w:rPr>
        <w:t>).</w:t>
      </w:r>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1.2.2 Geographic Segmentation</w:t>
      </w:r>
    </w:p>
    <w:p w:rsidR="009D5E7A" w:rsidRDefault="009D5E7A" w:rsidP="00625AB6">
      <w:pPr>
        <w:spacing w:line="360" w:lineRule="auto"/>
        <w:jc w:val="both"/>
        <w:rPr>
          <w:rFonts w:ascii="Times New Roman" w:hAnsi="Times New Roman" w:cs="Times New Roman"/>
          <w:sz w:val="24"/>
          <w:szCs w:val="24"/>
          <w:lang w:val="en-US"/>
        </w:rPr>
      </w:pPr>
      <w:r w:rsidRPr="009D5E7A">
        <w:rPr>
          <w:rFonts w:ascii="Times New Roman" w:hAnsi="Times New Roman" w:cs="Times New Roman"/>
          <w:sz w:val="24"/>
          <w:szCs w:val="24"/>
          <w:lang w:val="en-US"/>
        </w:rPr>
        <w:t xml:space="preserve">The UK and EU are the strategically most favourable markets as the region has high electricity tariffs, deep penetration of </w:t>
      </w:r>
      <w:r>
        <w:rPr>
          <w:rFonts w:ascii="Times New Roman" w:hAnsi="Times New Roman" w:cs="Times New Roman"/>
          <w:sz w:val="24"/>
          <w:szCs w:val="24"/>
          <w:lang w:val="en-US"/>
        </w:rPr>
        <w:t>smart meters</w:t>
      </w:r>
      <w:r w:rsidRPr="009D5E7A">
        <w:rPr>
          <w:rFonts w:ascii="Times New Roman" w:hAnsi="Times New Roman" w:cs="Times New Roman"/>
          <w:sz w:val="24"/>
          <w:szCs w:val="24"/>
          <w:lang w:val="en-US"/>
        </w:rPr>
        <w:t xml:space="preserve">, and faster realisation of net-zero strategies, which generate a high market preparedness. Solar systems across the UK alone have exceeded 1.47 million homes, which signifies 15.8 GW of the installed capacity, a point that indicates the growing readiness to spend funds in add-on storage and optimisation </w:t>
      </w:r>
      <w:r>
        <w:rPr>
          <w:rFonts w:ascii="Times New Roman" w:hAnsi="Times New Roman" w:cs="Times New Roman"/>
          <w:sz w:val="24"/>
          <w:szCs w:val="24"/>
          <w:lang w:val="en-US"/>
        </w:rPr>
        <w:t>systems</w:t>
      </w:r>
      <w:r w:rsidRPr="009D5E7A">
        <w:rPr>
          <w:rFonts w:ascii="Times New Roman" w:hAnsi="Times New Roman" w:cs="Times New Roman"/>
          <w:sz w:val="24"/>
          <w:szCs w:val="24"/>
          <w:lang w:val="en-US"/>
        </w:rPr>
        <w:t xml:space="preserve"> (Solar Energy UK, 2024). Similarly, Europe shows more uptake</w:t>
      </w:r>
      <w:r>
        <w:rPr>
          <w:rFonts w:ascii="Times New Roman" w:hAnsi="Times New Roman" w:cs="Times New Roman"/>
          <w:sz w:val="24"/>
          <w:szCs w:val="24"/>
          <w:lang w:val="en-US"/>
        </w:rPr>
        <w:t>,</w:t>
      </w:r>
      <w:r w:rsidRPr="009D5E7A">
        <w:rPr>
          <w:rFonts w:ascii="Times New Roman" w:hAnsi="Times New Roman" w:cs="Times New Roman"/>
          <w:sz w:val="24"/>
          <w:szCs w:val="24"/>
          <w:lang w:val="en-US"/>
        </w:rPr>
        <w:t xml:space="preserve"> where more than 3.8 million home-energy management systems were installed by 2024 (Berg Insight, 2025).</w:t>
      </w:r>
    </w:p>
    <w:p w:rsidR="00625AB6" w:rsidRDefault="00625AB6" w:rsidP="00625AB6">
      <w:pPr>
        <w:keepNext/>
        <w:spacing w:line="360" w:lineRule="auto"/>
        <w:jc w:val="both"/>
      </w:pPr>
      <w:r>
        <w:rPr>
          <w:noProof/>
        </w:rPr>
        <w:lastRenderedPageBreak/>
        <w:drawing>
          <wp:inline distT="0" distB="0" distL="0" distR="0">
            <wp:extent cx="4988459" cy="3361690"/>
            <wp:effectExtent l="0" t="0" r="3175" b="0"/>
            <wp:docPr id="1307646966" name="Picture 13" descr="Market and Industry Trends | Solar Photovolta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Market and Industry Trends | Solar Photovoltaic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99928" cy="3369419"/>
                    </a:xfrm>
                    <a:prstGeom prst="rect">
                      <a:avLst/>
                    </a:prstGeom>
                    <a:noFill/>
                    <a:ln>
                      <a:noFill/>
                    </a:ln>
                  </pic:spPr>
                </pic:pic>
              </a:graphicData>
            </a:graphic>
          </wp:inline>
        </w:drawing>
      </w:r>
    </w:p>
    <w:p w:rsidR="00625AB6" w:rsidRPr="00625AB6" w:rsidRDefault="00625AB6" w:rsidP="00625AB6">
      <w:pPr>
        <w:pStyle w:val="Caption"/>
        <w:jc w:val="both"/>
        <w:rPr>
          <w:rFonts w:ascii="Times New Roman" w:hAnsi="Times New Roman" w:cs="Times New Roman"/>
          <w:b/>
          <w:bCs/>
          <w:sz w:val="28"/>
          <w:szCs w:val="28"/>
          <w:lang w:val="en-US"/>
        </w:rPr>
      </w:pPr>
      <w:bookmarkStart w:id="5" w:name="_Toc216216786"/>
      <w:r w:rsidRPr="00625AB6">
        <w:rPr>
          <w:b/>
          <w:bCs/>
          <w:sz w:val="20"/>
          <w:szCs w:val="20"/>
        </w:rPr>
        <w:t xml:space="preserve">Figure </w:t>
      </w:r>
      <w:r w:rsidRPr="00625AB6">
        <w:rPr>
          <w:b/>
          <w:bCs/>
          <w:sz w:val="20"/>
          <w:szCs w:val="20"/>
        </w:rPr>
        <w:fldChar w:fldCharType="begin"/>
      </w:r>
      <w:r w:rsidRPr="00625AB6">
        <w:rPr>
          <w:b/>
          <w:bCs/>
          <w:sz w:val="20"/>
          <w:szCs w:val="20"/>
        </w:rPr>
        <w:instrText xml:space="preserve"> SEQ Figure \* ARABIC </w:instrText>
      </w:r>
      <w:r w:rsidRPr="00625AB6">
        <w:rPr>
          <w:b/>
          <w:bCs/>
          <w:sz w:val="20"/>
          <w:szCs w:val="20"/>
        </w:rPr>
        <w:fldChar w:fldCharType="separate"/>
      </w:r>
      <w:r>
        <w:rPr>
          <w:b/>
          <w:bCs/>
          <w:noProof/>
          <w:sz w:val="20"/>
          <w:szCs w:val="20"/>
        </w:rPr>
        <w:t>3</w:t>
      </w:r>
      <w:r w:rsidRPr="00625AB6">
        <w:rPr>
          <w:b/>
          <w:bCs/>
          <w:sz w:val="20"/>
          <w:szCs w:val="20"/>
        </w:rPr>
        <w:fldChar w:fldCharType="end"/>
      </w:r>
      <w:r w:rsidRPr="00625AB6">
        <w:rPr>
          <w:b/>
          <w:bCs/>
          <w:sz w:val="20"/>
          <w:szCs w:val="20"/>
        </w:rPr>
        <w:t>: Global solar PV capacity growth by region, 2014–2023 (REN21, 2024).</w:t>
      </w:r>
      <w:bookmarkEnd w:id="5"/>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1.2.3 Psychographic Segmentation</w:t>
      </w:r>
    </w:p>
    <w:p w:rsidR="00DD1EB0" w:rsidRPr="00DD1EB0" w:rsidRDefault="009D5E7A" w:rsidP="00625AB6">
      <w:pPr>
        <w:spacing w:line="360" w:lineRule="auto"/>
        <w:jc w:val="both"/>
        <w:rPr>
          <w:rFonts w:ascii="Times New Roman" w:hAnsi="Times New Roman" w:cs="Times New Roman"/>
          <w:sz w:val="24"/>
          <w:szCs w:val="24"/>
          <w:lang w:val="en-US"/>
        </w:rPr>
      </w:pPr>
      <w:r w:rsidRPr="009D5E7A">
        <w:rPr>
          <w:rFonts w:ascii="Times New Roman" w:hAnsi="Times New Roman" w:cs="Times New Roman"/>
          <w:sz w:val="24"/>
          <w:szCs w:val="24"/>
          <w:lang w:val="en-US"/>
        </w:rPr>
        <w:t xml:space="preserve">Three prevailing psychographic </w:t>
      </w:r>
      <w:r>
        <w:rPr>
          <w:rFonts w:ascii="Times New Roman" w:hAnsi="Times New Roman" w:cs="Times New Roman"/>
          <w:sz w:val="24"/>
          <w:szCs w:val="24"/>
          <w:lang w:val="en-US"/>
        </w:rPr>
        <w:t>clusters</w:t>
      </w:r>
      <w:r w:rsidRPr="009D5E7A">
        <w:rPr>
          <w:rFonts w:ascii="Times New Roman" w:hAnsi="Times New Roman" w:cs="Times New Roman"/>
          <w:sz w:val="24"/>
          <w:szCs w:val="24"/>
          <w:lang w:val="en-US"/>
        </w:rPr>
        <w:t xml:space="preserve"> arise. The former includes energy-conscious pragmatists, but they value financial security and losing bills less. The second one is tech-empowered environmental adopters, who appreciate connected ecosystems and desire smooth automation in their </w:t>
      </w:r>
      <w:r>
        <w:rPr>
          <w:rFonts w:ascii="Times New Roman" w:hAnsi="Times New Roman" w:cs="Times New Roman"/>
          <w:sz w:val="24"/>
          <w:szCs w:val="24"/>
          <w:lang w:val="en-US"/>
        </w:rPr>
        <w:t>homes</w:t>
      </w:r>
      <w:r w:rsidRPr="009D5E7A">
        <w:rPr>
          <w:rFonts w:ascii="Times New Roman" w:hAnsi="Times New Roman" w:cs="Times New Roman"/>
          <w:sz w:val="24"/>
          <w:szCs w:val="24"/>
          <w:lang w:val="en-US"/>
        </w:rPr>
        <w:t xml:space="preserve">. Cost-averse innovators are the third cluster, which is in line with the VALS Innovator and Thinker typologies, as they seek sustainable living and technological efficiency (Kotler et al., 2024). The Technology Acceptance Model (TAM), in which perceived usefulness and ease of use are important predictors of the </w:t>
      </w:r>
      <w:r>
        <w:rPr>
          <w:rFonts w:ascii="Times New Roman" w:hAnsi="Times New Roman" w:cs="Times New Roman"/>
          <w:sz w:val="24"/>
          <w:szCs w:val="24"/>
          <w:lang w:val="en-US"/>
        </w:rPr>
        <w:t>implementation</w:t>
      </w:r>
      <w:r w:rsidRPr="009D5E7A">
        <w:rPr>
          <w:rFonts w:ascii="Times New Roman" w:hAnsi="Times New Roman" w:cs="Times New Roman"/>
          <w:sz w:val="24"/>
          <w:szCs w:val="24"/>
          <w:lang w:val="en-US"/>
        </w:rPr>
        <w:t xml:space="preserve"> of digital home-energy systems, also explains the inclination of consumers toward smart-energy technologies (Davis, 1989; Marikyan, Papagiannidis and Alamanos, 2021).</w:t>
      </w:r>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1.2.4 Behavioural Segmentation</w:t>
      </w:r>
    </w:p>
    <w:p w:rsidR="00DD1EB0" w:rsidRDefault="00DD1EB0" w:rsidP="00625AB6">
      <w:pPr>
        <w:spacing w:line="360" w:lineRule="auto"/>
        <w:jc w:val="both"/>
        <w:rPr>
          <w:rFonts w:ascii="Times New Roman" w:hAnsi="Times New Roman" w:cs="Times New Roman"/>
          <w:sz w:val="24"/>
          <w:szCs w:val="24"/>
        </w:rPr>
      </w:pPr>
      <w:r w:rsidRPr="00DD1EB0">
        <w:rPr>
          <w:rFonts w:ascii="Times New Roman" w:hAnsi="Times New Roman" w:cs="Times New Roman"/>
          <w:sz w:val="24"/>
          <w:szCs w:val="24"/>
          <w:lang w:val="en-US"/>
        </w:rPr>
        <w:t>Behaviourally</w:t>
      </w:r>
      <w:r w:rsidR="009D5E7A" w:rsidRPr="009D5E7A">
        <w:rPr>
          <w:rFonts w:ascii="Times New Roman" w:hAnsi="Times New Roman" w:cs="Times New Roman"/>
          <w:sz w:val="24"/>
          <w:szCs w:val="24"/>
        </w:rPr>
        <w:t xml:space="preserve">, GridHome is most attractive to early adopters of smart-home systems, EV owners and those households that have already thought about investing in solar. This </w:t>
      </w:r>
      <w:r w:rsidR="002F04C4">
        <w:rPr>
          <w:rFonts w:ascii="Times New Roman" w:hAnsi="Times New Roman" w:cs="Times New Roman"/>
          <w:sz w:val="24"/>
          <w:szCs w:val="24"/>
        </w:rPr>
        <w:t>aligns</w:t>
      </w:r>
      <w:r w:rsidR="009D5E7A" w:rsidRPr="009D5E7A">
        <w:rPr>
          <w:rFonts w:ascii="Times New Roman" w:hAnsi="Times New Roman" w:cs="Times New Roman"/>
          <w:sz w:val="24"/>
          <w:szCs w:val="24"/>
        </w:rPr>
        <w:t xml:space="preserve"> with the Diffusion of Innovation model by Rogers</w:t>
      </w:r>
      <w:r w:rsidR="009D5E7A">
        <w:rPr>
          <w:rFonts w:ascii="Times New Roman" w:hAnsi="Times New Roman" w:cs="Times New Roman"/>
          <w:sz w:val="24"/>
          <w:szCs w:val="24"/>
        </w:rPr>
        <w:t>,</w:t>
      </w:r>
      <w:r w:rsidR="009D5E7A" w:rsidRPr="009D5E7A">
        <w:rPr>
          <w:rFonts w:ascii="Times New Roman" w:hAnsi="Times New Roman" w:cs="Times New Roman"/>
          <w:sz w:val="24"/>
          <w:szCs w:val="24"/>
        </w:rPr>
        <w:t xml:space="preserve"> which recognises early adopters as key in the diffusion of technology when relative advantage and compatibility </w:t>
      </w:r>
      <w:r w:rsidR="009D5E7A">
        <w:rPr>
          <w:rFonts w:ascii="Times New Roman" w:hAnsi="Times New Roman" w:cs="Times New Roman"/>
          <w:sz w:val="24"/>
          <w:szCs w:val="24"/>
        </w:rPr>
        <w:t>are</w:t>
      </w:r>
      <w:r w:rsidR="009D5E7A" w:rsidRPr="009D5E7A">
        <w:rPr>
          <w:rFonts w:ascii="Times New Roman" w:hAnsi="Times New Roman" w:cs="Times New Roman"/>
          <w:sz w:val="24"/>
          <w:szCs w:val="24"/>
        </w:rPr>
        <w:t xml:space="preserve"> realised (Rogers, 2003). Their adoption behaviour is also supported by the fact that there has been an indication that the global smart-home energy management market will grow at two-digit rates until 2029 (Grand View Research, 2023).</w:t>
      </w:r>
    </w:p>
    <w:p w:rsidR="00625AB6" w:rsidRDefault="00625AB6" w:rsidP="00625AB6">
      <w:pPr>
        <w:spacing w:line="360" w:lineRule="auto"/>
        <w:jc w:val="both"/>
        <w:rPr>
          <w:rFonts w:ascii="Times New Roman" w:hAnsi="Times New Roman" w:cs="Times New Roman"/>
          <w:sz w:val="24"/>
          <w:szCs w:val="24"/>
        </w:rPr>
      </w:pPr>
    </w:p>
    <w:p w:rsidR="00625AB6" w:rsidRDefault="00625AB6" w:rsidP="00625AB6">
      <w:pPr>
        <w:keepNext/>
        <w:spacing w:line="360" w:lineRule="auto"/>
        <w:jc w:val="both"/>
      </w:pPr>
      <w:r>
        <w:rPr>
          <w:rFonts w:ascii="Times New Roman" w:hAnsi="Times New Roman" w:cs="Times New Roman"/>
          <w:noProof/>
          <w:sz w:val="24"/>
          <w:szCs w:val="24"/>
        </w:rPr>
        <w:drawing>
          <wp:inline distT="0" distB="0" distL="0" distR="0">
            <wp:extent cx="5791306" cy="3367889"/>
            <wp:effectExtent l="0" t="0" r="0" b="4445"/>
            <wp:docPr id="8096738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73805" name="Picture 8096738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92138" cy="3368373"/>
                    </a:xfrm>
                    <a:prstGeom prst="rect">
                      <a:avLst/>
                    </a:prstGeom>
                  </pic:spPr>
                </pic:pic>
              </a:graphicData>
            </a:graphic>
          </wp:inline>
        </w:drawing>
      </w:r>
    </w:p>
    <w:p w:rsidR="00DD1EB0" w:rsidRPr="00625AB6" w:rsidRDefault="00625AB6" w:rsidP="00625AB6">
      <w:pPr>
        <w:pStyle w:val="Caption"/>
        <w:jc w:val="both"/>
        <w:rPr>
          <w:rFonts w:ascii="Times New Roman" w:hAnsi="Times New Roman" w:cs="Times New Roman"/>
          <w:b/>
          <w:bCs/>
          <w:sz w:val="28"/>
          <w:szCs w:val="28"/>
        </w:rPr>
      </w:pPr>
      <w:bookmarkStart w:id="6" w:name="_Toc216216787"/>
      <w:r w:rsidRPr="00625AB6">
        <w:rPr>
          <w:b/>
          <w:bCs/>
          <w:sz w:val="20"/>
          <w:szCs w:val="20"/>
        </w:rPr>
        <w:t xml:space="preserve">Figure </w:t>
      </w:r>
      <w:r w:rsidRPr="00625AB6">
        <w:rPr>
          <w:b/>
          <w:bCs/>
          <w:sz w:val="20"/>
          <w:szCs w:val="20"/>
        </w:rPr>
        <w:fldChar w:fldCharType="begin"/>
      </w:r>
      <w:r w:rsidRPr="00625AB6">
        <w:rPr>
          <w:b/>
          <w:bCs/>
          <w:sz w:val="20"/>
          <w:szCs w:val="20"/>
        </w:rPr>
        <w:instrText xml:space="preserve"> SEQ Figure \* ARABIC </w:instrText>
      </w:r>
      <w:r w:rsidRPr="00625AB6">
        <w:rPr>
          <w:b/>
          <w:bCs/>
          <w:sz w:val="20"/>
          <w:szCs w:val="20"/>
        </w:rPr>
        <w:fldChar w:fldCharType="separate"/>
      </w:r>
      <w:r>
        <w:rPr>
          <w:b/>
          <w:bCs/>
          <w:noProof/>
          <w:sz w:val="20"/>
          <w:szCs w:val="20"/>
        </w:rPr>
        <w:t>4</w:t>
      </w:r>
      <w:r w:rsidRPr="00625AB6">
        <w:rPr>
          <w:b/>
          <w:bCs/>
          <w:sz w:val="20"/>
          <w:szCs w:val="20"/>
        </w:rPr>
        <w:fldChar w:fldCharType="end"/>
      </w:r>
      <w:r w:rsidRPr="00625AB6">
        <w:rPr>
          <w:b/>
          <w:bCs/>
          <w:sz w:val="20"/>
          <w:szCs w:val="20"/>
        </w:rPr>
        <w:t>: Battery-electric vehicle (BEV) registrations in European markets, Q4 2018–Q2 2024 (Statista, 2025).</w:t>
      </w:r>
      <w:bookmarkEnd w:id="6"/>
    </w:p>
    <w:p w:rsidR="002F04C4" w:rsidRDefault="00F80D01" w:rsidP="00625AB6">
      <w:pPr>
        <w:keepNext/>
        <w:spacing w:line="360" w:lineRule="auto"/>
        <w:jc w:val="both"/>
      </w:pPr>
      <w:r w:rsidRPr="006573FC">
        <w:rPr>
          <w:rFonts w:ascii="Times New Roman" w:hAnsi="Times New Roman" w:cs="Times New Roman"/>
          <w:noProof/>
          <w:sz w:val="24"/>
          <w:szCs w:val="24"/>
        </w:rPr>
        <w:drawing>
          <wp:inline distT="0" distB="0" distL="0" distR="0">
            <wp:extent cx="5943600" cy="3804920"/>
            <wp:effectExtent l="0" t="0" r="0" b="5080"/>
            <wp:docPr id="2033785134" name="Picture 4" descr="The number of Home Energy Management Systems (HEMS) in Europe and North  America reached 4.5 million in 2024 | IoT Now News &amp;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The number of Home Energy Management Systems (HEMS) in Europe and North  America reached 4.5 million in 2024 | IoT Now News &amp; Repor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04920"/>
                    </a:xfrm>
                    <a:prstGeom prst="rect">
                      <a:avLst/>
                    </a:prstGeom>
                    <a:noFill/>
                    <a:ln>
                      <a:noFill/>
                    </a:ln>
                  </pic:spPr>
                </pic:pic>
              </a:graphicData>
            </a:graphic>
          </wp:inline>
        </w:drawing>
      </w:r>
    </w:p>
    <w:p w:rsidR="00F80D01" w:rsidRDefault="002F04C4" w:rsidP="00625AB6">
      <w:pPr>
        <w:pStyle w:val="Caption"/>
        <w:jc w:val="both"/>
        <w:rPr>
          <w:b/>
          <w:bCs/>
          <w:sz w:val="20"/>
          <w:szCs w:val="20"/>
        </w:rPr>
      </w:pPr>
      <w:bookmarkStart w:id="7" w:name="_Toc216216788"/>
      <w:r w:rsidRPr="002F04C4">
        <w:rPr>
          <w:b/>
          <w:bCs/>
          <w:sz w:val="20"/>
          <w:szCs w:val="20"/>
        </w:rPr>
        <w:t xml:space="preserve">Figure </w:t>
      </w:r>
      <w:r w:rsidRPr="002F04C4">
        <w:rPr>
          <w:b/>
          <w:bCs/>
          <w:sz w:val="20"/>
          <w:szCs w:val="20"/>
        </w:rPr>
        <w:fldChar w:fldCharType="begin"/>
      </w:r>
      <w:r w:rsidRPr="002F04C4">
        <w:rPr>
          <w:b/>
          <w:bCs/>
          <w:sz w:val="20"/>
          <w:szCs w:val="20"/>
        </w:rPr>
        <w:instrText xml:space="preserve"> SEQ Figure \* ARABIC </w:instrText>
      </w:r>
      <w:r w:rsidRPr="002F04C4">
        <w:rPr>
          <w:b/>
          <w:bCs/>
          <w:sz w:val="20"/>
          <w:szCs w:val="20"/>
        </w:rPr>
        <w:fldChar w:fldCharType="separate"/>
      </w:r>
      <w:r w:rsidR="00625AB6">
        <w:rPr>
          <w:b/>
          <w:bCs/>
          <w:noProof/>
          <w:sz w:val="20"/>
          <w:szCs w:val="20"/>
        </w:rPr>
        <w:t>5</w:t>
      </w:r>
      <w:r w:rsidRPr="002F04C4">
        <w:rPr>
          <w:b/>
          <w:bCs/>
          <w:sz w:val="20"/>
          <w:szCs w:val="20"/>
        </w:rPr>
        <w:fldChar w:fldCharType="end"/>
      </w:r>
      <w:r w:rsidRPr="002F04C4">
        <w:rPr>
          <w:b/>
          <w:bCs/>
          <w:sz w:val="20"/>
          <w:szCs w:val="20"/>
        </w:rPr>
        <w:t>: Forecasted number of Home Energy Management System (HEMS) installations in Europe (EU27+3) and North America, 2024–2029. Source: IoT-Now (2024)</w:t>
      </w:r>
      <w:bookmarkEnd w:id="7"/>
    </w:p>
    <w:p w:rsidR="0040647A" w:rsidRPr="0040647A" w:rsidRDefault="00CB4360" w:rsidP="00CB4360">
      <w:pPr>
        <w:pStyle w:val="Caption"/>
        <w:rPr>
          <w:rFonts w:ascii="Times New Roman" w:hAnsi="Times New Roman" w:cs="Times New Roman"/>
          <w:b/>
          <w:bCs/>
          <w:i w:val="0"/>
          <w:iCs w:val="0"/>
          <w:sz w:val="24"/>
          <w:szCs w:val="24"/>
          <w:lang w:val="en-US"/>
        </w:rPr>
      </w:pPr>
      <w:bookmarkStart w:id="8" w:name="_Toc216571168"/>
      <w:r w:rsidRPr="00CB4360">
        <w:rPr>
          <w:rFonts w:ascii="Times New Roman" w:hAnsi="Times New Roman" w:cs="Times New Roman"/>
          <w:b/>
          <w:bCs/>
          <w:i w:val="0"/>
          <w:iCs w:val="0"/>
          <w:sz w:val="24"/>
          <w:szCs w:val="24"/>
        </w:rPr>
        <w:t xml:space="preserve">Table </w:t>
      </w:r>
      <w:r w:rsidRPr="00CB4360">
        <w:rPr>
          <w:rFonts w:ascii="Times New Roman" w:hAnsi="Times New Roman" w:cs="Times New Roman"/>
          <w:b/>
          <w:bCs/>
          <w:i w:val="0"/>
          <w:iCs w:val="0"/>
          <w:sz w:val="24"/>
          <w:szCs w:val="24"/>
        </w:rPr>
        <w:fldChar w:fldCharType="begin"/>
      </w:r>
      <w:r w:rsidRPr="00CB4360">
        <w:rPr>
          <w:rFonts w:ascii="Times New Roman" w:hAnsi="Times New Roman" w:cs="Times New Roman"/>
          <w:b/>
          <w:bCs/>
          <w:i w:val="0"/>
          <w:iCs w:val="0"/>
          <w:sz w:val="24"/>
          <w:szCs w:val="24"/>
        </w:rPr>
        <w:instrText xml:space="preserve"> SEQ Table \* ARABIC </w:instrText>
      </w:r>
      <w:r w:rsidRPr="00CB4360">
        <w:rPr>
          <w:rFonts w:ascii="Times New Roman" w:hAnsi="Times New Roman" w:cs="Times New Roman"/>
          <w:b/>
          <w:bCs/>
          <w:i w:val="0"/>
          <w:iCs w:val="0"/>
          <w:sz w:val="24"/>
          <w:szCs w:val="24"/>
        </w:rPr>
        <w:fldChar w:fldCharType="separate"/>
      </w:r>
      <w:r w:rsidR="00D049B0">
        <w:rPr>
          <w:rFonts w:ascii="Times New Roman" w:hAnsi="Times New Roman" w:cs="Times New Roman"/>
          <w:b/>
          <w:bCs/>
          <w:i w:val="0"/>
          <w:iCs w:val="0"/>
          <w:noProof/>
          <w:sz w:val="24"/>
          <w:szCs w:val="24"/>
        </w:rPr>
        <w:t>1</w:t>
      </w:r>
      <w:r w:rsidRPr="00CB4360">
        <w:rPr>
          <w:rFonts w:ascii="Times New Roman" w:hAnsi="Times New Roman" w:cs="Times New Roman"/>
          <w:b/>
          <w:bCs/>
          <w:i w:val="0"/>
          <w:iCs w:val="0"/>
          <w:sz w:val="24"/>
          <w:szCs w:val="24"/>
        </w:rPr>
        <w:fldChar w:fldCharType="end"/>
      </w:r>
      <w:r w:rsidRPr="00CB4360">
        <w:rPr>
          <w:rFonts w:ascii="Times New Roman" w:hAnsi="Times New Roman" w:cs="Times New Roman"/>
          <w:b/>
          <w:bCs/>
          <w:i w:val="0"/>
          <w:iCs w:val="0"/>
          <w:sz w:val="24"/>
          <w:szCs w:val="24"/>
        </w:rPr>
        <w:t xml:space="preserve">: </w:t>
      </w:r>
      <w:r w:rsidR="00D049B0" w:rsidRPr="00D049B0">
        <w:rPr>
          <w:rFonts w:ascii="Times New Roman" w:hAnsi="Times New Roman" w:cs="Times New Roman"/>
          <w:b/>
          <w:bCs/>
          <w:i w:val="0"/>
          <w:iCs w:val="0"/>
          <w:sz w:val="24"/>
          <w:szCs w:val="24"/>
          <w:lang w:val="en-US"/>
        </w:rPr>
        <w:t>Strategic Evaluation</w:t>
      </w:r>
      <w:r w:rsidR="00D049B0">
        <w:rPr>
          <w:rFonts w:ascii="Times New Roman" w:hAnsi="Times New Roman" w:cs="Times New Roman"/>
          <w:b/>
          <w:bCs/>
          <w:i w:val="0"/>
          <w:iCs w:val="0"/>
          <w:sz w:val="24"/>
          <w:szCs w:val="24"/>
          <w:lang w:val="en-US"/>
        </w:rPr>
        <w:t xml:space="preserve"> </w:t>
      </w:r>
      <w:r w:rsidR="0040647A" w:rsidRPr="0040647A">
        <w:rPr>
          <w:rFonts w:ascii="Times New Roman" w:hAnsi="Times New Roman" w:cs="Times New Roman"/>
          <w:b/>
          <w:bCs/>
          <w:i w:val="0"/>
          <w:iCs w:val="0"/>
          <w:sz w:val="24"/>
          <w:szCs w:val="24"/>
          <w:lang w:val="en-US"/>
        </w:rPr>
        <w:t>of GridHome’s Segmentation Approach</w:t>
      </w:r>
      <w:bookmarkEnd w:id="8"/>
    </w:p>
    <w:tbl>
      <w:tblPr>
        <w:tblStyle w:val="GridTable4-Accent1"/>
        <w:tblW w:w="0" w:type="auto"/>
        <w:tblLook w:val="04A0" w:firstRow="1" w:lastRow="0" w:firstColumn="1" w:lastColumn="0" w:noHBand="0" w:noVBand="1"/>
      </w:tblPr>
      <w:tblGrid>
        <w:gridCol w:w="1931"/>
        <w:gridCol w:w="3986"/>
        <w:gridCol w:w="3099"/>
      </w:tblGrid>
      <w:tr w:rsidR="0040647A" w:rsidRPr="0040647A" w:rsidTr="004064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0647A" w:rsidRPr="0040647A" w:rsidRDefault="0040647A" w:rsidP="0040647A">
            <w:pPr>
              <w:spacing w:after="160" w:line="259" w:lineRule="auto"/>
              <w:rPr>
                <w:lang w:val="en-US"/>
              </w:rPr>
            </w:pPr>
            <w:r w:rsidRPr="0040647A">
              <w:rPr>
                <w:lang w:val="en-US"/>
              </w:rPr>
              <w:lastRenderedPageBreak/>
              <w:t>Aspect</w:t>
            </w:r>
          </w:p>
        </w:tc>
        <w:tc>
          <w:tcPr>
            <w:tcW w:w="0" w:type="auto"/>
            <w:hideMark/>
          </w:tcPr>
          <w:p w:rsidR="0040647A" w:rsidRPr="0040647A" w:rsidRDefault="0040647A" w:rsidP="0040647A">
            <w:pPr>
              <w:spacing w:after="160" w:line="259" w:lineRule="auto"/>
              <w:cnfStyle w:val="100000000000" w:firstRow="1" w:lastRow="0" w:firstColumn="0" w:lastColumn="0" w:oddVBand="0" w:evenVBand="0" w:oddHBand="0" w:evenHBand="0" w:firstRowFirstColumn="0" w:firstRowLastColumn="0" w:lastRowFirstColumn="0" w:lastRowLastColumn="0"/>
              <w:rPr>
                <w:lang w:val="en-US"/>
              </w:rPr>
            </w:pPr>
            <w:r w:rsidRPr="0040647A">
              <w:rPr>
                <w:lang w:val="en-US"/>
              </w:rPr>
              <w:t>Advantages</w:t>
            </w:r>
          </w:p>
        </w:tc>
        <w:tc>
          <w:tcPr>
            <w:tcW w:w="0" w:type="auto"/>
            <w:hideMark/>
          </w:tcPr>
          <w:p w:rsidR="0040647A" w:rsidRPr="0040647A" w:rsidRDefault="0040647A" w:rsidP="0040647A">
            <w:pPr>
              <w:spacing w:after="160" w:line="259" w:lineRule="auto"/>
              <w:cnfStyle w:val="100000000000" w:firstRow="1" w:lastRow="0" w:firstColumn="0" w:lastColumn="0" w:oddVBand="0" w:evenVBand="0" w:oddHBand="0" w:evenHBand="0" w:firstRowFirstColumn="0" w:firstRowLastColumn="0" w:lastRowFirstColumn="0" w:lastRowLastColumn="0"/>
              <w:rPr>
                <w:lang w:val="en-US"/>
              </w:rPr>
            </w:pPr>
            <w:r w:rsidRPr="0040647A">
              <w:rPr>
                <w:lang w:val="en-US"/>
              </w:rPr>
              <w:t>Limitations</w:t>
            </w:r>
          </w:p>
        </w:tc>
      </w:tr>
      <w:tr w:rsidR="0040647A" w:rsidRPr="0040647A" w:rsidTr="00406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0647A" w:rsidRPr="0040647A" w:rsidRDefault="0040647A" w:rsidP="0040647A">
            <w:pPr>
              <w:spacing w:after="160" w:line="259" w:lineRule="auto"/>
              <w:rPr>
                <w:lang w:val="en-US"/>
              </w:rPr>
            </w:pPr>
            <w:r w:rsidRPr="0040647A">
              <w:rPr>
                <w:lang w:val="en-US"/>
              </w:rPr>
              <w:t>Demographic Segmentation</w:t>
            </w:r>
          </w:p>
        </w:tc>
        <w:tc>
          <w:tcPr>
            <w:tcW w:w="0" w:type="auto"/>
            <w:hideMark/>
          </w:tcPr>
          <w:p w:rsidR="0040647A" w:rsidRPr="0040647A" w:rsidRDefault="0040647A" w:rsidP="0040647A">
            <w:pPr>
              <w:spacing w:after="160" w:line="259" w:lineRule="auto"/>
              <w:cnfStyle w:val="000000100000" w:firstRow="0" w:lastRow="0" w:firstColumn="0" w:lastColumn="0" w:oddVBand="0" w:evenVBand="0" w:oddHBand="1" w:evenHBand="0" w:firstRowFirstColumn="0" w:firstRowLastColumn="0" w:lastRowFirstColumn="0" w:lastRowLastColumn="0"/>
              <w:rPr>
                <w:lang w:val="en-US"/>
              </w:rPr>
            </w:pPr>
            <w:r w:rsidRPr="0040647A">
              <w:rPr>
                <w:lang w:val="en-US"/>
              </w:rPr>
              <w:t>Focuses on homeowners with financial capacity and long-term orientation, improving adoption likelihood</w:t>
            </w:r>
          </w:p>
        </w:tc>
        <w:tc>
          <w:tcPr>
            <w:tcW w:w="0" w:type="auto"/>
            <w:hideMark/>
          </w:tcPr>
          <w:p w:rsidR="0040647A" w:rsidRPr="0040647A" w:rsidRDefault="0040647A" w:rsidP="0040647A">
            <w:pPr>
              <w:spacing w:after="160" w:line="259" w:lineRule="auto"/>
              <w:cnfStyle w:val="000000100000" w:firstRow="0" w:lastRow="0" w:firstColumn="0" w:lastColumn="0" w:oddVBand="0" w:evenVBand="0" w:oddHBand="1" w:evenHBand="0" w:firstRowFirstColumn="0" w:firstRowLastColumn="0" w:lastRowFirstColumn="0" w:lastRowLastColumn="0"/>
              <w:rPr>
                <w:lang w:val="en-US"/>
              </w:rPr>
            </w:pPr>
            <w:r w:rsidRPr="0040647A">
              <w:rPr>
                <w:lang w:val="en-US"/>
              </w:rPr>
              <w:t>Excludes renters and lower-income households, limiting market breadth</w:t>
            </w:r>
          </w:p>
        </w:tc>
      </w:tr>
      <w:tr w:rsidR="0040647A" w:rsidRPr="0040647A" w:rsidTr="0040647A">
        <w:tc>
          <w:tcPr>
            <w:cnfStyle w:val="001000000000" w:firstRow="0" w:lastRow="0" w:firstColumn="1" w:lastColumn="0" w:oddVBand="0" w:evenVBand="0" w:oddHBand="0" w:evenHBand="0" w:firstRowFirstColumn="0" w:firstRowLastColumn="0" w:lastRowFirstColumn="0" w:lastRowLastColumn="0"/>
            <w:tcW w:w="0" w:type="auto"/>
            <w:hideMark/>
          </w:tcPr>
          <w:p w:rsidR="0040647A" w:rsidRPr="0040647A" w:rsidRDefault="0040647A" w:rsidP="0040647A">
            <w:pPr>
              <w:spacing w:after="160" w:line="259" w:lineRule="auto"/>
              <w:rPr>
                <w:lang w:val="en-US"/>
              </w:rPr>
            </w:pPr>
            <w:r w:rsidRPr="0040647A">
              <w:rPr>
                <w:lang w:val="en-US"/>
              </w:rPr>
              <w:t>Geographic Segmentation</w:t>
            </w:r>
          </w:p>
        </w:tc>
        <w:tc>
          <w:tcPr>
            <w:tcW w:w="0" w:type="auto"/>
            <w:hideMark/>
          </w:tcPr>
          <w:p w:rsidR="0040647A" w:rsidRPr="0040647A" w:rsidRDefault="0040647A" w:rsidP="0040647A">
            <w:pPr>
              <w:spacing w:after="160" w:line="259" w:lineRule="auto"/>
              <w:cnfStyle w:val="000000000000" w:firstRow="0" w:lastRow="0" w:firstColumn="0" w:lastColumn="0" w:oddVBand="0" w:evenVBand="0" w:oddHBand="0" w:evenHBand="0" w:firstRowFirstColumn="0" w:firstRowLastColumn="0" w:lastRowFirstColumn="0" w:lastRowLastColumn="0"/>
              <w:rPr>
                <w:lang w:val="en-US"/>
              </w:rPr>
            </w:pPr>
            <w:r w:rsidRPr="0040647A">
              <w:rPr>
                <w:lang w:val="en-US"/>
              </w:rPr>
              <w:t>Targets regions with high tariffs, smart-meter penetration and supportive regulation (UK/EU)</w:t>
            </w:r>
          </w:p>
        </w:tc>
        <w:tc>
          <w:tcPr>
            <w:tcW w:w="0" w:type="auto"/>
            <w:hideMark/>
          </w:tcPr>
          <w:p w:rsidR="0040647A" w:rsidRPr="0040647A" w:rsidRDefault="0040647A" w:rsidP="0040647A">
            <w:pPr>
              <w:spacing w:after="160" w:line="259" w:lineRule="auto"/>
              <w:cnfStyle w:val="000000000000" w:firstRow="0" w:lastRow="0" w:firstColumn="0" w:lastColumn="0" w:oddVBand="0" w:evenVBand="0" w:oddHBand="0" w:evenHBand="0" w:firstRowFirstColumn="0" w:firstRowLastColumn="0" w:lastRowFirstColumn="0" w:lastRowLastColumn="0"/>
              <w:rPr>
                <w:lang w:val="en-US"/>
              </w:rPr>
            </w:pPr>
            <w:r w:rsidRPr="0040647A">
              <w:rPr>
                <w:lang w:val="en-US"/>
              </w:rPr>
              <w:t>Exposure to regulatory heterogeneity across EU markets</w:t>
            </w:r>
          </w:p>
        </w:tc>
      </w:tr>
      <w:tr w:rsidR="0040647A" w:rsidRPr="0040647A" w:rsidTr="00406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0647A" w:rsidRPr="0040647A" w:rsidRDefault="0040647A" w:rsidP="0040647A">
            <w:pPr>
              <w:spacing w:after="160" w:line="259" w:lineRule="auto"/>
              <w:rPr>
                <w:lang w:val="en-US"/>
              </w:rPr>
            </w:pPr>
            <w:r w:rsidRPr="0040647A">
              <w:rPr>
                <w:lang w:val="en-US"/>
              </w:rPr>
              <w:t>Psychographic Segmentation</w:t>
            </w:r>
          </w:p>
        </w:tc>
        <w:tc>
          <w:tcPr>
            <w:tcW w:w="0" w:type="auto"/>
            <w:hideMark/>
          </w:tcPr>
          <w:p w:rsidR="0040647A" w:rsidRPr="0040647A" w:rsidRDefault="0040647A" w:rsidP="0040647A">
            <w:pPr>
              <w:spacing w:after="160" w:line="259" w:lineRule="auto"/>
              <w:cnfStyle w:val="000000100000" w:firstRow="0" w:lastRow="0" w:firstColumn="0" w:lastColumn="0" w:oddVBand="0" w:evenVBand="0" w:oddHBand="1" w:evenHBand="0" w:firstRowFirstColumn="0" w:firstRowLastColumn="0" w:lastRowFirstColumn="0" w:lastRowLastColumn="0"/>
              <w:rPr>
                <w:lang w:val="en-US"/>
              </w:rPr>
            </w:pPr>
            <w:r w:rsidRPr="0040647A">
              <w:rPr>
                <w:lang w:val="en-US"/>
              </w:rPr>
              <w:t>Aligns proposition with sustainability values and technology readiness</w:t>
            </w:r>
          </w:p>
        </w:tc>
        <w:tc>
          <w:tcPr>
            <w:tcW w:w="0" w:type="auto"/>
            <w:hideMark/>
          </w:tcPr>
          <w:p w:rsidR="0040647A" w:rsidRPr="0040647A" w:rsidRDefault="0040647A" w:rsidP="0040647A">
            <w:pPr>
              <w:spacing w:after="160" w:line="259" w:lineRule="auto"/>
              <w:cnfStyle w:val="000000100000" w:firstRow="0" w:lastRow="0" w:firstColumn="0" w:lastColumn="0" w:oddVBand="0" w:evenVBand="0" w:oddHBand="1" w:evenHBand="0" w:firstRowFirstColumn="0" w:firstRowLastColumn="0" w:lastRowFirstColumn="0" w:lastRowLastColumn="0"/>
              <w:rPr>
                <w:lang w:val="en-US"/>
              </w:rPr>
            </w:pPr>
            <w:r w:rsidRPr="0040647A">
              <w:rPr>
                <w:lang w:val="en-US"/>
              </w:rPr>
              <w:t>Values-based segments can be difficult to quantify precisely</w:t>
            </w:r>
          </w:p>
        </w:tc>
      </w:tr>
      <w:tr w:rsidR="0040647A" w:rsidRPr="0040647A" w:rsidTr="0040647A">
        <w:tc>
          <w:tcPr>
            <w:cnfStyle w:val="001000000000" w:firstRow="0" w:lastRow="0" w:firstColumn="1" w:lastColumn="0" w:oddVBand="0" w:evenVBand="0" w:oddHBand="0" w:evenHBand="0" w:firstRowFirstColumn="0" w:firstRowLastColumn="0" w:lastRowFirstColumn="0" w:lastRowLastColumn="0"/>
            <w:tcW w:w="0" w:type="auto"/>
            <w:hideMark/>
          </w:tcPr>
          <w:p w:rsidR="0040647A" w:rsidRPr="0040647A" w:rsidRDefault="0040647A" w:rsidP="0040647A">
            <w:pPr>
              <w:spacing w:after="160" w:line="259" w:lineRule="auto"/>
              <w:rPr>
                <w:lang w:val="en-US"/>
              </w:rPr>
            </w:pPr>
            <w:r w:rsidRPr="0040647A">
              <w:rPr>
                <w:lang w:val="en-US"/>
              </w:rPr>
              <w:t>Behavioural Segmentation</w:t>
            </w:r>
          </w:p>
        </w:tc>
        <w:tc>
          <w:tcPr>
            <w:tcW w:w="0" w:type="auto"/>
            <w:hideMark/>
          </w:tcPr>
          <w:p w:rsidR="0040647A" w:rsidRPr="0040647A" w:rsidRDefault="0040647A" w:rsidP="0040647A">
            <w:pPr>
              <w:spacing w:after="160" w:line="259" w:lineRule="auto"/>
              <w:cnfStyle w:val="000000000000" w:firstRow="0" w:lastRow="0" w:firstColumn="0" w:lastColumn="0" w:oddVBand="0" w:evenVBand="0" w:oddHBand="0" w:evenHBand="0" w:firstRowFirstColumn="0" w:firstRowLastColumn="0" w:lastRowFirstColumn="0" w:lastRowLastColumn="0"/>
              <w:rPr>
                <w:lang w:val="en-US"/>
              </w:rPr>
            </w:pPr>
            <w:r w:rsidRPr="0040647A">
              <w:rPr>
                <w:lang w:val="en-US"/>
              </w:rPr>
              <w:t>Leverages EV ownership and prior solar adoption, increasing conversion efficiency</w:t>
            </w:r>
          </w:p>
        </w:tc>
        <w:tc>
          <w:tcPr>
            <w:tcW w:w="0" w:type="auto"/>
            <w:hideMark/>
          </w:tcPr>
          <w:p w:rsidR="0040647A" w:rsidRPr="0040647A" w:rsidRDefault="0040647A" w:rsidP="0040647A">
            <w:pPr>
              <w:spacing w:after="160" w:line="259" w:lineRule="auto"/>
              <w:cnfStyle w:val="000000000000" w:firstRow="0" w:lastRow="0" w:firstColumn="0" w:lastColumn="0" w:oddVBand="0" w:evenVBand="0" w:oddHBand="0" w:evenHBand="0" w:firstRowFirstColumn="0" w:firstRowLastColumn="0" w:lastRowFirstColumn="0" w:lastRowLastColumn="0"/>
              <w:rPr>
                <w:lang w:val="en-US"/>
              </w:rPr>
            </w:pPr>
            <w:r w:rsidRPr="0040647A">
              <w:rPr>
                <w:lang w:val="en-US"/>
              </w:rPr>
              <w:t>Early-adopter bias may slow mass-market diffusion</w:t>
            </w:r>
          </w:p>
        </w:tc>
      </w:tr>
    </w:tbl>
    <w:p w:rsidR="0040647A" w:rsidRPr="00CB4360" w:rsidRDefault="0040647A" w:rsidP="0040647A">
      <w:pPr>
        <w:rPr>
          <w:lang w:val="en-US"/>
        </w:rPr>
      </w:pPr>
      <w:r w:rsidRPr="0040647A">
        <w:rPr>
          <w:b/>
          <w:bCs/>
          <w:lang w:val="en-US"/>
        </w:rPr>
        <w:t>Source:</w:t>
      </w:r>
      <w:r w:rsidRPr="0040647A">
        <w:rPr>
          <w:lang w:val="en-US"/>
        </w:rPr>
        <w:t xml:space="preserve"> Author’s analysis informed by Kotler et al. (2024); Energy Policy Journal (2022); Berg Insight (2025).</w:t>
      </w:r>
    </w:p>
    <w:p w:rsidR="008227F7" w:rsidRPr="008227F7" w:rsidRDefault="008227F7" w:rsidP="00625AB6">
      <w:pPr>
        <w:pStyle w:val="Heading2"/>
        <w:jc w:val="both"/>
        <w:rPr>
          <w:lang w:val="en-US"/>
        </w:rPr>
      </w:pPr>
      <w:bookmarkStart w:id="9" w:name="_Toc216541548"/>
      <w:r w:rsidRPr="008227F7">
        <w:rPr>
          <w:lang w:val="en-US"/>
        </w:rPr>
        <w:t>1.3 Targeting</w:t>
      </w:r>
      <w:bookmarkEnd w:id="9"/>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1.3.1 Primary Target: The Resilient Homeowner</w:t>
      </w:r>
    </w:p>
    <w:p w:rsidR="002F04C4" w:rsidRDefault="002F04C4" w:rsidP="00625AB6">
      <w:pPr>
        <w:spacing w:line="360" w:lineRule="auto"/>
        <w:jc w:val="both"/>
        <w:rPr>
          <w:rFonts w:ascii="Times New Roman" w:hAnsi="Times New Roman" w:cs="Times New Roman"/>
          <w:sz w:val="24"/>
          <w:szCs w:val="24"/>
        </w:rPr>
      </w:pPr>
      <w:r w:rsidRPr="002F04C4">
        <w:rPr>
          <w:rFonts w:ascii="Times New Roman" w:hAnsi="Times New Roman" w:cs="Times New Roman"/>
          <w:sz w:val="24"/>
          <w:szCs w:val="24"/>
        </w:rPr>
        <w:t xml:space="preserve">The </w:t>
      </w:r>
      <w:r>
        <w:rPr>
          <w:rFonts w:ascii="Times New Roman" w:hAnsi="Times New Roman" w:cs="Times New Roman"/>
          <w:sz w:val="24"/>
          <w:szCs w:val="24"/>
        </w:rPr>
        <w:t>primary</w:t>
      </w:r>
      <w:r w:rsidRPr="002F04C4">
        <w:rPr>
          <w:rFonts w:ascii="Times New Roman" w:hAnsi="Times New Roman" w:cs="Times New Roman"/>
          <w:sz w:val="24"/>
          <w:szCs w:val="24"/>
        </w:rPr>
        <w:t xml:space="preserve"> market group consists of </w:t>
      </w:r>
      <w:r>
        <w:rPr>
          <w:rFonts w:ascii="Times New Roman" w:hAnsi="Times New Roman" w:cs="Times New Roman"/>
          <w:sz w:val="24"/>
          <w:szCs w:val="24"/>
        </w:rPr>
        <w:t>suburban</w:t>
      </w:r>
      <w:r w:rsidRPr="002F04C4">
        <w:rPr>
          <w:rFonts w:ascii="Times New Roman" w:hAnsi="Times New Roman" w:cs="Times New Roman"/>
          <w:sz w:val="24"/>
          <w:szCs w:val="24"/>
        </w:rPr>
        <w:t xml:space="preserve"> homeowners in need of grid stability and long-term security in energy prices. These customers are very receptive to the propositions which focus on reliability, resilience and predictable household spending. This targeting has been demonstrated to have commercial validity as empirical evidence suggests that environmentally motivated homeowners are more </w:t>
      </w:r>
      <w:r>
        <w:rPr>
          <w:rFonts w:ascii="Times New Roman" w:hAnsi="Times New Roman" w:cs="Times New Roman"/>
          <w:sz w:val="24"/>
          <w:szCs w:val="24"/>
        </w:rPr>
        <w:t>willing to pay for</w:t>
      </w:r>
      <w:r w:rsidRPr="002F04C4">
        <w:rPr>
          <w:rFonts w:ascii="Times New Roman" w:hAnsi="Times New Roman" w:cs="Times New Roman"/>
          <w:sz w:val="24"/>
          <w:szCs w:val="24"/>
        </w:rPr>
        <w:t xml:space="preserve"> integrated low-carbon services (White, Hardisty and Habib, 2019).</w:t>
      </w:r>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1.3.2 Secondary Target: The Sustainable Investor</w:t>
      </w:r>
    </w:p>
    <w:p w:rsidR="008227F7" w:rsidRDefault="002F04C4" w:rsidP="00625AB6">
      <w:pPr>
        <w:spacing w:line="360" w:lineRule="auto"/>
        <w:jc w:val="both"/>
        <w:rPr>
          <w:rFonts w:ascii="Times New Roman" w:hAnsi="Times New Roman" w:cs="Times New Roman"/>
          <w:sz w:val="24"/>
          <w:szCs w:val="24"/>
          <w:lang w:val="en-US"/>
        </w:rPr>
      </w:pPr>
      <w:r w:rsidRPr="002F04C4">
        <w:rPr>
          <w:rFonts w:ascii="Times New Roman" w:hAnsi="Times New Roman" w:cs="Times New Roman"/>
          <w:sz w:val="24"/>
          <w:szCs w:val="24"/>
          <w:lang w:val="en-US"/>
        </w:rPr>
        <w:t xml:space="preserve">The secondary target will be people with high incomes and sustainability interests </w:t>
      </w:r>
      <w:r>
        <w:rPr>
          <w:rFonts w:ascii="Times New Roman" w:hAnsi="Times New Roman" w:cs="Times New Roman"/>
          <w:sz w:val="24"/>
          <w:szCs w:val="24"/>
          <w:lang w:val="en-US"/>
        </w:rPr>
        <w:t>who</w:t>
      </w:r>
      <w:r w:rsidRPr="002F04C4">
        <w:rPr>
          <w:rFonts w:ascii="Times New Roman" w:hAnsi="Times New Roman" w:cs="Times New Roman"/>
          <w:sz w:val="24"/>
          <w:szCs w:val="24"/>
          <w:lang w:val="en-US"/>
        </w:rPr>
        <w:t xml:space="preserve"> will value environmental performance and property value improvement. A significant number in this cohort already takes part in the EV ecosystem, so the vertically integrated platform offered by Tesla is particularly appealing. </w:t>
      </w:r>
      <w:r w:rsidRPr="002F04C4">
        <w:rPr>
          <w:rFonts w:ascii="Times New Roman" w:hAnsi="Times New Roman" w:cs="Times New Roman"/>
          <w:sz w:val="24"/>
          <w:szCs w:val="24"/>
        </w:rPr>
        <w:t xml:space="preserve">This segment can also play a powerful role in the rapid dissemination of clean-energy solutions because of its </w:t>
      </w:r>
      <w:r>
        <w:rPr>
          <w:rFonts w:ascii="Times New Roman" w:hAnsi="Times New Roman" w:cs="Times New Roman"/>
          <w:sz w:val="24"/>
          <w:szCs w:val="24"/>
        </w:rPr>
        <w:t>socio-economic</w:t>
      </w:r>
      <w:r w:rsidRPr="002F04C4">
        <w:rPr>
          <w:rFonts w:ascii="Times New Roman" w:hAnsi="Times New Roman" w:cs="Times New Roman"/>
          <w:sz w:val="24"/>
          <w:szCs w:val="24"/>
        </w:rPr>
        <w:t xml:space="preserve"> background and early investing nature</w:t>
      </w:r>
      <w:r w:rsidRPr="002F04C4">
        <w:rPr>
          <w:rFonts w:ascii="Times New Roman" w:hAnsi="Times New Roman" w:cs="Times New Roman"/>
          <w:sz w:val="24"/>
          <w:szCs w:val="24"/>
          <w:lang w:val="en-US"/>
        </w:rPr>
        <w:t>. The 2032 forecasts of smart-home market growth, estimated well beyond USD 500 billion, are also justifications of strategic targeting of environmentally conscious, technology-oriented homeowners (Market.us, 2023)</w:t>
      </w:r>
      <w:r w:rsidR="00DD1EB0" w:rsidRPr="00DD1EB0">
        <w:rPr>
          <w:rFonts w:ascii="Times New Roman" w:hAnsi="Times New Roman" w:cs="Times New Roman"/>
          <w:sz w:val="24"/>
          <w:szCs w:val="24"/>
          <w:lang w:val="en-US"/>
        </w:rPr>
        <w:t>.</w:t>
      </w:r>
    </w:p>
    <w:p w:rsidR="0040647A" w:rsidRPr="0040647A" w:rsidRDefault="0040647A"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 xml:space="preserve">1.3.2 </w:t>
      </w:r>
      <w:r w:rsidRPr="0040647A">
        <w:rPr>
          <w:rFonts w:ascii="Times New Roman" w:hAnsi="Times New Roman" w:cs="Times New Roman"/>
          <w:b/>
          <w:bCs/>
          <w:sz w:val="24"/>
          <w:szCs w:val="24"/>
        </w:rPr>
        <w:t>Targeting Strategy Clarification</w:t>
      </w:r>
    </w:p>
    <w:p w:rsidR="0040647A" w:rsidRDefault="0040647A" w:rsidP="00625AB6">
      <w:pPr>
        <w:spacing w:line="360" w:lineRule="auto"/>
        <w:jc w:val="both"/>
        <w:rPr>
          <w:rFonts w:ascii="Times New Roman" w:hAnsi="Times New Roman" w:cs="Times New Roman"/>
          <w:sz w:val="24"/>
          <w:szCs w:val="24"/>
          <w:lang w:val="en-US"/>
        </w:rPr>
      </w:pPr>
      <w:r w:rsidRPr="0040647A">
        <w:rPr>
          <w:rFonts w:ascii="Times New Roman" w:hAnsi="Times New Roman" w:cs="Times New Roman"/>
          <w:sz w:val="24"/>
          <w:szCs w:val="24"/>
          <w:lang w:val="en-US"/>
        </w:rPr>
        <w:lastRenderedPageBreak/>
        <w:t xml:space="preserve">Tesla GridHome uses a differentiated targeting approach by targeting two very different, but complementary groups: the Resilient Homeowner and the Sustainable Investor. This strategy enables custom value propositions, stability and predictability of the cost to the core segment, and environmental results and value to the asset segment. The differentiated targeting advantage is high relevance and </w:t>
      </w:r>
      <w:r>
        <w:rPr>
          <w:rFonts w:ascii="Times New Roman" w:hAnsi="Times New Roman" w:cs="Times New Roman"/>
          <w:sz w:val="24"/>
          <w:szCs w:val="24"/>
          <w:lang w:val="en-US"/>
        </w:rPr>
        <w:t>willingness to pay</w:t>
      </w:r>
      <w:r w:rsidRPr="0040647A">
        <w:rPr>
          <w:rFonts w:ascii="Times New Roman" w:hAnsi="Times New Roman" w:cs="Times New Roman"/>
          <w:sz w:val="24"/>
          <w:szCs w:val="24"/>
          <w:lang w:val="en-US"/>
        </w:rPr>
        <w:t>, and the primary weakness is the complexity of marketing and service provision in contrast to undifferentiated strategies (Kotler et al., 2024).</w:t>
      </w:r>
    </w:p>
    <w:p w:rsidR="00D049B0" w:rsidRPr="00D049B0" w:rsidRDefault="00D049B0" w:rsidP="00D049B0">
      <w:pPr>
        <w:pStyle w:val="Caption"/>
        <w:rPr>
          <w:rFonts w:ascii="Times New Roman" w:hAnsi="Times New Roman" w:cs="Times New Roman"/>
          <w:b/>
          <w:bCs/>
          <w:i w:val="0"/>
          <w:iCs w:val="0"/>
          <w:sz w:val="24"/>
          <w:szCs w:val="24"/>
          <w:lang w:val="en-US"/>
        </w:rPr>
      </w:pPr>
      <w:bookmarkStart w:id="10" w:name="_Toc216571169"/>
      <w:r w:rsidRPr="00D049B0">
        <w:rPr>
          <w:rFonts w:ascii="Times New Roman" w:hAnsi="Times New Roman" w:cs="Times New Roman"/>
          <w:b/>
          <w:bCs/>
          <w:i w:val="0"/>
          <w:iCs w:val="0"/>
          <w:sz w:val="24"/>
          <w:szCs w:val="24"/>
        </w:rPr>
        <w:t xml:space="preserve">Table </w:t>
      </w:r>
      <w:r w:rsidRPr="00D049B0">
        <w:rPr>
          <w:rFonts w:ascii="Times New Roman" w:hAnsi="Times New Roman" w:cs="Times New Roman"/>
          <w:b/>
          <w:bCs/>
          <w:i w:val="0"/>
          <w:iCs w:val="0"/>
          <w:sz w:val="24"/>
          <w:szCs w:val="24"/>
        </w:rPr>
        <w:fldChar w:fldCharType="begin"/>
      </w:r>
      <w:r w:rsidRPr="00D049B0">
        <w:rPr>
          <w:rFonts w:ascii="Times New Roman" w:hAnsi="Times New Roman" w:cs="Times New Roman"/>
          <w:b/>
          <w:bCs/>
          <w:i w:val="0"/>
          <w:iCs w:val="0"/>
          <w:sz w:val="24"/>
          <w:szCs w:val="24"/>
        </w:rPr>
        <w:instrText xml:space="preserve"> SEQ Table \* ARABIC </w:instrText>
      </w:r>
      <w:r w:rsidRPr="00D049B0">
        <w:rPr>
          <w:rFonts w:ascii="Times New Roman" w:hAnsi="Times New Roman" w:cs="Times New Roman"/>
          <w:b/>
          <w:bCs/>
          <w:i w:val="0"/>
          <w:iCs w:val="0"/>
          <w:sz w:val="24"/>
          <w:szCs w:val="24"/>
        </w:rPr>
        <w:fldChar w:fldCharType="separate"/>
      </w:r>
      <w:r w:rsidRPr="00D049B0">
        <w:rPr>
          <w:rFonts w:ascii="Times New Roman" w:hAnsi="Times New Roman" w:cs="Times New Roman"/>
          <w:b/>
          <w:bCs/>
          <w:i w:val="0"/>
          <w:iCs w:val="0"/>
          <w:noProof/>
          <w:sz w:val="24"/>
          <w:szCs w:val="24"/>
        </w:rPr>
        <w:t>2</w:t>
      </w:r>
      <w:r w:rsidRPr="00D049B0">
        <w:rPr>
          <w:rFonts w:ascii="Times New Roman" w:hAnsi="Times New Roman" w:cs="Times New Roman"/>
          <w:b/>
          <w:bCs/>
          <w:i w:val="0"/>
          <w:iCs w:val="0"/>
          <w:sz w:val="24"/>
          <w:szCs w:val="24"/>
        </w:rPr>
        <w:fldChar w:fldCharType="end"/>
      </w:r>
      <w:r w:rsidRPr="00D049B0">
        <w:rPr>
          <w:rFonts w:ascii="Times New Roman" w:hAnsi="Times New Roman" w:cs="Times New Roman"/>
          <w:b/>
          <w:bCs/>
          <w:i w:val="0"/>
          <w:iCs w:val="0"/>
          <w:sz w:val="24"/>
          <w:szCs w:val="24"/>
        </w:rPr>
        <w:t xml:space="preserve">: </w:t>
      </w:r>
      <w:r w:rsidRPr="00D049B0">
        <w:rPr>
          <w:rFonts w:ascii="Times New Roman" w:hAnsi="Times New Roman" w:cs="Times New Roman"/>
          <w:b/>
          <w:bCs/>
          <w:i w:val="0"/>
          <w:iCs w:val="0"/>
          <w:sz w:val="24"/>
          <w:szCs w:val="24"/>
          <w:lang w:val="en-US"/>
        </w:rPr>
        <w:t>Advantages and Disadvantages of Tesla GridHome’s Targeting Strategy</w:t>
      </w:r>
      <w:bookmarkEnd w:id="10"/>
    </w:p>
    <w:tbl>
      <w:tblPr>
        <w:tblStyle w:val="GridTable4-Accent1"/>
        <w:tblW w:w="0" w:type="auto"/>
        <w:tblLook w:val="04A0" w:firstRow="1" w:lastRow="0" w:firstColumn="1" w:lastColumn="0" w:noHBand="0" w:noVBand="1"/>
      </w:tblPr>
      <w:tblGrid>
        <w:gridCol w:w="2264"/>
        <w:gridCol w:w="3868"/>
        <w:gridCol w:w="2884"/>
      </w:tblGrid>
      <w:tr w:rsidR="00D049B0" w:rsidRPr="00D049B0" w:rsidTr="00D049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049B0" w:rsidRPr="00D049B0" w:rsidRDefault="00D049B0" w:rsidP="00D049B0">
            <w:pPr>
              <w:spacing w:after="160" w:line="360" w:lineRule="auto"/>
              <w:jc w:val="both"/>
              <w:rPr>
                <w:rFonts w:ascii="Times New Roman" w:hAnsi="Times New Roman" w:cs="Times New Roman"/>
                <w:sz w:val="24"/>
                <w:szCs w:val="24"/>
                <w:lang w:val="en-US"/>
              </w:rPr>
            </w:pPr>
            <w:r w:rsidRPr="00D049B0">
              <w:rPr>
                <w:rFonts w:ascii="Times New Roman" w:hAnsi="Times New Roman" w:cs="Times New Roman"/>
                <w:sz w:val="24"/>
                <w:szCs w:val="24"/>
                <w:lang w:val="en-US"/>
              </w:rPr>
              <w:t>Aspect</w:t>
            </w:r>
          </w:p>
        </w:tc>
        <w:tc>
          <w:tcPr>
            <w:tcW w:w="0" w:type="auto"/>
            <w:hideMark/>
          </w:tcPr>
          <w:p w:rsidR="00D049B0" w:rsidRPr="00D049B0" w:rsidRDefault="00D049B0" w:rsidP="00D049B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Advantages</w:t>
            </w:r>
          </w:p>
        </w:tc>
        <w:tc>
          <w:tcPr>
            <w:tcW w:w="0" w:type="auto"/>
            <w:hideMark/>
          </w:tcPr>
          <w:p w:rsidR="00D049B0" w:rsidRPr="00D049B0" w:rsidRDefault="00D049B0" w:rsidP="00D049B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Disadvantages</w:t>
            </w:r>
          </w:p>
        </w:tc>
      </w:tr>
      <w:tr w:rsidR="00D049B0" w:rsidRPr="00D049B0" w:rsidTr="00D04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049B0" w:rsidRPr="00D049B0" w:rsidRDefault="00D049B0" w:rsidP="00D049B0">
            <w:pPr>
              <w:spacing w:after="160" w:line="360" w:lineRule="auto"/>
              <w:jc w:val="both"/>
              <w:rPr>
                <w:rFonts w:ascii="Times New Roman" w:hAnsi="Times New Roman" w:cs="Times New Roman"/>
                <w:sz w:val="24"/>
                <w:szCs w:val="24"/>
                <w:lang w:val="en-US"/>
              </w:rPr>
            </w:pPr>
            <w:r w:rsidRPr="00D049B0">
              <w:rPr>
                <w:rFonts w:ascii="Times New Roman" w:hAnsi="Times New Roman" w:cs="Times New Roman"/>
                <w:sz w:val="24"/>
                <w:szCs w:val="24"/>
                <w:lang w:val="en-US"/>
              </w:rPr>
              <w:t>Differentiated Targeting</w:t>
            </w:r>
          </w:p>
        </w:tc>
        <w:tc>
          <w:tcPr>
            <w:tcW w:w="0" w:type="auto"/>
            <w:hideMark/>
          </w:tcPr>
          <w:p w:rsidR="00D049B0" w:rsidRPr="00D049B0" w:rsidRDefault="00D049B0" w:rsidP="00D049B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Enables tailored value propositions for resilience-focused and sustainability-driven homeowners</w:t>
            </w:r>
          </w:p>
        </w:tc>
        <w:tc>
          <w:tcPr>
            <w:tcW w:w="0" w:type="auto"/>
            <w:hideMark/>
          </w:tcPr>
          <w:p w:rsidR="00D049B0" w:rsidRPr="00D049B0" w:rsidRDefault="00D049B0" w:rsidP="00D049B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Requires higher marketing and service coordination effort</w:t>
            </w:r>
          </w:p>
        </w:tc>
      </w:tr>
      <w:tr w:rsidR="00D049B0" w:rsidRPr="00D049B0" w:rsidTr="00D049B0">
        <w:tc>
          <w:tcPr>
            <w:cnfStyle w:val="001000000000" w:firstRow="0" w:lastRow="0" w:firstColumn="1" w:lastColumn="0" w:oddVBand="0" w:evenVBand="0" w:oddHBand="0" w:evenHBand="0" w:firstRowFirstColumn="0" w:firstRowLastColumn="0" w:lastRowFirstColumn="0" w:lastRowLastColumn="0"/>
            <w:tcW w:w="0" w:type="auto"/>
            <w:hideMark/>
          </w:tcPr>
          <w:p w:rsidR="00D049B0" w:rsidRPr="00D049B0" w:rsidRDefault="00D049B0" w:rsidP="00D049B0">
            <w:pPr>
              <w:spacing w:after="160" w:line="360" w:lineRule="auto"/>
              <w:jc w:val="both"/>
              <w:rPr>
                <w:rFonts w:ascii="Times New Roman" w:hAnsi="Times New Roman" w:cs="Times New Roman"/>
                <w:sz w:val="24"/>
                <w:szCs w:val="24"/>
                <w:lang w:val="en-US"/>
              </w:rPr>
            </w:pPr>
            <w:r w:rsidRPr="00D049B0">
              <w:rPr>
                <w:rFonts w:ascii="Times New Roman" w:hAnsi="Times New Roman" w:cs="Times New Roman"/>
                <w:sz w:val="24"/>
                <w:szCs w:val="24"/>
                <w:lang w:val="en-US"/>
              </w:rPr>
              <w:t>Focus on High-Value Homeowners</w:t>
            </w:r>
          </w:p>
        </w:tc>
        <w:tc>
          <w:tcPr>
            <w:tcW w:w="0" w:type="auto"/>
            <w:hideMark/>
          </w:tcPr>
          <w:p w:rsidR="00D049B0" w:rsidRPr="00D049B0" w:rsidRDefault="00D049B0" w:rsidP="00D049B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Higher willingness to pay and stronger lifetime value</w:t>
            </w:r>
          </w:p>
        </w:tc>
        <w:tc>
          <w:tcPr>
            <w:tcW w:w="0" w:type="auto"/>
            <w:hideMark/>
          </w:tcPr>
          <w:p w:rsidR="00D049B0" w:rsidRPr="00D049B0" w:rsidRDefault="00D049B0" w:rsidP="00D049B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Limits short-term mass-market scalability</w:t>
            </w:r>
          </w:p>
        </w:tc>
      </w:tr>
      <w:tr w:rsidR="00D049B0" w:rsidRPr="00D049B0" w:rsidTr="00D04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049B0" w:rsidRPr="00D049B0" w:rsidRDefault="00D049B0" w:rsidP="00D049B0">
            <w:pPr>
              <w:spacing w:after="160" w:line="360" w:lineRule="auto"/>
              <w:jc w:val="both"/>
              <w:rPr>
                <w:rFonts w:ascii="Times New Roman" w:hAnsi="Times New Roman" w:cs="Times New Roman"/>
                <w:sz w:val="24"/>
                <w:szCs w:val="24"/>
                <w:lang w:val="en-US"/>
              </w:rPr>
            </w:pPr>
            <w:r w:rsidRPr="00D049B0">
              <w:rPr>
                <w:rFonts w:ascii="Times New Roman" w:hAnsi="Times New Roman" w:cs="Times New Roman"/>
                <w:sz w:val="24"/>
                <w:szCs w:val="24"/>
                <w:lang w:val="en-US"/>
              </w:rPr>
              <w:t>Dual-Segment Approach</w:t>
            </w:r>
          </w:p>
        </w:tc>
        <w:tc>
          <w:tcPr>
            <w:tcW w:w="0" w:type="auto"/>
            <w:hideMark/>
          </w:tcPr>
          <w:p w:rsidR="00D049B0" w:rsidRPr="00D049B0" w:rsidRDefault="00D049B0" w:rsidP="00D049B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Balances stability (primary) and growth leadership (secondary)</w:t>
            </w:r>
          </w:p>
        </w:tc>
        <w:tc>
          <w:tcPr>
            <w:tcW w:w="0" w:type="auto"/>
            <w:hideMark/>
          </w:tcPr>
          <w:p w:rsidR="00D049B0" w:rsidRPr="00D049B0" w:rsidRDefault="00D049B0" w:rsidP="00D049B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Risk of strategic dilution if segments converge over time</w:t>
            </w:r>
          </w:p>
        </w:tc>
      </w:tr>
      <w:tr w:rsidR="00D049B0" w:rsidRPr="00D049B0" w:rsidTr="00D049B0">
        <w:tc>
          <w:tcPr>
            <w:cnfStyle w:val="001000000000" w:firstRow="0" w:lastRow="0" w:firstColumn="1" w:lastColumn="0" w:oddVBand="0" w:evenVBand="0" w:oddHBand="0" w:evenHBand="0" w:firstRowFirstColumn="0" w:firstRowLastColumn="0" w:lastRowFirstColumn="0" w:lastRowLastColumn="0"/>
            <w:tcW w:w="0" w:type="auto"/>
            <w:hideMark/>
          </w:tcPr>
          <w:p w:rsidR="00D049B0" w:rsidRPr="00D049B0" w:rsidRDefault="00D049B0" w:rsidP="00D049B0">
            <w:pPr>
              <w:spacing w:after="160" w:line="360" w:lineRule="auto"/>
              <w:jc w:val="both"/>
              <w:rPr>
                <w:rFonts w:ascii="Times New Roman" w:hAnsi="Times New Roman" w:cs="Times New Roman"/>
                <w:sz w:val="24"/>
                <w:szCs w:val="24"/>
                <w:lang w:val="en-US"/>
              </w:rPr>
            </w:pPr>
            <w:r w:rsidRPr="00D049B0">
              <w:rPr>
                <w:rFonts w:ascii="Times New Roman" w:hAnsi="Times New Roman" w:cs="Times New Roman"/>
                <w:sz w:val="24"/>
                <w:szCs w:val="24"/>
                <w:lang w:val="en-US"/>
              </w:rPr>
              <w:t>Ecosystem-Based Targeting</w:t>
            </w:r>
          </w:p>
        </w:tc>
        <w:tc>
          <w:tcPr>
            <w:tcW w:w="0" w:type="auto"/>
            <w:hideMark/>
          </w:tcPr>
          <w:p w:rsidR="00D049B0" w:rsidRPr="00D049B0" w:rsidRDefault="00D049B0" w:rsidP="00D049B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Leverages Tesla EV ownership for cross-selling and lock-in</w:t>
            </w:r>
          </w:p>
        </w:tc>
        <w:tc>
          <w:tcPr>
            <w:tcW w:w="0" w:type="auto"/>
            <w:hideMark/>
          </w:tcPr>
          <w:p w:rsidR="00D049B0" w:rsidRPr="00D049B0" w:rsidRDefault="00D049B0" w:rsidP="00D049B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049B0">
              <w:rPr>
                <w:rFonts w:ascii="Times New Roman" w:hAnsi="Times New Roman" w:cs="Times New Roman"/>
                <w:sz w:val="24"/>
                <w:szCs w:val="24"/>
                <w:lang w:val="en-US"/>
              </w:rPr>
              <w:t>Dependence on EV adoption rates in target regions</w:t>
            </w:r>
          </w:p>
        </w:tc>
      </w:tr>
    </w:tbl>
    <w:p w:rsidR="00D049B0" w:rsidRPr="008227F7" w:rsidRDefault="00D049B0" w:rsidP="00625AB6">
      <w:pPr>
        <w:spacing w:line="360" w:lineRule="auto"/>
        <w:jc w:val="both"/>
        <w:rPr>
          <w:rFonts w:ascii="Times New Roman" w:hAnsi="Times New Roman" w:cs="Times New Roman"/>
          <w:sz w:val="24"/>
          <w:szCs w:val="24"/>
          <w:lang w:val="en-US"/>
        </w:rPr>
      </w:pPr>
      <w:r w:rsidRPr="00D049B0">
        <w:rPr>
          <w:rFonts w:ascii="Times New Roman" w:hAnsi="Times New Roman" w:cs="Times New Roman"/>
          <w:b/>
          <w:bCs/>
          <w:sz w:val="24"/>
          <w:szCs w:val="24"/>
          <w:lang w:val="en-US"/>
        </w:rPr>
        <w:t>Source:</w:t>
      </w:r>
      <w:r w:rsidRPr="00D049B0">
        <w:rPr>
          <w:rFonts w:ascii="Times New Roman" w:hAnsi="Times New Roman" w:cs="Times New Roman"/>
          <w:sz w:val="24"/>
          <w:szCs w:val="24"/>
          <w:lang w:val="en-US"/>
        </w:rPr>
        <w:t xml:space="preserve"> Author’s analysis informed by Kotler et al. (2024); Market.us (2023).</w:t>
      </w:r>
    </w:p>
    <w:p w:rsidR="008227F7" w:rsidRPr="008227F7" w:rsidRDefault="008227F7" w:rsidP="00625AB6">
      <w:pPr>
        <w:pStyle w:val="Heading2"/>
        <w:jc w:val="both"/>
        <w:rPr>
          <w:lang w:val="en-US"/>
        </w:rPr>
      </w:pPr>
      <w:bookmarkStart w:id="11" w:name="_Toc216541549"/>
      <w:r w:rsidRPr="008227F7">
        <w:rPr>
          <w:lang w:val="en-US"/>
        </w:rPr>
        <w:t>1.4 Differentiation</w:t>
      </w:r>
      <w:bookmarkEnd w:id="11"/>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1.4.1 Differentiation from Tesla’s Existing Powerwall</w:t>
      </w:r>
    </w:p>
    <w:p w:rsidR="00DD1EB0" w:rsidRPr="00DD1EB0" w:rsidRDefault="002F04C4" w:rsidP="00625AB6">
      <w:pPr>
        <w:spacing w:line="360" w:lineRule="auto"/>
        <w:jc w:val="both"/>
        <w:rPr>
          <w:rFonts w:ascii="Times New Roman" w:hAnsi="Times New Roman" w:cs="Times New Roman"/>
          <w:sz w:val="24"/>
          <w:szCs w:val="24"/>
          <w:lang w:val="en-US"/>
        </w:rPr>
      </w:pPr>
      <w:r w:rsidRPr="002F04C4">
        <w:rPr>
          <w:rFonts w:ascii="Times New Roman" w:hAnsi="Times New Roman" w:cs="Times New Roman"/>
          <w:sz w:val="24"/>
          <w:szCs w:val="24"/>
        </w:rPr>
        <w:t>Although Powerwall is battery-stored and has solar integration, it is essentially a hardware-based company. GridHome proposes an ongoing management service, assisted by predictive analytics, automated optimisation and full maintenance.</w:t>
      </w:r>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1.4.2 Differentiation from Competitors (Octopus, Hive, Sonnen)</w:t>
      </w:r>
    </w:p>
    <w:p w:rsidR="00DD1EB0" w:rsidRPr="00DD1EB0" w:rsidRDefault="002F04C4" w:rsidP="00625AB6">
      <w:pPr>
        <w:spacing w:line="360" w:lineRule="auto"/>
        <w:jc w:val="both"/>
        <w:rPr>
          <w:rFonts w:ascii="Times New Roman" w:hAnsi="Times New Roman" w:cs="Times New Roman"/>
          <w:sz w:val="24"/>
          <w:szCs w:val="24"/>
          <w:lang w:val="en-US"/>
        </w:rPr>
      </w:pPr>
      <w:r w:rsidRPr="002F04C4">
        <w:rPr>
          <w:rFonts w:ascii="Times New Roman" w:hAnsi="Times New Roman" w:cs="Times New Roman"/>
          <w:sz w:val="24"/>
          <w:szCs w:val="24"/>
          <w:lang w:val="en-US"/>
        </w:rPr>
        <w:lastRenderedPageBreak/>
        <w:t xml:space="preserve">The competitors provide disintegrated or semi-integrated solutions. </w:t>
      </w:r>
      <w:r w:rsidR="00590498" w:rsidRPr="00590498">
        <w:rPr>
          <w:rFonts w:ascii="Times New Roman" w:hAnsi="Times New Roman" w:cs="Times New Roman"/>
          <w:sz w:val="24"/>
          <w:szCs w:val="24"/>
          <w:lang w:val="en-US"/>
        </w:rPr>
        <w:t xml:space="preserve">Examples of utilities include utilities that offer tariffs and entry-level smart-metre services but do not optimise </w:t>
      </w:r>
      <w:r w:rsidR="00590498">
        <w:rPr>
          <w:rFonts w:ascii="Times New Roman" w:hAnsi="Times New Roman" w:cs="Times New Roman"/>
          <w:sz w:val="24"/>
          <w:szCs w:val="24"/>
          <w:lang w:val="en-US"/>
        </w:rPr>
        <w:t>multiple devices</w:t>
      </w:r>
      <w:r w:rsidRPr="002F04C4">
        <w:rPr>
          <w:rFonts w:ascii="Times New Roman" w:hAnsi="Times New Roman" w:cs="Times New Roman"/>
          <w:sz w:val="24"/>
          <w:szCs w:val="24"/>
          <w:lang w:val="en-US"/>
        </w:rPr>
        <w:t>. Smart-home brands have automation</w:t>
      </w:r>
      <w:r>
        <w:rPr>
          <w:rFonts w:ascii="Times New Roman" w:hAnsi="Times New Roman" w:cs="Times New Roman"/>
          <w:sz w:val="24"/>
          <w:szCs w:val="24"/>
          <w:lang w:val="en-US"/>
        </w:rPr>
        <w:t>,</w:t>
      </w:r>
      <w:r w:rsidRPr="002F04C4">
        <w:rPr>
          <w:rFonts w:ascii="Times New Roman" w:hAnsi="Times New Roman" w:cs="Times New Roman"/>
          <w:sz w:val="24"/>
          <w:szCs w:val="24"/>
          <w:lang w:val="en-US"/>
        </w:rPr>
        <w:t xml:space="preserve"> but do not have high battery power </w:t>
      </w:r>
      <w:r>
        <w:rPr>
          <w:rFonts w:ascii="Times New Roman" w:hAnsi="Times New Roman" w:cs="Times New Roman"/>
          <w:sz w:val="24"/>
          <w:szCs w:val="24"/>
          <w:lang w:val="en-US"/>
        </w:rPr>
        <w:t>or</w:t>
      </w:r>
      <w:r w:rsidRPr="002F04C4">
        <w:rPr>
          <w:rFonts w:ascii="Times New Roman" w:hAnsi="Times New Roman" w:cs="Times New Roman"/>
          <w:sz w:val="24"/>
          <w:szCs w:val="24"/>
          <w:lang w:val="en-US"/>
        </w:rPr>
        <w:t xml:space="preserve"> grid interaction. Sonnen and other rivals </w:t>
      </w:r>
      <w:r>
        <w:rPr>
          <w:rFonts w:ascii="Times New Roman" w:hAnsi="Times New Roman" w:cs="Times New Roman"/>
          <w:sz w:val="24"/>
          <w:szCs w:val="24"/>
          <w:lang w:val="en-US"/>
        </w:rPr>
        <w:t>in</w:t>
      </w:r>
      <w:r w:rsidRPr="002F04C4">
        <w:rPr>
          <w:rFonts w:ascii="Times New Roman" w:hAnsi="Times New Roman" w:cs="Times New Roman"/>
          <w:sz w:val="24"/>
          <w:szCs w:val="24"/>
          <w:lang w:val="en-US"/>
        </w:rPr>
        <w:t xml:space="preserve"> storage offer hardware without full-service optimisation. The only difference that lies in the proposal of GridHome is the conne</w:t>
      </w:r>
      <w:r>
        <w:rPr>
          <w:rFonts w:ascii="Times New Roman" w:hAnsi="Times New Roman" w:cs="Times New Roman"/>
          <w:sz w:val="24"/>
          <w:szCs w:val="24"/>
          <w:lang w:val="en-US"/>
        </w:rPr>
        <w:t>ct</w:t>
      </w:r>
      <w:r w:rsidRPr="002F04C4">
        <w:rPr>
          <w:rFonts w:ascii="Times New Roman" w:hAnsi="Times New Roman" w:cs="Times New Roman"/>
          <w:sz w:val="24"/>
          <w:szCs w:val="24"/>
          <w:lang w:val="en-US"/>
        </w:rPr>
        <w:t>ion into the ecosystem, which will unite solar, storage, EV optimisation and grid intelligence- this will minimise consumer friction and maximise system efficiencies</w:t>
      </w:r>
      <w:r w:rsidR="00DD1EB0" w:rsidRPr="00DD1EB0">
        <w:rPr>
          <w:rFonts w:ascii="Times New Roman" w:hAnsi="Times New Roman" w:cs="Times New Roman"/>
          <w:sz w:val="24"/>
          <w:szCs w:val="24"/>
          <w:lang w:val="en-US"/>
        </w:rPr>
        <w:t>.</w:t>
      </w:r>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1.4.3 Key Differentiators</w:t>
      </w:r>
    </w:p>
    <w:p w:rsidR="00DD1EB0" w:rsidRPr="00DD1EB0" w:rsidRDefault="00590498" w:rsidP="00625AB6">
      <w:pPr>
        <w:spacing w:line="360" w:lineRule="auto"/>
        <w:jc w:val="both"/>
        <w:rPr>
          <w:rFonts w:ascii="Times New Roman" w:hAnsi="Times New Roman" w:cs="Times New Roman"/>
          <w:sz w:val="24"/>
          <w:szCs w:val="24"/>
          <w:lang w:val="en-US"/>
        </w:rPr>
      </w:pPr>
      <w:r w:rsidRPr="00590498">
        <w:rPr>
          <w:rFonts w:ascii="Times New Roman" w:hAnsi="Times New Roman" w:cs="Times New Roman"/>
          <w:sz w:val="24"/>
          <w:szCs w:val="24"/>
          <w:lang w:val="en-US"/>
        </w:rPr>
        <w:t>The differentiation of GridHome is based on four pillars</w:t>
      </w:r>
      <w:r w:rsidR="00DD1EB0" w:rsidRPr="00DD1EB0">
        <w:rPr>
          <w:rFonts w:ascii="Times New Roman" w:hAnsi="Times New Roman" w:cs="Times New Roman"/>
          <w:sz w:val="24"/>
          <w:szCs w:val="24"/>
          <w:lang w:val="en-US"/>
        </w:rPr>
        <w:t>:</w:t>
      </w:r>
    </w:p>
    <w:p w:rsidR="00DD1EB0" w:rsidRPr="00DD1EB0" w:rsidRDefault="00590498" w:rsidP="00625AB6">
      <w:pPr>
        <w:numPr>
          <w:ilvl w:val="0"/>
          <w:numId w:val="16"/>
        </w:numPr>
        <w:spacing w:line="360" w:lineRule="auto"/>
        <w:rPr>
          <w:rFonts w:ascii="Times New Roman" w:hAnsi="Times New Roman" w:cs="Times New Roman"/>
          <w:sz w:val="24"/>
          <w:szCs w:val="24"/>
          <w:lang w:val="en-US"/>
        </w:rPr>
      </w:pPr>
      <w:r w:rsidRPr="00590498">
        <w:rPr>
          <w:rFonts w:ascii="Times New Roman" w:hAnsi="Times New Roman" w:cs="Times New Roman"/>
          <w:sz w:val="24"/>
          <w:szCs w:val="24"/>
          <w:lang w:val="en-US"/>
        </w:rPr>
        <w:t>Tesla ecosystem integration to ensure an integration of EVs, solar production and storage systems</w:t>
      </w:r>
      <w:r w:rsidR="00DD1EB0" w:rsidRPr="00DD1EB0">
        <w:rPr>
          <w:rFonts w:ascii="Times New Roman" w:hAnsi="Times New Roman" w:cs="Times New Roman"/>
          <w:sz w:val="24"/>
          <w:szCs w:val="24"/>
          <w:lang w:val="en-US"/>
        </w:rPr>
        <w:t>.</w:t>
      </w:r>
    </w:p>
    <w:p w:rsidR="00590498" w:rsidRPr="00590498" w:rsidRDefault="00DD1EB0" w:rsidP="00625AB6">
      <w:pPr>
        <w:numPr>
          <w:ilvl w:val="0"/>
          <w:numId w:val="16"/>
        </w:numPr>
        <w:spacing w:line="360" w:lineRule="auto"/>
        <w:rPr>
          <w:rFonts w:ascii="Times New Roman" w:hAnsi="Times New Roman" w:cs="Times New Roman"/>
          <w:sz w:val="24"/>
          <w:szCs w:val="24"/>
          <w:lang w:val="en-US"/>
        </w:rPr>
      </w:pPr>
      <w:r w:rsidRPr="00DD1EB0">
        <w:rPr>
          <w:rFonts w:ascii="Times New Roman" w:hAnsi="Times New Roman" w:cs="Times New Roman"/>
          <w:sz w:val="24"/>
          <w:szCs w:val="24"/>
          <w:lang w:val="en-US"/>
        </w:rPr>
        <w:t xml:space="preserve">AI-driven energy arbitrage, </w:t>
      </w:r>
      <w:r w:rsidR="00590498">
        <w:rPr>
          <w:rFonts w:ascii="Times New Roman" w:hAnsi="Times New Roman" w:cs="Times New Roman"/>
          <w:sz w:val="24"/>
          <w:szCs w:val="24"/>
          <w:lang w:val="en-US"/>
        </w:rPr>
        <w:t xml:space="preserve">a </w:t>
      </w:r>
      <w:r w:rsidR="00590498" w:rsidRPr="00590498">
        <w:rPr>
          <w:rFonts w:ascii="Times New Roman" w:hAnsi="Times New Roman" w:cs="Times New Roman"/>
          <w:sz w:val="24"/>
          <w:szCs w:val="24"/>
          <w:lang w:val="en-US"/>
        </w:rPr>
        <w:t>type of arbitrage</w:t>
      </w:r>
      <w:r w:rsidR="00590498">
        <w:rPr>
          <w:rFonts w:ascii="Times New Roman" w:hAnsi="Times New Roman" w:cs="Times New Roman"/>
          <w:sz w:val="24"/>
          <w:szCs w:val="24"/>
          <w:lang w:val="en-US"/>
        </w:rPr>
        <w:t>,</w:t>
      </w:r>
      <w:r w:rsidR="00590498" w:rsidRPr="00590498">
        <w:rPr>
          <w:rFonts w:ascii="Times New Roman" w:hAnsi="Times New Roman" w:cs="Times New Roman"/>
          <w:sz w:val="24"/>
          <w:szCs w:val="24"/>
          <w:lang w:val="en-US"/>
        </w:rPr>
        <w:t xml:space="preserve"> affects power usage by using AI to automatically switch power consumption or sale using real-time price research.</w:t>
      </w:r>
    </w:p>
    <w:p w:rsidR="00590498" w:rsidRPr="00590498" w:rsidRDefault="00590498" w:rsidP="00625AB6">
      <w:pPr>
        <w:numPr>
          <w:ilvl w:val="0"/>
          <w:numId w:val="16"/>
        </w:numPr>
        <w:spacing w:line="360" w:lineRule="auto"/>
        <w:rPr>
          <w:rFonts w:ascii="Times New Roman" w:hAnsi="Times New Roman" w:cs="Times New Roman"/>
          <w:sz w:val="24"/>
          <w:szCs w:val="24"/>
          <w:lang w:val="en-US"/>
        </w:rPr>
      </w:pPr>
      <w:r w:rsidRPr="00590498">
        <w:rPr>
          <w:rFonts w:ascii="Times New Roman" w:hAnsi="Times New Roman" w:cs="Times New Roman"/>
          <w:sz w:val="24"/>
          <w:szCs w:val="24"/>
          <w:lang w:val="en-US"/>
        </w:rPr>
        <w:t>Predictive outage protection, which provides the resilience improvement based on real-time data.</w:t>
      </w:r>
    </w:p>
    <w:p w:rsidR="008227F7" w:rsidRPr="008227F7" w:rsidRDefault="00590498" w:rsidP="00625AB6">
      <w:pPr>
        <w:numPr>
          <w:ilvl w:val="0"/>
          <w:numId w:val="16"/>
        </w:numPr>
        <w:tabs>
          <w:tab w:val="clear" w:pos="3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Subscription-based</w:t>
      </w:r>
      <w:r w:rsidRPr="00590498">
        <w:rPr>
          <w:rFonts w:ascii="Times New Roman" w:hAnsi="Times New Roman" w:cs="Times New Roman"/>
          <w:sz w:val="24"/>
          <w:szCs w:val="24"/>
          <w:lang w:val="en-US"/>
        </w:rPr>
        <w:t xml:space="preserve"> model, where installation, optimisation, software updates and maintenance are included in one </w:t>
      </w:r>
      <w:r>
        <w:rPr>
          <w:rFonts w:ascii="Times New Roman" w:hAnsi="Times New Roman" w:cs="Times New Roman"/>
          <w:sz w:val="24"/>
          <w:szCs w:val="24"/>
          <w:lang w:val="en-US"/>
        </w:rPr>
        <w:t>offerscape</w:t>
      </w:r>
      <w:r w:rsidRPr="00590498">
        <w:rPr>
          <w:rFonts w:ascii="Times New Roman" w:hAnsi="Times New Roman" w:cs="Times New Roman"/>
          <w:sz w:val="24"/>
          <w:szCs w:val="24"/>
          <w:lang w:val="en-US"/>
        </w:rPr>
        <w:t>.</w:t>
      </w:r>
    </w:p>
    <w:p w:rsidR="008227F7" w:rsidRPr="008227F7" w:rsidRDefault="008227F7" w:rsidP="00625AB6">
      <w:pPr>
        <w:pStyle w:val="Heading2"/>
        <w:jc w:val="both"/>
        <w:rPr>
          <w:lang w:val="en-US"/>
        </w:rPr>
      </w:pPr>
      <w:bookmarkStart w:id="12" w:name="_Toc216541550"/>
      <w:r w:rsidRPr="008227F7">
        <w:rPr>
          <w:lang w:val="en-US"/>
        </w:rPr>
        <w:t>1.5 Positioning</w:t>
      </w:r>
      <w:bookmarkEnd w:id="12"/>
    </w:p>
    <w:p w:rsidR="00DD1EB0" w:rsidRPr="00DD1EB0" w:rsidRDefault="00590498" w:rsidP="00625AB6">
      <w:pPr>
        <w:spacing w:line="360" w:lineRule="auto"/>
        <w:jc w:val="both"/>
        <w:rPr>
          <w:rFonts w:ascii="Times New Roman" w:hAnsi="Times New Roman" w:cs="Times New Roman"/>
          <w:sz w:val="24"/>
          <w:szCs w:val="24"/>
          <w:lang w:val="en-US"/>
        </w:rPr>
      </w:pPr>
      <w:r w:rsidRPr="00590498">
        <w:rPr>
          <w:rFonts w:ascii="Times New Roman" w:hAnsi="Times New Roman" w:cs="Times New Roman"/>
          <w:sz w:val="24"/>
          <w:szCs w:val="24"/>
          <w:lang w:val="en-US"/>
        </w:rPr>
        <w:t>GridHome is marketed as a high-end, whole-home-energy ecosystem, which gives consumers interoperability, predictable costs and automatic optimisation. It is at the crossroads of high integration and high value, which makes it different to disjointed smart-home offers and hardware-only solutions</w:t>
      </w:r>
      <w:r w:rsidR="00DD1EB0" w:rsidRPr="00DD1EB0">
        <w:rPr>
          <w:rFonts w:ascii="Times New Roman" w:hAnsi="Times New Roman" w:cs="Times New Roman"/>
          <w:sz w:val="24"/>
          <w:szCs w:val="24"/>
          <w:lang w:val="en-US"/>
        </w:rPr>
        <w:t>.</w:t>
      </w:r>
    </w:p>
    <w:p w:rsidR="00DD1EB0" w:rsidRPr="00DD1EB0" w:rsidRDefault="00DD1EB0" w:rsidP="00625AB6">
      <w:pPr>
        <w:spacing w:line="360" w:lineRule="auto"/>
        <w:jc w:val="both"/>
        <w:rPr>
          <w:rFonts w:ascii="Times New Roman" w:hAnsi="Times New Roman" w:cs="Times New Roman"/>
          <w:b/>
          <w:bCs/>
          <w:sz w:val="24"/>
          <w:szCs w:val="24"/>
          <w:lang w:val="en-US"/>
        </w:rPr>
      </w:pPr>
      <w:r w:rsidRPr="00DD1EB0">
        <w:rPr>
          <w:rFonts w:ascii="Times New Roman" w:hAnsi="Times New Roman" w:cs="Times New Roman"/>
          <w:b/>
          <w:bCs/>
          <w:sz w:val="24"/>
          <w:szCs w:val="24"/>
          <w:lang w:val="en-US"/>
        </w:rPr>
        <w:t>Positioning Statement</w:t>
      </w:r>
    </w:p>
    <w:p w:rsidR="00DD1EB0" w:rsidRPr="00DD1EB0" w:rsidRDefault="00590498" w:rsidP="00625AB6">
      <w:pPr>
        <w:spacing w:line="360" w:lineRule="auto"/>
        <w:jc w:val="both"/>
        <w:rPr>
          <w:rFonts w:ascii="Times New Roman" w:hAnsi="Times New Roman" w:cs="Times New Roman"/>
          <w:sz w:val="24"/>
          <w:szCs w:val="24"/>
          <w:lang w:val="en-US"/>
        </w:rPr>
      </w:pPr>
      <w:r w:rsidRPr="00590498">
        <w:rPr>
          <w:rFonts w:ascii="Times New Roman" w:hAnsi="Times New Roman" w:cs="Times New Roman"/>
          <w:i/>
          <w:iCs/>
          <w:sz w:val="24"/>
          <w:szCs w:val="24"/>
          <w:lang w:val="en-US"/>
        </w:rPr>
        <w:t>Tesla GridHome is the only all-encompassing ecosystem where solar storage, EV optimisation and AI-driven energy management are brought together on a single platform, designed to earn the trust of homeowners who want to gain energy independence and exercise intelligent control of their homes</w:t>
      </w:r>
      <w:r w:rsidR="00DD1EB0" w:rsidRPr="00DD1EB0">
        <w:rPr>
          <w:rFonts w:ascii="Times New Roman" w:hAnsi="Times New Roman" w:cs="Times New Roman"/>
          <w:i/>
          <w:iCs/>
          <w:sz w:val="24"/>
          <w:szCs w:val="24"/>
          <w:lang w:val="en-US"/>
        </w:rPr>
        <w:t>.</w:t>
      </w:r>
    </w:p>
    <w:p w:rsidR="00590498" w:rsidRDefault="005220DF" w:rsidP="00625AB6">
      <w:pPr>
        <w:keepNext/>
        <w:spacing w:line="360" w:lineRule="auto"/>
        <w:jc w:val="center"/>
      </w:pPr>
      <w:r w:rsidRPr="006573FC">
        <w:rPr>
          <w:rFonts w:ascii="Times New Roman" w:hAnsi="Times New Roman" w:cs="Times New Roman"/>
          <w:noProof/>
          <w:sz w:val="24"/>
          <w:szCs w:val="24"/>
          <w:lang w:val="en-US"/>
        </w:rPr>
        <w:lastRenderedPageBreak/>
        <w:drawing>
          <wp:inline distT="0" distB="0" distL="0" distR="0">
            <wp:extent cx="4696020" cy="3488902"/>
            <wp:effectExtent l="0" t="0" r="0" b="0"/>
            <wp:docPr id="13256701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70107" name="Picture 132567010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03379" cy="3494369"/>
                    </a:xfrm>
                    <a:prstGeom prst="rect">
                      <a:avLst/>
                    </a:prstGeom>
                  </pic:spPr>
                </pic:pic>
              </a:graphicData>
            </a:graphic>
          </wp:inline>
        </w:drawing>
      </w:r>
    </w:p>
    <w:p w:rsidR="00F80D01" w:rsidRPr="00DD1EB0" w:rsidRDefault="00590498" w:rsidP="00625AB6">
      <w:pPr>
        <w:pStyle w:val="Caption"/>
        <w:jc w:val="both"/>
        <w:rPr>
          <w:rFonts w:ascii="Times New Roman" w:hAnsi="Times New Roman" w:cs="Times New Roman"/>
          <w:b/>
          <w:bCs/>
          <w:sz w:val="28"/>
          <w:szCs w:val="28"/>
          <w:lang w:val="en-US"/>
        </w:rPr>
      </w:pPr>
      <w:bookmarkStart w:id="13" w:name="_Toc216216789"/>
      <w:r w:rsidRPr="00590498">
        <w:rPr>
          <w:b/>
          <w:bCs/>
          <w:sz w:val="20"/>
          <w:szCs w:val="20"/>
        </w:rPr>
        <w:t xml:space="preserve">Figure </w:t>
      </w:r>
      <w:r w:rsidRPr="00590498">
        <w:rPr>
          <w:b/>
          <w:bCs/>
          <w:sz w:val="20"/>
          <w:szCs w:val="20"/>
        </w:rPr>
        <w:fldChar w:fldCharType="begin"/>
      </w:r>
      <w:r w:rsidRPr="00590498">
        <w:rPr>
          <w:b/>
          <w:bCs/>
          <w:sz w:val="20"/>
          <w:szCs w:val="20"/>
        </w:rPr>
        <w:instrText xml:space="preserve"> SEQ Figure \* ARABIC </w:instrText>
      </w:r>
      <w:r w:rsidRPr="00590498">
        <w:rPr>
          <w:b/>
          <w:bCs/>
          <w:sz w:val="20"/>
          <w:szCs w:val="20"/>
        </w:rPr>
        <w:fldChar w:fldCharType="separate"/>
      </w:r>
      <w:r w:rsidR="00625AB6">
        <w:rPr>
          <w:b/>
          <w:bCs/>
          <w:noProof/>
          <w:sz w:val="20"/>
          <w:szCs w:val="20"/>
        </w:rPr>
        <w:t>6</w:t>
      </w:r>
      <w:r w:rsidRPr="00590498">
        <w:rPr>
          <w:b/>
          <w:bCs/>
          <w:sz w:val="20"/>
          <w:szCs w:val="20"/>
        </w:rPr>
        <w:fldChar w:fldCharType="end"/>
      </w:r>
      <w:r w:rsidRPr="00590498">
        <w:rPr>
          <w:b/>
          <w:bCs/>
          <w:sz w:val="20"/>
          <w:szCs w:val="20"/>
        </w:rPr>
        <w:t>: Figure Placeholder 3: Positioning Map – Integration Level vs. Cost Efficiency, (Source: Author’s own).</w:t>
      </w:r>
      <w:bookmarkEnd w:id="13"/>
    </w:p>
    <w:p w:rsidR="008227F7" w:rsidRPr="008227F7" w:rsidRDefault="008227F7" w:rsidP="00625AB6">
      <w:pPr>
        <w:pStyle w:val="Heading1"/>
        <w:jc w:val="both"/>
        <w:rPr>
          <w:lang w:val="en-US"/>
        </w:rPr>
      </w:pPr>
      <w:bookmarkStart w:id="14" w:name="_Toc216541551"/>
      <w:r w:rsidRPr="008227F7">
        <w:rPr>
          <w:lang w:val="en-US"/>
        </w:rPr>
        <w:t xml:space="preserve">ELEMENT 2: MARKETING MIX </w:t>
      </w:r>
      <w:r w:rsidR="00DD1EB0" w:rsidRPr="006573FC">
        <w:rPr>
          <w:lang w:val="en-US"/>
        </w:rPr>
        <w:t>-</w:t>
      </w:r>
      <w:r w:rsidRPr="008227F7">
        <w:rPr>
          <w:lang w:val="en-US"/>
        </w:rPr>
        <w:t xml:space="preserve"> 7Ps</w:t>
      </w:r>
      <w:bookmarkEnd w:id="14"/>
    </w:p>
    <w:p w:rsidR="00022AD4" w:rsidRPr="00022AD4" w:rsidRDefault="00022AD4" w:rsidP="00625AB6">
      <w:pPr>
        <w:pStyle w:val="Heading2"/>
        <w:jc w:val="both"/>
        <w:rPr>
          <w:lang w:val="en-US"/>
        </w:rPr>
      </w:pPr>
      <w:bookmarkStart w:id="15" w:name="_Toc216541552"/>
      <w:r w:rsidRPr="00022AD4">
        <w:rPr>
          <w:lang w:val="en-US"/>
        </w:rPr>
        <w:t>2.1 Product</w:t>
      </w:r>
      <w:bookmarkEnd w:id="15"/>
    </w:p>
    <w:p w:rsidR="00CF1DD6" w:rsidRPr="00CF1DD6" w:rsidRDefault="00CF1DD6" w:rsidP="00625AB6">
      <w:pPr>
        <w:spacing w:line="360" w:lineRule="auto"/>
        <w:jc w:val="both"/>
        <w:rPr>
          <w:rFonts w:ascii="Times New Roman" w:hAnsi="Times New Roman" w:cs="Times New Roman"/>
          <w:sz w:val="24"/>
          <w:szCs w:val="24"/>
          <w:lang w:val="en-US"/>
        </w:rPr>
      </w:pPr>
      <w:r w:rsidRPr="00CF1DD6">
        <w:rPr>
          <w:rFonts w:ascii="Times New Roman" w:hAnsi="Times New Roman" w:cs="Times New Roman"/>
          <w:sz w:val="24"/>
          <w:szCs w:val="24"/>
          <w:lang w:val="en-US"/>
        </w:rPr>
        <w:t>Tesla GridHome is intended as a combined service offering, in which the central offering is a subscription service of intelligent home-energy management, including automated load balancing, EV charging optimisation and real-time resilience support.</w:t>
      </w:r>
    </w:p>
    <w:p w:rsidR="00CF1DD6" w:rsidRPr="00CF1DD6" w:rsidRDefault="00CF1DD6" w:rsidP="00625AB6">
      <w:pPr>
        <w:spacing w:line="360" w:lineRule="auto"/>
        <w:jc w:val="both"/>
        <w:rPr>
          <w:rFonts w:ascii="Times New Roman" w:hAnsi="Times New Roman" w:cs="Times New Roman"/>
          <w:sz w:val="24"/>
          <w:szCs w:val="24"/>
          <w:lang w:val="en-US"/>
        </w:rPr>
      </w:pPr>
      <w:r w:rsidRPr="00CF1DD6">
        <w:rPr>
          <w:rFonts w:ascii="Times New Roman" w:hAnsi="Times New Roman" w:cs="Times New Roman"/>
          <w:sz w:val="24"/>
          <w:szCs w:val="24"/>
          <w:lang w:val="en-US"/>
        </w:rPr>
        <w:t xml:space="preserve">The </w:t>
      </w:r>
      <w:r w:rsidRPr="00CF1DD6">
        <w:rPr>
          <w:rFonts w:ascii="Times New Roman" w:hAnsi="Times New Roman" w:cs="Times New Roman"/>
          <w:b/>
          <w:bCs/>
          <w:sz w:val="24"/>
          <w:szCs w:val="24"/>
          <w:lang w:val="en-US"/>
        </w:rPr>
        <w:t>actual product</w:t>
      </w:r>
      <w:r w:rsidRPr="00CF1DD6">
        <w:rPr>
          <w:rFonts w:ascii="Times New Roman" w:hAnsi="Times New Roman" w:cs="Times New Roman"/>
          <w:sz w:val="24"/>
          <w:szCs w:val="24"/>
          <w:lang w:val="en-US"/>
        </w:rPr>
        <w:t xml:space="preserve"> will consist of the Powerwall 3 battery and compatible inverter, the smart-metre and integration and </w:t>
      </w:r>
      <w:r>
        <w:rPr>
          <w:rFonts w:ascii="Times New Roman" w:hAnsi="Times New Roman" w:cs="Times New Roman"/>
          <w:sz w:val="24"/>
          <w:szCs w:val="24"/>
          <w:lang w:val="en-US"/>
        </w:rPr>
        <w:t>connection</w:t>
      </w:r>
      <w:r w:rsidRPr="00CF1DD6">
        <w:rPr>
          <w:rFonts w:ascii="Times New Roman" w:hAnsi="Times New Roman" w:cs="Times New Roman"/>
          <w:sz w:val="24"/>
          <w:szCs w:val="24"/>
          <w:lang w:val="en-US"/>
        </w:rPr>
        <w:t xml:space="preserve"> to the gateway to enable uninterrupted integration of solar generation, home storage and EV charging. The further development of residential storage by Tesla, as can be evidenced by the latest deployments of the multi-gigawatt-hour (Tesla, 2024), implies a high level of technological capacity to facilitate the Hurricane Home.</w:t>
      </w:r>
    </w:p>
    <w:p w:rsidR="00022AD4" w:rsidRPr="00022AD4" w:rsidRDefault="00CF1DD6" w:rsidP="00625AB6">
      <w:pPr>
        <w:spacing w:line="360" w:lineRule="auto"/>
        <w:jc w:val="both"/>
        <w:rPr>
          <w:rFonts w:ascii="Times New Roman" w:hAnsi="Times New Roman" w:cs="Times New Roman"/>
          <w:sz w:val="24"/>
          <w:szCs w:val="24"/>
          <w:lang w:val="en-US"/>
        </w:rPr>
      </w:pPr>
      <w:r w:rsidRPr="00CF1DD6">
        <w:rPr>
          <w:rFonts w:ascii="Times New Roman" w:hAnsi="Times New Roman" w:cs="Times New Roman"/>
          <w:sz w:val="24"/>
          <w:szCs w:val="24"/>
          <w:lang w:val="en-US"/>
        </w:rPr>
        <w:t xml:space="preserve">The </w:t>
      </w:r>
      <w:r w:rsidRPr="00CF1DD6">
        <w:rPr>
          <w:rFonts w:ascii="Times New Roman" w:hAnsi="Times New Roman" w:cs="Times New Roman"/>
          <w:b/>
          <w:bCs/>
          <w:sz w:val="24"/>
          <w:szCs w:val="24"/>
          <w:lang w:val="en-US"/>
        </w:rPr>
        <w:t>augmented product</w:t>
      </w:r>
      <w:r w:rsidRPr="00CF1DD6">
        <w:rPr>
          <w:rFonts w:ascii="Times New Roman" w:hAnsi="Times New Roman" w:cs="Times New Roman"/>
          <w:sz w:val="24"/>
          <w:szCs w:val="24"/>
          <w:lang w:val="en-US"/>
        </w:rPr>
        <w:t xml:space="preserve"> further distinguishes the product with 24/7 tracking, predictive reporting, preventive upkeep and optional insurance contacts in case of unavailability. Improvement of app functionality</w:t>
      </w:r>
      <w:r>
        <w:rPr>
          <w:rFonts w:ascii="Times New Roman" w:hAnsi="Times New Roman" w:cs="Times New Roman"/>
          <w:sz w:val="24"/>
          <w:szCs w:val="24"/>
          <w:lang w:val="en-US"/>
        </w:rPr>
        <w:t>,</w:t>
      </w:r>
      <w:r w:rsidRPr="00CF1DD6">
        <w:rPr>
          <w:rFonts w:ascii="Times New Roman" w:hAnsi="Times New Roman" w:cs="Times New Roman"/>
          <w:sz w:val="24"/>
          <w:szCs w:val="24"/>
          <w:lang w:val="en-US"/>
        </w:rPr>
        <w:t xml:space="preserve"> such as AI-generated reporting and customised optimisation insights</w:t>
      </w:r>
      <w:r>
        <w:rPr>
          <w:rFonts w:ascii="Times New Roman" w:hAnsi="Times New Roman" w:cs="Times New Roman"/>
          <w:sz w:val="24"/>
          <w:szCs w:val="24"/>
          <w:lang w:val="en-US"/>
        </w:rPr>
        <w:t>,</w:t>
      </w:r>
      <w:r w:rsidRPr="00CF1DD6">
        <w:rPr>
          <w:rFonts w:ascii="Times New Roman" w:hAnsi="Times New Roman" w:cs="Times New Roman"/>
          <w:sz w:val="24"/>
          <w:szCs w:val="24"/>
          <w:lang w:val="en-US"/>
        </w:rPr>
        <w:t xml:space="preserve"> complements perceived value. This service orientation concurs with the Service-Dominant Logic</w:t>
      </w:r>
      <w:r>
        <w:rPr>
          <w:rFonts w:ascii="Times New Roman" w:hAnsi="Times New Roman" w:cs="Times New Roman"/>
          <w:sz w:val="24"/>
          <w:szCs w:val="24"/>
          <w:lang w:val="en-US"/>
        </w:rPr>
        <w:t>,</w:t>
      </w:r>
      <w:r w:rsidRPr="00CF1DD6">
        <w:rPr>
          <w:rFonts w:ascii="Times New Roman" w:hAnsi="Times New Roman" w:cs="Times New Roman"/>
          <w:sz w:val="24"/>
          <w:szCs w:val="24"/>
          <w:lang w:val="en-US"/>
        </w:rPr>
        <w:t xml:space="preserve"> focusing on continual interactions and co-created value as the key sources of </w:t>
      </w:r>
      <w:r w:rsidRPr="00CF1DD6">
        <w:rPr>
          <w:rFonts w:ascii="Times New Roman" w:hAnsi="Times New Roman" w:cs="Times New Roman"/>
          <w:sz w:val="24"/>
          <w:szCs w:val="24"/>
          <w:lang w:val="en-US"/>
        </w:rPr>
        <w:lastRenderedPageBreak/>
        <w:t xml:space="preserve">competitive advantage (Vargo and E. Lusch, 2004). There should always be independent testing of performance as consumers become more and more suspicious of energy technologies (Grand View Research, 2024). The integration of quantitative KPIs like self-consumption rates or peak-load shifting will align the service to the energy management </w:t>
      </w:r>
      <w:r w:rsidR="002B75F8">
        <w:rPr>
          <w:rFonts w:ascii="Times New Roman" w:hAnsi="Times New Roman" w:cs="Times New Roman"/>
          <w:sz w:val="24"/>
          <w:szCs w:val="24"/>
          <w:lang w:val="en-US"/>
        </w:rPr>
        <w:t>models'</w:t>
      </w:r>
      <w:r w:rsidRPr="00CF1DD6">
        <w:rPr>
          <w:rFonts w:ascii="Times New Roman" w:hAnsi="Times New Roman" w:cs="Times New Roman"/>
          <w:sz w:val="24"/>
          <w:szCs w:val="24"/>
          <w:lang w:val="en-US"/>
        </w:rPr>
        <w:t xml:space="preserve"> best </w:t>
      </w:r>
      <w:r>
        <w:rPr>
          <w:rFonts w:ascii="Times New Roman" w:hAnsi="Times New Roman" w:cs="Times New Roman"/>
          <w:sz w:val="24"/>
          <w:szCs w:val="24"/>
          <w:lang w:val="en-US"/>
        </w:rPr>
        <w:t>practices</w:t>
      </w:r>
      <w:r w:rsidRPr="00CF1DD6">
        <w:rPr>
          <w:rFonts w:ascii="Times New Roman" w:hAnsi="Times New Roman" w:cs="Times New Roman"/>
          <w:sz w:val="24"/>
          <w:szCs w:val="24"/>
          <w:lang w:val="en-US"/>
        </w:rPr>
        <w:t xml:space="preserve"> (Berg Insight, 2025). In addition, the augmented product strategy adheres to the services-marketing theory in which advanced after-sales and monitoring functions significantly raise perceived service quality (Zeithaml, Bitner and Gremler, 2018</w:t>
      </w:r>
      <w:r w:rsidR="006573FC" w:rsidRPr="006573FC">
        <w:rPr>
          <w:rFonts w:ascii="Times New Roman" w:hAnsi="Times New Roman" w:cs="Times New Roman"/>
          <w:sz w:val="24"/>
          <w:szCs w:val="24"/>
        </w:rPr>
        <w:t>).</w:t>
      </w:r>
    </w:p>
    <w:p w:rsidR="005220DF" w:rsidRPr="005220DF" w:rsidRDefault="00590498" w:rsidP="00625AB6">
      <w:pPr>
        <w:pStyle w:val="Caption"/>
        <w:jc w:val="both"/>
        <w:rPr>
          <w:rFonts w:ascii="Times New Roman" w:hAnsi="Times New Roman" w:cs="Times New Roman"/>
          <w:b/>
          <w:bCs/>
          <w:sz w:val="24"/>
          <w:szCs w:val="24"/>
          <w:lang w:val="en-US"/>
        </w:rPr>
      </w:pPr>
      <w:bookmarkStart w:id="16" w:name="_Toc216571170"/>
      <w:r w:rsidRPr="00590498">
        <w:rPr>
          <w:rFonts w:ascii="Times New Roman" w:hAnsi="Times New Roman" w:cs="Times New Roman"/>
          <w:b/>
          <w:bCs/>
          <w:sz w:val="24"/>
          <w:szCs w:val="24"/>
        </w:rPr>
        <w:t xml:space="preserve">Table </w:t>
      </w:r>
      <w:r w:rsidRPr="00590498">
        <w:rPr>
          <w:rFonts w:ascii="Times New Roman" w:hAnsi="Times New Roman" w:cs="Times New Roman"/>
          <w:b/>
          <w:bCs/>
          <w:sz w:val="24"/>
          <w:szCs w:val="24"/>
        </w:rPr>
        <w:fldChar w:fldCharType="begin"/>
      </w:r>
      <w:r w:rsidRPr="00590498">
        <w:rPr>
          <w:rFonts w:ascii="Times New Roman" w:hAnsi="Times New Roman" w:cs="Times New Roman"/>
          <w:b/>
          <w:bCs/>
          <w:sz w:val="24"/>
          <w:szCs w:val="24"/>
        </w:rPr>
        <w:instrText xml:space="preserve"> SEQ Table \* ARABIC </w:instrText>
      </w:r>
      <w:r w:rsidRPr="00590498">
        <w:rPr>
          <w:rFonts w:ascii="Times New Roman" w:hAnsi="Times New Roman" w:cs="Times New Roman"/>
          <w:b/>
          <w:bCs/>
          <w:sz w:val="24"/>
          <w:szCs w:val="24"/>
        </w:rPr>
        <w:fldChar w:fldCharType="separate"/>
      </w:r>
      <w:r w:rsidR="00D049B0">
        <w:rPr>
          <w:rFonts w:ascii="Times New Roman" w:hAnsi="Times New Roman" w:cs="Times New Roman"/>
          <w:b/>
          <w:bCs/>
          <w:noProof/>
          <w:sz w:val="24"/>
          <w:szCs w:val="24"/>
        </w:rPr>
        <w:t>3</w:t>
      </w:r>
      <w:r w:rsidRPr="00590498">
        <w:rPr>
          <w:rFonts w:ascii="Times New Roman" w:hAnsi="Times New Roman" w:cs="Times New Roman"/>
          <w:b/>
          <w:bCs/>
          <w:sz w:val="24"/>
          <w:szCs w:val="24"/>
        </w:rPr>
        <w:fldChar w:fldCharType="end"/>
      </w:r>
      <w:r w:rsidRPr="00590498">
        <w:rPr>
          <w:rFonts w:ascii="Times New Roman" w:hAnsi="Times New Roman" w:cs="Times New Roman"/>
          <w:b/>
          <w:bCs/>
          <w:sz w:val="24"/>
          <w:szCs w:val="24"/>
        </w:rPr>
        <w:t xml:space="preserve">: </w:t>
      </w:r>
      <w:r w:rsidR="005220DF" w:rsidRPr="005220DF">
        <w:rPr>
          <w:rFonts w:ascii="Times New Roman" w:hAnsi="Times New Roman" w:cs="Times New Roman"/>
          <w:b/>
          <w:bCs/>
          <w:sz w:val="24"/>
          <w:szCs w:val="24"/>
          <w:lang w:val="en-US"/>
        </w:rPr>
        <w:t>Comparative Table: GridHome vs Powerwall vs Utility Smart Tariffs</w:t>
      </w:r>
      <w:bookmarkEnd w:id="16"/>
    </w:p>
    <w:tbl>
      <w:tblPr>
        <w:tblStyle w:val="GridTable4-Accent1"/>
        <w:tblW w:w="0" w:type="auto"/>
        <w:tblLook w:val="04A0" w:firstRow="1" w:lastRow="0" w:firstColumn="1" w:lastColumn="0" w:noHBand="0" w:noVBand="1"/>
      </w:tblPr>
      <w:tblGrid>
        <w:gridCol w:w="2245"/>
        <w:gridCol w:w="2359"/>
        <w:gridCol w:w="2296"/>
        <w:gridCol w:w="2116"/>
      </w:tblGrid>
      <w:tr w:rsidR="005220DF" w:rsidRPr="005220DF" w:rsidTr="005904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Criteria</w:t>
            </w:r>
          </w:p>
        </w:tc>
        <w:tc>
          <w:tcPr>
            <w:tcW w:w="2359" w:type="dxa"/>
            <w:hideMark/>
          </w:tcPr>
          <w:p w:rsidR="005220DF" w:rsidRPr="005220DF" w:rsidRDefault="005220DF" w:rsidP="00625AB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Tesla GridHome</w:t>
            </w:r>
          </w:p>
        </w:tc>
        <w:tc>
          <w:tcPr>
            <w:tcW w:w="0" w:type="auto"/>
            <w:hideMark/>
          </w:tcPr>
          <w:p w:rsidR="005220DF" w:rsidRPr="005220DF" w:rsidRDefault="005220DF" w:rsidP="00625AB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Tesla Powerwall Only</w:t>
            </w:r>
          </w:p>
        </w:tc>
        <w:tc>
          <w:tcPr>
            <w:tcW w:w="0" w:type="auto"/>
            <w:hideMark/>
          </w:tcPr>
          <w:p w:rsidR="005220DF" w:rsidRPr="005220DF" w:rsidRDefault="005220DF" w:rsidP="00625AB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Utility Smart Tariffs</w:t>
            </w:r>
          </w:p>
        </w:tc>
      </w:tr>
      <w:tr w:rsidR="005220DF" w:rsidRPr="005220DF" w:rsidTr="00590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Integration Level</w:t>
            </w:r>
          </w:p>
        </w:tc>
        <w:tc>
          <w:tcPr>
            <w:tcW w:w="2359" w:type="dxa"/>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Very High</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Medium</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Low</w:t>
            </w:r>
          </w:p>
        </w:tc>
      </w:tr>
      <w:tr w:rsidR="005220DF" w:rsidRPr="005220DF" w:rsidTr="00590498">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AI Optimisation</w:t>
            </w:r>
          </w:p>
        </w:tc>
        <w:tc>
          <w:tcPr>
            <w:tcW w:w="2359" w:type="dxa"/>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Advanced AI</w:t>
            </w:r>
          </w:p>
        </w:tc>
        <w:tc>
          <w:tcPr>
            <w:tcW w:w="0" w:type="auto"/>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Basic Optimisation</w:t>
            </w:r>
          </w:p>
        </w:tc>
        <w:tc>
          <w:tcPr>
            <w:tcW w:w="0" w:type="auto"/>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Minimal</w:t>
            </w:r>
          </w:p>
        </w:tc>
      </w:tr>
      <w:tr w:rsidR="005220DF" w:rsidRPr="005220DF" w:rsidTr="00590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Outage Protection</w:t>
            </w:r>
          </w:p>
        </w:tc>
        <w:tc>
          <w:tcPr>
            <w:tcW w:w="2359" w:type="dxa"/>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Yes (Predictive)</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Partial (Backup Only)</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No</w:t>
            </w:r>
          </w:p>
        </w:tc>
      </w:tr>
      <w:tr w:rsidR="005220DF" w:rsidRPr="005220DF" w:rsidTr="00590498">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Cost Efficiency</w:t>
            </w:r>
          </w:p>
        </w:tc>
        <w:tc>
          <w:tcPr>
            <w:tcW w:w="2359" w:type="dxa"/>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High</w:t>
            </w:r>
          </w:p>
        </w:tc>
        <w:tc>
          <w:tcPr>
            <w:tcW w:w="0" w:type="auto"/>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Medium</w:t>
            </w:r>
          </w:p>
        </w:tc>
        <w:tc>
          <w:tcPr>
            <w:tcW w:w="0" w:type="auto"/>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Variable</w:t>
            </w:r>
          </w:p>
        </w:tc>
      </w:tr>
      <w:tr w:rsidR="005220DF" w:rsidRPr="005220DF" w:rsidTr="00590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Subscription Model</w:t>
            </w:r>
          </w:p>
        </w:tc>
        <w:tc>
          <w:tcPr>
            <w:tcW w:w="2359" w:type="dxa"/>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Yes</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No</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Yes/No</w:t>
            </w:r>
          </w:p>
        </w:tc>
      </w:tr>
      <w:tr w:rsidR="005220DF" w:rsidRPr="005220DF" w:rsidTr="00590498">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EV-Charging Optimisation</w:t>
            </w:r>
          </w:p>
        </w:tc>
        <w:tc>
          <w:tcPr>
            <w:tcW w:w="2359" w:type="dxa"/>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Fully Integrated</w:t>
            </w:r>
          </w:p>
        </w:tc>
        <w:tc>
          <w:tcPr>
            <w:tcW w:w="0" w:type="auto"/>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Limited Scheduling</w:t>
            </w:r>
          </w:p>
        </w:tc>
        <w:tc>
          <w:tcPr>
            <w:tcW w:w="0" w:type="auto"/>
            <w:hideMark/>
          </w:tcPr>
          <w:p w:rsidR="005220DF" w:rsidRPr="005220DF" w:rsidRDefault="005220DF" w:rsidP="00625AB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Not Included</w:t>
            </w:r>
          </w:p>
        </w:tc>
      </w:tr>
      <w:tr w:rsidR="005220DF" w:rsidRPr="005220DF" w:rsidTr="00590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005220DF" w:rsidRPr="005220DF" w:rsidRDefault="005220DF" w:rsidP="00625AB6">
            <w:pPr>
              <w:spacing w:after="160" w:line="360" w:lineRule="auto"/>
              <w:jc w:val="both"/>
              <w:rPr>
                <w:rFonts w:ascii="Times New Roman" w:hAnsi="Times New Roman" w:cs="Times New Roman"/>
                <w:sz w:val="24"/>
                <w:szCs w:val="24"/>
                <w:lang w:val="en-US"/>
              </w:rPr>
            </w:pPr>
            <w:r w:rsidRPr="005220DF">
              <w:rPr>
                <w:rFonts w:ascii="Times New Roman" w:hAnsi="Times New Roman" w:cs="Times New Roman"/>
                <w:sz w:val="24"/>
                <w:szCs w:val="24"/>
                <w:lang w:val="en-US"/>
              </w:rPr>
              <w:t>Solar Compatibility</w:t>
            </w:r>
          </w:p>
        </w:tc>
        <w:tc>
          <w:tcPr>
            <w:tcW w:w="2359" w:type="dxa"/>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Full Integration</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Compatible</w:t>
            </w:r>
          </w:p>
        </w:tc>
        <w:tc>
          <w:tcPr>
            <w:tcW w:w="0" w:type="auto"/>
            <w:hideMark/>
          </w:tcPr>
          <w:p w:rsidR="005220DF" w:rsidRPr="005220DF" w:rsidRDefault="005220DF" w:rsidP="00625AB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5220DF">
              <w:rPr>
                <w:rFonts w:ascii="Times New Roman" w:hAnsi="Times New Roman" w:cs="Times New Roman"/>
                <w:sz w:val="24"/>
                <w:szCs w:val="24"/>
                <w:lang w:val="en-US"/>
              </w:rPr>
              <w:t>Not Included</w:t>
            </w:r>
          </w:p>
        </w:tc>
      </w:tr>
    </w:tbl>
    <w:p w:rsidR="00022AD4" w:rsidRPr="00022AD4" w:rsidRDefault="0040647A" w:rsidP="00625AB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Created by</w:t>
      </w:r>
      <w:r w:rsidR="00590498">
        <w:rPr>
          <w:rFonts w:ascii="Times New Roman" w:hAnsi="Times New Roman" w:cs="Times New Roman"/>
          <w:sz w:val="24"/>
          <w:szCs w:val="24"/>
          <w:lang w:val="en-US"/>
        </w:rPr>
        <w:t>:</w:t>
      </w:r>
      <w:r>
        <w:rPr>
          <w:rFonts w:ascii="Times New Roman" w:hAnsi="Times New Roman" w:cs="Times New Roman"/>
          <w:sz w:val="24"/>
          <w:szCs w:val="24"/>
          <w:lang w:val="en-US"/>
        </w:rPr>
        <w:t xml:space="preserve"> Learner</w:t>
      </w:r>
    </w:p>
    <w:p w:rsidR="00022AD4" w:rsidRPr="00022AD4" w:rsidRDefault="00022AD4" w:rsidP="00625AB6">
      <w:pPr>
        <w:pStyle w:val="Heading2"/>
        <w:jc w:val="both"/>
        <w:rPr>
          <w:lang w:val="en-US"/>
        </w:rPr>
      </w:pPr>
      <w:bookmarkStart w:id="17" w:name="_Toc216541553"/>
      <w:r w:rsidRPr="00022AD4">
        <w:rPr>
          <w:lang w:val="en-US"/>
        </w:rPr>
        <w:t>2.2 Price</w:t>
      </w:r>
      <w:bookmarkEnd w:id="17"/>
    </w:p>
    <w:p w:rsidR="00CF1DD6" w:rsidRPr="00CF1DD6" w:rsidRDefault="00CF1DD6" w:rsidP="00625AB6">
      <w:pPr>
        <w:spacing w:line="360" w:lineRule="auto"/>
        <w:jc w:val="both"/>
        <w:rPr>
          <w:rFonts w:ascii="Times New Roman" w:hAnsi="Times New Roman" w:cs="Times New Roman"/>
          <w:sz w:val="24"/>
          <w:szCs w:val="24"/>
          <w:lang w:val="en-US"/>
        </w:rPr>
      </w:pPr>
      <w:r w:rsidRPr="00CF1DD6">
        <w:rPr>
          <w:rFonts w:ascii="Times New Roman" w:hAnsi="Times New Roman" w:cs="Times New Roman"/>
          <w:sz w:val="24"/>
          <w:szCs w:val="24"/>
          <w:lang w:val="en-US"/>
        </w:rPr>
        <w:t xml:space="preserve">The value-based tiered pricing strategy of GridHome is based on </w:t>
      </w:r>
      <w:r>
        <w:rPr>
          <w:rFonts w:ascii="Times New Roman" w:hAnsi="Times New Roman" w:cs="Times New Roman"/>
          <w:sz w:val="24"/>
          <w:szCs w:val="24"/>
          <w:lang w:val="en-US"/>
        </w:rPr>
        <w:t xml:space="preserve">the </w:t>
      </w:r>
      <w:r w:rsidRPr="00CF1DD6">
        <w:rPr>
          <w:rFonts w:ascii="Times New Roman" w:hAnsi="Times New Roman" w:cs="Times New Roman"/>
          <w:sz w:val="24"/>
          <w:szCs w:val="24"/>
          <w:lang w:val="en-US"/>
        </w:rPr>
        <w:t xml:space="preserve">economic logic of reducing the exposure to fluctuating electricity tariffs. When the average UK household energy bills are over </w:t>
      </w:r>
      <w:r w:rsidRPr="00022AD4">
        <w:rPr>
          <w:rFonts w:ascii="Times New Roman" w:hAnsi="Times New Roman" w:cs="Times New Roman"/>
          <w:sz w:val="24"/>
          <w:szCs w:val="24"/>
          <w:lang w:val="en-US"/>
        </w:rPr>
        <w:t>£</w:t>
      </w:r>
      <w:r w:rsidRPr="00CF1DD6">
        <w:rPr>
          <w:rFonts w:ascii="Times New Roman" w:hAnsi="Times New Roman" w:cs="Times New Roman"/>
          <w:sz w:val="24"/>
          <w:szCs w:val="24"/>
          <w:lang w:val="en-US"/>
        </w:rPr>
        <w:t xml:space="preserve">2,500 a year (BEIS, 2024), the subscription costs of </w:t>
      </w:r>
      <w:r w:rsidRPr="00022AD4">
        <w:rPr>
          <w:rFonts w:ascii="Times New Roman" w:hAnsi="Times New Roman" w:cs="Times New Roman"/>
          <w:sz w:val="24"/>
          <w:szCs w:val="24"/>
          <w:lang w:val="en-US"/>
        </w:rPr>
        <w:t>£</w:t>
      </w:r>
      <w:r w:rsidRPr="00CF1DD6">
        <w:rPr>
          <w:rFonts w:ascii="Times New Roman" w:hAnsi="Times New Roman" w:cs="Times New Roman"/>
          <w:sz w:val="24"/>
          <w:szCs w:val="24"/>
          <w:lang w:val="en-US"/>
        </w:rPr>
        <w:t xml:space="preserve">49.99 (Basic) and </w:t>
      </w:r>
      <w:r w:rsidRPr="00022AD4">
        <w:rPr>
          <w:rFonts w:ascii="Times New Roman" w:hAnsi="Times New Roman" w:cs="Times New Roman"/>
          <w:sz w:val="24"/>
          <w:szCs w:val="24"/>
          <w:lang w:val="en-US"/>
        </w:rPr>
        <w:t>£</w:t>
      </w:r>
      <w:r w:rsidRPr="00CF1DD6">
        <w:rPr>
          <w:rFonts w:ascii="Times New Roman" w:hAnsi="Times New Roman" w:cs="Times New Roman"/>
          <w:sz w:val="24"/>
          <w:szCs w:val="24"/>
          <w:lang w:val="en-US"/>
        </w:rPr>
        <w:t>89.99 (Premium) are enticing when they are introduced with the modelling of savings. Value-based pricing is especially good with energy services since consumers rate economic and non-economic value as a whole, not only through cost-plus models (Hinterhuber and Liozu, 2014).</w:t>
      </w:r>
    </w:p>
    <w:p w:rsidR="00CF1DD6" w:rsidRPr="00CF1DD6" w:rsidRDefault="00CF1DD6" w:rsidP="00625AB6">
      <w:pPr>
        <w:spacing w:line="360" w:lineRule="auto"/>
        <w:jc w:val="both"/>
        <w:rPr>
          <w:rFonts w:ascii="Times New Roman" w:hAnsi="Times New Roman" w:cs="Times New Roman"/>
          <w:sz w:val="24"/>
          <w:szCs w:val="24"/>
          <w:lang w:val="en-US"/>
        </w:rPr>
      </w:pPr>
      <w:r w:rsidRPr="00CF1DD6">
        <w:rPr>
          <w:rFonts w:ascii="Times New Roman" w:hAnsi="Times New Roman" w:cs="Times New Roman"/>
          <w:sz w:val="24"/>
          <w:szCs w:val="24"/>
          <w:lang w:val="en-US"/>
        </w:rPr>
        <w:lastRenderedPageBreak/>
        <w:t xml:space="preserve">Viewed over 10 years </w:t>
      </w:r>
      <w:r>
        <w:rPr>
          <w:rFonts w:ascii="Times New Roman" w:hAnsi="Times New Roman" w:cs="Times New Roman"/>
          <w:sz w:val="24"/>
          <w:szCs w:val="24"/>
          <w:lang w:val="en-US"/>
        </w:rPr>
        <w:t xml:space="preserve">of </w:t>
      </w:r>
      <w:r w:rsidRPr="00CF1DD6">
        <w:rPr>
          <w:rFonts w:ascii="Times New Roman" w:hAnsi="Times New Roman" w:cs="Times New Roman"/>
          <w:sz w:val="24"/>
          <w:szCs w:val="24"/>
          <w:lang w:val="en-US"/>
        </w:rPr>
        <w:t xml:space="preserve">financing of hardware, or green mortgage programs, as well as downstream barriers and match </w:t>
      </w:r>
      <w:r>
        <w:rPr>
          <w:rFonts w:ascii="Times New Roman" w:hAnsi="Times New Roman" w:cs="Times New Roman"/>
          <w:sz w:val="24"/>
          <w:szCs w:val="24"/>
          <w:lang w:val="en-US"/>
        </w:rPr>
        <w:t xml:space="preserve">the </w:t>
      </w:r>
      <w:r w:rsidRPr="00CF1DD6">
        <w:rPr>
          <w:rFonts w:ascii="Times New Roman" w:hAnsi="Times New Roman" w:cs="Times New Roman"/>
          <w:sz w:val="24"/>
          <w:szCs w:val="24"/>
          <w:lang w:val="en-US"/>
        </w:rPr>
        <w:t>willingness-to-pay of consumers to pay</w:t>
      </w:r>
      <w:r>
        <w:rPr>
          <w:rFonts w:ascii="Times New Roman" w:hAnsi="Times New Roman" w:cs="Times New Roman"/>
          <w:sz w:val="24"/>
          <w:szCs w:val="24"/>
          <w:lang w:val="en-US"/>
        </w:rPr>
        <w:t>,</w:t>
      </w:r>
      <w:r w:rsidRPr="00CF1DD6">
        <w:rPr>
          <w:rFonts w:ascii="Times New Roman" w:hAnsi="Times New Roman" w:cs="Times New Roman"/>
          <w:sz w:val="24"/>
          <w:szCs w:val="24"/>
          <w:lang w:val="en-US"/>
        </w:rPr>
        <w:t xml:space="preserve"> implying energy-stability programs (Ofgem, 2024). Promotional incentives selected</w:t>
      </w:r>
      <w:r>
        <w:rPr>
          <w:rFonts w:ascii="Times New Roman" w:hAnsi="Times New Roman" w:cs="Times New Roman"/>
          <w:sz w:val="24"/>
          <w:szCs w:val="24"/>
          <w:lang w:val="en-US"/>
        </w:rPr>
        <w:t xml:space="preserve">, </w:t>
      </w:r>
      <w:r w:rsidRPr="00CF1DD6">
        <w:rPr>
          <w:rFonts w:ascii="Times New Roman" w:hAnsi="Times New Roman" w:cs="Times New Roman"/>
          <w:sz w:val="24"/>
          <w:szCs w:val="24"/>
          <w:lang w:val="en-US"/>
        </w:rPr>
        <w:t xml:space="preserve">six-month discounted subscriptions </w:t>
      </w:r>
      <w:r>
        <w:rPr>
          <w:rFonts w:ascii="Times New Roman" w:hAnsi="Times New Roman" w:cs="Times New Roman"/>
          <w:sz w:val="24"/>
          <w:szCs w:val="24"/>
          <w:lang w:val="en-US"/>
        </w:rPr>
        <w:t>for</w:t>
      </w:r>
      <w:r w:rsidRPr="00CF1DD6">
        <w:rPr>
          <w:rFonts w:ascii="Times New Roman" w:hAnsi="Times New Roman" w:cs="Times New Roman"/>
          <w:sz w:val="24"/>
          <w:szCs w:val="24"/>
          <w:lang w:val="en-US"/>
        </w:rPr>
        <w:t xml:space="preserve"> Tesla EV owners are strategically correct due to high cross-product synergies and pre-existing interactions with </w:t>
      </w:r>
      <w:r>
        <w:rPr>
          <w:rFonts w:ascii="Times New Roman" w:hAnsi="Times New Roman" w:cs="Times New Roman"/>
          <w:sz w:val="24"/>
          <w:szCs w:val="24"/>
          <w:lang w:val="en-US"/>
        </w:rPr>
        <w:t>Tesla's</w:t>
      </w:r>
      <w:r w:rsidRPr="00CF1DD6">
        <w:rPr>
          <w:rFonts w:ascii="Times New Roman" w:hAnsi="Times New Roman" w:cs="Times New Roman"/>
          <w:sz w:val="24"/>
          <w:szCs w:val="24"/>
          <w:lang w:val="en-US"/>
        </w:rPr>
        <w:t xml:space="preserve"> digital ecosystem (Tesla, 2024).</w:t>
      </w:r>
    </w:p>
    <w:p w:rsidR="00022AD4" w:rsidRPr="006573FC" w:rsidRDefault="00CF1DD6" w:rsidP="00625AB6">
      <w:pPr>
        <w:spacing w:line="360" w:lineRule="auto"/>
        <w:jc w:val="both"/>
        <w:rPr>
          <w:rFonts w:ascii="Times New Roman" w:hAnsi="Times New Roman" w:cs="Times New Roman"/>
          <w:sz w:val="24"/>
          <w:szCs w:val="24"/>
          <w:lang w:val="en-US"/>
        </w:rPr>
      </w:pPr>
      <w:r w:rsidRPr="00CF1DD6">
        <w:rPr>
          <w:rFonts w:ascii="Times New Roman" w:hAnsi="Times New Roman" w:cs="Times New Roman"/>
          <w:sz w:val="24"/>
          <w:szCs w:val="24"/>
          <w:lang w:val="en-US"/>
        </w:rPr>
        <w:t xml:space="preserve">To ensure academic rigour, pricing would need cost-justification by showing </w:t>
      </w:r>
      <w:r>
        <w:rPr>
          <w:rFonts w:ascii="Times New Roman" w:hAnsi="Times New Roman" w:cs="Times New Roman"/>
          <w:sz w:val="24"/>
          <w:szCs w:val="24"/>
          <w:lang w:val="en-US"/>
        </w:rPr>
        <w:t xml:space="preserve">that </w:t>
      </w:r>
      <w:r w:rsidRPr="00CF1DD6">
        <w:rPr>
          <w:rFonts w:ascii="Times New Roman" w:hAnsi="Times New Roman" w:cs="Times New Roman"/>
          <w:sz w:val="24"/>
          <w:szCs w:val="24"/>
          <w:lang w:val="en-US"/>
        </w:rPr>
        <w:t>lower charges under peak periods can be achieved through optimisation to cut down payback periods, maximise solar self-consumption, and increase solar self-generation (IEA, 2024). It has also been reported that consumers trust and are more likely to adopt residential renewables in a transparent, scenario-based financial modelling (Sorin and Huang, 2020). It is an economicization approach to market positioning that uses perceived value over cost-plus logic</w:t>
      </w:r>
      <w:r w:rsidR="00022AD4" w:rsidRPr="00022AD4">
        <w:rPr>
          <w:rFonts w:ascii="Times New Roman" w:hAnsi="Times New Roman" w:cs="Times New Roman"/>
          <w:sz w:val="24"/>
          <w:szCs w:val="24"/>
          <w:lang w:val="en-US"/>
        </w:rPr>
        <w:t>.</w:t>
      </w:r>
    </w:p>
    <w:p w:rsidR="00CF1DD6" w:rsidRDefault="00F80D01" w:rsidP="00625AB6">
      <w:pPr>
        <w:keepNext/>
        <w:spacing w:line="360" w:lineRule="auto"/>
        <w:jc w:val="both"/>
      </w:pPr>
      <w:r w:rsidRPr="006573FC">
        <w:rPr>
          <w:rFonts w:ascii="Times New Roman" w:hAnsi="Times New Roman" w:cs="Times New Roman"/>
          <w:noProof/>
          <w:sz w:val="24"/>
          <w:szCs w:val="24"/>
        </w:rPr>
        <w:drawing>
          <wp:inline distT="0" distB="0" distL="0" distR="0" wp14:anchorId="105F35B5" wp14:editId="2F9C2790">
            <wp:extent cx="5539105" cy="3370521"/>
            <wp:effectExtent l="0" t="0" r="4445" b="1905"/>
            <wp:docPr id="2933500" name="Picture 3" descr="Europe EMS Market Size, and Growth Report,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Europe EMS Market Size, and Growth Report, 20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2212" cy="3384581"/>
                    </a:xfrm>
                    <a:prstGeom prst="rect">
                      <a:avLst/>
                    </a:prstGeom>
                    <a:noFill/>
                    <a:ln>
                      <a:noFill/>
                    </a:ln>
                  </pic:spPr>
                </pic:pic>
              </a:graphicData>
            </a:graphic>
          </wp:inline>
        </w:drawing>
      </w:r>
    </w:p>
    <w:p w:rsidR="00022AD4" w:rsidRPr="00022AD4" w:rsidRDefault="00CF1DD6" w:rsidP="00625AB6">
      <w:pPr>
        <w:pStyle w:val="Caption"/>
        <w:jc w:val="both"/>
        <w:rPr>
          <w:rFonts w:ascii="Times New Roman" w:hAnsi="Times New Roman" w:cs="Times New Roman"/>
          <w:b/>
          <w:bCs/>
          <w:sz w:val="28"/>
          <w:szCs w:val="28"/>
          <w:lang w:val="en-US"/>
        </w:rPr>
      </w:pPr>
      <w:bookmarkStart w:id="18" w:name="_Toc216216790"/>
      <w:r w:rsidRPr="00CF1DD6">
        <w:rPr>
          <w:b/>
          <w:bCs/>
          <w:sz w:val="20"/>
          <w:szCs w:val="20"/>
        </w:rPr>
        <w:t xml:space="preserve">Figure </w:t>
      </w:r>
      <w:r w:rsidRPr="00CF1DD6">
        <w:rPr>
          <w:b/>
          <w:bCs/>
          <w:sz w:val="20"/>
          <w:szCs w:val="20"/>
        </w:rPr>
        <w:fldChar w:fldCharType="begin"/>
      </w:r>
      <w:r w:rsidRPr="00CF1DD6">
        <w:rPr>
          <w:b/>
          <w:bCs/>
          <w:sz w:val="20"/>
          <w:szCs w:val="20"/>
        </w:rPr>
        <w:instrText xml:space="preserve"> SEQ Figure \* ARABIC </w:instrText>
      </w:r>
      <w:r w:rsidRPr="00CF1DD6">
        <w:rPr>
          <w:b/>
          <w:bCs/>
          <w:sz w:val="20"/>
          <w:szCs w:val="20"/>
        </w:rPr>
        <w:fldChar w:fldCharType="separate"/>
      </w:r>
      <w:r w:rsidR="00625AB6">
        <w:rPr>
          <w:b/>
          <w:bCs/>
          <w:noProof/>
          <w:sz w:val="20"/>
          <w:szCs w:val="20"/>
        </w:rPr>
        <w:t>7</w:t>
      </w:r>
      <w:r w:rsidRPr="00CF1DD6">
        <w:rPr>
          <w:b/>
          <w:bCs/>
          <w:sz w:val="20"/>
          <w:szCs w:val="20"/>
        </w:rPr>
        <w:fldChar w:fldCharType="end"/>
      </w:r>
      <w:r w:rsidRPr="00CF1DD6">
        <w:rPr>
          <w:b/>
          <w:bCs/>
          <w:sz w:val="20"/>
          <w:szCs w:val="20"/>
        </w:rPr>
        <w:t>: European Energy Management System (EMS)</w:t>
      </w:r>
      <w:r>
        <w:rPr>
          <w:b/>
          <w:bCs/>
          <w:sz w:val="20"/>
          <w:szCs w:val="20"/>
        </w:rPr>
        <w:t xml:space="preserve"> (</w:t>
      </w:r>
      <w:r w:rsidRPr="00CF1DD6">
        <w:rPr>
          <w:b/>
          <w:bCs/>
          <w:sz w:val="20"/>
          <w:szCs w:val="20"/>
        </w:rPr>
        <w:t>Source: P&amp;S Market Research</w:t>
      </w:r>
      <w:r>
        <w:rPr>
          <w:b/>
          <w:bCs/>
          <w:sz w:val="20"/>
          <w:szCs w:val="20"/>
        </w:rPr>
        <w:t xml:space="preserve">, </w:t>
      </w:r>
      <w:r w:rsidRPr="00CF1DD6">
        <w:rPr>
          <w:b/>
          <w:bCs/>
          <w:sz w:val="20"/>
          <w:szCs w:val="20"/>
        </w:rPr>
        <w:t>2025</w:t>
      </w:r>
      <w:r>
        <w:rPr>
          <w:b/>
          <w:bCs/>
          <w:sz w:val="20"/>
          <w:szCs w:val="20"/>
        </w:rPr>
        <w:t>).</w:t>
      </w:r>
      <w:bookmarkEnd w:id="18"/>
    </w:p>
    <w:p w:rsidR="00022AD4" w:rsidRPr="00022AD4" w:rsidRDefault="00022AD4" w:rsidP="00625AB6">
      <w:pPr>
        <w:pStyle w:val="Heading2"/>
        <w:jc w:val="both"/>
        <w:rPr>
          <w:lang w:val="en-US"/>
        </w:rPr>
      </w:pPr>
      <w:bookmarkStart w:id="19" w:name="_Toc216541554"/>
      <w:r w:rsidRPr="00022AD4">
        <w:rPr>
          <w:lang w:val="en-US"/>
        </w:rPr>
        <w:t>2.3 Place</w:t>
      </w:r>
      <w:bookmarkEnd w:id="19"/>
    </w:p>
    <w:p w:rsidR="005C62DC" w:rsidRPr="005C62DC"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The distribution model of GridHome is omnichannel</w:t>
      </w:r>
      <w:r w:rsidR="001539F0">
        <w:rPr>
          <w:rFonts w:ascii="Times New Roman" w:hAnsi="Times New Roman" w:cs="Times New Roman"/>
          <w:sz w:val="24"/>
          <w:szCs w:val="24"/>
          <w:lang w:val="en-US"/>
        </w:rPr>
        <w:t>,</w:t>
      </w:r>
      <w:r w:rsidRPr="005C62DC">
        <w:rPr>
          <w:rFonts w:ascii="Times New Roman" w:hAnsi="Times New Roman" w:cs="Times New Roman"/>
          <w:sz w:val="24"/>
          <w:szCs w:val="24"/>
          <w:lang w:val="en-US"/>
        </w:rPr>
        <w:t xml:space="preserve"> </w:t>
      </w:r>
      <w:r w:rsidR="001539F0">
        <w:rPr>
          <w:rFonts w:ascii="Times New Roman" w:hAnsi="Times New Roman" w:cs="Times New Roman"/>
          <w:sz w:val="24"/>
          <w:szCs w:val="24"/>
          <w:lang w:val="en-US"/>
        </w:rPr>
        <w:t>which</w:t>
      </w:r>
      <w:r w:rsidRPr="005C62DC">
        <w:rPr>
          <w:rFonts w:ascii="Times New Roman" w:hAnsi="Times New Roman" w:cs="Times New Roman"/>
          <w:sz w:val="24"/>
          <w:szCs w:val="24"/>
          <w:lang w:val="en-US"/>
        </w:rPr>
        <w:t xml:space="preserve"> involves integration of digital platforms, specialist advisory interaction and strategic partnerships.</w:t>
      </w:r>
      <w:r w:rsidR="00B544D2">
        <w:rPr>
          <w:rFonts w:ascii="Times New Roman" w:hAnsi="Times New Roman" w:cs="Times New Roman"/>
          <w:sz w:val="24"/>
          <w:szCs w:val="24"/>
          <w:lang w:val="en-US"/>
        </w:rPr>
        <w:t xml:space="preserve"> </w:t>
      </w:r>
      <w:r w:rsidRPr="005C62DC">
        <w:rPr>
          <w:rFonts w:ascii="Times New Roman" w:hAnsi="Times New Roman" w:cs="Times New Roman"/>
          <w:sz w:val="24"/>
          <w:szCs w:val="24"/>
          <w:lang w:val="en-US"/>
        </w:rPr>
        <w:t xml:space="preserve">Collaboration with energy retailers like Octopus Energy or British Gas would boost its faster adoption since it can incorporate tariffs, </w:t>
      </w:r>
      <w:r w:rsidR="001539F0">
        <w:rPr>
          <w:rFonts w:ascii="Times New Roman" w:hAnsi="Times New Roman" w:cs="Times New Roman"/>
          <w:sz w:val="24"/>
          <w:szCs w:val="24"/>
          <w:lang w:val="en-US"/>
        </w:rPr>
        <w:t>smart meter</w:t>
      </w:r>
      <w:r w:rsidRPr="005C62DC">
        <w:rPr>
          <w:rFonts w:ascii="Times New Roman" w:hAnsi="Times New Roman" w:cs="Times New Roman"/>
          <w:sz w:val="24"/>
          <w:szCs w:val="24"/>
          <w:lang w:val="en-US"/>
        </w:rPr>
        <w:t xml:space="preserve"> data and grid-interaction protocols. The OmniChannel distribution </w:t>
      </w:r>
      <w:r w:rsidR="001539F0">
        <w:rPr>
          <w:rFonts w:ascii="Times New Roman" w:hAnsi="Times New Roman" w:cs="Times New Roman"/>
          <w:sz w:val="24"/>
          <w:szCs w:val="24"/>
          <w:lang w:val="en-US"/>
        </w:rPr>
        <w:t>practices</w:t>
      </w:r>
      <w:r w:rsidRPr="005C62DC">
        <w:rPr>
          <w:rFonts w:ascii="Times New Roman" w:hAnsi="Times New Roman" w:cs="Times New Roman"/>
          <w:sz w:val="24"/>
          <w:szCs w:val="24"/>
          <w:lang w:val="en-US"/>
        </w:rPr>
        <w:t xml:space="preserve"> lower the perceived purchase risk of complex technologies through </w:t>
      </w:r>
      <w:r w:rsidRPr="005C62DC">
        <w:rPr>
          <w:rFonts w:ascii="Times New Roman" w:hAnsi="Times New Roman" w:cs="Times New Roman"/>
          <w:sz w:val="24"/>
          <w:szCs w:val="24"/>
          <w:lang w:val="en-US"/>
        </w:rPr>
        <w:lastRenderedPageBreak/>
        <w:t>integration of digital convenience and expert advisory support along the consumer path (Verhoef, Kannan and Inman, 2017). Cooperation with the property developers and mortgage providers helps to implement GridHome in new-build housing in line with the national sustainability requirements (Grand View Research, 2024).</w:t>
      </w:r>
    </w:p>
    <w:p w:rsidR="00022AD4" w:rsidRPr="00022AD4"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The place strategy should also deal operationally with grid-connexion regulations and UK or EU requirements concerning tariffs to be paid on exports</w:t>
      </w:r>
      <w:r w:rsidR="00022AD4" w:rsidRPr="00022AD4">
        <w:rPr>
          <w:rFonts w:ascii="Times New Roman" w:hAnsi="Times New Roman" w:cs="Times New Roman"/>
          <w:sz w:val="24"/>
          <w:szCs w:val="24"/>
          <w:lang w:val="en-US"/>
        </w:rPr>
        <w:t xml:space="preserve">. Evidence suggests that </w:t>
      </w:r>
      <w:r w:rsidRPr="005C62DC">
        <w:rPr>
          <w:rFonts w:ascii="Times New Roman" w:hAnsi="Times New Roman" w:cs="Times New Roman"/>
          <w:sz w:val="24"/>
          <w:szCs w:val="24"/>
          <w:lang w:val="en-US"/>
        </w:rPr>
        <w:t>regional pilot deployments are a good way of streamlining installation operations and justifying economic results before scaling (Berg Insight, 2025).</w:t>
      </w:r>
      <w:r w:rsidR="00834AA2" w:rsidRPr="006573FC">
        <w:rPr>
          <w:rFonts w:ascii="Times New Roman" w:hAnsi="Times New Roman" w:cs="Times New Roman"/>
          <w:b/>
          <w:bCs/>
          <w:sz w:val="24"/>
          <w:szCs w:val="24"/>
          <w:lang w:val="en-US"/>
        </w:rPr>
        <w:t xml:space="preserve">                                                                                                                                                           </w:t>
      </w:r>
    </w:p>
    <w:p w:rsidR="00022AD4" w:rsidRPr="00022AD4" w:rsidRDefault="00022AD4" w:rsidP="00625AB6">
      <w:pPr>
        <w:pStyle w:val="Heading2"/>
        <w:jc w:val="both"/>
        <w:rPr>
          <w:lang w:val="en-US"/>
        </w:rPr>
      </w:pPr>
      <w:bookmarkStart w:id="20" w:name="_Toc216541555"/>
      <w:r w:rsidRPr="00022AD4">
        <w:rPr>
          <w:lang w:val="en-US"/>
        </w:rPr>
        <w:t>2.4 Promotion</w:t>
      </w:r>
      <w:bookmarkEnd w:id="20"/>
    </w:p>
    <w:p w:rsidR="005C62DC" w:rsidRPr="005C62DC"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The promotional scheme of GridHome focuses on clear evidence-based communication in order to overcome the consumer scepticism of green claims. YouTube and LinkedIn will be used to provide technical demonstrations and specific homeowner messages, and in-app notifications will build on the current user base of Tesla.</w:t>
      </w:r>
    </w:p>
    <w:p w:rsidR="005C62DC" w:rsidRPr="005C62DC"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Examples of quantifiable savings on bills and outage-resilience will be used as plausible pieces of evidence of value (IEA, 2024). With general mistrust towards environmental assertions, marketing messages should be backed up empirically and third-party confirmed to prevent the impression of greenwashing (Delmas and Burbano, 2011). Partnerships with the insurers and utilities should be anticipated as the third-party validation decreases the perceived technological and financial risk. The influencer partnerships should target energy experts and home experts who are sustainable to bring technical credibility.</w:t>
      </w:r>
    </w:p>
    <w:p w:rsidR="00022AD4" w:rsidRPr="00022AD4"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An organised pilot assessment report of the early deployments will further reinforce the promotional assertions by providing standalone verifiable performance information (Berg Insight, 2025; Tesla, 2024)</w:t>
      </w:r>
      <w:r w:rsidR="00022AD4" w:rsidRPr="00022AD4">
        <w:rPr>
          <w:rFonts w:ascii="Times New Roman" w:hAnsi="Times New Roman" w:cs="Times New Roman"/>
          <w:sz w:val="24"/>
          <w:szCs w:val="24"/>
          <w:lang w:val="en-US"/>
        </w:rPr>
        <w:t>.</w:t>
      </w:r>
    </w:p>
    <w:p w:rsidR="00022AD4" w:rsidRPr="00022AD4" w:rsidRDefault="00022AD4" w:rsidP="00625AB6">
      <w:pPr>
        <w:pStyle w:val="Heading2"/>
        <w:jc w:val="both"/>
        <w:rPr>
          <w:lang w:val="en-US"/>
        </w:rPr>
      </w:pPr>
      <w:bookmarkStart w:id="21" w:name="_Toc216541556"/>
      <w:r w:rsidRPr="00022AD4">
        <w:rPr>
          <w:lang w:val="en-US"/>
        </w:rPr>
        <w:t>2.5 People</w:t>
      </w:r>
      <w:bookmarkEnd w:id="21"/>
    </w:p>
    <w:p w:rsidR="005C62DC" w:rsidRPr="005C62DC"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 xml:space="preserve">The service experience of GridHome depends on the people dimension. Tesla Energy Advisors offer the earliest stage of professional interaction with a good analytical understanding of domestic energy modelling, household consumption and savings projection. The research on </w:t>
      </w:r>
      <w:r w:rsidR="002B75F8">
        <w:rPr>
          <w:rFonts w:ascii="Times New Roman" w:hAnsi="Times New Roman" w:cs="Times New Roman"/>
          <w:sz w:val="24"/>
          <w:szCs w:val="24"/>
          <w:lang w:val="en-US"/>
        </w:rPr>
        <w:t>service quality</w:t>
      </w:r>
      <w:r w:rsidRPr="005C62DC">
        <w:rPr>
          <w:rFonts w:ascii="Times New Roman" w:hAnsi="Times New Roman" w:cs="Times New Roman"/>
          <w:sz w:val="24"/>
          <w:szCs w:val="24"/>
          <w:lang w:val="en-US"/>
        </w:rPr>
        <w:t xml:space="preserve"> evidences that </w:t>
      </w:r>
      <w:r w:rsidR="002B75F8">
        <w:rPr>
          <w:rFonts w:ascii="Times New Roman" w:hAnsi="Times New Roman" w:cs="Times New Roman"/>
          <w:sz w:val="24"/>
          <w:szCs w:val="24"/>
          <w:lang w:val="en-US"/>
        </w:rPr>
        <w:t xml:space="preserve">the </w:t>
      </w:r>
      <w:r w:rsidRPr="005C62DC">
        <w:rPr>
          <w:rFonts w:ascii="Times New Roman" w:hAnsi="Times New Roman" w:cs="Times New Roman"/>
          <w:sz w:val="24"/>
          <w:szCs w:val="24"/>
          <w:lang w:val="en-US"/>
        </w:rPr>
        <w:t xml:space="preserve">competence and empathy of employees are central influences </w:t>
      </w:r>
      <w:r w:rsidRPr="005C62DC">
        <w:rPr>
          <w:rFonts w:ascii="Times New Roman" w:hAnsi="Times New Roman" w:cs="Times New Roman"/>
          <w:sz w:val="24"/>
          <w:szCs w:val="24"/>
          <w:lang w:val="en-US"/>
        </w:rPr>
        <w:lastRenderedPageBreak/>
        <w:t>of perceived reliability and satisfaction in high-involvement services (Parasuraman, Zeithaml and Berry, 1988).</w:t>
      </w:r>
    </w:p>
    <w:p w:rsidR="005C62DC" w:rsidRPr="005C62DC"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 xml:space="preserve">The second important group is certified installers; the quality of installation directly influences the reliability of the systems and </w:t>
      </w:r>
      <w:r w:rsidR="002B75F8">
        <w:rPr>
          <w:rFonts w:ascii="Times New Roman" w:hAnsi="Times New Roman" w:cs="Times New Roman"/>
          <w:sz w:val="24"/>
          <w:szCs w:val="24"/>
          <w:lang w:val="en-US"/>
        </w:rPr>
        <w:t xml:space="preserve">the </w:t>
      </w:r>
      <w:r w:rsidRPr="005C62DC">
        <w:rPr>
          <w:rFonts w:ascii="Times New Roman" w:hAnsi="Times New Roman" w:cs="Times New Roman"/>
          <w:sz w:val="24"/>
          <w:szCs w:val="24"/>
          <w:lang w:val="en-US"/>
        </w:rPr>
        <w:t>satisfaction of users. Continued certification and training programmes help in keeping up with the changing AI-optimisation capacities (IEA, 2024).</w:t>
      </w:r>
    </w:p>
    <w:p w:rsidR="00022AD4"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The augmented value of GridHome is based on a 24/7 monitoring staff that monitors predictive maintenance, anomaly detection, and outage response. Proactive service management was proven to raise the retention in energy-service subscriptions in the long run (Berg Insight, 2025).</w:t>
      </w:r>
    </w:p>
    <w:p w:rsidR="00625AB6" w:rsidRPr="00022AD4" w:rsidRDefault="00625AB6" w:rsidP="00625AB6">
      <w:pPr>
        <w:spacing w:line="360" w:lineRule="auto"/>
        <w:jc w:val="both"/>
        <w:rPr>
          <w:rFonts w:ascii="Times New Roman" w:hAnsi="Times New Roman" w:cs="Times New Roman"/>
          <w:sz w:val="24"/>
          <w:szCs w:val="24"/>
          <w:lang w:val="en-US"/>
        </w:rPr>
      </w:pPr>
      <w:r w:rsidRPr="00625AB6">
        <w:rPr>
          <w:rFonts w:ascii="Times New Roman" w:hAnsi="Times New Roman" w:cs="Times New Roman"/>
          <w:noProof/>
          <w:sz w:val="24"/>
          <w:szCs w:val="24"/>
          <w:lang w:val="en-US"/>
        </w:rPr>
        <mc:AlternateContent>
          <mc:Choice Requires="wps">
            <w:drawing>
              <wp:anchor distT="45720" distB="45720" distL="114300" distR="114300" simplePos="0" relativeHeight="251661312" behindDoc="0" locked="0" layoutInCell="1" allowOverlap="1">
                <wp:simplePos x="0" y="0"/>
                <wp:positionH relativeFrom="margin">
                  <wp:posOffset>1076960</wp:posOffset>
                </wp:positionH>
                <wp:positionV relativeFrom="paragraph">
                  <wp:posOffset>177800</wp:posOffset>
                </wp:positionV>
                <wp:extent cx="3910965" cy="1404620"/>
                <wp:effectExtent l="0" t="0" r="13335" b="11430"/>
                <wp:wrapSquare wrapText="bothSides"/>
                <wp:docPr id="1774709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965" cy="1404620"/>
                        </a:xfrm>
                        <a:prstGeom prst="rect">
                          <a:avLst/>
                        </a:prstGeom>
                        <a:solidFill>
                          <a:srgbClr val="FFFFFF"/>
                        </a:solidFill>
                        <a:ln w="9525">
                          <a:solidFill>
                            <a:srgbClr val="000000"/>
                          </a:solidFill>
                          <a:miter lim="800000"/>
                          <a:headEnd/>
                          <a:tailEnd/>
                        </a:ln>
                      </wps:spPr>
                      <wps:txbx>
                        <w:txbxContent>
                          <w:p w:rsidR="00625AB6" w:rsidRPr="00625AB6" w:rsidRDefault="00625AB6" w:rsidP="00625AB6">
                            <w:pPr>
                              <w:spacing w:line="360" w:lineRule="auto"/>
                              <w:jc w:val="center"/>
                              <w:rPr>
                                <w:rFonts w:ascii="Times New Roman" w:hAnsi="Times New Roman" w:cs="Times New Roman"/>
                                <w:color w:val="2F5496" w:themeColor="accent1" w:themeShade="BF"/>
                                <w:sz w:val="24"/>
                                <w:szCs w:val="24"/>
                                <w:lang w:val="en-US"/>
                              </w:rPr>
                            </w:pPr>
                            <w:r w:rsidRPr="00022AD4">
                              <w:rPr>
                                <w:rFonts w:ascii="Times New Roman" w:hAnsi="Times New Roman" w:cs="Times New Roman"/>
                                <w:color w:val="2F5496" w:themeColor="accent1" w:themeShade="BF"/>
                                <w:sz w:val="24"/>
                                <w:szCs w:val="24"/>
                                <w:lang w:val="en-US"/>
                              </w:rPr>
                              <w:t>Service hierarchy</w:t>
                            </w:r>
                            <w:r w:rsidRPr="00625AB6">
                              <w:rPr>
                                <w:rFonts w:ascii="Times New Roman" w:hAnsi="Times New Roman" w:cs="Times New Roman"/>
                                <w:color w:val="2F5496" w:themeColor="accent1" w:themeShade="BF"/>
                                <w:sz w:val="24"/>
                                <w:szCs w:val="24"/>
                                <w:lang w:val="en-US"/>
                              </w:rPr>
                              <w:t xml:space="preserve">: </w:t>
                            </w:r>
                            <w:r w:rsidRPr="00022AD4">
                              <w:rPr>
                                <w:rFonts w:ascii="Times New Roman" w:hAnsi="Times New Roman" w:cs="Times New Roman"/>
                                <w:color w:val="2F5496" w:themeColor="accent1" w:themeShade="BF"/>
                                <w:sz w:val="24"/>
                                <w:szCs w:val="24"/>
                                <w:lang w:val="en-US"/>
                              </w:rPr>
                              <w:t>Advisory → Installation → Monitoring.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4.8pt;margin-top:14pt;width:307.9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">
                <v:textbox style="mso-fit-shape-to-text:t">
                  <w:txbxContent>
                    <w:p w:rsidR="00625AB6" w:rsidRPr="00625AB6" w:rsidRDefault="00625AB6" w:rsidP="00625AB6">
                      <w:pPr>
                        <w:spacing w:line="360" w:lineRule="auto"/>
                        <w:jc w:val="center"/>
                        <w:rPr>
                          <w:rFonts w:ascii="Times New Roman" w:hAnsi="Times New Roman" w:cs="Times New Roman"/>
                          <w:color w:val="2F5496" w:themeColor="accent1" w:themeShade="BF"/>
                          <w:sz w:val="24"/>
                          <w:szCs w:val="24"/>
                          <w:lang w:val="en-US"/>
                        </w:rPr>
                      </w:pPr>
                      <w:r w:rsidRPr="00022AD4">
                        <w:rPr>
                          <w:rFonts w:ascii="Times New Roman" w:hAnsi="Times New Roman" w:cs="Times New Roman"/>
                          <w:color w:val="2F5496" w:themeColor="accent1" w:themeShade="BF"/>
                          <w:sz w:val="24"/>
                          <w:szCs w:val="24"/>
                          <w:lang w:val="en-US"/>
                        </w:rPr>
                        <w:t>Service hierarchy</w:t>
                      </w:r>
                      <w:r w:rsidRPr="00625AB6">
                        <w:rPr>
                          <w:rFonts w:ascii="Times New Roman" w:hAnsi="Times New Roman" w:cs="Times New Roman"/>
                          <w:color w:val="2F5496" w:themeColor="accent1" w:themeShade="BF"/>
                          <w:sz w:val="24"/>
                          <w:szCs w:val="24"/>
                          <w:lang w:val="en-US"/>
                        </w:rPr>
                        <w:t xml:space="preserve">: </w:t>
                      </w:r>
                      <w:r w:rsidRPr="00022AD4">
                        <w:rPr>
                          <w:rFonts w:ascii="Times New Roman" w:hAnsi="Times New Roman" w:cs="Times New Roman"/>
                          <w:color w:val="2F5496" w:themeColor="accent1" w:themeShade="BF"/>
                          <w:sz w:val="24"/>
                          <w:szCs w:val="24"/>
                          <w:lang w:val="en-US"/>
                        </w:rPr>
                        <w:t>Advisory → Installation → Monitoring.</w:t>
                      </w:r>
                    </w:p>
                  </w:txbxContent>
                </v:textbox>
                <w10:wrap type="square" anchorx="margin"/>
              </v:shape>
            </w:pict>
          </mc:Fallback>
        </mc:AlternateContent>
      </w:r>
    </w:p>
    <w:p w:rsidR="00022AD4" w:rsidRPr="00022AD4" w:rsidRDefault="00022AD4" w:rsidP="00625AB6">
      <w:pPr>
        <w:spacing w:line="360" w:lineRule="auto"/>
        <w:jc w:val="both"/>
        <w:rPr>
          <w:rFonts w:ascii="Times New Roman" w:hAnsi="Times New Roman" w:cs="Times New Roman"/>
          <w:sz w:val="24"/>
          <w:szCs w:val="24"/>
          <w:lang w:val="en-US"/>
        </w:rPr>
      </w:pPr>
    </w:p>
    <w:p w:rsidR="00022AD4" w:rsidRPr="00022AD4" w:rsidRDefault="00022AD4" w:rsidP="00625AB6">
      <w:pPr>
        <w:pStyle w:val="Heading2"/>
        <w:jc w:val="both"/>
        <w:rPr>
          <w:lang w:val="en-US"/>
        </w:rPr>
      </w:pPr>
      <w:bookmarkStart w:id="22" w:name="_Toc216541557"/>
      <w:r w:rsidRPr="00022AD4">
        <w:rPr>
          <w:lang w:val="en-US"/>
        </w:rPr>
        <w:t>2.6 Process</w:t>
      </w:r>
      <w:bookmarkEnd w:id="22"/>
    </w:p>
    <w:p w:rsidR="005C62DC" w:rsidRPr="005C62DC"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 xml:space="preserve">The process model of gridHome focuses on clarity, efficiency and customer </w:t>
      </w:r>
      <w:r w:rsidR="002B75F8">
        <w:rPr>
          <w:rFonts w:ascii="Times New Roman" w:hAnsi="Times New Roman" w:cs="Times New Roman"/>
          <w:sz w:val="24"/>
          <w:szCs w:val="24"/>
          <w:lang w:val="en-US"/>
        </w:rPr>
        <w:t>empowerment</w:t>
      </w:r>
      <w:r w:rsidRPr="005C62DC">
        <w:rPr>
          <w:rFonts w:ascii="Times New Roman" w:hAnsi="Times New Roman" w:cs="Times New Roman"/>
          <w:sz w:val="24"/>
          <w:szCs w:val="24"/>
          <w:lang w:val="en-US"/>
        </w:rPr>
        <w:t xml:space="preserve">. It starts with a digital pre-assessment and system proposal customised based on AI-led modelling. Personalised suggestions contribute much to the engagement and </w:t>
      </w:r>
      <w:r w:rsidR="002B75F8">
        <w:rPr>
          <w:rFonts w:ascii="Times New Roman" w:hAnsi="Times New Roman" w:cs="Times New Roman"/>
          <w:sz w:val="24"/>
          <w:szCs w:val="24"/>
          <w:lang w:val="en-US"/>
        </w:rPr>
        <w:t>lightning</w:t>
      </w:r>
      <w:r w:rsidRPr="005C62DC">
        <w:rPr>
          <w:rFonts w:ascii="Times New Roman" w:hAnsi="Times New Roman" w:cs="Times New Roman"/>
          <w:sz w:val="24"/>
          <w:szCs w:val="24"/>
          <w:lang w:val="en-US"/>
        </w:rPr>
        <w:t xml:space="preserve"> of the decision-making process (Grand View Research, 2024). Assurance and reliability dimensions mentioned in SERVQUAL are also facilitated with a smooth process design that is </w:t>
      </w:r>
      <w:r w:rsidR="002B75F8">
        <w:rPr>
          <w:rFonts w:ascii="Times New Roman" w:hAnsi="Times New Roman" w:cs="Times New Roman"/>
          <w:sz w:val="24"/>
          <w:szCs w:val="24"/>
          <w:lang w:val="en-US"/>
        </w:rPr>
        <w:t xml:space="preserve">a </w:t>
      </w:r>
      <w:r w:rsidRPr="005C62DC">
        <w:rPr>
          <w:rFonts w:ascii="Times New Roman" w:hAnsi="Times New Roman" w:cs="Times New Roman"/>
          <w:sz w:val="24"/>
          <w:szCs w:val="24"/>
          <w:lang w:val="en-US"/>
        </w:rPr>
        <w:t>transparent design, increasing the level of consumer confidence in technologically complex services (Gronroos, 2007).</w:t>
      </w:r>
    </w:p>
    <w:p w:rsidR="00625AB6" w:rsidRDefault="005C62DC" w:rsidP="00625AB6">
      <w:pPr>
        <w:spacing w:line="360" w:lineRule="auto"/>
        <w:jc w:val="both"/>
        <w:rPr>
          <w:rFonts w:ascii="Times New Roman" w:hAnsi="Times New Roman" w:cs="Times New Roman"/>
          <w:sz w:val="24"/>
          <w:szCs w:val="24"/>
          <w:lang w:val="en-US"/>
        </w:rPr>
      </w:pPr>
      <w:r w:rsidRPr="005C62DC">
        <w:rPr>
          <w:rFonts w:ascii="Times New Roman" w:hAnsi="Times New Roman" w:cs="Times New Roman"/>
          <w:sz w:val="24"/>
          <w:szCs w:val="24"/>
          <w:lang w:val="en-US"/>
        </w:rPr>
        <w:t>Technical feasibility is achieved before the installation stage with a home audit and followed by customer onboarding and getting explained on the features of the app and the best optimisation settings. Constant remote monitoring then enhances sustained system performance.</w:t>
      </w:r>
      <w:r w:rsidR="00625AB6">
        <w:rPr>
          <w:rFonts w:ascii="Times New Roman" w:hAnsi="Times New Roman" w:cs="Times New Roman"/>
          <w:sz w:val="24"/>
          <w:szCs w:val="24"/>
          <w:lang w:val="en-US"/>
        </w:rPr>
        <w:t xml:space="preserve"> </w:t>
      </w:r>
      <w:r w:rsidRPr="005C62DC">
        <w:rPr>
          <w:rFonts w:ascii="Times New Roman" w:hAnsi="Times New Roman" w:cs="Times New Roman"/>
          <w:sz w:val="24"/>
          <w:szCs w:val="24"/>
          <w:lang w:val="en-US"/>
        </w:rPr>
        <w:t xml:space="preserve">Standardised, open processes </w:t>
      </w:r>
      <w:r w:rsidR="002B75F8">
        <w:rPr>
          <w:rFonts w:ascii="Times New Roman" w:hAnsi="Times New Roman" w:cs="Times New Roman"/>
          <w:sz w:val="24"/>
          <w:szCs w:val="24"/>
          <w:lang w:val="en-US"/>
        </w:rPr>
        <w:t>minimise</w:t>
      </w:r>
      <w:r w:rsidRPr="005C62DC">
        <w:rPr>
          <w:rFonts w:ascii="Times New Roman" w:hAnsi="Times New Roman" w:cs="Times New Roman"/>
          <w:sz w:val="24"/>
          <w:szCs w:val="24"/>
          <w:lang w:val="en-US"/>
        </w:rPr>
        <w:t xml:space="preserve"> apparent financial and technical risk, deemed as the main impediments in solar and battery adoption research (Solar Energy UK, 2024).</w:t>
      </w:r>
    </w:p>
    <w:p w:rsidR="00625AB6" w:rsidRDefault="00625AB6" w:rsidP="00625AB6">
      <w:pPr>
        <w:spacing w:line="360" w:lineRule="auto"/>
        <w:jc w:val="both"/>
        <w:rPr>
          <w:rFonts w:ascii="Times New Roman" w:hAnsi="Times New Roman" w:cs="Times New Roman"/>
          <w:sz w:val="24"/>
          <w:szCs w:val="24"/>
          <w:lang w:val="en-US"/>
        </w:rPr>
      </w:pPr>
      <w:r w:rsidRPr="00625AB6">
        <w:rPr>
          <w:rFonts w:ascii="Times New Roman" w:hAnsi="Times New Roman" w:cs="Times New Roman"/>
          <w:noProof/>
          <w:sz w:val="24"/>
          <w:szCs w:val="24"/>
          <w:lang w:val="en-US"/>
        </w:rPr>
        <mc:AlternateContent>
          <mc:Choice Requires="wps">
            <w:drawing>
              <wp:anchor distT="45720" distB="45720" distL="114300" distR="114300" simplePos="0" relativeHeight="251659264" behindDoc="0" locked="0" layoutInCell="1" allowOverlap="1" wp14:anchorId="36FD9ECC" wp14:editId="3AC1D326">
                <wp:simplePos x="0" y="0"/>
                <wp:positionH relativeFrom="margin">
                  <wp:align>right</wp:align>
                </wp:positionH>
                <wp:positionV relativeFrom="paragraph">
                  <wp:posOffset>410210</wp:posOffset>
                </wp:positionV>
                <wp:extent cx="5721350" cy="452120"/>
                <wp:effectExtent l="0" t="0" r="127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452120"/>
                        </a:xfrm>
                        <a:prstGeom prst="rect">
                          <a:avLst/>
                        </a:prstGeom>
                        <a:solidFill>
                          <a:srgbClr val="FFFFFF"/>
                        </a:solidFill>
                        <a:ln w="9525">
                          <a:solidFill>
                            <a:srgbClr val="000000"/>
                          </a:solidFill>
                          <a:miter lim="800000"/>
                          <a:headEnd/>
                          <a:tailEnd/>
                        </a:ln>
                      </wps:spPr>
                      <wps:txbx>
                        <w:txbxContent>
                          <w:p w:rsidR="00625AB6" w:rsidRPr="00625AB6" w:rsidRDefault="00625AB6" w:rsidP="00625AB6">
                            <w:pPr>
                              <w:spacing w:line="360" w:lineRule="auto"/>
                              <w:jc w:val="center"/>
                              <w:rPr>
                                <w:rFonts w:ascii="Times New Roman" w:hAnsi="Times New Roman" w:cs="Times New Roman"/>
                                <w:color w:val="2F5496" w:themeColor="accent1" w:themeShade="BF"/>
                                <w:sz w:val="24"/>
                                <w:szCs w:val="24"/>
                                <w:lang w:val="en-US"/>
                              </w:rPr>
                            </w:pPr>
                            <w:r w:rsidRPr="00625AB6">
                              <w:rPr>
                                <w:rFonts w:ascii="Times New Roman" w:hAnsi="Times New Roman" w:cs="Times New Roman"/>
                                <w:color w:val="2F5496" w:themeColor="accent1" w:themeShade="BF"/>
                                <w:sz w:val="24"/>
                                <w:szCs w:val="24"/>
                                <w:lang w:val="en-US"/>
                              </w:rPr>
                              <w:t>Customer journey map: Assessment → Survey → Installation → Optimisation.</w:t>
                            </w:r>
                          </w:p>
                          <w:p w:rsidR="00625AB6" w:rsidRDefault="00625AB6" w:rsidP="00625A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D9ECC" id="_x0000_s1027" type="#_x0000_t202" style="position:absolute;left:0;text-align:left;margin-left:399.3pt;margin-top:32.3pt;width:450.5pt;height:35.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">
                <v:textbox>
                  <w:txbxContent>
                    <w:p w:rsidR="00625AB6" w:rsidRPr="00625AB6" w:rsidRDefault="00625AB6" w:rsidP="00625AB6">
                      <w:pPr>
                        <w:spacing w:line="360" w:lineRule="auto"/>
                        <w:jc w:val="center"/>
                        <w:rPr>
                          <w:rFonts w:ascii="Times New Roman" w:hAnsi="Times New Roman" w:cs="Times New Roman"/>
                          <w:color w:val="2F5496" w:themeColor="accent1" w:themeShade="BF"/>
                          <w:sz w:val="24"/>
                          <w:szCs w:val="24"/>
                          <w:lang w:val="en-US"/>
                        </w:rPr>
                      </w:pPr>
                      <w:r w:rsidRPr="00625AB6">
                        <w:rPr>
                          <w:rFonts w:ascii="Times New Roman" w:hAnsi="Times New Roman" w:cs="Times New Roman"/>
                          <w:color w:val="2F5496" w:themeColor="accent1" w:themeShade="BF"/>
                          <w:sz w:val="24"/>
                          <w:szCs w:val="24"/>
                          <w:lang w:val="en-US"/>
                        </w:rPr>
                        <w:t>Customer journey map: Assessment → Survey → Installation → Optimisation.</w:t>
                      </w:r>
                    </w:p>
                    <w:p w:rsidR="00625AB6" w:rsidRDefault="00625AB6" w:rsidP="00625AB6"/>
                  </w:txbxContent>
                </v:textbox>
                <w10:wrap type="square" anchorx="margin"/>
              </v:shape>
            </w:pict>
          </mc:Fallback>
        </mc:AlternateContent>
      </w:r>
    </w:p>
    <w:p w:rsidR="00022AD4" w:rsidRPr="00022AD4" w:rsidRDefault="00022AD4" w:rsidP="00625AB6">
      <w:pPr>
        <w:pStyle w:val="Heading2"/>
        <w:jc w:val="both"/>
        <w:rPr>
          <w:lang w:val="en-US"/>
        </w:rPr>
      </w:pPr>
      <w:bookmarkStart w:id="23" w:name="_Toc216541558"/>
      <w:r w:rsidRPr="00022AD4">
        <w:rPr>
          <w:lang w:val="en-US"/>
        </w:rPr>
        <w:lastRenderedPageBreak/>
        <w:t>2.7 Physical Evidence</w:t>
      </w:r>
      <w:bookmarkEnd w:id="23"/>
    </w:p>
    <w:p w:rsidR="00943553" w:rsidRPr="00943553" w:rsidRDefault="00943553" w:rsidP="00625AB6">
      <w:pPr>
        <w:spacing w:line="360" w:lineRule="auto"/>
        <w:jc w:val="both"/>
        <w:rPr>
          <w:rFonts w:ascii="Times New Roman" w:hAnsi="Times New Roman" w:cs="Times New Roman"/>
          <w:sz w:val="24"/>
          <w:szCs w:val="24"/>
          <w:lang w:val="en-US"/>
        </w:rPr>
      </w:pPr>
      <w:r w:rsidRPr="00943553">
        <w:rPr>
          <w:rFonts w:ascii="Times New Roman" w:hAnsi="Times New Roman" w:cs="Times New Roman"/>
          <w:sz w:val="24"/>
          <w:szCs w:val="24"/>
          <w:lang w:val="en-US"/>
        </w:rPr>
        <w:t xml:space="preserve">Physical evidence enhances </w:t>
      </w:r>
      <w:r w:rsidR="002B75F8">
        <w:rPr>
          <w:rFonts w:ascii="Times New Roman" w:hAnsi="Times New Roman" w:cs="Times New Roman"/>
          <w:sz w:val="24"/>
          <w:szCs w:val="24"/>
          <w:lang w:val="en-US"/>
        </w:rPr>
        <w:t xml:space="preserve">the </w:t>
      </w:r>
      <w:r w:rsidRPr="00943553">
        <w:rPr>
          <w:rFonts w:ascii="Times New Roman" w:hAnsi="Times New Roman" w:cs="Times New Roman"/>
          <w:sz w:val="24"/>
          <w:szCs w:val="24"/>
          <w:lang w:val="en-US"/>
        </w:rPr>
        <w:t>credibility of services using both material and digital signals. The visible hardware installation, such as Powerwall, inverter and gateway, is an indicator of quality and technological sophistication, which, studies prove, have an impact on the perceived system reliability (Berg Insight, 2025).</w:t>
      </w:r>
    </w:p>
    <w:p w:rsidR="00943553" w:rsidRPr="00022AD4" w:rsidRDefault="002B75F8" w:rsidP="00625AB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Tesla's</w:t>
      </w:r>
      <w:r w:rsidR="00943553" w:rsidRPr="00943553">
        <w:rPr>
          <w:rFonts w:ascii="Times New Roman" w:hAnsi="Times New Roman" w:cs="Times New Roman"/>
          <w:sz w:val="24"/>
          <w:szCs w:val="24"/>
          <w:lang w:val="en-US"/>
        </w:rPr>
        <w:t xml:space="preserve"> mobile app has real-time energy visualisation and monthly performance, which also </w:t>
      </w:r>
      <w:r>
        <w:rPr>
          <w:rFonts w:ascii="Times New Roman" w:hAnsi="Times New Roman" w:cs="Times New Roman"/>
          <w:sz w:val="24"/>
          <w:szCs w:val="24"/>
          <w:lang w:val="en-US"/>
        </w:rPr>
        <w:t>improves</w:t>
      </w:r>
      <w:r w:rsidR="00943553" w:rsidRPr="00943553">
        <w:rPr>
          <w:rFonts w:ascii="Times New Roman" w:hAnsi="Times New Roman" w:cs="Times New Roman"/>
          <w:sz w:val="24"/>
          <w:szCs w:val="24"/>
          <w:lang w:val="en-US"/>
        </w:rPr>
        <w:t xml:space="preserve"> the perception of control and user interaction (Energy Policy Journal, 2022). Customer perceptions are formed by the servicescape effect created by physical and digital signals like good-quality hardware</w:t>
      </w:r>
      <w:r>
        <w:rPr>
          <w:rFonts w:ascii="Times New Roman" w:hAnsi="Times New Roman" w:cs="Times New Roman"/>
          <w:sz w:val="24"/>
          <w:szCs w:val="24"/>
          <w:lang w:val="en-US"/>
        </w:rPr>
        <w:t>,</w:t>
      </w:r>
      <w:r w:rsidR="00943553" w:rsidRPr="00943553">
        <w:rPr>
          <w:rFonts w:ascii="Times New Roman" w:hAnsi="Times New Roman" w:cs="Times New Roman"/>
          <w:sz w:val="24"/>
          <w:szCs w:val="24"/>
          <w:lang w:val="en-US"/>
        </w:rPr>
        <w:t xml:space="preserve"> aesthetics</w:t>
      </w:r>
      <w:r>
        <w:rPr>
          <w:rFonts w:ascii="Times New Roman" w:hAnsi="Times New Roman" w:cs="Times New Roman"/>
          <w:sz w:val="24"/>
          <w:szCs w:val="24"/>
          <w:lang w:val="en-US"/>
        </w:rPr>
        <w:t xml:space="preserve">, </w:t>
      </w:r>
      <w:r w:rsidR="00943553" w:rsidRPr="00943553">
        <w:rPr>
          <w:rFonts w:ascii="Times New Roman" w:hAnsi="Times New Roman" w:cs="Times New Roman"/>
          <w:sz w:val="24"/>
          <w:szCs w:val="24"/>
          <w:lang w:val="en-US"/>
        </w:rPr>
        <w:t>and convenient interface design to enhance perceived professionalism and trust (Bitner, 1992). Warranty forms, performance certificates and demonstration units in stores also define Tesla as a long-term service provider</w:t>
      </w:r>
      <w:r w:rsidR="00022AD4" w:rsidRPr="00022AD4">
        <w:rPr>
          <w:rFonts w:ascii="Times New Roman" w:hAnsi="Times New Roman" w:cs="Times New Roman"/>
          <w:sz w:val="24"/>
          <w:szCs w:val="24"/>
          <w:lang w:val="en-US"/>
        </w:rPr>
        <w:t>.</w:t>
      </w:r>
    </w:p>
    <w:p w:rsidR="00625AB6" w:rsidRDefault="00625AB6" w:rsidP="00625AB6">
      <w:pPr>
        <w:keepNext/>
        <w:spacing w:line="360" w:lineRule="auto"/>
        <w:jc w:val="both"/>
      </w:pPr>
      <w:r>
        <w:rPr>
          <w:rFonts w:ascii="Times New Roman" w:hAnsi="Times New Roman" w:cs="Times New Roman"/>
          <w:noProof/>
          <w:sz w:val="24"/>
          <w:szCs w:val="24"/>
          <w:lang w:val="en-US"/>
        </w:rPr>
        <w:drawing>
          <wp:inline distT="0" distB="0" distL="0" distR="0">
            <wp:extent cx="5731510" cy="2942376"/>
            <wp:effectExtent l="0" t="0" r="2540" b="0"/>
            <wp:docPr id="14702014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01407" name="Picture 1470201407"/>
                    <pic:cNvPicPr/>
                  </pic:nvPicPr>
                  <pic:blipFill rotWithShape="1">
                    <a:blip r:embed="rId16" cstate="print">
                      <a:extLst>
                        <a:ext uri="{28A0092B-C50C-407E-A947-70E740481C1C}">
                          <a14:useLocalDpi xmlns:a14="http://schemas.microsoft.com/office/drawing/2010/main" val="0"/>
                        </a:ext>
                      </a:extLst>
                    </a:blip>
                    <a:srcRect b="15320"/>
                    <a:stretch>
                      <a:fillRect/>
                    </a:stretch>
                  </pic:blipFill>
                  <pic:spPr bwMode="auto">
                    <a:xfrm>
                      <a:off x="0" y="0"/>
                      <a:ext cx="5731510" cy="2942376"/>
                    </a:xfrm>
                    <a:prstGeom prst="rect">
                      <a:avLst/>
                    </a:prstGeom>
                    <a:ln>
                      <a:noFill/>
                    </a:ln>
                    <a:extLst>
                      <a:ext uri="{53640926-AAD7-44D8-BBD7-CCE9431645EC}">
                        <a14:shadowObscured xmlns:a14="http://schemas.microsoft.com/office/drawing/2010/main"/>
                      </a:ext>
                    </a:extLst>
                  </pic:spPr>
                </pic:pic>
              </a:graphicData>
            </a:graphic>
          </wp:inline>
        </w:drawing>
      </w:r>
    </w:p>
    <w:p w:rsidR="00625AB6" w:rsidRPr="008227F7" w:rsidRDefault="00625AB6" w:rsidP="00625AB6">
      <w:pPr>
        <w:pStyle w:val="Caption"/>
        <w:jc w:val="both"/>
        <w:rPr>
          <w:rFonts w:ascii="Times New Roman" w:hAnsi="Times New Roman" w:cs="Times New Roman"/>
          <w:b/>
          <w:bCs/>
          <w:sz w:val="28"/>
          <w:szCs w:val="28"/>
          <w:lang w:val="en-US"/>
        </w:rPr>
      </w:pPr>
      <w:bookmarkStart w:id="24" w:name="_Toc216216791"/>
      <w:r w:rsidRPr="00625AB6">
        <w:rPr>
          <w:b/>
          <w:bCs/>
          <w:sz w:val="20"/>
          <w:szCs w:val="20"/>
        </w:rPr>
        <w:t xml:space="preserve">Figure </w:t>
      </w:r>
      <w:r w:rsidRPr="00625AB6">
        <w:rPr>
          <w:b/>
          <w:bCs/>
          <w:sz w:val="20"/>
          <w:szCs w:val="20"/>
        </w:rPr>
        <w:fldChar w:fldCharType="begin"/>
      </w:r>
      <w:r w:rsidRPr="00625AB6">
        <w:rPr>
          <w:b/>
          <w:bCs/>
          <w:sz w:val="20"/>
          <w:szCs w:val="20"/>
        </w:rPr>
        <w:instrText xml:space="preserve"> SEQ Figure \* ARABIC </w:instrText>
      </w:r>
      <w:r w:rsidRPr="00625AB6">
        <w:rPr>
          <w:b/>
          <w:bCs/>
          <w:sz w:val="20"/>
          <w:szCs w:val="20"/>
        </w:rPr>
        <w:fldChar w:fldCharType="separate"/>
      </w:r>
      <w:r w:rsidRPr="00625AB6">
        <w:rPr>
          <w:b/>
          <w:bCs/>
          <w:noProof/>
          <w:sz w:val="20"/>
          <w:szCs w:val="20"/>
        </w:rPr>
        <w:t>8</w:t>
      </w:r>
      <w:r w:rsidRPr="00625AB6">
        <w:rPr>
          <w:b/>
          <w:bCs/>
          <w:sz w:val="20"/>
          <w:szCs w:val="20"/>
        </w:rPr>
        <w:fldChar w:fldCharType="end"/>
      </w:r>
      <w:r w:rsidRPr="00625AB6">
        <w:rPr>
          <w:b/>
          <w:bCs/>
          <w:sz w:val="20"/>
          <w:szCs w:val="20"/>
        </w:rPr>
        <w:t>: Example Tesla GridHome dashboard.</w:t>
      </w:r>
      <w:r>
        <w:rPr>
          <w:b/>
          <w:bCs/>
          <w:sz w:val="20"/>
          <w:szCs w:val="20"/>
        </w:rPr>
        <w:t xml:space="preserve"> (Source: Author’s Own)</w:t>
      </w:r>
      <w:bookmarkEnd w:id="24"/>
    </w:p>
    <w:p w:rsidR="008227F7" w:rsidRPr="008227F7" w:rsidRDefault="008227F7" w:rsidP="00625AB6">
      <w:pPr>
        <w:pStyle w:val="Heading1"/>
        <w:jc w:val="both"/>
        <w:rPr>
          <w:lang w:val="en-US"/>
        </w:rPr>
      </w:pPr>
      <w:bookmarkStart w:id="25" w:name="_Toc216541559"/>
      <w:r w:rsidRPr="008227F7">
        <w:rPr>
          <w:lang w:val="en-US"/>
        </w:rPr>
        <w:t>ELEMENT 3: MARKETING STRATEGY PITCH SUMMARY</w:t>
      </w:r>
      <w:bookmarkEnd w:id="25"/>
    </w:p>
    <w:p w:rsidR="00943553" w:rsidRPr="00943553" w:rsidRDefault="00943553" w:rsidP="00625AB6">
      <w:pPr>
        <w:spacing w:line="360" w:lineRule="auto"/>
        <w:jc w:val="both"/>
        <w:rPr>
          <w:rFonts w:ascii="Times New Roman" w:hAnsi="Times New Roman" w:cs="Times New Roman"/>
          <w:b/>
          <w:bCs/>
          <w:sz w:val="24"/>
          <w:szCs w:val="24"/>
        </w:rPr>
      </w:pPr>
      <w:r w:rsidRPr="00943553">
        <w:rPr>
          <w:rFonts w:ascii="Times New Roman" w:hAnsi="Times New Roman" w:cs="Times New Roman"/>
          <w:b/>
          <w:bCs/>
          <w:sz w:val="24"/>
          <w:szCs w:val="24"/>
        </w:rPr>
        <w:t xml:space="preserve">“What do you think of </w:t>
      </w:r>
      <w:r w:rsidR="00C9236A">
        <w:rPr>
          <w:rFonts w:ascii="Times New Roman" w:hAnsi="Times New Roman" w:cs="Times New Roman"/>
          <w:b/>
          <w:bCs/>
          <w:sz w:val="24"/>
          <w:szCs w:val="24"/>
        </w:rPr>
        <w:t xml:space="preserve">a </w:t>
      </w:r>
      <w:r w:rsidRPr="00943553">
        <w:rPr>
          <w:rFonts w:ascii="Times New Roman" w:hAnsi="Times New Roman" w:cs="Times New Roman"/>
          <w:b/>
          <w:bCs/>
          <w:sz w:val="24"/>
          <w:szCs w:val="24"/>
        </w:rPr>
        <w:t>home paying its bills to itself?</w:t>
      </w:r>
    </w:p>
    <w:p w:rsidR="008227F7" w:rsidRPr="008227F7" w:rsidRDefault="00943553" w:rsidP="00625AB6">
      <w:pPr>
        <w:spacing w:line="360" w:lineRule="auto"/>
        <w:jc w:val="both"/>
        <w:rPr>
          <w:rFonts w:ascii="Times New Roman" w:hAnsi="Times New Roman" w:cs="Times New Roman"/>
          <w:sz w:val="24"/>
          <w:szCs w:val="24"/>
          <w:lang w:val="en-US"/>
        </w:rPr>
      </w:pPr>
      <w:r w:rsidRPr="00943553">
        <w:rPr>
          <w:rFonts w:ascii="Times New Roman" w:hAnsi="Times New Roman" w:cs="Times New Roman"/>
          <w:sz w:val="24"/>
          <w:szCs w:val="24"/>
        </w:rPr>
        <w:t xml:space="preserve">Families in the UK and EU continue to experience long-term tariff endurance, erratic grid stability and discontinuous smart-homes. Tesla GridHome will address these challenges by proposing an AI-based subscription that integrates Powerwall 3 storage, solar optimisation and smart-meter smartness and EV-charging automation into one intelligent user-oriented platform. Its platform provides predictable domestic energy prices, greater outage resiliency and </w:t>
      </w:r>
      <w:r w:rsidRPr="00943553">
        <w:rPr>
          <w:rFonts w:ascii="Times New Roman" w:hAnsi="Times New Roman" w:cs="Times New Roman"/>
          <w:sz w:val="24"/>
          <w:szCs w:val="24"/>
        </w:rPr>
        <w:lastRenderedPageBreak/>
        <w:t xml:space="preserve">confirmable carbon </w:t>
      </w:r>
      <w:r w:rsidR="00C9236A">
        <w:rPr>
          <w:rFonts w:ascii="Times New Roman" w:hAnsi="Times New Roman" w:cs="Times New Roman"/>
          <w:sz w:val="24"/>
          <w:szCs w:val="24"/>
        </w:rPr>
        <w:t>elimination</w:t>
      </w:r>
      <w:r w:rsidRPr="00943553">
        <w:rPr>
          <w:rFonts w:ascii="Times New Roman" w:hAnsi="Times New Roman" w:cs="Times New Roman"/>
          <w:sz w:val="24"/>
          <w:szCs w:val="24"/>
        </w:rPr>
        <w:t xml:space="preserve"> by persistent analytics and preventive care. The market validation is positive: by 2030, the market of home-energy management systems is estimated to exceed USD 150 billion; by 2024, there were more than 3.8 million installed energy-management systems in Europe (Berg Insight, 2025). Systems With ESGridHome utilises </w:t>
      </w:r>
      <w:r w:rsidR="00C9236A">
        <w:rPr>
          <w:rFonts w:ascii="Times New Roman" w:hAnsi="Times New Roman" w:cs="Times New Roman"/>
          <w:sz w:val="24"/>
          <w:szCs w:val="24"/>
        </w:rPr>
        <w:t>Tesla's</w:t>
      </w:r>
      <w:r w:rsidRPr="00943553">
        <w:rPr>
          <w:rFonts w:ascii="Times New Roman" w:hAnsi="Times New Roman" w:cs="Times New Roman"/>
          <w:sz w:val="24"/>
          <w:szCs w:val="24"/>
        </w:rPr>
        <w:t xml:space="preserve"> technical leadership and its base of existing EV customers to quickly adopt through specific pilots, strategic utility partnerships and flexible financing to reduce the barriers to entry. We expect the phased </w:t>
      </w:r>
      <w:r w:rsidR="00C9236A">
        <w:rPr>
          <w:rFonts w:ascii="Times New Roman" w:hAnsi="Times New Roman" w:cs="Times New Roman"/>
          <w:sz w:val="24"/>
          <w:szCs w:val="24"/>
        </w:rPr>
        <w:t>rollout</w:t>
      </w:r>
      <w:r w:rsidRPr="00943553">
        <w:rPr>
          <w:rFonts w:ascii="Times New Roman" w:hAnsi="Times New Roman" w:cs="Times New Roman"/>
          <w:sz w:val="24"/>
          <w:szCs w:val="24"/>
        </w:rPr>
        <w:t xml:space="preserve"> in Q2 2026 and will start with high penetration UK areas to prove the resilience</w:t>
      </w:r>
      <w:r w:rsidR="002B75F8">
        <w:rPr>
          <w:rFonts w:ascii="Times New Roman" w:hAnsi="Times New Roman" w:cs="Times New Roman"/>
          <w:sz w:val="24"/>
          <w:szCs w:val="24"/>
        </w:rPr>
        <w:t>,</w:t>
      </w:r>
      <w:r w:rsidRPr="00943553">
        <w:rPr>
          <w:rFonts w:ascii="Times New Roman" w:hAnsi="Times New Roman" w:cs="Times New Roman"/>
          <w:sz w:val="24"/>
          <w:szCs w:val="24"/>
        </w:rPr>
        <w:t xml:space="preserve"> savings and results of the bills.</w:t>
      </w:r>
    </w:p>
    <w:p w:rsidR="008227F7" w:rsidRPr="008227F7" w:rsidRDefault="008227F7" w:rsidP="00625AB6">
      <w:pPr>
        <w:pStyle w:val="Heading1"/>
        <w:jc w:val="both"/>
        <w:rPr>
          <w:lang w:val="en-US"/>
        </w:rPr>
      </w:pPr>
      <w:bookmarkStart w:id="26" w:name="_Toc216541560"/>
      <w:r w:rsidRPr="008227F7">
        <w:rPr>
          <w:lang w:val="en-US"/>
        </w:rPr>
        <w:t>ELEMENT 4: REFLECTION</w:t>
      </w:r>
      <w:bookmarkEnd w:id="26"/>
    </w:p>
    <w:p w:rsidR="00674D17" w:rsidRPr="006573FC" w:rsidRDefault="00C9236A" w:rsidP="00625AB6">
      <w:pPr>
        <w:spacing w:line="360" w:lineRule="auto"/>
        <w:jc w:val="both"/>
        <w:rPr>
          <w:rFonts w:ascii="Times New Roman" w:hAnsi="Times New Roman" w:cs="Times New Roman"/>
          <w:sz w:val="24"/>
          <w:szCs w:val="24"/>
          <w:lang w:val="en-US"/>
        </w:rPr>
      </w:pPr>
      <w:r w:rsidRPr="00C9236A">
        <w:rPr>
          <w:rFonts w:ascii="Times New Roman" w:hAnsi="Times New Roman" w:cs="Times New Roman"/>
          <w:sz w:val="24"/>
          <w:szCs w:val="24"/>
        </w:rPr>
        <w:t>As part of the Tesla GridHome development, I was able to reconcile the concepts of marketing theory and a complicated real-life issue of sustainability.</w:t>
      </w:r>
    </w:p>
    <w:p w:rsidR="00674D17" w:rsidRPr="00674D17" w:rsidRDefault="00674D17" w:rsidP="00625AB6">
      <w:pPr>
        <w:spacing w:line="360" w:lineRule="auto"/>
        <w:jc w:val="both"/>
        <w:rPr>
          <w:rFonts w:ascii="Times New Roman" w:hAnsi="Times New Roman" w:cs="Times New Roman"/>
          <w:sz w:val="24"/>
          <w:szCs w:val="24"/>
          <w:lang w:val="en-US"/>
        </w:rPr>
      </w:pPr>
      <w:r w:rsidRPr="00674D17">
        <w:rPr>
          <w:rFonts w:ascii="Times New Roman" w:hAnsi="Times New Roman" w:cs="Times New Roman"/>
          <w:b/>
          <w:bCs/>
          <w:sz w:val="24"/>
          <w:szCs w:val="24"/>
          <w:lang w:val="en-US"/>
        </w:rPr>
        <w:t>Description</w:t>
      </w:r>
      <w:r w:rsidRPr="00674D17">
        <w:rPr>
          <w:rFonts w:ascii="Times New Roman" w:hAnsi="Times New Roman" w:cs="Times New Roman"/>
          <w:sz w:val="24"/>
          <w:szCs w:val="24"/>
          <w:lang w:val="en-US"/>
        </w:rPr>
        <w:br/>
      </w:r>
      <w:r w:rsidR="00C9236A" w:rsidRPr="00C9236A">
        <w:rPr>
          <w:rFonts w:ascii="Times New Roman" w:hAnsi="Times New Roman" w:cs="Times New Roman"/>
          <w:sz w:val="24"/>
          <w:szCs w:val="24"/>
        </w:rPr>
        <w:t xml:space="preserve">This work entailed the creation of Tesla GridHome: a new subscription-based </w:t>
      </w:r>
      <w:r w:rsidR="00C9236A">
        <w:rPr>
          <w:rFonts w:ascii="Times New Roman" w:hAnsi="Times New Roman" w:cs="Times New Roman"/>
          <w:sz w:val="24"/>
          <w:szCs w:val="24"/>
        </w:rPr>
        <w:t>house-energy</w:t>
      </w:r>
      <w:r w:rsidR="00C9236A" w:rsidRPr="00C9236A">
        <w:rPr>
          <w:rFonts w:ascii="Times New Roman" w:hAnsi="Times New Roman" w:cs="Times New Roman"/>
          <w:sz w:val="24"/>
          <w:szCs w:val="24"/>
        </w:rPr>
        <w:t xml:space="preserve"> brand. I was expected to use STDP and the 7Ps to develop a coherent marketing plan, create a poster and pitch as an investor in a brief speech</w:t>
      </w:r>
      <w:r w:rsidRPr="00674D17">
        <w:rPr>
          <w:rFonts w:ascii="Times New Roman" w:hAnsi="Times New Roman" w:cs="Times New Roman"/>
          <w:sz w:val="24"/>
          <w:szCs w:val="24"/>
          <w:lang w:val="en-US"/>
        </w:rPr>
        <w:t>.</w:t>
      </w:r>
    </w:p>
    <w:p w:rsidR="00674D17" w:rsidRPr="00674D17" w:rsidRDefault="00674D17" w:rsidP="00625AB6">
      <w:pPr>
        <w:spacing w:line="360" w:lineRule="auto"/>
        <w:jc w:val="both"/>
        <w:rPr>
          <w:rFonts w:ascii="Times New Roman" w:hAnsi="Times New Roman" w:cs="Times New Roman"/>
          <w:sz w:val="24"/>
          <w:szCs w:val="24"/>
          <w:lang w:val="en-US"/>
        </w:rPr>
      </w:pPr>
      <w:r w:rsidRPr="00674D17">
        <w:rPr>
          <w:rFonts w:ascii="Times New Roman" w:hAnsi="Times New Roman" w:cs="Times New Roman"/>
          <w:b/>
          <w:bCs/>
          <w:sz w:val="24"/>
          <w:szCs w:val="24"/>
          <w:lang w:val="en-US"/>
        </w:rPr>
        <w:t>Feelings</w:t>
      </w:r>
      <w:r w:rsidRPr="00674D17">
        <w:rPr>
          <w:rFonts w:ascii="Times New Roman" w:hAnsi="Times New Roman" w:cs="Times New Roman"/>
          <w:sz w:val="24"/>
          <w:szCs w:val="24"/>
          <w:lang w:val="en-US"/>
        </w:rPr>
        <w:br/>
      </w:r>
      <w:r w:rsidR="00C9236A" w:rsidRPr="00C9236A">
        <w:rPr>
          <w:rFonts w:ascii="Times New Roman" w:hAnsi="Times New Roman" w:cs="Times New Roman"/>
          <w:sz w:val="24"/>
          <w:szCs w:val="24"/>
        </w:rPr>
        <w:t xml:space="preserve">I was excited and daunted in the very beginning. I was excited that the brief gave a chance to use </w:t>
      </w:r>
      <w:r w:rsidR="00C9236A">
        <w:rPr>
          <w:rFonts w:ascii="Times New Roman" w:hAnsi="Times New Roman" w:cs="Times New Roman"/>
          <w:sz w:val="24"/>
          <w:szCs w:val="24"/>
        </w:rPr>
        <w:t xml:space="preserve">a </w:t>
      </w:r>
      <w:r w:rsidR="00C9236A" w:rsidRPr="00C9236A">
        <w:rPr>
          <w:rFonts w:ascii="Times New Roman" w:hAnsi="Times New Roman" w:cs="Times New Roman"/>
          <w:sz w:val="24"/>
          <w:szCs w:val="24"/>
        </w:rPr>
        <w:t xml:space="preserve">creative strategy in a real industry setting; despondent since I had to produce </w:t>
      </w:r>
      <w:r w:rsidR="00C9236A">
        <w:rPr>
          <w:rFonts w:ascii="Times New Roman" w:hAnsi="Times New Roman" w:cs="Times New Roman"/>
          <w:sz w:val="24"/>
          <w:szCs w:val="24"/>
        </w:rPr>
        <w:t xml:space="preserve">a </w:t>
      </w:r>
      <w:r w:rsidR="00C9236A" w:rsidRPr="00C9236A">
        <w:rPr>
          <w:rFonts w:ascii="Times New Roman" w:hAnsi="Times New Roman" w:cs="Times New Roman"/>
          <w:sz w:val="24"/>
          <w:szCs w:val="24"/>
        </w:rPr>
        <w:t>rigorous and evidence-based argument that would be of Level-7 work.</w:t>
      </w:r>
    </w:p>
    <w:p w:rsidR="00674D17" w:rsidRPr="00674D17" w:rsidRDefault="00674D17" w:rsidP="00625AB6">
      <w:pPr>
        <w:spacing w:line="360" w:lineRule="auto"/>
        <w:jc w:val="both"/>
        <w:rPr>
          <w:rFonts w:ascii="Times New Roman" w:hAnsi="Times New Roman" w:cs="Times New Roman"/>
          <w:sz w:val="24"/>
          <w:szCs w:val="24"/>
          <w:lang w:val="en-US"/>
        </w:rPr>
      </w:pPr>
      <w:r w:rsidRPr="00674D17">
        <w:rPr>
          <w:rFonts w:ascii="Times New Roman" w:hAnsi="Times New Roman" w:cs="Times New Roman"/>
          <w:b/>
          <w:bCs/>
          <w:sz w:val="24"/>
          <w:szCs w:val="24"/>
          <w:lang w:val="en-US"/>
        </w:rPr>
        <w:t>Evaluation</w:t>
      </w:r>
      <w:r w:rsidRPr="00674D17">
        <w:rPr>
          <w:rFonts w:ascii="Times New Roman" w:hAnsi="Times New Roman" w:cs="Times New Roman"/>
          <w:sz w:val="24"/>
          <w:szCs w:val="24"/>
          <w:lang w:val="en-US"/>
        </w:rPr>
        <w:br/>
      </w:r>
      <w:r w:rsidR="00C9236A" w:rsidRPr="00C9236A">
        <w:rPr>
          <w:rFonts w:ascii="Times New Roman" w:hAnsi="Times New Roman" w:cs="Times New Roman"/>
          <w:sz w:val="24"/>
          <w:szCs w:val="24"/>
        </w:rPr>
        <w:t>The positive aspect was the rigorous use of frameworks: segmentation enabled me to find two high-value target markets (Resilient Homeowner; Sustainable Investor), and the 7Ps made me make practical choices regarding pricing, distribution and service delivery. The adoption of current market reports enhanced credibility and enabled me to simulate real-world situations. Difficulties were to be sure that GridHome was a truly new brand, not just a repackaging of the already available Tesla hardware</w:t>
      </w:r>
      <w:r w:rsidR="00C9236A">
        <w:rPr>
          <w:rFonts w:ascii="Times New Roman" w:hAnsi="Times New Roman" w:cs="Times New Roman"/>
          <w:sz w:val="24"/>
          <w:szCs w:val="24"/>
        </w:rPr>
        <w:t>,</w:t>
      </w:r>
      <w:r w:rsidR="00C9236A" w:rsidRPr="00C9236A">
        <w:rPr>
          <w:rFonts w:ascii="Times New Roman" w:hAnsi="Times New Roman" w:cs="Times New Roman"/>
          <w:sz w:val="24"/>
          <w:szCs w:val="24"/>
        </w:rPr>
        <w:t xml:space="preserve"> and to find peer-reviewed articles that specifically consider the household response to subscription energy services, as opposed to hardware-only</w:t>
      </w:r>
      <w:r w:rsidRPr="00674D17">
        <w:rPr>
          <w:rFonts w:ascii="Times New Roman" w:hAnsi="Times New Roman" w:cs="Times New Roman"/>
          <w:sz w:val="24"/>
          <w:szCs w:val="24"/>
          <w:lang w:val="en-US"/>
        </w:rPr>
        <w:t>.</w:t>
      </w:r>
    </w:p>
    <w:p w:rsidR="00674D17" w:rsidRPr="00674D17" w:rsidRDefault="00674D17" w:rsidP="00625AB6">
      <w:pPr>
        <w:spacing w:line="360" w:lineRule="auto"/>
        <w:jc w:val="both"/>
        <w:rPr>
          <w:rFonts w:ascii="Times New Roman" w:hAnsi="Times New Roman" w:cs="Times New Roman"/>
          <w:sz w:val="24"/>
          <w:szCs w:val="24"/>
          <w:lang w:val="en-US"/>
        </w:rPr>
      </w:pPr>
      <w:r w:rsidRPr="00674D17">
        <w:rPr>
          <w:rFonts w:ascii="Times New Roman" w:hAnsi="Times New Roman" w:cs="Times New Roman"/>
          <w:b/>
          <w:bCs/>
          <w:sz w:val="24"/>
          <w:szCs w:val="24"/>
          <w:lang w:val="en-US"/>
        </w:rPr>
        <w:t>Analysis</w:t>
      </w:r>
      <w:r w:rsidRPr="00674D17">
        <w:rPr>
          <w:rFonts w:ascii="Times New Roman" w:hAnsi="Times New Roman" w:cs="Times New Roman"/>
          <w:sz w:val="24"/>
          <w:szCs w:val="24"/>
          <w:lang w:val="en-US"/>
        </w:rPr>
        <w:br/>
      </w:r>
      <w:r w:rsidR="00C9236A" w:rsidRPr="00C9236A">
        <w:rPr>
          <w:rFonts w:ascii="Times New Roman" w:hAnsi="Times New Roman" w:cs="Times New Roman"/>
          <w:sz w:val="24"/>
          <w:szCs w:val="24"/>
        </w:rPr>
        <w:t xml:space="preserve">The </w:t>
      </w:r>
      <w:r w:rsidR="00C9236A">
        <w:rPr>
          <w:rFonts w:ascii="Times New Roman" w:hAnsi="Times New Roman" w:cs="Times New Roman"/>
          <w:sz w:val="24"/>
          <w:szCs w:val="24"/>
        </w:rPr>
        <w:t>practice</w:t>
      </w:r>
      <w:r w:rsidR="00C9236A" w:rsidRPr="00C9236A">
        <w:rPr>
          <w:rFonts w:ascii="Times New Roman" w:hAnsi="Times New Roman" w:cs="Times New Roman"/>
          <w:sz w:val="24"/>
          <w:szCs w:val="24"/>
        </w:rPr>
        <w:t xml:space="preserve"> brought out </w:t>
      </w:r>
      <w:r w:rsidR="00C9236A">
        <w:rPr>
          <w:rFonts w:ascii="Times New Roman" w:hAnsi="Times New Roman" w:cs="Times New Roman"/>
          <w:sz w:val="24"/>
          <w:szCs w:val="24"/>
        </w:rPr>
        <w:t>several</w:t>
      </w:r>
      <w:r w:rsidR="00C9236A" w:rsidRPr="00C9236A">
        <w:rPr>
          <w:rFonts w:ascii="Times New Roman" w:hAnsi="Times New Roman" w:cs="Times New Roman"/>
          <w:sz w:val="24"/>
          <w:szCs w:val="24"/>
        </w:rPr>
        <w:t xml:space="preserve"> learning points. First, the strategic framework can only be effectively used when it is accompanied by empirical modelling: segmentation without data would start to appear speculative. Second, service design should include a </w:t>
      </w:r>
      <w:r w:rsidR="00C9236A">
        <w:rPr>
          <w:rFonts w:ascii="Times New Roman" w:hAnsi="Times New Roman" w:cs="Times New Roman"/>
          <w:sz w:val="24"/>
          <w:szCs w:val="24"/>
        </w:rPr>
        <w:t>well-thought-out</w:t>
      </w:r>
      <w:r w:rsidR="00C9236A" w:rsidRPr="00C9236A">
        <w:rPr>
          <w:rFonts w:ascii="Times New Roman" w:hAnsi="Times New Roman" w:cs="Times New Roman"/>
          <w:sz w:val="24"/>
          <w:szCs w:val="24"/>
        </w:rPr>
        <w:t xml:space="preserve"> </w:t>
      </w:r>
      <w:r w:rsidR="00C9236A" w:rsidRPr="00C9236A">
        <w:rPr>
          <w:rFonts w:ascii="Times New Roman" w:hAnsi="Times New Roman" w:cs="Times New Roman"/>
          <w:sz w:val="24"/>
          <w:szCs w:val="24"/>
        </w:rPr>
        <w:lastRenderedPageBreak/>
        <w:t xml:space="preserve">concern regarding </w:t>
      </w:r>
      <w:r w:rsidR="00C9236A">
        <w:rPr>
          <w:rFonts w:ascii="Times New Roman" w:hAnsi="Times New Roman" w:cs="Times New Roman"/>
          <w:sz w:val="24"/>
          <w:szCs w:val="24"/>
        </w:rPr>
        <w:t>operational</w:t>
      </w:r>
      <w:r w:rsidR="00C9236A" w:rsidRPr="00C9236A">
        <w:rPr>
          <w:rFonts w:ascii="Times New Roman" w:hAnsi="Times New Roman" w:cs="Times New Roman"/>
          <w:sz w:val="24"/>
          <w:szCs w:val="24"/>
        </w:rPr>
        <w:t xml:space="preserve"> feasibility - i.e. 24/7 monitoring and installer certification are not provisions; they lie at the heart of customer trust. Third, persuasive communication (the pitch) requires terse linking of customer pain, quantifiable results</w:t>
      </w:r>
      <w:r w:rsidR="00C9236A">
        <w:rPr>
          <w:rFonts w:ascii="Times New Roman" w:hAnsi="Times New Roman" w:cs="Times New Roman"/>
          <w:sz w:val="24"/>
          <w:szCs w:val="24"/>
        </w:rPr>
        <w:t>,</w:t>
      </w:r>
      <w:r w:rsidR="00C9236A" w:rsidRPr="00C9236A">
        <w:rPr>
          <w:rFonts w:ascii="Times New Roman" w:hAnsi="Times New Roman" w:cs="Times New Roman"/>
          <w:sz w:val="24"/>
          <w:szCs w:val="24"/>
        </w:rPr>
        <w:t xml:space="preserve"> as well as a feasible scaling pathway. This theory-data and communication integration is one of the major specialist skills of marketing consultants and managers</w:t>
      </w:r>
      <w:r w:rsidRPr="00674D17">
        <w:rPr>
          <w:rFonts w:ascii="Times New Roman" w:hAnsi="Times New Roman" w:cs="Times New Roman"/>
          <w:sz w:val="24"/>
          <w:szCs w:val="24"/>
          <w:lang w:val="en-US"/>
        </w:rPr>
        <w:t>.</w:t>
      </w:r>
    </w:p>
    <w:p w:rsidR="00674D17" w:rsidRPr="00674D17" w:rsidRDefault="00674D17" w:rsidP="00625AB6">
      <w:pPr>
        <w:spacing w:line="360" w:lineRule="auto"/>
        <w:jc w:val="both"/>
        <w:rPr>
          <w:rFonts w:ascii="Times New Roman" w:hAnsi="Times New Roman" w:cs="Times New Roman"/>
          <w:sz w:val="24"/>
          <w:szCs w:val="24"/>
          <w:lang w:val="en-US"/>
        </w:rPr>
      </w:pPr>
      <w:r w:rsidRPr="00674D17">
        <w:rPr>
          <w:rFonts w:ascii="Times New Roman" w:hAnsi="Times New Roman" w:cs="Times New Roman"/>
          <w:b/>
          <w:bCs/>
          <w:sz w:val="24"/>
          <w:szCs w:val="24"/>
          <w:lang w:val="en-US"/>
        </w:rPr>
        <w:t>Conclusion</w:t>
      </w:r>
      <w:r w:rsidRPr="00674D17">
        <w:rPr>
          <w:rFonts w:ascii="Times New Roman" w:hAnsi="Times New Roman" w:cs="Times New Roman"/>
          <w:sz w:val="24"/>
          <w:szCs w:val="24"/>
          <w:lang w:val="en-US"/>
        </w:rPr>
        <w:br/>
      </w:r>
      <w:r w:rsidR="00C9236A" w:rsidRPr="00C9236A">
        <w:rPr>
          <w:rFonts w:ascii="Times New Roman" w:hAnsi="Times New Roman" w:cs="Times New Roman"/>
          <w:sz w:val="24"/>
          <w:szCs w:val="24"/>
        </w:rPr>
        <w:t xml:space="preserve">I have learnt to translate </w:t>
      </w:r>
      <w:r w:rsidR="00C9236A">
        <w:rPr>
          <w:rFonts w:ascii="Times New Roman" w:hAnsi="Times New Roman" w:cs="Times New Roman"/>
          <w:sz w:val="24"/>
          <w:szCs w:val="24"/>
        </w:rPr>
        <w:t xml:space="preserve">the </w:t>
      </w:r>
      <w:r w:rsidR="00C9236A" w:rsidRPr="00C9236A">
        <w:rPr>
          <w:rFonts w:ascii="Times New Roman" w:hAnsi="Times New Roman" w:cs="Times New Roman"/>
          <w:sz w:val="24"/>
          <w:szCs w:val="24"/>
        </w:rPr>
        <w:t xml:space="preserve">academic framework </w:t>
      </w:r>
      <w:r w:rsidR="00C9236A">
        <w:rPr>
          <w:rFonts w:ascii="Times New Roman" w:hAnsi="Times New Roman" w:cs="Times New Roman"/>
          <w:sz w:val="24"/>
          <w:szCs w:val="24"/>
        </w:rPr>
        <w:t>into</w:t>
      </w:r>
      <w:r w:rsidR="00C9236A" w:rsidRPr="00C9236A">
        <w:rPr>
          <w:rFonts w:ascii="Times New Roman" w:hAnsi="Times New Roman" w:cs="Times New Roman"/>
          <w:sz w:val="24"/>
          <w:szCs w:val="24"/>
        </w:rPr>
        <w:t xml:space="preserve"> </w:t>
      </w:r>
      <w:r w:rsidR="00C9236A">
        <w:rPr>
          <w:rFonts w:ascii="Times New Roman" w:hAnsi="Times New Roman" w:cs="Times New Roman"/>
          <w:sz w:val="24"/>
          <w:szCs w:val="24"/>
        </w:rPr>
        <w:t xml:space="preserve">a </w:t>
      </w:r>
      <w:r w:rsidR="00C9236A" w:rsidRPr="00C9236A">
        <w:rPr>
          <w:rFonts w:ascii="Times New Roman" w:hAnsi="Times New Roman" w:cs="Times New Roman"/>
          <w:sz w:val="24"/>
          <w:szCs w:val="24"/>
        </w:rPr>
        <w:t xml:space="preserve">strategy to be implemented. I became more analytical: I am able to explain my customer targeting, my pricing, </w:t>
      </w:r>
      <w:r w:rsidR="00C9236A">
        <w:rPr>
          <w:rFonts w:ascii="Times New Roman" w:hAnsi="Times New Roman" w:cs="Times New Roman"/>
          <w:sz w:val="24"/>
          <w:szCs w:val="24"/>
        </w:rPr>
        <w:t xml:space="preserve">and </w:t>
      </w:r>
      <w:r w:rsidR="00C9236A" w:rsidRPr="00C9236A">
        <w:rPr>
          <w:rFonts w:ascii="Times New Roman" w:hAnsi="Times New Roman" w:cs="Times New Roman"/>
          <w:sz w:val="24"/>
          <w:szCs w:val="24"/>
        </w:rPr>
        <w:t xml:space="preserve">my distribution choices, using evidence and realistic pilot plans. The project also revealed my </w:t>
      </w:r>
      <w:r w:rsidR="00C9236A">
        <w:rPr>
          <w:rFonts w:ascii="Times New Roman" w:hAnsi="Times New Roman" w:cs="Times New Roman"/>
          <w:sz w:val="24"/>
          <w:szCs w:val="24"/>
        </w:rPr>
        <w:t>practice</w:t>
      </w:r>
      <w:r w:rsidR="00C9236A" w:rsidRPr="00C9236A">
        <w:rPr>
          <w:rFonts w:ascii="Times New Roman" w:hAnsi="Times New Roman" w:cs="Times New Roman"/>
          <w:sz w:val="24"/>
          <w:szCs w:val="24"/>
        </w:rPr>
        <w:t xml:space="preserve"> gaps - in particular, the necessity of primary customer insight and finer financial modelling</w:t>
      </w:r>
      <w:r w:rsidRPr="00674D17">
        <w:rPr>
          <w:rFonts w:ascii="Times New Roman" w:hAnsi="Times New Roman" w:cs="Times New Roman"/>
          <w:sz w:val="24"/>
          <w:szCs w:val="24"/>
          <w:lang w:val="en-US"/>
        </w:rPr>
        <w:t>.</w:t>
      </w:r>
    </w:p>
    <w:p w:rsidR="00674D17" w:rsidRPr="00674D17" w:rsidRDefault="00674D17" w:rsidP="00625AB6">
      <w:pPr>
        <w:spacing w:line="360" w:lineRule="auto"/>
        <w:jc w:val="both"/>
        <w:rPr>
          <w:rFonts w:ascii="Times New Roman" w:hAnsi="Times New Roman" w:cs="Times New Roman"/>
          <w:sz w:val="24"/>
          <w:szCs w:val="24"/>
          <w:lang w:val="en-US"/>
        </w:rPr>
      </w:pPr>
      <w:r w:rsidRPr="00674D17">
        <w:rPr>
          <w:rFonts w:ascii="Times New Roman" w:hAnsi="Times New Roman" w:cs="Times New Roman"/>
          <w:b/>
          <w:bCs/>
          <w:sz w:val="24"/>
          <w:szCs w:val="24"/>
          <w:lang w:val="en-US"/>
        </w:rPr>
        <w:t>Action Plan</w:t>
      </w:r>
      <w:r w:rsidRPr="00674D17">
        <w:rPr>
          <w:rFonts w:ascii="Times New Roman" w:hAnsi="Times New Roman" w:cs="Times New Roman"/>
          <w:sz w:val="24"/>
          <w:szCs w:val="24"/>
          <w:lang w:val="en-US"/>
        </w:rPr>
        <w:br/>
      </w:r>
      <w:r w:rsidR="00C9236A" w:rsidRPr="00C9236A">
        <w:rPr>
          <w:rFonts w:ascii="Times New Roman" w:hAnsi="Times New Roman" w:cs="Times New Roman"/>
          <w:sz w:val="24"/>
          <w:szCs w:val="24"/>
        </w:rPr>
        <w:t xml:space="preserve">Next steps are concrete. To confirm assumptions on willingness-to-pay and preferred subscription features, I will develop a short primary research tool (survey + 10 interviews with customers). To reinforce the pricing justification, I will prepare a basic NPV/NPV sensitivity appendix of three household types. Lastly, I will chart competitor reaction cases and government sensibilities in the UK areas to </w:t>
      </w:r>
      <w:r w:rsidR="00C9236A">
        <w:rPr>
          <w:rFonts w:ascii="Times New Roman" w:hAnsi="Times New Roman" w:cs="Times New Roman"/>
          <w:sz w:val="24"/>
          <w:szCs w:val="24"/>
        </w:rPr>
        <w:t>fine-tune</w:t>
      </w:r>
      <w:r w:rsidR="00C9236A" w:rsidRPr="00C9236A">
        <w:rPr>
          <w:rFonts w:ascii="Times New Roman" w:hAnsi="Times New Roman" w:cs="Times New Roman"/>
          <w:sz w:val="24"/>
          <w:szCs w:val="24"/>
        </w:rPr>
        <w:t xml:space="preserve"> the </w:t>
      </w:r>
      <w:r w:rsidR="00C9236A">
        <w:rPr>
          <w:rFonts w:ascii="Times New Roman" w:hAnsi="Times New Roman" w:cs="Times New Roman"/>
          <w:sz w:val="24"/>
          <w:szCs w:val="24"/>
        </w:rPr>
        <w:t>rollout</w:t>
      </w:r>
      <w:r w:rsidR="00C9236A" w:rsidRPr="00C9236A">
        <w:rPr>
          <w:rFonts w:ascii="Times New Roman" w:hAnsi="Times New Roman" w:cs="Times New Roman"/>
          <w:sz w:val="24"/>
          <w:szCs w:val="24"/>
        </w:rPr>
        <w:t xml:space="preserve"> schedule. These measures will guarantee the coming of strategic work that is academically sound and commercially convincing</w:t>
      </w:r>
      <w:r w:rsidRPr="00674D17">
        <w:rPr>
          <w:rFonts w:ascii="Times New Roman" w:hAnsi="Times New Roman" w:cs="Times New Roman"/>
          <w:sz w:val="24"/>
          <w:szCs w:val="24"/>
          <w:lang w:val="en-US"/>
        </w:rPr>
        <w:t>.</w:t>
      </w:r>
    </w:p>
    <w:p w:rsidR="00E870AF" w:rsidRDefault="00E870AF" w:rsidP="00625AB6">
      <w:pPr>
        <w:pStyle w:val="Heading1"/>
        <w:jc w:val="both"/>
      </w:pPr>
      <w:r>
        <w:br w:type="page"/>
      </w:r>
    </w:p>
    <w:p w:rsidR="00E4328C" w:rsidRPr="00C9236A" w:rsidRDefault="00C9236A" w:rsidP="00625AB6">
      <w:pPr>
        <w:pStyle w:val="Heading1"/>
        <w:jc w:val="both"/>
      </w:pPr>
      <w:bookmarkStart w:id="27" w:name="_Toc216541561"/>
      <w:r>
        <w:lastRenderedPageBreak/>
        <w:t>References</w:t>
      </w:r>
      <w:r w:rsidRPr="00C9236A">
        <w:t>:</w:t>
      </w:r>
      <w:bookmarkEnd w:id="27"/>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Berg Insight</w:t>
      </w:r>
      <w:r w:rsidRPr="006573FC">
        <w:rPr>
          <w:rFonts w:ascii="Times New Roman" w:hAnsi="Times New Roman" w:cs="Times New Roman"/>
          <w:sz w:val="24"/>
          <w:szCs w:val="24"/>
          <w:lang w:val="en-US"/>
        </w:rPr>
        <w:t xml:space="preserve"> (2025) </w:t>
      </w:r>
      <w:r w:rsidRPr="006573FC">
        <w:rPr>
          <w:rFonts w:ascii="Times New Roman" w:hAnsi="Times New Roman" w:cs="Times New Roman"/>
          <w:i/>
          <w:iCs/>
          <w:sz w:val="24"/>
          <w:szCs w:val="24"/>
          <w:lang w:val="en-US"/>
        </w:rPr>
        <w:t>Home Energy Management Systems Market Report 2025</w:t>
      </w:r>
      <w:r w:rsidRPr="006573FC">
        <w:rPr>
          <w:rFonts w:ascii="Times New Roman" w:hAnsi="Times New Roman" w:cs="Times New Roman"/>
          <w:sz w:val="24"/>
          <w:szCs w:val="24"/>
          <w:lang w:val="en-US"/>
        </w:rPr>
        <w:t>. Berg Insight.</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BEIS</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UK Household Energy Expenditure Statistics 2024</w:t>
      </w:r>
      <w:r w:rsidRPr="006573FC">
        <w:rPr>
          <w:rFonts w:ascii="Times New Roman" w:hAnsi="Times New Roman" w:cs="Times New Roman"/>
          <w:sz w:val="24"/>
          <w:szCs w:val="24"/>
          <w:lang w:val="en-US"/>
        </w:rPr>
        <w:t>. Department for Business, Energy &amp; Industrial Strategy.</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Bitner, M.J.</w:t>
      </w:r>
      <w:r w:rsidRPr="006573FC">
        <w:rPr>
          <w:rFonts w:ascii="Times New Roman" w:hAnsi="Times New Roman" w:cs="Times New Roman"/>
          <w:sz w:val="24"/>
          <w:szCs w:val="24"/>
          <w:lang w:val="en-US"/>
        </w:rPr>
        <w:t xml:space="preserve"> (1992) ‘Servicescapes: The impact of physical surroundings on customers and employees’, </w:t>
      </w:r>
      <w:r w:rsidRPr="006573FC">
        <w:rPr>
          <w:rFonts w:ascii="Times New Roman" w:hAnsi="Times New Roman" w:cs="Times New Roman"/>
          <w:i/>
          <w:iCs/>
          <w:sz w:val="24"/>
          <w:szCs w:val="24"/>
          <w:lang w:val="en-US"/>
        </w:rPr>
        <w:t>Journal of Marketing</w:t>
      </w:r>
      <w:r w:rsidRPr="006573FC">
        <w:rPr>
          <w:rFonts w:ascii="Times New Roman" w:hAnsi="Times New Roman" w:cs="Times New Roman"/>
          <w:sz w:val="24"/>
          <w:szCs w:val="24"/>
          <w:lang w:val="en-US"/>
        </w:rPr>
        <w:t>, 56(2), pp. 57–71.</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Davis, F.D.</w:t>
      </w:r>
      <w:r w:rsidRPr="006573FC">
        <w:rPr>
          <w:rFonts w:ascii="Times New Roman" w:hAnsi="Times New Roman" w:cs="Times New Roman"/>
          <w:sz w:val="24"/>
          <w:szCs w:val="24"/>
          <w:lang w:val="en-US"/>
        </w:rPr>
        <w:t xml:space="preserve"> (1989) ‘Perceived usefulness, perceived ease of use, and user acceptance of information technology’, </w:t>
      </w:r>
      <w:r w:rsidRPr="006573FC">
        <w:rPr>
          <w:rFonts w:ascii="Times New Roman" w:hAnsi="Times New Roman" w:cs="Times New Roman"/>
          <w:i/>
          <w:iCs/>
          <w:sz w:val="24"/>
          <w:szCs w:val="24"/>
          <w:lang w:val="en-US"/>
        </w:rPr>
        <w:t>MIS Quarterly</w:t>
      </w:r>
      <w:r w:rsidRPr="006573FC">
        <w:rPr>
          <w:rFonts w:ascii="Times New Roman" w:hAnsi="Times New Roman" w:cs="Times New Roman"/>
          <w:sz w:val="24"/>
          <w:szCs w:val="24"/>
          <w:lang w:val="en-US"/>
        </w:rPr>
        <w:t>, 13(3), pp. 319–340.</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Delmas, M.A. and Burbano, V.</w:t>
      </w:r>
      <w:r w:rsidRPr="006573FC">
        <w:rPr>
          <w:rFonts w:ascii="Times New Roman" w:hAnsi="Times New Roman" w:cs="Times New Roman"/>
          <w:sz w:val="24"/>
          <w:szCs w:val="24"/>
          <w:lang w:val="en-US"/>
        </w:rPr>
        <w:t xml:space="preserve"> (2011) ‘The drivers of greenwashing’, </w:t>
      </w:r>
      <w:r w:rsidRPr="006573FC">
        <w:rPr>
          <w:rFonts w:ascii="Times New Roman" w:hAnsi="Times New Roman" w:cs="Times New Roman"/>
          <w:i/>
          <w:iCs/>
          <w:sz w:val="24"/>
          <w:szCs w:val="24"/>
          <w:lang w:val="en-US"/>
        </w:rPr>
        <w:t>California Management Review</w:t>
      </w:r>
      <w:r w:rsidRPr="006573FC">
        <w:rPr>
          <w:rFonts w:ascii="Times New Roman" w:hAnsi="Times New Roman" w:cs="Times New Roman"/>
          <w:sz w:val="24"/>
          <w:szCs w:val="24"/>
          <w:lang w:val="en-US"/>
        </w:rPr>
        <w:t>, 54(1), pp. 64–87.</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Energy Policy Journal</w:t>
      </w:r>
      <w:r w:rsidRPr="006573FC">
        <w:rPr>
          <w:rFonts w:ascii="Times New Roman" w:hAnsi="Times New Roman" w:cs="Times New Roman"/>
          <w:sz w:val="24"/>
          <w:szCs w:val="24"/>
          <w:lang w:val="en-US"/>
        </w:rPr>
        <w:t xml:space="preserve"> (2022) ‘Consumer adoption of smart-home and energy-management technologies’, </w:t>
      </w:r>
      <w:r w:rsidRPr="006573FC">
        <w:rPr>
          <w:rFonts w:ascii="Times New Roman" w:hAnsi="Times New Roman" w:cs="Times New Roman"/>
          <w:i/>
          <w:iCs/>
          <w:sz w:val="24"/>
          <w:szCs w:val="24"/>
          <w:lang w:val="en-US"/>
        </w:rPr>
        <w:t>Energy Policy</w:t>
      </w:r>
      <w:r w:rsidRPr="006573FC">
        <w:rPr>
          <w:rFonts w:ascii="Times New Roman" w:hAnsi="Times New Roman" w:cs="Times New Roman"/>
          <w:sz w:val="24"/>
          <w:szCs w:val="24"/>
          <w:lang w:val="en-US"/>
        </w:rPr>
        <w:t>, 165, pp. 1–12.</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Eurostat</w:t>
      </w:r>
      <w:r w:rsidRPr="006573FC">
        <w:rPr>
          <w:rFonts w:ascii="Times New Roman" w:hAnsi="Times New Roman" w:cs="Times New Roman"/>
          <w:sz w:val="24"/>
          <w:szCs w:val="24"/>
          <w:lang w:val="en-US"/>
        </w:rPr>
        <w:t xml:space="preserve"> (2025) ‘Domestic output prices for energy in the EU, 2021–2024’. </w:t>
      </w:r>
      <w:r w:rsidRPr="006573FC">
        <w:rPr>
          <w:rFonts w:ascii="Times New Roman" w:hAnsi="Times New Roman" w:cs="Times New Roman"/>
          <w:i/>
          <w:iCs/>
          <w:sz w:val="24"/>
          <w:szCs w:val="24"/>
          <w:lang w:val="en-US"/>
        </w:rPr>
        <w:t>Eurostat News Release</w:t>
      </w:r>
      <w:r w:rsidRPr="006573FC">
        <w:rPr>
          <w:rFonts w:ascii="Times New Roman" w:hAnsi="Times New Roman" w:cs="Times New Roman"/>
          <w:sz w:val="24"/>
          <w:szCs w:val="24"/>
          <w:lang w:val="en-US"/>
        </w:rPr>
        <w:t>, 20 February.</w:t>
      </w:r>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17" w:history="1">
        <w:r w:rsidR="00E870AF" w:rsidRPr="006573FC">
          <w:rPr>
            <w:rStyle w:val="Hyperlink"/>
            <w:rFonts w:ascii="Times New Roman" w:hAnsi="Times New Roman" w:cs="Times New Roman"/>
            <w:sz w:val="24"/>
            <w:szCs w:val="24"/>
            <w:lang w:val="en-US"/>
          </w:rPr>
          <w:t>https://ec.europa.eu/eurostat/web/products-eurostat-news/w/ddn-20250220-1</w:t>
        </w:r>
      </w:hyperlink>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Grand View Research</w:t>
      </w:r>
      <w:r w:rsidRPr="006573FC">
        <w:rPr>
          <w:rFonts w:ascii="Times New Roman" w:hAnsi="Times New Roman" w:cs="Times New Roman"/>
          <w:sz w:val="24"/>
          <w:szCs w:val="24"/>
          <w:lang w:val="en-US"/>
        </w:rPr>
        <w:t xml:space="preserve"> (2023) </w:t>
      </w:r>
      <w:r w:rsidRPr="006573FC">
        <w:rPr>
          <w:rFonts w:ascii="Times New Roman" w:hAnsi="Times New Roman" w:cs="Times New Roman"/>
          <w:i/>
          <w:iCs/>
          <w:sz w:val="24"/>
          <w:szCs w:val="24"/>
          <w:lang w:val="en-US"/>
        </w:rPr>
        <w:t>Smart Home Energy Management Market Size, Share &amp; Trends Analysis Report 2023–2029</w:t>
      </w:r>
      <w:r w:rsidRPr="006573FC">
        <w:rPr>
          <w:rFonts w:ascii="Times New Roman" w:hAnsi="Times New Roman" w:cs="Times New Roman"/>
          <w:sz w:val="24"/>
          <w:szCs w:val="24"/>
          <w:lang w:val="en-US"/>
        </w:rPr>
        <w:t>. Grand View Research.</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Grand View Research</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Energy Management Systems: Market Analysis &amp; Forecast 2024–2030</w:t>
      </w:r>
      <w:r w:rsidRPr="006573FC">
        <w:rPr>
          <w:rFonts w:ascii="Times New Roman" w:hAnsi="Times New Roman" w:cs="Times New Roman"/>
          <w:sz w:val="24"/>
          <w:szCs w:val="24"/>
          <w:lang w:val="en-US"/>
        </w:rPr>
        <w:t>.</w:t>
      </w:r>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18" w:history="1">
        <w:r w:rsidR="00E870AF" w:rsidRPr="00C51ABC">
          <w:rPr>
            <w:rStyle w:val="Hyperlink"/>
            <w:rFonts w:ascii="Times New Roman" w:hAnsi="Times New Roman" w:cs="Times New Roman"/>
            <w:sz w:val="24"/>
            <w:szCs w:val="24"/>
            <w:lang w:val="en-US"/>
          </w:rPr>
          <w:t>https://www.grandviewresearch.com/industry-analysis/energy-management-systems-market</w:t>
        </w:r>
      </w:hyperlink>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Grönroos, C.</w:t>
      </w:r>
      <w:r w:rsidRPr="006573FC">
        <w:rPr>
          <w:rFonts w:ascii="Times New Roman" w:hAnsi="Times New Roman" w:cs="Times New Roman"/>
          <w:sz w:val="24"/>
          <w:szCs w:val="24"/>
          <w:lang w:val="en-US"/>
        </w:rPr>
        <w:t xml:space="preserve"> (2007) </w:t>
      </w:r>
      <w:r w:rsidRPr="006573FC">
        <w:rPr>
          <w:rFonts w:ascii="Times New Roman" w:hAnsi="Times New Roman" w:cs="Times New Roman"/>
          <w:i/>
          <w:iCs/>
          <w:sz w:val="24"/>
          <w:szCs w:val="24"/>
          <w:lang w:val="en-US"/>
        </w:rPr>
        <w:t>Service Management and Marketing</w:t>
      </w:r>
      <w:r w:rsidRPr="006573FC">
        <w:rPr>
          <w:rFonts w:ascii="Times New Roman" w:hAnsi="Times New Roman" w:cs="Times New Roman"/>
          <w:sz w:val="24"/>
          <w:szCs w:val="24"/>
          <w:lang w:val="en-US"/>
        </w:rPr>
        <w:t>. 3rd edn. Wiley.</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Hinterhuber, A. and Liozu, S.</w:t>
      </w:r>
      <w:r w:rsidRPr="006573FC">
        <w:rPr>
          <w:rFonts w:ascii="Times New Roman" w:hAnsi="Times New Roman" w:cs="Times New Roman"/>
          <w:sz w:val="24"/>
          <w:szCs w:val="24"/>
          <w:lang w:val="en-US"/>
        </w:rPr>
        <w:t xml:space="preserve"> (2014) ‘Is it time to rethink your pricing strategy?’, </w:t>
      </w:r>
      <w:r w:rsidRPr="006573FC">
        <w:rPr>
          <w:rFonts w:ascii="Times New Roman" w:hAnsi="Times New Roman" w:cs="Times New Roman"/>
          <w:i/>
          <w:iCs/>
          <w:sz w:val="24"/>
          <w:szCs w:val="24"/>
          <w:lang w:val="en-US"/>
        </w:rPr>
        <w:t>Industrial Marketing Management</w:t>
      </w:r>
      <w:r w:rsidRPr="006573FC">
        <w:rPr>
          <w:rFonts w:ascii="Times New Roman" w:hAnsi="Times New Roman" w:cs="Times New Roman"/>
          <w:sz w:val="24"/>
          <w:szCs w:val="24"/>
          <w:lang w:val="en-US"/>
        </w:rPr>
        <w:t>, 43(1), pp. 86–94.</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House of Commons Library</w:t>
      </w:r>
      <w:r w:rsidRPr="006573FC">
        <w:rPr>
          <w:rFonts w:ascii="Times New Roman" w:hAnsi="Times New Roman" w:cs="Times New Roman"/>
          <w:sz w:val="24"/>
          <w:szCs w:val="24"/>
          <w:lang w:val="en-US"/>
        </w:rPr>
        <w:t xml:space="preserve"> (2025) </w:t>
      </w:r>
      <w:r w:rsidRPr="006573FC">
        <w:rPr>
          <w:rFonts w:ascii="Times New Roman" w:hAnsi="Times New Roman" w:cs="Times New Roman"/>
          <w:i/>
          <w:iCs/>
          <w:sz w:val="24"/>
          <w:szCs w:val="24"/>
          <w:lang w:val="en-US"/>
        </w:rPr>
        <w:t>Energy Prices in the UK: 2022–2025 Trends</w:t>
      </w:r>
      <w:r w:rsidRPr="006573FC">
        <w:rPr>
          <w:rFonts w:ascii="Times New Roman" w:hAnsi="Times New Roman" w:cs="Times New Roman"/>
          <w:sz w:val="24"/>
          <w:szCs w:val="24"/>
          <w:lang w:val="en-US"/>
        </w:rPr>
        <w:t>. Research Briefing CBP-9491.</w:t>
      </w:r>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19" w:tgtFrame="_new" w:history="1">
        <w:r w:rsidRPr="006573FC">
          <w:rPr>
            <w:rStyle w:val="Hyperlink"/>
            <w:rFonts w:ascii="Times New Roman" w:hAnsi="Times New Roman" w:cs="Times New Roman"/>
            <w:sz w:val="24"/>
            <w:szCs w:val="24"/>
            <w:lang w:val="en-US"/>
          </w:rPr>
          <w:t>https://commonslibrary.parliament.uk/research-briefings/cbp-9491</w:t>
        </w:r>
      </w:hyperlink>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IEA</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Digital Demand, Energy Efficiency and Grid Resilience Report 2024</w:t>
      </w:r>
      <w:r w:rsidRPr="006573FC">
        <w:rPr>
          <w:rFonts w:ascii="Times New Roman" w:hAnsi="Times New Roman" w:cs="Times New Roman"/>
          <w:sz w:val="24"/>
          <w:szCs w:val="24"/>
          <w:lang w:val="en-US"/>
        </w:rPr>
        <w:t>. International Energy Agency.</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lastRenderedPageBreak/>
        <w:t>IoT-Now</w:t>
      </w:r>
      <w:r w:rsidRPr="006573FC">
        <w:rPr>
          <w:rFonts w:ascii="Times New Roman" w:hAnsi="Times New Roman" w:cs="Times New Roman"/>
          <w:sz w:val="24"/>
          <w:szCs w:val="24"/>
          <w:lang w:val="en-US"/>
        </w:rPr>
        <w:t xml:space="preserve"> (2024) ‘The number of Home Energy Management Systems in Europe and North America reached 4.5 million in 2024’. </w:t>
      </w:r>
      <w:r w:rsidRPr="006573FC">
        <w:rPr>
          <w:rFonts w:ascii="Times New Roman" w:hAnsi="Times New Roman" w:cs="Times New Roman"/>
          <w:i/>
          <w:iCs/>
          <w:sz w:val="24"/>
          <w:szCs w:val="24"/>
          <w:lang w:val="en-US"/>
        </w:rPr>
        <w:t>IoT-Now</w:t>
      </w:r>
      <w:r w:rsidRPr="006573FC">
        <w:rPr>
          <w:rFonts w:ascii="Times New Roman" w:hAnsi="Times New Roman" w:cs="Times New Roman"/>
          <w:sz w:val="24"/>
          <w:szCs w:val="24"/>
          <w:lang w:val="en-US"/>
        </w:rPr>
        <w:t>, 18 August.</w:t>
      </w:r>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20" w:tgtFrame="_new" w:history="1">
        <w:r w:rsidRPr="006573FC">
          <w:rPr>
            <w:rStyle w:val="Hyperlink"/>
            <w:rFonts w:ascii="Times New Roman" w:hAnsi="Times New Roman" w:cs="Times New Roman"/>
            <w:sz w:val="24"/>
            <w:szCs w:val="24"/>
            <w:lang w:val="en-US"/>
          </w:rPr>
          <w:t>https://www.iot-now.com/2025/08/18/152636-the-number-of-home-energy-management-systems-in-europe-and-north-america-reached-4-5-million-in-2024</w:t>
        </w:r>
      </w:hyperlink>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Kotler, P., Keller, K. and Chernev, A.</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Marketing Management</w:t>
      </w:r>
      <w:r w:rsidRPr="006573FC">
        <w:rPr>
          <w:rFonts w:ascii="Times New Roman" w:hAnsi="Times New Roman" w:cs="Times New Roman"/>
          <w:sz w:val="24"/>
          <w:szCs w:val="24"/>
          <w:lang w:val="en-US"/>
        </w:rPr>
        <w:t>. 17th edn. Pearson Education.</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Marikyan, D., Papagiannidis, S. and Alamanos, E.</w:t>
      </w:r>
      <w:r w:rsidRPr="006573FC">
        <w:rPr>
          <w:rFonts w:ascii="Times New Roman" w:hAnsi="Times New Roman" w:cs="Times New Roman"/>
          <w:sz w:val="24"/>
          <w:szCs w:val="24"/>
          <w:lang w:val="en-US"/>
        </w:rPr>
        <w:t xml:space="preserve"> (2021) ‘Smart home technology: A critical review of evidence for consumer adoption’, </w:t>
      </w:r>
      <w:r w:rsidRPr="006573FC">
        <w:rPr>
          <w:rFonts w:ascii="Times New Roman" w:hAnsi="Times New Roman" w:cs="Times New Roman"/>
          <w:i/>
          <w:iCs/>
          <w:sz w:val="24"/>
          <w:szCs w:val="24"/>
          <w:lang w:val="en-US"/>
        </w:rPr>
        <w:t>Technological Forecasting and Social Change</w:t>
      </w:r>
      <w:r w:rsidRPr="006573FC">
        <w:rPr>
          <w:rFonts w:ascii="Times New Roman" w:hAnsi="Times New Roman" w:cs="Times New Roman"/>
          <w:sz w:val="24"/>
          <w:szCs w:val="24"/>
          <w:lang w:val="en-US"/>
        </w:rPr>
        <w:t>, 167, pp. 1–15.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Market.us</w:t>
      </w:r>
      <w:r w:rsidRPr="006573FC">
        <w:rPr>
          <w:rFonts w:ascii="Times New Roman" w:hAnsi="Times New Roman" w:cs="Times New Roman"/>
          <w:sz w:val="24"/>
          <w:szCs w:val="24"/>
          <w:lang w:val="en-US"/>
        </w:rPr>
        <w:t xml:space="preserve"> (2023) </w:t>
      </w:r>
      <w:r w:rsidRPr="006573FC">
        <w:rPr>
          <w:rFonts w:ascii="Times New Roman" w:hAnsi="Times New Roman" w:cs="Times New Roman"/>
          <w:i/>
          <w:iCs/>
          <w:sz w:val="24"/>
          <w:szCs w:val="24"/>
          <w:lang w:val="en-US"/>
        </w:rPr>
        <w:t>Global Smart Home Market Forecast 2023–2032</w:t>
      </w:r>
      <w:r w:rsidRPr="006573FC">
        <w:rPr>
          <w:rFonts w:ascii="Times New Roman" w:hAnsi="Times New Roman" w:cs="Times New Roman"/>
          <w:sz w:val="24"/>
          <w:szCs w:val="24"/>
          <w:lang w:val="en-US"/>
        </w:rPr>
        <w:t>.</w:t>
      </w:r>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21" w:history="1">
        <w:r w:rsidR="002C7B5C" w:rsidRPr="00C51ABC">
          <w:rPr>
            <w:rStyle w:val="Hyperlink"/>
            <w:rFonts w:ascii="Times New Roman" w:hAnsi="Times New Roman" w:cs="Times New Roman"/>
            <w:sz w:val="24"/>
            <w:szCs w:val="24"/>
            <w:lang w:val="en-US"/>
          </w:rPr>
          <w:t>https://market.us/report/smart-homes-market/</w:t>
        </w:r>
      </w:hyperlink>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Ofgem</w:t>
      </w:r>
      <w:r w:rsidRPr="006573FC">
        <w:rPr>
          <w:rFonts w:ascii="Times New Roman" w:hAnsi="Times New Roman" w:cs="Times New Roman"/>
          <w:sz w:val="24"/>
          <w:szCs w:val="24"/>
          <w:lang w:val="en-US"/>
        </w:rPr>
        <w:t xml:space="preserve"> (2023) </w:t>
      </w:r>
      <w:r w:rsidRPr="006573FC">
        <w:rPr>
          <w:rFonts w:ascii="Times New Roman" w:hAnsi="Times New Roman" w:cs="Times New Roman"/>
          <w:i/>
          <w:iCs/>
          <w:sz w:val="24"/>
          <w:szCs w:val="24"/>
          <w:lang w:val="en-US"/>
        </w:rPr>
        <w:t>Energy Price Trends and Consumer Market Review 2023</w:t>
      </w:r>
      <w:r w:rsidRPr="006573FC">
        <w:rPr>
          <w:rFonts w:ascii="Times New Roman" w:hAnsi="Times New Roman" w:cs="Times New Roman"/>
          <w:sz w:val="24"/>
          <w:szCs w:val="24"/>
          <w:lang w:val="en-US"/>
        </w:rPr>
        <w:t>. Ofgem.</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Ofgem</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Domestic Tariff Volatility and Energy Demand Response 2024</w:t>
      </w:r>
      <w:r w:rsidRPr="006573FC">
        <w:rPr>
          <w:rFonts w:ascii="Times New Roman" w:hAnsi="Times New Roman" w:cs="Times New Roman"/>
          <w:sz w:val="24"/>
          <w:szCs w:val="24"/>
          <w:lang w:val="en-US"/>
        </w:rPr>
        <w:t>. Ofgem.</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Parasuraman, A., Zeithaml, V.A. and Berry, L.L.</w:t>
      </w:r>
      <w:r w:rsidRPr="006573FC">
        <w:rPr>
          <w:rFonts w:ascii="Times New Roman" w:hAnsi="Times New Roman" w:cs="Times New Roman"/>
          <w:sz w:val="24"/>
          <w:szCs w:val="24"/>
          <w:lang w:val="en-US"/>
        </w:rPr>
        <w:t xml:space="preserve"> (1988) ‘SERVQUAL: A multiple-item scale for measuring consumer perceptions of service quality’, </w:t>
      </w:r>
      <w:r w:rsidRPr="006573FC">
        <w:rPr>
          <w:rFonts w:ascii="Times New Roman" w:hAnsi="Times New Roman" w:cs="Times New Roman"/>
          <w:i/>
          <w:iCs/>
          <w:sz w:val="24"/>
          <w:szCs w:val="24"/>
          <w:lang w:val="en-US"/>
        </w:rPr>
        <w:t>Journal of Retailing</w:t>
      </w:r>
      <w:r w:rsidRPr="006573FC">
        <w:rPr>
          <w:rFonts w:ascii="Times New Roman" w:hAnsi="Times New Roman" w:cs="Times New Roman"/>
          <w:sz w:val="24"/>
          <w:szCs w:val="24"/>
          <w:lang w:val="en-US"/>
        </w:rPr>
        <w:t>, 64(1), pp. 12–40.</w:t>
      </w:r>
    </w:p>
    <w:p w:rsid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P&amp;S Market Research</w:t>
      </w:r>
      <w:r w:rsidRPr="006573FC">
        <w:rPr>
          <w:rFonts w:ascii="Times New Roman" w:hAnsi="Times New Roman" w:cs="Times New Roman"/>
          <w:sz w:val="24"/>
          <w:szCs w:val="24"/>
          <w:lang w:val="en-US"/>
        </w:rPr>
        <w:t xml:space="preserve"> (2025) </w:t>
      </w:r>
      <w:r w:rsidRPr="006573FC">
        <w:rPr>
          <w:rFonts w:ascii="Times New Roman" w:hAnsi="Times New Roman" w:cs="Times New Roman"/>
          <w:i/>
          <w:iCs/>
          <w:sz w:val="24"/>
          <w:szCs w:val="24"/>
          <w:lang w:val="en-US"/>
        </w:rPr>
        <w:t>Europe Energy Management Systems Market Analysis 2024–2032</w:t>
      </w:r>
      <w:r w:rsidRPr="006573FC">
        <w:rPr>
          <w:rFonts w:ascii="Times New Roman" w:hAnsi="Times New Roman" w:cs="Times New Roman"/>
          <w:sz w:val="24"/>
          <w:szCs w:val="24"/>
          <w:lang w:val="en-US"/>
        </w:rPr>
        <w:t>.</w:t>
      </w:r>
      <w:r w:rsidR="00E870AF">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22" w:tgtFrame="_new" w:history="1">
        <w:r w:rsidRPr="006573FC">
          <w:rPr>
            <w:rStyle w:val="Hyperlink"/>
            <w:rFonts w:ascii="Times New Roman" w:hAnsi="Times New Roman" w:cs="Times New Roman"/>
            <w:sz w:val="24"/>
            <w:szCs w:val="24"/>
            <w:lang w:val="en-US"/>
          </w:rPr>
          <w:t>https://www.psmarketresearch.com/market-analysis/europe-energy-management-systems-market</w:t>
        </w:r>
      </w:hyperlink>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E870AF" w:rsidRPr="006573FC" w:rsidRDefault="00E870AF" w:rsidP="00E870AF">
      <w:pPr>
        <w:spacing w:line="360" w:lineRule="auto"/>
        <w:rPr>
          <w:rFonts w:ascii="Times New Roman" w:hAnsi="Times New Roman" w:cs="Times New Roman"/>
          <w:sz w:val="24"/>
          <w:szCs w:val="24"/>
          <w:lang w:val="en-US"/>
        </w:rPr>
      </w:pPr>
      <w:r w:rsidRPr="00E870AF">
        <w:rPr>
          <w:rFonts w:ascii="Times New Roman" w:hAnsi="Times New Roman" w:cs="Times New Roman"/>
          <w:b/>
          <w:bCs/>
          <w:sz w:val="24"/>
          <w:szCs w:val="24"/>
        </w:rPr>
        <w:t>REN21 (2024)</w:t>
      </w:r>
      <w:r w:rsidRPr="00E870AF">
        <w:rPr>
          <w:rFonts w:ascii="Times New Roman" w:hAnsi="Times New Roman" w:cs="Times New Roman"/>
          <w:sz w:val="24"/>
          <w:szCs w:val="24"/>
        </w:rPr>
        <w:t xml:space="preserve"> </w:t>
      </w:r>
      <w:r w:rsidRPr="00E870AF">
        <w:rPr>
          <w:rFonts w:ascii="Times New Roman" w:hAnsi="Times New Roman" w:cs="Times New Roman"/>
          <w:i/>
          <w:iCs/>
          <w:sz w:val="24"/>
          <w:szCs w:val="24"/>
        </w:rPr>
        <w:t>Global Status Report 2024: Solar PV – Market and Industry Trends</w:t>
      </w:r>
      <w:r w:rsidRPr="00E870AF">
        <w:rPr>
          <w:rFonts w:ascii="Times New Roman" w:hAnsi="Times New Roman" w:cs="Times New Roman"/>
          <w:sz w:val="24"/>
          <w:szCs w:val="24"/>
        </w:rPr>
        <w:t>. Available at:</w:t>
      </w:r>
      <w:r>
        <w:rPr>
          <w:rFonts w:ascii="Times New Roman" w:hAnsi="Times New Roman" w:cs="Times New Roman"/>
          <w:sz w:val="24"/>
          <w:szCs w:val="24"/>
        </w:rPr>
        <w:t xml:space="preserve"> </w:t>
      </w:r>
      <w:hyperlink r:id="rId23" w:history="1">
        <w:r w:rsidRPr="00C51ABC">
          <w:rPr>
            <w:rStyle w:val="Hyperlink"/>
            <w:rFonts w:ascii="Times New Roman" w:hAnsi="Times New Roman" w:cs="Times New Roman"/>
            <w:sz w:val="24"/>
            <w:szCs w:val="24"/>
          </w:rPr>
          <w:t>https://www.ren21.net/gsr-2024/modules/energy_supply/02_market_and_industry_trends/07_solarpv/</w:t>
        </w:r>
      </w:hyperlink>
      <w:r>
        <w:rPr>
          <w:rFonts w:ascii="Times New Roman" w:hAnsi="Times New Roman" w:cs="Times New Roman"/>
          <w:sz w:val="24"/>
          <w:szCs w:val="24"/>
        </w:rPr>
        <w:t xml:space="preserve"> </w:t>
      </w:r>
      <w:r w:rsidRPr="00E870AF">
        <w:rPr>
          <w:rFonts w:ascii="Times New Roman" w:hAnsi="Times New Roman" w:cs="Times New Roman"/>
          <w:sz w:val="24"/>
          <w:szCs w:val="24"/>
        </w:rPr>
        <w:t>(Accessed: 9 December 2025).</w:t>
      </w:r>
    </w:p>
    <w:p w:rsid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Rogers, E.M.</w:t>
      </w:r>
      <w:r w:rsidRPr="006573FC">
        <w:rPr>
          <w:rFonts w:ascii="Times New Roman" w:hAnsi="Times New Roman" w:cs="Times New Roman"/>
          <w:sz w:val="24"/>
          <w:szCs w:val="24"/>
          <w:lang w:val="en-US"/>
        </w:rPr>
        <w:t xml:space="preserve"> (2003) </w:t>
      </w:r>
      <w:r w:rsidRPr="006573FC">
        <w:rPr>
          <w:rFonts w:ascii="Times New Roman" w:hAnsi="Times New Roman" w:cs="Times New Roman"/>
          <w:i/>
          <w:iCs/>
          <w:sz w:val="24"/>
          <w:szCs w:val="24"/>
          <w:lang w:val="en-US"/>
        </w:rPr>
        <w:t>Diffusion of Innovations</w:t>
      </w:r>
      <w:r w:rsidRPr="006573FC">
        <w:rPr>
          <w:rFonts w:ascii="Times New Roman" w:hAnsi="Times New Roman" w:cs="Times New Roman"/>
          <w:sz w:val="24"/>
          <w:szCs w:val="24"/>
          <w:lang w:val="en-US"/>
        </w:rPr>
        <w:t>. 5th edn. Free Press.</w:t>
      </w:r>
    </w:p>
    <w:p w:rsidR="00E870AF" w:rsidRPr="006573FC" w:rsidRDefault="00E870AF" w:rsidP="00E870AF">
      <w:pPr>
        <w:spacing w:line="360" w:lineRule="auto"/>
        <w:rPr>
          <w:rFonts w:ascii="Times New Roman" w:hAnsi="Times New Roman" w:cs="Times New Roman"/>
          <w:sz w:val="24"/>
          <w:szCs w:val="24"/>
          <w:lang w:val="en-US"/>
        </w:rPr>
      </w:pPr>
      <w:r w:rsidRPr="00E870AF">
        <w:rPr>
          <w:rFonts w:ascii="Times New Roman" w:hAnsi="Times New Roman" w:cs="Times New Roman"/>
          <w:b/>
          <w:bCs/>
          <w:sz w:val="24"/>
          <w:szCs w:val="24"/>
        </w:rPr>
        <w:t>Statista (2025)</w:t>
      </w:r>
      <w:r w:rsidRPr="00E870AF">
        <w:rPr>
          <w:rFonts w:ascii="Times New Roman" w:hAnsi="Times New Roman" w:cs="Times New Roman"/>
          <w:sz w:val="24"/>
          <w:szCs w:val="24"/>
        </w:rPr>
        <w:t xml:space="preserve"> </w:t>
      </w:r>
      <w:r w:rsidRPr="00E870AF">
        <w:rPr>
          <w:rFonts w:ascii="Times New Roman" w:hAnsi="Times New Roman" w:cs="Times New Roman"/>
          <w:i/>
          <w:iCs/>
          <w:sz w:val="24"/>
          <w:szCs w:val="24"/>
        </w:rPr>
        <w:t>Number of battery electric vehicle registrations in European markets from 4th quarter 2018 to 2nd quarter 2024</w:t>
      </w:r>
      <w:r w:rsidRPr="00E870AF">
        <w:rPr>
          <w:rFonts w:ascii="Times New Roman" w:hAnsi="Times New Roman" w:cs="Times New Roman"/>
          <w:sz w:val="24"/>
          <w:szCs w:val="24"/>
        </w:rPr>
        <w:t>. Available at:</w:t>
      </w:r>
      <w:r w:rsidR="002C7B5C">
        <w:rPr>
          <w:rFonts w:ascii="Times New Roman" w:hAnsi="Times New Roman" w:cs="Times New Roman"/>
          <w:sz w:val="24"/>
          <w:szCs w:val="24"/>
        </w:rPr>
        <w:t xml:space="preserve"> </w:t>
      </w:r>
      <w:hyperlink r:id="rId24" w:history="1">
        <w:r w:rsidR="002C7B5C" w:rsidRPr="00C51ABC">
          <w:rPr>
            <w:rStyle w:val="Hyperlink"/>
            <w:rFonts w:ascii="Times New Roman" w:hAnsi="Times New Roman" w:cs="Times New Roman"/>
            <w:sz w:val="24"/>
            <w:szCs w:val="24"/>
          </w:rPr>
          <w:t>https://www.statista.com/statistics/1021892/number-of-battery-electric-vehicle-registrations-in-the-eu/</w:t>
        </w:r>
      </w:hyperlink>
      <w:r w:rsidR="002C7B5C">
        <w:rPr>
          <w:rFonts w:ascii="Times New Roman" w:hAnsi="Times New Roman" w:cs="Times New Roman"/>
          <w:sz w:val="24"/>
          <w:szCs w:val="24"/>
        </w:rPr>
        <w:t xml:space="preserve"> </w:t>
      </w:r>
      <w:r w:rsidRPr="00E870AF">
        <w:rPr>
          <w:rFonts w:ascii="Times New Roman" w:hAnsi="Times New Roman" w:cs="Times New Roman"/>
          <w:sz w:val="24"/>
          <w:szCs w:val="24"/>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lastRenderedPageBreak/>
        <w:t>Solar Energy UK</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UK Solar Energy Statistics</w:t>
      </w:r>
      <w:r w:rsidR="002C7B5C">
        <w:rPr>
          <w:rFonts w:ascii="Times New Roman" w:hAnsi="Times New Roman" w:cs="Times New Roman"/>
          <w:i/>
          <w:iCs/>
          <w:sz w:val="24"/>
          <w:szCs w:val="24"/>
          <w:lang w:val="en-US"/>
        </w:rPr>
        <w:t xml:space="preserve">- Impact </w:t>
      </w:r>
      <w:r w:rsidRPr="006573FC">
        <w:rPr>
          <w:rFonts w:ascii="Times New Roman" w:hAnsi="Times New Roman" w:cs="Times New Roman"/>
          <w:i/>
          <w:iCs/>
          <w:sz w:val="24"/>
          <w:szCs w:val="24"/>
          <w:lang w:val="en-US"/>
        </w:rPr>
        <w:t>Report 2024</w:t>
      </w:r>
      <w:r w:rsidRPr="006573FC">
        <w:rPr>
          <w:rFonts w:ascii="Times New Roman" w:hAnsi="Times New Roman" w:cs="Times New Roman"/>
          <w:sz w:val="24"/>
          <w:szCs w:val="24"/>
          <w:lang w:val="en-US"/>
        </w:rPr>
        <w:t>.</w:t>
      </w:r>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25" w:history="1">
        <w:r w:rsidR="002C7B5C" w:rsidRPr="00C51ABC">
          <w:rPr>
            <w:rStyle w:val="Hyperlink"/>
            <w:rFonts w:ascii="Times New Roman" w:hAnsi="Times New Roman" w:cs="Times New Roman"/>
            <w:sz w:val="24"/>
            <w:szCs w:val="24"/>
            <w:lang w:val="en-US"/>
          </w:rPr>
          <w:t>https://solarenergyuk.org/resource/impact-report-2024/</w:t>
        </w:r>
      </w:hyperlink>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Sorin, F. and Huang, Y.</w:t>
      </w:r>
      <w:r w:rsidRPr="006573FC">
        <w:rPr>
          <w:rFonts w:ascii="Times New Roman" w:hAnsi="Times New Roman" w:cs="Times New Roman"/>
          <w:sz w:val="24"/>
          <w:szCs w:val="24"/>
          <w:lang w:val="en-US"/>
        </w:rPr>
        <w:t xml:space="preserve"> (2020) ‘Consumer trust and adoption of renewable energy technologies: A financial transparency perspective’, </w:t>
      </w:r>
      <w:r w:rsidRPr="006573FC">
        <w:rPr>
          <w:rFonts w:ascii="Times New Roman" w:hAnsi="Times New Roman" w:cs="Times New Roman"/>
          <w:i/>
          <w:iCs/>
          <w:sz w:val="24"/>
          <w:szCs w:val="24"/>
          <w:lang w:val="en-US"/>
        </w:rPr>
        <w:t>Renewable Energy</w:t>
      </w:r>
      <w:r w:rsidRPr="006573FC">
        <w:rPr>
          <w:rFonts w:ascii="Times New Roman" w:hAnsi="Times New Roman" w:cs="Times New Roman"/>
          <w:sz w:val="24"/>
          <w:szCs w:val="24"/>
          <w:lang w:val="en-US"/>
        </w:rPr>
        <w:t>, 152, pp. 225–236.</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Tesla</w:t>
      </w:r>
      <w:r w:rsidRPr="006573FC">
        <w:rPr>
          <w:rFonts w:ascii="Times New Roman" w:hAnsi="Times New Roman" w:cs="Times New Roman"/>
          <w:sz w:val="24"/>
          <w:szCs w:val="24"/>
          <w:lang w:val="en-US"/>
        </w:rPr>
        <w:t xml:space="preserve"> (2024) </w:t>
      </w:r>
      <w:r w:rsidRPr="006573FC">
        <w:rPr>
          <w:rFonts w:ascii="Times New Roman" w:hAnsi="Times New Roman" w:cs="Times New Roman"/>
          <w:i/>
          <w:iCs/>
          <w:sz w:val="24"/>
          <w:szCs w:val="24"/>
          <w:lang w:val="en-US"/>
        </w:rPr>
        <w:t>Tesla Energy Generation and Storage Report</w:t>
      </w:r>
      <w:r w:rsidR="002C7B5C">
        <w:rPr>
          <w:rFonts w:ascii="Times New Roman" w:hAnsi="Times New Roman" w:cs="Times New Roman"/>
          <w:i/>
          <w:iCs/>
          <w:sz w:val="24"/>
          <w:szCs w:val="24"/>
          <w:lang w:val="en-US"/>
        </w:rPr>
        <w:t>-</w:t>
      </w:r>
      <w:r w:rsidRPr="006573FC">
        <w:rPr>
          <w:rFonts w:ascii="Times New Roman" w:hAnsi="Times New Roman" w:cs="Times New Roman"/>
          <w:i/>
          <w:iCs/>
          <w:sz w:val="24"/>
          <w:szCs w:val="24"/>
          <w:lang w:val="en-US"/>
        </w:rPr>
        <w:t xml:space="preserve"> </w:t>
      </w:r>
      <w:r w:rsidR="002C7B5C" w:rsidRPr="002C7B5C">
        <w:rPr>
          <w:rFonts w:ascii="Times New Roman" w:hAnsi="Times New Roman" w:cs="Times New Roman"/>
          <w:i/>
          <w:iCs/>
          <w:sz w:val="24"/>
          <w:szCs w:val="24"/>
          <w:lang w:val="en-US"/>
        </w:rPr>
        <w:t xml:space="preserve">Impact Report </w:t>
      </w:r>
      <w:r w:rsidRPr="006573FC">
        <w:rPr>
          <w:rFonts w:ascii="Times New Roman" w:hAnsi="Times New Roman" w:cs="Times New Roman"/>
          <w:i/>
          <w:iCs/>
          <w:sz w:val="24"/>
          <w:szCs w:val="24"/>
          <w:lang w:val="en-US"/>
        </w:rPr>
        <w:t>2024</w:t>
      </w:r>
      <w:r w:rsidRPr="006573FC">
        <w:rPr>
          <w:rFonts w:ascii="Times New Roman" w:hAnsi="Times New Roman" w:cs="Times New Roman"/>
          <w:sz w:val="24"/>
          <w:szCs w:val="24"/>
          <w:lang w:val="en-US"/>
        </w:rPr>
        <w:t>.</w:t>
      </w:r>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 xml:space="preserve">Available at: </w:t>
      </w:r>
      <w:hyperlink r:id="rId26" w:history="1">
        <w:r w:rsidR="002C7B5C" w:rsidRPr="00C51ABC">
          <w:rPr>
            <w:rStyle w:val="Hyperlink"/>
            <w:rFonts w:ascii="Times New Roman" w:hAnsi="Times New Roman" w:cs="Times New Roman"/>
            <w:sz w:val="24"/>
            <w:szCs w:val="24"/>
            <w:lang w:val="en-US"/>
          </w:rPr>
          <w:t>https://www.tesla.com/ns_videos/2024-tesla-impact-report-highlights.pdf</w:t>
        </w:r>
      </w:hyperlink>
      <w:r w:rsidR="002C7B5C">
        <w:rPr>
          <w:rFonts w:ascii="Times New Roman" w:hAnsi="Times New Roman" w:cs="Times New Roman"/>
          <w:sz w:val="24"/>
          <w:szCs w:val="24"/>
          <w:lang w:val="en-US"/>
        </w:rPr>
        <w:t xml:space="preserve"> </w:t>
      </w:r>
      <w:r w:rsidRPr="006573FC">
        <w:rPr>
          <w:rFonts w:ascii="Times New Roman" w:hAnsi="Times New Roman" w:cs="Times New Roman"/>
          <w:sz w:val="24"/>
          <w:szCs w:val="24"/>
          <w:lang w:val="en-US"/>
        </w:rPr>
        <w:t>(Accessed: 9 December 2025).</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Vargo, S.L. and Lusch, R.F.</w:t>
      </w:r>
      <w:r w:rsidRPr="006573FC">
        <w:rPr>
          <w:rFonts w:ascii="Times New Roman" w:hAnsi="Times New Roman" w:cs="Times New Roman"/>
          <w:sz w:val="24"/>
          <w:szCs w:val="24"/>
          <w:lang w:val="en-US"/>
        </w:rPr>
        <w:t xml:space="preserve"> (2004) ‘Evolving to a new dominant logic for marketing’, </w:t>
      </w:r>
      <w:r w:rsidRPr="006573FC">
        <w:rPr>
          <w:rFonts w:ascii="Times New Roman" w:hAnsi="Times New Roman" w:cs="Times New Roman"/>
          <w:i/>
          <w:iCs/>
          <w:sz w:val="24"/>
          <w:szCs w:val="24"/>
          <w:lang w:val="en-US"/>
        </w:rPr>
        <w:t>Journal of Marketing</w:t>
      </w:r>
      <w:r w:rsidRPr="006573FC">
        <w:rPr>
          <w:rFonts w:ascii="Times New Roman" w:hAnsi="Times New Roman" w:cs="Times New Roman"/>
          <w:sz w:val="24"/>
          <w:szCs w:val="24"/>
          <w:lang w:val="en-US"/>
        </w:rPr>
        <w:t>, 68(1), pp. 1–17.</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Verhoef, P., Kannan, P. and Inman, J.</w:t>
      </w:r>
      <w:r w:rsidRPr="006573FC">
        <w:rPr>
          <w:rFonts w:ascii="Times New Roman" w:hAnsi="Times New Roman" w:cs="Times New Roman"/>
          <w:sz w:val="24"/>
          <w:szCs w:val="24"/>
          <w:lang w:val="en-US"/>
        </w:rPr>
        <w:t xml:space="preserve"> (2017) ‘From multi-channel retailing to omni-channel retailing: Introduction to the special issue’, </w:t>
      </w:r>
      <w:r w:rsidRPr="006573FC">
        <w:rPr>
          <w:rFonts w:ascii="Times New Roman" w:hAnsi="Times New Roman" w:cs="Times New Roman"/>
          <w:i/>
          <w:iCs/>
          <w:sz w:val="24"/>
          <w:szCs w:val="24"/>
          <w:lang w:val="en-US"/>
        </w:rPr>
        <w:t>Journal of Retailing</w:t>
      </w:r>
      <w:r w:rsidRPr="006573FC">
        <w:rPr>
          <w:rFonts w:ascii="Times New Roman" w:hAnsi="Times New Roman" w:cs="Times New Roman"/>
          <w:sz w:val="24"/>
          <w:szCs w:val="24"/>
          <w:lang w:val="en-US"/>
        </w:rPr>
        <w:t>, 93(2), pp. 174–181.</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White, K., Hardisty, D. and Habib, R.</w:t>
      </w:r>
      <w:r w:rsidRPr="006573FC">
        <w:rPr>
          <w:rFonts w:ascii="Times New Roman" w:hAnsi="Times New Roman" w:cs="Times New Roman"/>
          <w:sz w:val="24"/>
          <w:szCs w:val="24"/>
          <w:lang w:val="en-US"/>
        </w:rPr>
        <w:t xml:space="preserve"> (2019) ‘The elusive green consumer’, </w:t>
      </w:r>
      <w:r w:rsidRPr="006573FC">
        <w:rPr>
          <w:rFonts w:ascii="Times New Roman" w:hAnsi="Times New Roman" w:cs="Times New Roman"/>
          <w:i/>
          <w:iCs/>
          <w:sz w:val="24"/>
          <w:szCs w:val="24"/>
          <w:lang w:val="en-US"/>
        </w:rPr>
        <w:t>Harvard Business Review</w:t>
      </w:r>
      <w:r w:rsidRPr="006573FC">
        <w:rPr>
          <w:rFonts w:ascii="Times New Roman" w:hAnsi="Times New Roman" w:cs="Times New Roman"/>
          <w:sz w:val="24"/>
          <w:szCs w:val="24"/>
          <w:lang w:val="en-US"/>
        </w:rPr>
        <w:t>, 97(4), pp. 1–10.</w:t>
      </w:r>
    </w:p>
    <w:p w:rsidR="006573FC" w:rsidRPr="006573FC" w:rsidRDefault="006573FC" w:rsidP="00E870AF">
      <w:pPr>
        <w:spacing w:line="360" w:lineRule="auto"/>
        <w:rPr>
          <w:rFonts w:ascii="Times New Roman" w:hAnsi="Times New Roman" w:cs="Times New Roman"/>
          <w:sz w:val="24"/>
          <w:szCs w:val="24"/>
          <w:lang w:val="en-US"/>
        </w:rPr>
      </w:pPr>
      <w:r w:rsidRPr="006573FC">
        <w:rPr>
          <w:rFonts w:ascii="Times New Roman" w:hAnsi="Times New Roman" w:cs="Times New Roman"/>
          <w:b/>
          <w:bCs/>
          <w:sz w:val="24"/>
          <w:szCs w:val="24"/>
          <w:lang w:val="en-US"/>
        </w:rPr>
        <w:t>Zeithaml, V., Bitner, M. and Gremler, D.</w:t>
      </w:r>
      <w:r w:rsidRPr="006573FC">
        <w:rPr>
          <w:rFonts w:ascii="Times New Roman" w:hAnsi="Times New Roman" w:cs="Times New Roman"/>
          <w:sz w:val="24"/>
          <w:szCs w:val="24"/>
          <w:lang w:val="en-US"/>
        </w:rPr>
        <w:t xml:space="preserve"> (2018) </w:t>
      </w:r>
      <w:r w:rsidRPr="006573FC">
        <w:rPr>
          <w:rFonts w:ascii="Times New Roman" w:hAnsi="Times New Roman" w:cs="Times New Roman"/>
          <w:i/>
          <w:iCs/>
          <w:sz w:val="24"/>
          <w:szCs w:val="24"/>
          <w:lang w:val="en-US"/>
        </w:rPr>
        <w:t>Services Marketing: Integrating Customer Focus Across the Firm</w:t>
      </w:r>
      <w:r w:rsidRPr="006573FC">
        <w:rPr>
          <w:rFonts w:ascii="Times New Roman" w:hAnsi="Times New Roman" w:cs="Times New Roman"/>
          <w:sz w:val="24"/>
          <w:szCs w:val="24"/>
          <w:lang w:val="en-US"/>
        </w:rPr>
        <w:t>. 7th edn. McGraw-Hill.</w:t>
      </w:r>
    </w:p>
    <w:p w:rsidR="00C22106" w:rsidRDefault="002B75F8" w:rsidP="00E870AF">
      <w:pPr>
        <w:pStyle w:val="Heading1"/>
        <w:spacing w:line="240" w:lineRule="auto"/>
        <w:jc w:val="both"/>
      </w:pPr>
      <w:bookmarkStart w:id="28" w:name="_Toc216541562"/>
      <w:r>
        <w:lastRenderedPageBreak/>
        <w:t>Appendices</w:t>
      </w:r>
      <w:bookmarkEnd w:id="28"/>
    </w:p>
    <w:p w:rsidR="002B75F8" w:rsidRDefault="002B75F8" w:rsidP="00E870AF">
      <w:pPr>
        <w:pStyle w:val="Heading2"/>
        <w:spacing w:line="240" w:lineRule="auto"/>
        <w:jc w:val="both"/>
      </w:pPr>
      <w:bookmarkStart w:id="29" w:name="_Toc216541563"/>
      <w:r>
        <w:t xml:space="preserve">Appendix A: </w:t>
      </w:r>
      <w:r w:rsidRPr="002B75F8">
        <w:t>Tesla GridHome Poster</w:t>
      </w:r>
      <w:bookmarkEnd w:id="29"/>
    </w:p>
    <w:p w:rsidR="00E870AF" w:rsidRPr="00E870AF" w:rsidRDefault="00E870AF" w:rsidP="00E870AF">
      <w:pPr>
        <w:rPr>
          <w:lang w:eastAsia="en-GB"/>
        </w:rPr>
      </w:pPr>
      <w:r>
        <w:rPr>
          <w:noProof/>
          <w:lang w:eastAsia="en-GB"/>
        </w:rPr>
        <w:drawing>
          <wp:inline distT="0" distB="0" distL="0" distR="0">
            <wp:extent cx="6045200" cy="7950200"/>
            <wp:effectExtent l="0" t="0" r="0" b="0"/>
            <wp:docPr id="15628517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51767" name="Picture 156285176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45200" cy="7950200"/>
                    </a:xfrm>
                    <a:prstGeom prst="rect">
                      <a:avLst/>
                    </a:prstGeom>
                  </pic:spPr>
                </pic:pic>
              </a:graphicData>
            </a:graphic>
          </wp:inline>
        </w:drawing>
      </w:r>
    </w:p>
    <w:sectPr w:rsidR="00E870AF" w:rsidRPr="00E870AF" w:rsidSect="001539F0">
      <w:headerReference w:type="default" r:id="rId28"/>
      <w:pgSz w:w="11906" w:h="16838" w:code="9"/>
      <w:pgMar w:top="1440" w:right="1440" w:bottom="1440" w:left="1440" w:header="720" w:footer="720" w:gutter="0"/>
      <w:pgBorders w:offsetFrom="page">
        <w:top w:val="double" w:sz="6" w:space="24" w:color="auto"/>
        <w:left w:val="double" w:sz="6" w:space="24" w:color="auto"/>
        <w:bottom w:val="double" w:sz="6" w:space="24" w:color="auto"/>
        <w:right w:val="doub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7138" w:rsidRDefault="00587138" w:rsidP="00E870AF">
      <w:pPr>
        <w:spacing w:after="0" w:line="240" w:lineRule="auto"/>
      </w:pPr>
      <w:r>
        <w:separator/>
      </w:r>
    </w:p>
  </w:endnote>
  <w:endnote w:type="continuationSeparator" w:id="0">
    <w:p w:rsidR="00587138" w:rsidRDefault="00587138" w:rsidP="00E87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7138" w:rsidRDefault="00587138" w:rsidP="00E870AF">
      <w:pPr>
        <w:spacing w:after="0" w:line="240" w:lineRule="auto"/>
      </w:pPr>
      <w:r>
        <w:separator/>
      </w:r>
    </w:p>
  </w:footnote>
  <w:footnote w:type="continuationSeparator" w:id="0">
    <w:p w:rsidR="00587138" w:rsidRDefault="00587138" w:rsidP="00E87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70AF" w:rsidRDefault="00E870AF" w:rsidP="00E870AF">
    <w:pPr>
      <w:pStyle w:val="Header"/>
      <w:jc w:val="right"/>
    </w:pPr>
    <w:r>
      <w:rPr>
        <w:rFonts w:ascii="Times New Roman" w:hAnsi="Times New Roman" w:cs="Times New Roman"/>
        <w:noProof/>
        <w:sz w:val="24"/>
        <w:szCs w:val="24"/>
      </w:rPr>
      <w:drawing>
        <wp:inline distT="0" distB="0" distL="0" distR="0" wp14:anchorId="10BC585D" wp14:editId="24969545">
          <wp:extent cx="890270" cy="356108"/>
          <wp:effectExtent l="0" t="0" r="5080" b="6350"/>
          <wp:docPr id="610960420" name="Picture 61096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55218" cy="3820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3703"/>
    <w:multiLevelType w:val="multilevel"/>
    <w:tmpl w:val="78EE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4202B"/>
    <w:multiLevelType w:val="multilevel"/>
    <w:tmpl w:val="9842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77640"/>
    <w:multiLevelType w:val="hybridMultilevel"/>
    <w:tmpl w:val="9F88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50123B"/>
    <w:multiLevelType w:val="multilevel"/>
    <w:tmpl w:val="41582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E45E6"/>
    <w:multiLevelType w:val="multilevel"/>
    <w:tmpl w:val="7FA45D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C7A2708"/>
    <w:multiLevelType w:val="multilevel"/>
    <w:tmpl w:val="2E6A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54E74"/>
    <w:multiLevelType w:val="multilevel"/>
    <w:tmpl w:val="1664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7699B"/>
    <w:multiLevelType w:val="hybridMultilevel"/>
    <w:tmpl w:val="5EBE1830"/>
    <w:lvl w:ilvl="0" w:tplc="3278A7E2">
      <w:start w:val="1"/>
      <w:numFmt w:val="bullet"/>
      <w:lvlText w:val=""/>
      <w:lvlJc w:val="left"/>
      <w:pPr>
        <w:tabs>
          <w:tab w:val="num" w:pos="720"/>
        </w:tabs>
        <w:ind w:left="720" w:hanging="360"/>
      </w:pPr>
      <w:rPr>
        <w:rFonts w:ascii="Symbol" w:hAnsi="Symbol" w:hint="default"/>
        <w:sz w:val="20"/>
      </w:rPr>
    </w:lvl>
    <w:lvl w:ilvl="1" w:tplc="1A4ACB10">
      <w:start w:val="1"/>
      <w:numFmt w:val="decimal"/>
      <w:lvlText w:val="%2."/>
      <w:lvlJc w:val="left"/>
      <w:pPr>
        <w:tabs>
          <w:tab w:val="num" w:pos="1440"/>
        </w:tabs>
        <w:ind w:left="1440" w:hanging="360"/>
      </w:pPr>
    </w:lvl>
    <w:lvl w:ilvl="2" w:tplc="AE46642E" w:tentative="1">
      <w:start w:val="1"/>
      <w:numFmt w:val="bullet"/>
      <w:lvlText w:val=""/>
      <w:lvlJc w:val="left"/>
      <w:pPr>
        <w:tabs>
          <w:tab w:val="num" w:pos="2160"/>
        </w:tabs>
        <w:ind w:left="2160" w:hanging="360"/>
      </w:pPr>
      <w:rPr>
        <w:rFonts w:ascii="Wingdings" w:hAnsi="Wingdings" w:hint="default"/>
        <w:sz w:val="20"/>
      </w:rPr>
    </w:lvl>
    <w:lvl w:ilvl="3" w:tplc="D70C6004" w:tentative="1">
      <w:start w:val="1"/>
      <w:numFmt w:val="bullet"/>
      <w:lvlText w:val=""/>
      <w:lvlJc w:val="left"/>
      <w:pPr>
        <w:tabs>
          <w:tab w:val="num" w:pos="2880"/>
        </w:tabs>
        <w:ind w:left="2880" w:hanging="360"/>
      </w:pPr>
      <w:rPr>
        <w:rFonts w:ascii="Wingdings" w:hAnsi="Wingdings" w:hint="default"/>
        <w:sz w:val="20"/>
      </w:rPr>
    </w:lvl>
    <w:lvl w:ilvl="4" w:tplc="D6C28B12" w:tentative="1">
      <w:start w:val="1"/>
      <w:numFmt w:val="bullet"/>
      <w:lvlText w:val=""/>
      <w:lvlJc w:val="left"/>
      <w:pPr>
        <w:tabs>
          <w:tab w:val="num" w:pos="3600"/>
        </w:tabs>
        <w:ind w:left="3600" w:hanging="360"/>
      </w:pPr>
      <w:rPr>
        <w:rFonts w:ascii="Wingdings" w:hAnsi="Wingdings" w:hint="default"/>
        <w:sz w:val="20"/>
      </w:rPr>
    </w:lvl>
    <w:lvl w:ilvl="5" w:tplc="A7EA3630" w:tentative="1">
      <w:start w:val="1"/>
      <w:numFmt w:val="bullet"/>
      <w:lvlText w:val=""/>
      <w:lvlJc w:val="left"/>
      <w:pPr>
        <w:tabs>
          <w:tab w:val="num" w:pos="4320"/>
        </w:tabs>
        <w:ind w:left="4320" w:hanging="360"/>
      </w:pPr>
      <w:rPr>
        <w:rFonts w:ascii="Wingdings" w:hAnsi="Wingdings" w:hint="default"/>
        <w:sz w:val="20"/>
      </w:rPr>
    </w:lvl>
    <w:lvl w:ilvl="6" w:tplc="1DEE85A2" w:tentative="1">
      <w:start w:val="1"/>
      <w:numFmt w:val="bullet"/>
      <w:lvlText w:val=""/>
      <w:lvlJc w:val="left"/>
      <w:pPr>
        <w:tabs>
          <w:tab w:val="num" w:pos="5040"/>
        </w:tabs>
        <w:ind w:left="5040" w:hanging="360"/>
      </w:pPr>
      <w:rPr>
        <w:rFonts w:ascii="Wingdings" w:hAnsi="Wingdings" w:hint="default"/>
        <w:sz w:val="20"/>
      </w:rPr>
    </w:lvl>
    <w:lvl w:ilvl="7" w:tplc="28047AE4" w:tentative="1">
      <w:start w:val="1"/>
      <w:numFmt w:val="bullet"/>
      <w:lvlText w:val=""/>
      <w:lvlJc w:val="left"/>
      <w:pPr>
        <w:tabs>
          <w:tab w:val="num" w:pos="5760"/>
        </w:tabs>
        <w:ind w:left="5760" w:hanging="360"/>
      </w:pPr>
      <w:rPr>
        <w:rFonts w:ascii="Wingdings" w:hAnsi="Wingdings" w:hint="default"/>
        <w:sz w:val="20"/>
      </w:rPr>
    </w:lvl>
    <w:lvl w:ilvl="8" w:tplc="0304FA74"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2A34C9"/>
    <w:multiLevelType w:val="multilevel"/>
    <w:tmpl w:val="7766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5E7D66"/>
    <w:multiLevelType w:val="multilevel"/>
    <w:tmpl w:val="0F1A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D75DD3"/>
    <w:multiLevelType w:val="multilevel"/>
    <w:tmpl w:val="5692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3C6BA6"/>
    <w:multiLevelType w:val="multilevel"/>
    <w:tmpl w:val="2D98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55DD6"/>
    <w:multiLevelType w:val="multilevel"/>
    <w:tmpl w:val="6B5C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CF1110"/>
    <w:multiLevelType w:val="multilevel"/>
    <w:tmpl w:val="9852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652C54"/>
    <w:multiLevelType w:val="multilevel"/>
    <w:tmpl w:val="7790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AB17FB"/>
    <w:multiLevelType w:val="multilevel"/>
    <w:tmpl w:val="62D0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CC7087"/>
    <w:multiLevelType w:val="multilevel"/>
    <w:tmpl w:val="7FF8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763175">
    <w:abstractNumId w:val="12"/>
  </w:num>
  <w:num w:numId="2" w16cid:durableId="369376882">
    <w:abstractNumId w:val="10"/>
  </w:num>
  <w:num w:numId="3" w16cid:durableId="1082144297">
    <w:abstractNumId w:val="14"/>
  </w:num>
  <w:num w:numId="4" w16cid:durableId="1809742510">
    <w:abstractNumId w:val="3"/>
  </w:num>
  <w:num w:numId="5" w16cid:durableId="1687365151">
    <w:abstractNumId w:val="7"/>
  </w:num>
  <w:num w:numId="6" w16cid:durableId="977300101">
    <w:abstractNumId w:val="9"/>
  </w:num>
  <w:num w:numId="7" w16cid:durableId="1464495935">
    <w:abstractNumId w:val="8"/>
  </w:num>
  <w:num w:numId="8" w16cid:durableId="2003700288">
    <w:abstractNumId w:val="0"/>
  </w:num>
  <w:num w:numId="9" w16cid:durableId="166285665">
    <w:abstractNumId w:val="13"/>
  </w:num>
  <w:num w:numId="10" w16cid:durableId="1740057376">
    <w:abstractNumId w:val="11"/>
  </w:num>
  <w:num w:numId="11" w16cid:durableId="147282055">
    <w:abstractNumId w:val="5"/>
  </w:num>
  <w:num w:numId="12" w16cid:durableId="1267271243">
    <w:abstractNumId w:val="1"/>
  </w:num>
  <w:num w:numId="13" w16cid:durableId="786310489">
    <w:abstractNumId w:val="6"/>
  </w:num>
  <w:num w:numId="14" w16cid:durableId="305817042">
    <w:abstractNumId w:val="15"/>
  </w:num>
  <w:num w:numId="15" w16cid:durableId="2111271739">
    <w:abstractNumId w:val="16"/>
  </w:num>
  <w:num w:numId="16" w16cid:durableId="562106229">
    <w:abstractNumId w:val="4"/>
  </w:num>
  <w:num w:numId="17" w16cid:durableId="1482579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7F7"/>
    <w:rsid w:val="00022AD4"/>
    <w:rsid w:val="001539F0"/>
    <w:rsid w:val="0026295C"/>
    <w:rsid w:val="002B75F8"/>
    <w:rsid w:val="002C2C67"/>
    <w:rsid w:val="002C7B5C"/>
    <w:rsid w:val="002F04C4"/>
    <w:rsid w:val="003568EB"/>
    <w:rsid w:val="0040647A"/>
    <w:rsid w:val="004E2354"/>
    <w:rsid w:val="005220DF"/>
    <w:rsid w:val="005454E8"/>
    <w:rsid w:val="00587138"/>
    <w:rsid w:val="00590498"/>
    <w:rsid w:val="005C62DC"/>
    <w:rsid w:val="005F30DA"/>
    <w:rsid w:val="006076BE"/>
    <w:rsid w:val="00625AB6"/>
    <w:rsid w:val="006573FC"/>
    <w:rsid w:val="00674D17"/>
    <w:rsid w:val="00775A34"/>
    <w:rsid w:val="007A20D5"/>
    <w:rsid w:val="008227F7"/>
    <w:rsid w:val="00834AA2"/>
    <w:rsid w:val="008504B7"/>
    <w:rsid w:val="00872828"/>
    <w:rsid w:val="0088758D"/>
    <w:rsid w:val="00943553"/>
    <w:rsid w:val="0095246C"/>
    <w:rsid w:val="009B107D"/>
    <w:rsid w:val="009D5E7A"/>
    <w:rsid w:val="009E7135"/>
    <w:rsid w:val="009F2198"/>
    <w:rsid w:val="00AF12FD"/>
    <w:rsid w:val="00B141D3"/>
    <w:rsid w:val="00B544D2"/>
    <w:rsid w:val="00BE6E38"/>
    <w:rsid w:val="00C22106"/>
    <w:rsid w:val="00C449A5"/>
    <w:rsid w:val="00C6113C"/>
    <w:rsid w:val="00C9236A"/>
    <w:rsid w:val="00CB4360"/>
    <w:rsid w:val="00CD7DBB"/>
    <w:rsid w:val="00CE0DF4"/>
    <w:rsid w:val="00CF1DD6"/>
    <w:rsid w:val="00D049B0"/>
    <w:rsid w:val="00D27FD7"/>
    <w:rsid w:val="00DD1EB0"/>
    <w:rsid w:val="00E4328C"/>
    <w:rsid w:val="00E870AF"/>
    <w:rsid w:val="00E9435C"/>
    <w:rsid w:val="00EA2C21"/>
    <w:rsid w:val="00F016BD"/>
    <w:rsid w:val="00F329FB"/>
    <w:rsid w:val="00F440E5"/>
    <w:rsid w:val="00F80D01"/>
    <w:rsid w:val="00F86CED"/>
    <w:rsid w:val="00FC1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3AEF"/>
  <w15:chartTrackingRefBased/>
  <w15:docId w15:val="{55A98C73-B885-4A7E-B74B-B89D2F997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47A"/>
    <w:rPr>
      <w:lang w:val="en-GB"/>
    </w:rPr>
  </w:style>
  <w:style w:type="paragraph" w:styleId="Heading1">
    <w:name w:val="heading 1"/>
    <w:basedOn w:val="Normal"/>
    <w:next w:val="Normal"/>
    <w:link w:val="Heading1Char"/>
    <w:autoRedefine/>
    <w:uiPriority w:val="9"/>
    <w:qFormat/>
    <w:rsid w:val="00F329FB"/>
    <w:pPr>
      <w:keepNext/>
      <w:keepLines/>
      <w:spacing w:before="360" w:after="80" w:line="360" w:lineRule="auto"/>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nhideWhenUsed/>
    <w:qFormat/>
    <w:rsid w:val="00F329FB"/>
    <w:pPr>
      <w:keepNext/>
      <w:keepLines/>
      <w:spacing w:before="400" w:after="360" w:line="360" w:lineRule="auto"/>
      <w:ind w:left="720"/>
      <w:outlineLvl w:val="1"/>
    </w:pPr>
    <w:rPr>
      <w:rFonts w:ascii="Times New Roman" w:eastAsiaTheme="majorEastAsia" w:hAnsi="Times New Roman" w:cstheme="majorBidi"/>
      <w:b/>
      <w:color w:val="000000" w:themeColor="text1"/>
      <w:sz w:val="24"/>
      <w:szCs w:val="26"/>
      <w:lang w:eastAsia="en-GB"/>
    </w:rPr>
  </w:style>
  <w:style w:type="paragraph" w:styleId="Heading3">
    <w:name w:val="heading 3"/>
    <w:basedOn w:val="Normal"/>
    <w:next w:val="Normal"/>
    <w:link w:val="Heading3Char"/>
    <w:uiPriority w:val="9"/>
    <w:unhideWhenUsed/>
    <w:qFormat/>
    <w:rsid w:val="005454E8"/>
    <w:pPr>
      <w:keepNext/>
      <w:keepLines/>
      <w:spacing w:before="160" w:after="80" w:line="240" w:lineRule="auto"/>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8227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27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2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9FB"/>
    <w:rPr>
      <w:rFonts w:ascii="Times New Roman" w:eastAsiaTheme="majorEastAsia" w:hAnsi="Times New Roman" w:cstheme="majorBidi"/>
      <w:b/>
      <w:sz w:val="28"/>
      <w:szCs w:val="40"/>
      <w:lang w:val="en-GB"/>
    </w:rPr>
  </w:style>
  <w:style w:type="character" w:customStyle="1" w:styleId="Heading3Char">
    <w:name w:val="Heading 3 Char"/>
    <w:basedOn w:val="DefaultParagraphFont"/>
    <w:link w:val="Heading3"/>
    <w:uiPriority w:val="9"/>
    <w:rsid w:val="005454E8"/>
    <w:rPr>
      <w:rFonts w:ascii="Times New Roman" w:eastAsiaTheme="majorEastAsia" w:hAnsi="Times New Roman" w:cstheme="majorBidi"/>
      <w:b/>
      <w:szCs w:val="28"/>
    </w:rPr>
  </w:style>
  <w:style w:type="character" w:customStyle="1" w:styleId="Heading2Char">
    <w:name w:val="Heading 2 Char"/>
    <w:basedOn w:val="DefaultParagraphFont"/>
    <w:link w:val="Heading2"/>
    <w:rsid w:val="00F329FB"/>
    <w:rPr>
      <w:rFonts w:ascii="Times New Roman" w:eastAsiaTheme="majorEastAsia" w:hAnsi="Times New Roman" w:cstheme="majorBidi"/>
      <w:b/>
      <w:color w:val="000000" w:themeColor="text1"/>
      <w:sz w:val="24"/>
      <w:szCs w:val="26"/>
      <w:lang w:val="en-GB" w:eastAsia="en-GB"/>
    </w:rPr>
  </w:style>
  <w:style w:type="paragraph" w:styleId="Title">
    <w:name w:val="Title"/>
    <w:basedOn w:val="Normal"/>
    <w:next w:val="Normal"/>
    <w:link w:val="TitleChar"/>
    <w:uiPriority w:val="10"/>
    <w:qFormat/>
    <w:rsid w:val="009B107D"/>
    <w:pPr>
      <w:spacing w:after="80" w:line="360" w:lineRule="auto"/>
      <w:contextualSpacing/>
      <w:jc w:val="center"/>
    </w:pPr>
    <w:rPr>
      <w:rFonts w:ascii="Times New Roman" w:eastAsiaTheme="majorEastAsia" w:hAnsi="Times New Roman" w:cstheme="majorBidi"/>
      <w:b/>
      <w:spacing w:val="-10"/>
      <w:kern w:val="28"/>
      <w:sz w:val="36"/>
      <w:szCs w:val="56"/>
    </w:rPr>
  </w:style>
  <w:style w:type="character" w:customStyle="1" w:styleId="TitleChar">
    <w:name w:val="Title Char"/>
    <w:basedOn w:val="DefaultParagraphFont"/>
    <w:link w:val="Title"/>
    <w:uiPriority w:val="10"/>
    <w:rsid w:val="009B107D"/>
    <w:rPr>
      <w:rFonts w:ascii="Times New Roman" w:eastAsiaTheme="majorEastAsia" w:hAnsi="Times New Roman" w:cstheme="majorBidi"/>
      <w:b/>
      <w:spacing w:val="-10"/>
      <w:kern w:val="28"/>
      <w:sz w:val="36"/>
      <w:szCs w:val="56"/>
    </w:rPr>
  </w:style>
  <w:style w:type="paragraph" w:styleId="Subtitle">
    <w:name w:val="Subtitle"/>
    <w:basedOn w:val="Normal"/>
    <w:next w:val="Normal"/>
    <w:link w:val="SubtitleChar"/>
    <w:uiPriority w:val="11"/>
    <w:qFormat/>
    <w:rsid w:val="009B107D"/>
    <w:pPr>
      <w:numPr>
        <w:ilvl w:val="1"/>
      </w:numPr>
      <w:spacing w:line="360" w:lineRule="auto"/>
      <w:jc w:val="center"/>
    </w:pPr>
    <w:rPr>
      <w:rFonts w:ascii="Times New Roman" w:eastAsiaTheme="majorEastAsia" w:hAnsi="Times New Roman" w:cstheme="majorBidi"/>
      <w:b/>
      <w:color w:val="595959" w:themeColor="text1" w:themeTint="A6"/>
      <w:spacing w:val="15"/>
      <w:sz w:val="32"/>
      <w:szCs w:val="28"/>
    </w:rPr>
  </w:style>
  <w:style w:type="character" w:customStyle="1" w:styleId="SubtitleChar">
    <w:name w:val="Subtitle Char"/>
    <w:basedOn w:val="DefaultParagraphFont"/>
    <w:link w:val="Subtitle"/>
    <w:uiPriority w:val="11"/>
    <w:rsid w:val="009B107D"/>
    <w:rPr>
      <w:rFonts w:ascii="Times New Roman" w:eastAsiaTheme="majorEastAsia" w:hAnsi="Times New Roman" w:cstheme="majorBidi"/>
      <w:b/>
      <w:color w:val="595959" w:themeColor="text1" w:themeTint="A6"/>
      <w:spacing w:val="15"/>
      <w:sz w:val="32"/>
      <w:szCs w:val="28"/>
    </w:rPr>
  </w:style>
  <w:style w:type="character" w:customStyle="1" w:styleId="Heading4Char">
    <w:name w:val="Heading 4 Char"/>
    <w:basedOn w:val="DefaultParagraphFont"/>
    <w:link w:val="Heading4"/>
    <w:uiPriority w:val="9"/>
    <w:semiHidden/>
    <w:rsid w:val="008227F7"/>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227F7"/>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227F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227F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227F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227F7"/>
    <w:rPr>
      <w:rFonts w:eastAsiaTheme="majorEastAsia" w:cstheme="majorBidi"/>
      <w:color w:val="272727" w:themeColor="text1" w:themeTint="D8"/>
      <w:lang w:val="en-GB"/>
    </w:rPr>
  </w:style>
  <w:style w:type="paragraph" w:styleId="Quote">
    <w:name w:val="Quote"/>
    <w:basedOn w:val="Normal"/>
    <w:next w:val="Normal"/>
    <w:link w:val="QuoteChar"/>
    <w:uiPriority w:val="29"/>
    <w:qFormat/>
    <w:rsid w:val="008227F7"/>
    <w:pPr>
      <w:spacing w:before="160"/>
      <w:jc w:val="center"/>
    </w:pPr>
    <w:rPr>
      <w:i/>
      <w:iCs/>
      <w:color w:val="404040" w:themeColor="text1" w:themeTint="BF"/>
    </w:rPr>
  </w:style>
  <w:style w:type="character" w:customStyle="1" w:styleId="QuoteChar">
    <w:name w:val="Quote Char"/>
    <w:basedOn w:val="DefaultParagraphFont"/>
    <w:link w:val="Quote"/>
    <w:uiPriority w:val="29"/>
    <w:rsid w:val="008227F7"/>
    <w:rPr>
      <w:i/>
      <w:iCs/>
      <w:color w:val="404040" w:themeColor="text1" w:themeTint="BF"/>
      <w:lang w:val="en-GB"/>
    </w:rPr>
  </w:style>
  <w:style w:type="paragraph" w:styleId="ListParagraph">
    <w:name w:val="List Paragraph"/>
    <w:basedOn w:val="Normal"/>
    <w:uiPriority w:val="34"/>
    <w:qFormat/>
    <w:rsid w:val="008227F7"/>
    <w:pPr>
      <w:ind w:left="720"/>
      <w:contextualSpacing/>
    </w:pPr>
  </w:style>
  <w:style w:type="character" w:styleId="IntenseEmphasis">
    <w:name w:val="Intense Emphasis"/>
    <w:basedOn w:val="DefaultParagraphFont"/>
    <w:uiPriority w:val="21"/>
    <w:qFormat/>
    <w:rsid w:val="008227F7"/>
    <w:rPr>
      <w:i/>
      <w:iCs/>
      <w:color w:val="2F5496" w:themeColor="accent1" w:themeShade="BF"/>
    </w:rPr>
  </w:style>
  <w:style w:type="paragraph" w:styleId="IntenseQuote">
    <w:name w:val="Intense Quote"/>
    <w:basedOn w:val="Normal"/>
    <w:next w:val="Normal"/>
    <w:link w:val="IntenseQuoteChar"/>
    <w:uiPriority w:val="30"/>
    <w:qFormat/>
    <w:rsid w:val="008227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27F7"/>
    <w:rPr>
      <w:i/>
      <w:iCs/>
      <w:color w:val="2F5496" w:themeColor="accent1" w:themeShade="BF"/>
      <w:lang w:val="en-GB"/>
    </w:rPr>
  </w:style>
  <w:style w:type="character" w:styleId="IntenseReference">
    <w:name w:val="Intense Reference"/>
    <w:basedOn w:val="DefaultParagraphFont"/>
    <w:uiPriority w:val="32"/>
    <w:qFormat/>
    <w:rsid w:val="008227F7"/>
    <w:rPr>
      <w:b/>
      <w:bCs/>
      <w:smallCaps/>
      <w:color w:val="2F5496" w:themeColor="accent1" w:themeShade="BF"/>
      <w:spacing w:val="5"/>
    </w:rPr>
  </w:style>
  <w:style w:type="character" w:styleId="Hyperlink">
    <w:name w:val="Hyperlink"/>
    <w:basedOn w:val="DefaultParagraphFont"/>
    <w:uiPriority w:val="99"/>
    <w:unhideWhenUsed/>
    <w:rsid w:val="00C22106"/>
    <w:rPr>
      <w:color w:val="0563C1" w:themeColor="hyperlink"/>
      <w:u w:val="single"/>
    </w:rPr>
  </w:style>
  <w:style w:type="character" w:styleId="UnresolvedMention">
    <w:name w:val="Unresolved Mention"/>
    <w:basedOn w:val="DefaultParagraphFont"/>
    <w:uiPriority w:val="99"/>
    <w:semiHidden/>
    <w:unhideWhenUsed/>
    <w:rsid w:val="00C22106"/>
    <w:rPr>
      <w:color w:val="605E5C"/>
      <w:shd w:val="clear" w:color="auto" w:fill="E1DFDD"/>
    </w:rPr>
  </w:style>
  <w:style w:type="paragraph" w:styleId="Caption">
    <w:name w:val="caption"/>
    <w:basedOn w:val="Normal"/>
    <w:next w:val="Normal"/>
    <w:uiPriority w:val="35"/>
    <w:unhideWhenUsed/>
    <w:qFormat/>
    <w:rsid w:val="009D5E7A"/>
    <w:pPr>
      <w:spacing w:after="200" w:line="240" w:lineRule="auto"/>
    </w:pPr>
    <w:rPr>
      <w:i/>
      <w:iCs/>
      <w:color w:val="44546A" w:themeColor="text2"/>
      <w:sz w:val="18"/>
      <w:szCs w:val="18"/>
    </w:rPr>
  </w:style>
  <w:style w:type="table" w:styleId="GridTable1Light">
    <w:name w:val="Grid Table 1 Light"/>
    <w:basedOn w:val="TableNormal"/>
    <w:uiPriority w:val="46"/>
    <w:rsid w:val="0059049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59049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2B75F8"/>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B75F8"/>
    <w:pPr>
      <w:spacing w:after="100"/>
    </w:pPr>
  </w:style>
  <w:style w:type="paragraph" w:styleId="TOC2">
    <w:name w:val="toc 2"/>
    <w:basedOn w:val="Normal"/>
    <w:next w:val="Normal"/>
    <w:autoRedefine/>
    <w:uiPriority w:val="39"/>
    <w:unhideWhenUsed/>
    <w:rsid w:val="002B75F8"/>
    <w:pPr>
      <w:spacing w:after="100"/>
      <w:ind w:left="220"/>
    </w:pPr>
  </w:style>
  <w:style w:type="paragraph" w:styleId="TableofFigures">
    <w:name w:val="table of figures"/>
    <w:basedOn w:val="Normal"/>
    <w:next w:val="Normal"/>
    <w:uiPriority w:val="99"/>
    <w:unhideWhenUsed/>
    <w:rsid w:val="002B75F8"/>
    <w:pPr>
      <w:spacing w:after="0"/>
    </w:pPr>
  </w:style>
  <w:style w:type="paragraph" w:styleId="Header">
    <w:name w:val="header"/>
    <w:basedOn w:val="Normal"/>
    <w:link w:val="HeaderChar"/>
    <w:uiPriority w:val="99"/>
    <w:unhideWhenUsed/>
    <w:rsid w:val="00E87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0AF"/>
    <w:rPr>
      <w:lang w:val="en-GB"/>
    </w:rPr>
  </w:style>
  <w:style w:type="paragraph" w:styleId="Footer">
    <w:name w:val="footer"/>
    <w:basedOn w:val="Normal"/>
    <w:link w:val="FooterChar"/>
    <w:uiPriority w:val="99"/>
    <w:unhideWhenUsed/>
    <w:rsid w:val="00E87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0AF"/>
    <w:rPr>
      <w:lang w:val="en-GB"/>
    </w:rPr>
  </w:style>
  <w:style w:type="character" w:styleId="FollowedHyperlink">
    <w:name w:val="FollowedHyperlink"/>
    <w:basedOn w:val="DefaultParagraphFont"/>
    <w:uiPriority w:val="99"/>
    <w:semiHidden/>
    <w:unhideWhenUsed/>
    <w:rsid w:val="00E870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randviewresearch.com/industry-analysis/energy-management-systems-market" TargetMode="External"/><Relationship Id="rId26" Type="http://schemas.openxmlformats.org/officeDocument/2006/relationships/hyperlink" Target="https://www.tesla.com/ns_videos/2024-tesla-impact-report-highlights.pdf" TargetMode="External"/><Relationship Id="rId3" Type="http://schemas.openxmlformats.org/officeDocument/2006/relationships/styles" Target="styles.xml"/><Relationship Id="rId21" Type="http://schemas.openxmlformats.org/officeDocument/2006/relationships/hyperlink" Target="https://market.us/report/smart-homes-marke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c.europa.eu/eurostat/web/products-eurostat-news/w/ddn-20250220-1" TargetMode="External"/><Relationship Id="rId25" Type="http://schemas.openxmlformats.org/officeDocument/2006/relationships/hyperlink" Target="https://solarenergyuk.org/resource/impact-report-2024/"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iot-now.com/2025/08/18/152636-the-number-of-home-energy-management-systems-in-europe-and-north-america-reached-4-5-million-in-202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1021892/number-of-battery-electric-vehicle-registrations-in-the-eu/"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en21.net/gsr-2024/modules/energy_supply/02_market_and_industry_trends/07_solarpv/"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commonslibrary.parliament.uk/research-briefings/cbp-949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psmarketresearch.com/market-analysis/europe-energy-management-systems-market" TargetMode="External"/><Relationship Id="rId27" Type="http://schemas.openxmlformats.org/officeDocument/2006/relationships/image" Target="media/image10.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7A236-2B09-419A-9A14-72288B187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22</Pages>
  <Words>5089</Words>
  <Characters>29010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 Latitude-7320</cp:lastModifiedBy>
  <cp:revision>2</cp:revision>
  <dcterms:created xsi:type="dcterms:W3CDTF">2025-12-09T13:07:00Z</dcterms:created>
  <dcterms:modified xsi:type="dcterms:W3CDTF">2025-12-14T10:46:00Z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cd934f00-d3a0-4f45-909a-6e9985d69bd3</vt:lpwstr>
  </property>
</Properties>
</file>