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951B2A0" w:rsidR="00986B43" w:rsidRPr="00235790"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235790">
              <w:rPr>
                <w:rFonts w:ascii="Times New Roman" w:hAnsi="Times New Roman" w:cs="Times New Roman"/>
                <w:b/>
                <w:color w:val="auto"/>
                <w:sz w:val="40"/>
                <w:szCs w:val="16"/>
              </w:rPr>
              <w:t>Learner’s name:</w:t>
            </w:r>
            <w:r w:rsidR="00247265" w:rsidRPr="00235790">
              <w:rPr>
                <w:rFonts w:ascii="Times New Roman" w:hAnsi="Times New Roman" w:cs="Times New Roman"/>
                <w:b/>
                <w:color w:val="auto"/>
                <w:sz w:val="40"/>
                <w:szCs w:val="16"/>
              </w:rPr>
              <w:t xml:space="preserve"> </w:t>
            </w:r>
            <w:r w:rsidR="00235790" w:rsidRPr="00235790">
              <w:rPr>
                <w:rFonts w:ascii="Times New Roman" w:hAnsi="Times New Roman" w:cs="Times New Roman"/>
                <w:b/>
                <w:color w:val="auto"/>
                <w:sz w:val="40"/>
                <w:szCs w:val="16"/>
              </w:rPr>
              <w:t>Emily Bhogal</w:t>
            </w:r>
          </w:p>
          <w:p w14:paraId="0B6CD0DB" w14:textId="689515B5" w:rsidR="009C337F" w:rsidRPr="00235790"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7B2B3BA9" w:rsidR="009C337F" w:rsidRPr="00235790"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235790">
              <w:rPr>
                <w:rFonts w:ascii="Times New Roman" w:hAnsi="Times New Roman" w:cs="Times New Roman"/>
                <w:b/>
                <w:color w:val="auto"/>
                <w:sz w:val="40"/>
                <w:szCs w:val="16"/>
              </w:rPr>
              <w:t>Email address:</w:t>
            </w:r>
            <w:r w:rsidR="00235790" w:rsidRPr="00235790">
              <w:rPr>
                <w:rFonts w:ascii="Times New Roman" w:hAnsi="Times New Roman" w:cs="Times New Roman"/>
                <w:b/>
                <w:color w:val="auto"/>
                <w:sz w:val="40"/>
                <w:szCs w:val="16"/>
              </w:rPr>
              <w:t xml:space="preserve"> emily.bhogal@swansea.gov.uk</w:t>
            </w:r>
          </w:p>
          <w:p w14:paraId="22E38809" w14:textId="77777777" w:rsidR="00986B43" w:rsidRPr="00235790"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7150AA26" w:rsidR="00F927A1" w:rsidRPr="00235790"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235790">
              <w:rPr>
                <w:rFonts w:ascii="Times New Roman" w:hAnsi="Times New Roman" w:cs="Times New Roman"/>
                <w:b/>
                <w:color w:val="auto"/>
                <w:sz w:val="40"/>
                <w:szCs w:val="16"/>
              </w:rPr>
              <w:t>Learner’s University Registration</w:t>
            </w:r>
            <w:r w:rsidR="00F927A1" w:rsidRPr="00235790">
              <w:rPr>
                <w:rFonts w:ascii="Times New Roman" w:hAnsi="Times New Roman" w:cs="Times New Roman"/>
                <w:b/>
                <w:color w:val="auto"/>
                <w:sz w:val="40"/>
                <w:szCs w:val="16"/>
              </w:rPr>
              <w:t xml:space="preserve"> Number:</w:t>
            </w:r>
            <w:r w:rsidR="00235790" w:rsidRPr="00235790">
              <w:rPr>
                <w:rFonts w:ascii="Times New Roman" w:hAnsi="Times New Roman" w:cs="Times New Roman"/>
                <w:b/>
                <w:color w:val="auto"/>
                <w:sz w:val="40"/>
                <w:szCs w:val="16"/>
              </w:rPr>
              <w:t xml:space="preserve"> 2418543</w:t>
            </w:r>
          </w:p>
          <w:p w14:paraId="622FD17A" w14:textId="77777777" w:rsidR="0085230E" w:rsidRPr="00235790"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40389B56"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235790">
              <w:rPr>
                <w:rFonts w:ascii="Times New Roman" w:hAnsi="Times New Roman" w:cs="Times New Roman"/>
                <w:b/>
                <w:color w:val="auto"/>
                <w:sz w:val="40"/>
                <w:szCs w:val="16"/>
              </w:rPr>
              <w:t xml:space="preserve">Cohort: </w:t>
            </w:r>
            <w:r w:rsidR="00B037B0" w:rsidRPr="00235790">
              <w:rPr>
                <w:rFonts w:ascii="Times New Roman" w:hAnsi="Times New Roman" w:cs="Times New Roman"/>
                <w:b/>
                <w:color w:val="auto"/>
                <w:sz w:val="40"/>
                <w:szCs w:val="16"/>
              </w:rPr>
              <w:t>2</w:t>
            </w:r>
            <w:r w:rsidR="005E1F04">
              <w:rPr>
                <w:rFonts w:ascii="Times New Roman" w:hAnsi="Times New Roman" w:cs="Times New Roman"/>
                <w:b/>
                <w:color w:val="auto"/>
                <w:sz w:val="40"/>
                <w:szCs w:val="16"/>
              </w:rPr>
              <w:t>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12DC2F24" w14:textId="24094196" w:rsidR="00D3203C" w:rsidRPr="001824D3" w:rsidRDefault="00D3203C" w:rsidP="00235790">
            <w:pPr>
              <w:spacing w:line="360" w:lineRule="auto"/>
              <w:jc w:val="both"/>
              <w:rPr>
                <w:i/>
                <w:sz w:val="24"/>
                <w:szCs w:val="24"/>
              </w:rPr>
            </w:pPr>
          </w:p>
          <w:p w14:paraId="7A2714A5" w14:textId="77BC4EA3" w:rsidR="00B847A2" w:rsidRPr="00AB411B" w:rsidRDefault="001824D3" w:rsidP="00235790">
            <w:pPr>
              <w:spacing w:line="360" w:lineRule="auto"/>
              <w:jc w:val="both"/>
              <w:rPr>
                <w:sz w:val="24"/>
                <w:szCs w:val="24"/>
              </w:rPr>
            </w:pPr>
            <w:r w:rsidRPr="00AB411B">
              <w:rPr>
                <w:sz w:val="24"/>
                <w:szCs w:val="24"/>
              </w:rPr>
              <w:t xml:space="preserve">This case study is based on an assessment of an adult in hospital who was deemed to lack capacity. The individual </w:t>
            </w:r>
            <w:r w:rsidR="00472EEA" w:rsidRPr="00AB411B">
              <w:rPr>
                <w:sz w:val="24"/>
                <w:szCs w:val="24"/>
              </w:rPr>
              <w:t xml:space="preserve">(1) </w:t>
            </w:r>
            <w:r w:rsidRPr="00AB411B">
              <w:rPr>
                <w:sz w:val="24"/>
                <w:szCs w:val="24"/>
              </w:rPr>
              <w:t>was nursed in bed but expressed a wish to return home. Safeguarding concerns were raised in relation to the partner</w:t>
            </w:r>
            <w:r w:rsidR="00472EEA" w:rsidRPr="00AB411B">
              <w:rPr>
                <w:sz w:val="24"/>
                <w:szCs w:val="24"/>
              </w:rPr>
              <w:t xml:space="preserve"> (2)</w:t>
            </w:r>
            <w:r w:rsidRPr="00AB411B">
              <w:rPr>
                <w:sz w:val="24"/>
                <w:szCs w:val="24"/>
              </w:rPr>
              <w:t>, as well as hazardous environmental conditions within the home. This complex case involved safeguarding issues, multidisciplinary and carer collaboration, cultural and ethical challenges, and the application of Welsh, UK, and EU legislative frameworks. This critical reflection will provide an example of how social work theories, analysis, and professional judgement were applied in practice, whereby multi-dimensional challenges presented relating to safeguarding. This case challenged me both personally and professionally, requiring me to navigate complex circumstances and safeguarding concerns, manage conflict, and reflect on my own values and response.</w:t>
            </w:r>
          </w:p>
          <w:p w14:paraId="01239D0C" w14:textId="3C8F78C2" w:rsidR="00B847A2" w:rsidRPr="00AB411B" w:rsidRDefault="00B847A2" w:rsidP="00235790">
            <w:pPr>
              <w:spacing w:line="360" w:lineRule="auto"/>
              <w:jc w:val="both"/>
              <w:rPr>
                <w:sz w:val="24"/>
                <w:szCs w:val="24"/>
              </w:rPr>
            </w:pPr>
          </w:p>
          <w:p w14:paraId="0BABD9A9" w14:textId="2ED6E211" w:rsidR="00B847A2" w:rsidRPr="00AB411B" w:rsidRDefault="001824D3" w:rsidP="00235790">
            <w:pPr>
              <w:spacing w:line="360" w:lineRule="auto"/>
              <w:jc w:val="both"/>
              <w:rPr>
                <w:sz w:val="24"/>
                <w:szCs w:val="24"/>
              </w:rPr>
            </w:pPr>
            <w:r w:rsidRPr="00AB411B">
              <w:rPr>
                <w:sz w:val="24"/>
                <w:szCs w:val="24"/>
              </w:rPr>
              <w:t xml:space="preserve">At the outset of the assessment process, I offered the </w:t>
            </w:r>
            <w:r w:rsidR="00015603" w:rsidRPr="00AB411B">
              <w:rPr>
                <w:sz w:val="24"/>
                <w:szCs w:val="24"/>
              </w:rPr>
              <w:t>‘</w:t>
            </w:r>
            <w:r w:rsidRPr="00AB411B">
              <w:rPr>
                <w:sz w:val="24"/>
                <w:szCs w:val="24"/>
              </w:rPr>
              <w:t>Active Offer</w:t>
            </w:r>
            <w:r w:rsidR="00015603" w:rsidRPr="00AB411B">
              <w:rPr>
                <w:sz w:val="24"/>
                <w:szCs w:val="24"/>
              </w:rPr>
              <w:t>’</w:t>
            </w:r>
            <w:r w:rsidR="00897F05" w:rsidRPr="00AB411B">
              <w:rPr>
                <w:sz w:val="24"/>
                <w:szCs w:val="24"/>
              </w:rPr>
              <w:t xml:space="preserve"> to both 1 and 2</w:t>
            </w:r>
            <w:r w:rsidRPr="00AB411B">
              <w:rPr>
                <w:sz w:val="24"/>
                <w:szCs w:val="24"/>
              </w:rPr>
              <w:t xml:space="preserve">, in line with the </w:t>
            </w:r>
            <w:r w:rsidRPr="00AB411B">
              <w:rPr>
                <w:i/>
                <w:iCs/>
                <w:sz w:val="24"/>
                <w:szCs w:val="24"/>
              </w:rPr>
              <w:t>Welsh Language (Wales) Measure</w:t>
            </w:r>
            <w:r w:rsidRPr="00AB411B">
              <w:rPr>
                <w:sz w:val="24"/>
                <w:szCs w:val="24"/>
              </w:rPr>
              <w:t xml:space="preserve"> </w:t>
            </w:r>
            <w:r w:rsidRPr="00AB411B">
              <w:rPr>
                <w:i/>
                <w:iCs/>
                <w:sz w:val="24"/>
                <w:szCs w:val="24"/>
              </w:rPr>
              <w:t>2011</w:t>
            </w:r>
            <w:r w:rsidR="00E51006" w:rsidRPr="00AB411B">
              <w:rPr>
                <w:sz w:val="24"/>
                <w:szCs w:val="24"/>
              </w:rPr>
              <w:t xml:space="preserve"> and </w:t>
            </w:r>
            <w:r w:rsidR="00E51006" w:rsidRPr="00AB411B">
              <w:rPr>
                <w:i/>
                <w:iCs/>
                <w:sz w:val="24"/>
                <w:szCs w:val="24"/>
              </w:rPr>
              <w:t xml:space="preserve">More than Just Words </w:t>
            </w:r>
            <w:r w:rsidR="00053E54" w:rsidRPr="00AB411B">
              <w:rPr>
                <w:sz w:val="24"/>
                <w:szCs w:val="24"/>
              </w:rPr>
              <w:t>framework</w:t>
            </w:r>
            <w:r w:rsidR="005E1D74" w:rsidRPr="00AB411B">
              <w:rPr>
                <w:i/>
                <w:iCs/>
                <w:sz w:val="24"/>
                <w:szCs w:val="24"/>
              </w:rPr>
              <w:t xml:space="preserve">. </w:t>
            </w:r>
            <w:r w:rsidRPr="00AB411B">
              <w:rPr>
                <w:sz w:val="24"/>
                <w:szCs w:val="24"/>
              </w:rPr>
              <w:t xml:space="preserve">This </w:t>
            </w:r>
            <w:r w:rsidR="006444EA" w:rsidRPr="00AB411B">
              <w:rPr>
                <w:sz w:val="24"/>
                <w:szCs w:val="24"/>
              </w:rPr>
              <w:t xml:space="preserve">helps to create a culture of responsibility with </w:t>
            </w:r>
            <w:r w:rsidR="00F029E3" w:rsidRPr="00AB411B">
              <w:rPr>
                <w:sz w:val="24"/>
                <w:szCs w:val="24"/>
              </w:rPr>
              <w:t>professional</w:t>
            </w:r>
            <w:r w:rsidR="00D860D6" w:rsidRPr="00AB411B">
              <w:rPr>
                <w:sz w:val="24"/>
                <w:szCs w:val="24"/>
              </w:rPr>
              <w:t>s</w:t>
            </w:r>
            <w:r w:rsidR="005E1D74" w:rsidRPr="00AB411B">
              <w:rPr>
                <w:sz w:val="24"/>
                <w:szCs w:val="24"/>
              </w:rPr>
              <w:t xml:space="preserve"> to ensure language rights are upheld, and</w:t>
            </w:r>
            <w:r w:rsidRPr="00AB411B">
              <w:rPr>
                <w:sz w:val="24"/>
                <w:szCs w:val="24"/>
              </w:rPr>
              <w:t xml:space="preserve"> that</w:t>
            </w:r>
            <w:r w:rsidR="00897F05" w:rsidRPr="00AB411B">
              <w:rPr>
                <w:sz w:val="24"/>
                <w:szCs w:val="24"/>
              </w:rPr>
              <w:t xml:space="preserve"> all</w:t>
            </w:r>
            <w:r w:rsidRPr="00AB411B">
              <w:rPr>
                <w:sz w:val="24"/>
                <w:szCs w:val="24"/>
              </w:rPr>
              <w:t xml:space="preserve"> communication remained inclusive and culturally sensitive, enabling </w:t>
            </w:r>
            <w:r w:rsidRPr="00AB411B">
              <w:rPr>
                <w:sz w:val="24"/>
                <w:szCs w:val="24"/>
              </w:rPr>
              <w:lastRenderedPageBreak/>
              <w:t xml:space="preserve">individuals </w:t>
            </w:r>
            <w:r w:rsidR="007A7C7C" w:rsidRPr="00AB411B">
              <w:rPr>
                <w:sz w:val="24"/>
                <w:szCs w:val="24"/>
              </w:rPr>
              <w:t xml:space="preserve">and their carer </w:t>
            </w:r>
            <w:r w:rsidRPr="00AB411B">
              <w:rPr>
                <w:sz w:val="24"/>
                <w:szCs w:val="24"/>
              </w:rPr>
              <w:t>to express their wishes and needs in their preferred language</w:t>
            </w:r>
            <w:r w:rsidR="009D43A1" w:rsidRPr="00AB411B">
              <w:rPr>
                <w:sz w:val="24"/>
                <w:szCs w:val="24"/>
              </w:rPr>
              <w:t xml:space="preserve"> (</w:t>
            </w:r>
            <w:r w:rsidR="005E1D74" w:rsidRPr="00AB411B">
              <w:rPr>
                <w:sz w:val="24"/>
                <w:szCs w:val="24"/>
              </w:rPr>
              <w:t xml:space="preserve">Welsh Government, 2015; </w:t>
            </w:r>
            <w:r w:rsidR="009D43A1" w:rsidRPr="00AB411B">
              <w:rPr>
                <w:sz w:val="24"/>
                <w:szCs w:val="24"/>
              </w:rPr>
              <w:t>S</w:t>
            </w:r>
            <w:r w:rsidR="00800822" w:rsidRPr="00AB411B">
              <w:rPr>
                <w:sz w:val="24"/>
                <w:szCs w:val="24"/>
              </w:rPr>
              <w:t>ocial Care Wales (SCW)</w:t>
            </w:r>
            <w:r w:rsidR="009D43A1" w:rsidRPr="00AB411B">
              <w:rPr>
                <w:sz w:val="24"/>
                <w:szCs w:val="24"/>
              </w:rPr>
              <w:t>, 2017, 1.1, 1.4</w:t>
            </w:r>
            <w:r w:rsidR="003F5D38" w:rsidRPr="00AB411B">
              <w:rPr>
                <w:sz w:val="24"/>
                <w:szCs w:val="24"/>
              </w:rPr>
              <w:t>, 2.3</w:t>
            </w:r>
            <w:r w:rsidR="009D43A1" w:rsidRPr="00AB411B">
              <w:rPr>
                <w:sz w:val="24"/>
                <w:szCs w:val="24"/>
              </w:rPr>
              <w:t>)</w:t>
            </w:r>
            <w:r w:rsidRPr="00AB411B">
              <w:rPr>
                <w:sz w:val="24"/>
                <w:szCs w:val="24"/>
              </w:rPr>
              <w:t xml:space="preserve">. 1 expressed a preference to converse in English; however, their responses raised concerns about their awareness of their situation and their mental capacity; medical professionals also confirmed evident confusion within their interactions. </w:t>
            </w:r>
          </w:p>
          <w:p w14:paraId="56E4EC2F" w14:textId="77777777" w:rsidR="00EC2502" w:rsidRPr="00AB411B" w:rsidRDefault="00EC2502" w:rsidP="00235790">
            <w:pPr>
              <w:spacing w:line="360" w:lineRule="auto"/>
              <w:jc w:val="both"/>
              <w:rPr>
                <w:sz w:val="24"/>
                <w:szCs w:val="24"/>
              </w:rPr>
            </w:pPr>
          </w:p>
          <w:p w14:paraId="05BCA185" w14:textId="1AA0B775" w:rsidR="00E568B2" w:rsidRPr="00AB411B" w:rsidRDefault="00BE55D0" w:rsidP="00235790">
            <w:pPr>
              <w:spacing w:line="360" w:lineRule="auto"/>
              <w:jc w:val="both"/>
              <w:rPr>
                <w:sz w:val="24"/>
                <w:szCs w:val="24"/>
              </w:rPr>
            </w:pPr>
            <w:r w:rsidRPr="00AB411B">
              <w:rPr>
                <w:sz w:val="24"/>
                <w:szCs w:val="24"/>
              </w:rPr>
              <w:t>In Wales, the Mental Capacity Act 2005 (MCA 2005) applies as part of UK legislation. It establishes a legal framework for decision-making on behalf of individuals aged 16 and over who are assessed as lacking the capacity to make specific decisions independently</w:t>
            </w:r>
            <w:r w:rsidR="00E568B2" w:rsidRPr="00AB411B">
              <w:rPr>
                <w:sz w:val="24"/>
                <w:szCs w:val="24"/>
              </w:rPr>
              <w:t>. In line with Principle 1 of the Act, which presumes capacity, a mental capacity assessment must be completed when there is evidence to question an individual's ability to make a particular decision. These assessments are decision specific. In this case, my role was to assess 1’s capacity to make decisions about their care and support needs in preparation for discharge</w:t>
            </w:r>
            <w:r w:rsidR="009C6820" w:rsidRPr="00AB411B">
              <w:rPr>
                <w:sz w:val="24"/>
                <w:szCs w:val="24"/>
              </w:rPr>
              <w:t xml:space="preserve"> (</w:t>
            </w:r>
            <w:r w:rsidR="00475B9F" w:rsidRPr="00AB411B">
              <w:rPr>
                <w:sz w:val="24"/>
                <w:szCs w:val="24"/>
              </w:rPr>
              <w:t>SCW)</w:t>
            </w:r>
            <w:r w:rsidR="009C6820" w:rsidRPr="00AB411B">
              <w:rPr>
                <w:sz w:val="24"/>
                <w:szCs w:val="24"/>
              </w:rPr>
              <w:t>, 2011, S</w:t>
            </w:r>
            <w:r w:rsidR="00B67467" w:rsidRPr="00AB411B">
              <w:rPr>
                <w:sz w:val="24"/>
                <w:szCs w:val="24"/>
              </w:rPr>
              <w:t>CDS</w:t>
            </w:r>
            <w:r w:rsidR="009C6820" w:rsidRPr="00AB411B">
              <w:rPr>
                <w:sz w:val="24"/>
                <w:szCs w:val="24"/>
              </w:rPr>
              <w:t>W3)</w:t>
            </w:r>
            <w:r w:rsidR="00E568B2" w:rsidRPr="00AB411B">
              <w:rPr>
                <w:sz w:val="24"/>
                <w:szCs w:val="24"/>
              </w:rPr>
              <w:t xml:space="preserve">. The assessment confirmed that 1 lacked capacity, and a Best Interests decision was required to </w:t>
            </w:r>
            <w:r w:rsidR="00D9277D" w:rsidRPr="00AB411B">
              <w:rPr>
                <w:sz w:val="24"/>
                <w:szCs w:val="24"/>
              </w:rPr>
              <w:t xml:space="preserve">ensure their safety and protection </w:t>
            </w:r>
            <w:r w:rsidR="0099335F" w:rsidRPr="00AB411B">
              <w:rPr>
                <w:sz w:val="24"/>
                <w:szCs w:val="24"/>
              </w:rPr>
              <w:t>(SCW, 2017, 4</w:t>
            </w:r>
            <w:r w:rsidR="00500E3E" w:rsidRPr="00AB411B">
              <w:rPr>
                <w:sz w:val="24"/>
                <w:szCs w:val="24"/>
              </w:rPr>
              <w:t>.1, 4.2)</w:t>
            </w:r>
            <w:r w:rsidR="00D9277D" w:rsidRPr="00AB411B">
              <w:rPr>
                <w:sz w:val="24"/>
                <w:szCs w:val="24"/>
              </w:rPr>
              <w:t>.</w:t>
            </w:r>
            <w:r w:rsidR="00E3127A" w:rsidRPr="00AB411B">
              <w:rPr>
                <w:sz w:val="24"/>
                <w:szCs w:val="24"/>
              </w:rPr>
              <w:t xml:space="preserve"> </w:t>
            </w:r>
            <w:r w:rsidR="005F0BBF" w:rsidRPr="00AB411B">
              <w:rPr>
                <w:sz w:val="24"/>
                <w:szCs w:val="24"/>
              </w:rPr>
              <w:t>Where individuals have capacity, safeguarding intervention requires their consent and must carefully balance the duty to protect with the promotion of autonomy. This includes recognising their right to make unwise decisions, while ensuring that any risks are clearly communicated.</w:t>
            </w:r>
          </w:p>
          <w:p w14:paraId="6034A423" w14:textId="77777777" w:rsidR="00E568B2" w:rsidRPr="00AB411B" w:rsidRDefault="00E568B2" w:rsidP="00235790">
            <w:pPr>
              <w:spacing w:line="360" w:lineRule="auto"/>
              <w:jc w:val="both"/>
              <w:rPr>
                <w:sz w:val="24"/>
                <w:szCs w:val="24"/>
              </w:rPr>
            </w:pPr>
          </w:p>
          <w:p w14:paraId="308D1C2C" w14:textId="575A65E4" w:rsidR="00E568B2" w:rsidRPr="00AB411B" w:rsidRDefault="00E568B2" w:rsidP="00235790">
            <w:pPr>
              <w:spacing w:line="360" w:lineRule="auto"/>
              <w:jc w:val="both"/>
              <w:rPr>
                <w:sz w:val="24"/>
                <w:szCs w:val="24"/>
              </w:rPr>
            </w:pPr>
            <w:r w:rsidRPr="00AB411B">
              <w:rPr>
                <w:sz w:val="24"/>
                <w:szCs w:val="24"/>
              </w:rPr>
              <w:t>As there was no Power of Attorney in place, the responsibility for making this decision rested with the Local Authority. In accordance with Principle 4 of the Act, the decision considered 1’s known wishes and feelings and determined that returning home was appropriate. This also upheld Principle 5, which requires that any intervention be the least restrictive option. Supporting 1 to remain in their familiar home environment was considered the least restrictive option, provided that identified risks could be sufficiently mitigated. This included implementing a full package of care and providing the necessary equipment to safeguard their physical health and overall wellbeing</w:t>
            </w:r>
            <w:r w:rsidR="00475B9F" w:rsidRPr="00AB411B">
              <w:rPr>
                <w:sz w:val="24"/>
                <w:szCs w:val="24"/>
              </w:rPr>
              <w:t xml:space="preserve"> (</w:t>
            </w:r>
            <w:r w:rsidR="0093646B" w:rsidRPr="00AB411B">
              <w:rPr>
                <w:sz w:val="24"/>
                <w:szCs w:val="24"/>
              </w:rPr>
              <w:t xml:space="preserve">SCW, 2017, </w:t>
            </w:r>
            <w:r w:rsidR="00844EE6" w:rsidRPr="00AB411B">
              <w:rPr>
                <w:sz w:val="24"/>
                <w:szCs w:val="24"/>
              </w:rPr>
              <w:t>1.</w:t>
            </w:r>
            <w:r w:rsidR="00C5139D" w:rsidRPr="00AB411B">
              <w:rPr>
                <w:sz w:val="24"/>
                <w:szCs w:val="24"/>
              </w:rPr>
              <w:t>1</w:t>
            </w:r>
            <w:r w:rsidR="00844EE6" w:rsidRPr="00AB411B">
              <w:rPr>
                <w:sz w:val="24"/>
                <w:szCs w:val="24"/>
              </w:rPr>
              <w:t xml:space="preserve">; </w:t>
            </w:r>
            <w:r w:rsidR="00475B9F" w:rsidRPr="00AB411B">
              <w:rPr>
                <w:sz w:val="24"/>
                <w:szCs w:val="24"/>
              </w:rPr>
              <w:t>SCW, 2011, S</w:t>
            </w:r>
            <w:r w:rsidR="00B67467" w:rsidRPr="00AB411B">
              <w:rPr>
                <w:sz w:val="24"/>
                <w:szCs w:val="24"/>
              </w:rPr>
              <w:t>CDSW</w:t>
            </w:r>
            <w:r w:rsidR="00475B9F" w:rsidRPr="00AB411B">
              <w:rPr>
                <w:sz w:val="24"/>
                <w:szCs w:val="24"/>
              </w:rPr>
              <w:t>12</w:t>
            </w:r>
            <w:r w:rsidR="008416F6" w:rsidRPr="00AB411B">
              <w:rPr>
                <w:sz w:val="24"/>
                <w:szCs w:val="24"/>
              </w:rPr>
              <w:t>, S</w:t>
            </w:r>
            <w:r w:rsidR="00B67467" w:rsidRPr="00AB411B">
              <w:rPr>
                <w:sz w:val="24"/>
                <w:szCs w:val="24"/>
              </w:rPr>
              <w:t>CDS</w:t>
            </w:r>
            <w:r w:rsidR="008416F6" w:rsidRPr="00AB411B">
              <w:rPr>
                <w:sz w:val="24"/>
                <w:szCs w:val="24"/>
              </w:rPr>
              <w:t>W14</w:t>
            </w:r>
            <w:r w:rsidR="00475B9F" w:rsidRPr="00AB411B">
              <w:rPr>
                <w:sz w:val="24"/>
                <w:szCs w:val="24"/>
              </w:rPr>
              <w:t>).</w:t>
            </w:r>
          </w:p>
          <w:p w14:paraId="65004F37" w14:textId="77777777" w:rsidR="00EC2502" w:rsidRPr="00AB411B" w:rsidRDefault="00EC2502" w:rsidP="00235790">
            <w:pPr>
              <w:spacing w:line="360" w:lineRule="auto"/>
              <w:jc w:val="both"/>
              <w:rPr>
                <w:sz w:val="24"/>
                <w:szCs w:val="24"/>
              </w:rPr>
            </w:pPr>
          </w:p>
          <w:p w14:paraId="61797089" w14:textId="1657C232" w:rsidR="00A15BA3" w:rsidRPr="00AB411B" w:rsidRDefault="00A15BA3" w:rsidP="00235790">
            <w:pPr>
              <w:spacing w:line="360" w:lineRule="auto"/>
              <w:jc w:val="both"/>
              <w:rPr>
                <w:sz w:val="24"/>
                <w:szCs w:val="24"/>
              </w:rPr>
            </w:pPr>
            <w:r w:rsidRPr="00AB411B">
              <w:rPr>
                <w:sz w:val="24"/>
                <w:szCs w:val="24"/>
              </w:rPr>
              <w:t xml:space="preserve">In the following weeks, safeguarding concerns emerged after a nurse informed me that 2 had contacted the hospital and repeatedly asked staff to move 1 out of bed, despite clinical advice </w:t>
            </w:r>
            <w:r w:rsidRPr="00AB411B">
              <w:rPr>
                <w:sz w:val="24"/>
                <w:szCs w:val="24"/>
              </w:rPr>
              <w:lastRenderedPageBreak/>
              <w:t>to the contrary. 2 disagreed with the recommendation that 1 should remain in bed and told staff they intended to move 1 themselves when they returned home. This raised safeguarding concerns as 1 is a vulnerable adult with no means of protecting themselves.</w:t>
            </w:r>
          </w:p>
          <w:p w14:paraId="380775B3" w14:textId="77777777" w:rsidR="00455E96" w:rsidRPr="00AB411B" w:rsidRDefault="00455E96" w:rsidP="00235790">
            <w:pPr>
              <w:spacing w:line="360" w:lineRule="auto"/>
              <w:jc w:val="both"/>
              <w:rPr>
                <w:sz w:val="24"/>
                <w:szCs w:val="24"/>
              </w:rPr>
            </w:pPr>
          </w:p>
          <w:p w14:paraId="65703EB2" w14:textId="36DBCCB4" w:rsidR="00A1251F" w:rsidRPr="00AB411B" w:rsidRDefault="00455E96" w:rsidP="00235790">
            <w:pPr>
              <w:spacing w:line="360" w:lineRule="auto"/>
              <w:jc w:val="both"/>
              <w:rPr>
                <w:sz w:val="24"/>
                <w:szCs w:val="24"/>
              </w:rPr>
            </w:pPr>
            <w:r w:rsidRPr="00AB411B">
              <w:rPr>
                <w:sz w:val="24"/>
                <w:szCs w:val="24"/>
              </w:rPr>
              <w:t>This case was guided by a range of safeguarding legislation, policies, and procedures relevant to practice in Wales. Prior to 2014, Wales did not have a unified legal framework specifically dedicated to safeguarding adults. The introduction of the</w:t>
            </w:r>
            <w:r w:rsidRPr="00AB411B">
              <w:rPr>
                <w:i/>
                <w:iCs/>
                <w:sz w:val="24"/>
                <w:szCs w:val="24"/>
              </w:rPr>
              <w:t xml:space="preserve"> </w:t>
            </w:r>
            <w:r w:rsidR="00870A0A" w:rsidRPr="00AB411B">
              <w:rPr>
                <w:i/>
                <w:iCs/>
                <w:sz w:val="24"/>
                <w:szCs w:val="24"/>
              </w:rPr>
              <w:t>Social Services and Well-being (Wales) Act 2014 (SSWWA 2014)</w:t>
            </w:r>
            <w:r w:rsidR="00870A0A" w:rsidRPr="00AB411B">
              <w:rPr>
                <w:sz w:val="24"/>
                <w:szCs w:val="24"/>
              </w:rPr>
              <w:t xml:space="preserve"> </w:t>
            </w:r>
            <w:r w:rsidR="00C24AC8" w:rsidRPr="00AB411B">
              <w:rPr>
                <w:sz w:val="24"/>
                <w:szCs w:val="24"/>
              </w:rPr>
              <w:t xml:space="preserve">which is the overarching framework for </w:t>
            </w:r>
            <w:r w:rsidR="00F03F50" w:rsidRPr="00AB411B">
              <w:rPr>
                <w:sz w:val="24"/>
                <w:szCs w:val="24"/>
              </w:rPr>
              <w:t xml:space="preserve">Social Services law in Wales, </w:t>
            </w:r>
            <w:r w:rsidRPr="00AB411B">
              <w:rPr>
                <w:sz w:val="24"/>
                <w:szCs w:val="24"/>
              </w:rPr>
              <w:t>established clear legal duties and responsibilities for safeguarding. Part 7 of the Act is specifically focused on safeguarding and includes provisions such as the duty to report an ‘Adult at Risk’ and the duty to make enquiries</w:t>
            </w:r>
            <w:r w:rsidR="00711146" w:rsidRPr="00AB411B">
              <w:rPr>
                <w:sz w:val="24"/>
                <w:szCs w:val="24"/>
              </w:rPr>
              <w:t xml:space="preserve"> (</w:t>
            </w:r>
            <w:r w:rsidR="006D02FE" w:rsidRPr="00AB411B">
              <w:rPr>
                <w:sz w:val="24"/>
                <w:szCs w:val="24"/>
              </w:rPr>
              <w:t>S</w:t>
            </w:r>
            <w:r w:rsidR="00711146" w:rsidRPr="00AB411B">
              <w:rPr>
                <w:sz w:val="24"/>
                <w:szCs w:val="24"/>
              </w:rPr>
              <w:t>ection 126)</w:t>
            </w:r>
            <w:r w:rsidRPr="00AB411B">
              <w:rPr>
                <w:sz w:val="24"/>
                <w:szCs w:val="24"/>
              </w:rPr>
              <w:t>. The Act also places a duty on professionals to assess in a person-centred way, promoting and respecting the person’s wishes, dignity, and culture</w:t>
            </w:r>
            <w:r w:rsidR="008277D4" w:rsidRPr="00AB411B">
              <w:rPr>
                <w:sz w:val="24"/>
                <w:szCs w:val="24"/>
              </w:rPr>
              <w:t xml:space="preserve"> </w:t>
            </w:r>
            <w:r w:rsidR="00AD0994" w:rsidRPr="00AB411B">
              <w:rPr>
                <w:sz w:val="24"/>
                <w:szCs w:val="24"/>
              </w:rPr>
              <w:t>in line with our Code of Professional Practice (SCW, 2017, 1.1, 1.2, 1.4</w:t>
            </w:r>
            <w:r w:rsidR="002B1460" w:rsidRPr="00AB411B">
              <w:rPr>
                <w:sz w:val="24"/>
                <w:szCs w:val="24"/>
              </w:rPr>
              <w:t>).</w:t>
            </w:r>
            <w:r w:rsidR="00F72E01" w:rsidRPr="00AB411B">
              <w:rPr>
                <w:sz w:val="24"/>
                <w:szCs w:val="24"/>
              </w:rPr>
              <w:t xml:space="preserve"> </w:t>
            </w:r>
            <w:r w:rsidR="00E9620E" w:rsidRPr="00AB411B">
              <w:rPr>
                <w:sz w:val="24"/>
                <w:szCs w:val="24"/>
              </w:rPr>
              <w:t xml:space="preserve">Section 135 of the </w:t>
            </w:r>
            <w:r w:rsidR="00E9620E" w:rsidRPr="00AB411B">
              <w:rPr>
                <w:i/>
                <w:iCs/>
                <w:sz w:val="24"/>
                <w:szCs w:val="24"/>
              </w:rPr>
              <w:t>SSWWA 2014</w:t>
            </w:r>
            <w:r w:rsidR="00E9620E" w:rsidRPr="00AB411B">
              <w:rPr>
                <w:sz w:val="24"/>
                <w:szCs w:val="24"/>
              </w:rPr>
              <w:t xml:space="preserve"> mandates the establishment of regional Safeguarding Boards in Wales. These Boards are responsible for overseeing safeguarding arrangements within their area, developing regional guidance, coordinating multi-agenc</w:t>
            </w:r>
            <w:r w:rsidR="007D709F" w:rsidRPr="00AB411B">
              <w:rPr>
                <w:sz w:val="24"/>
                <w:szCs w:val="24"/>
              </w:rPr>
              <w:t>ies</w:t>
            </w:r>
            <w:r w:rsidR="00E9620E" w:rsidRPr="00AB411B">
              <w:rPr>
                <w:sz w:val="24"/>
                <w:szCs w:val="24"/>
              </w:rPr>
              <w:t>, and commissioning Adult Practice Reviews where necessary</w:t>
            </w:r>
            <w:r w:rsidR="004D6414" w:rsidRPr="00AB411B">
              <w:rPr>
                <w:sz w:val="24"/>
                <w:szCs w:val="24"/>
              </w:rPr>
              <w:t xml:space="preserve">. </w:t>
            </w:r>
          </w:p>
          <w:p w14:paraId="5B3C229B" w14:textId="77777777" w:rsidR="00E9620E" w:rsidRPr="00AB411B" w:rsidRDefault="00E9620E" w:rsidP="00235790">
            <w:pPr>
              <w:spacing w:line="360" w:lineRule="auto"/>
              <w:jc w:val="both"/>
              <w:rPr>
                <w:sz w:val="24"/>
                <w:szCs w:val="24"/>
              </w:rPr>
            </w:pPr>
          </w:p>
          <w:p w14:paraId="0CBD2CC4" w14:textId="1EDC4B87" w:rsidR="007A6B03" w:rsidRPr="00AB411B" w:rsidRDefault="00241ADF" w:rsidP="00235790">
            <w:pPr>
              <w:spacing w:line="360" w:lineRule="auto"/>
              <w:jc w:val="both"/>
              <w:rPr>
                <w:sz w:val="24"/>
                <w:szCs w:val="24"/>
              </w:rPr>
            </w:pPr>
            <w:r w:rsidRPr="00AB411B">
              <w:rPr>
                <w:sz w:val="24"/>
                <w:szCs w:val="24"/>
              </w:rPr>
              <w:t>I consulted with my supervisor regarding whether an ‘Adult at Risk’ referral should be made under safeguarding protocols. Under Section 126 of the</w:t>
            </w:r>
            <w:r w:rsidR="00870A0A" w:rsidRPr="00AB411B">
              <w:rPr>
                <w:sz w:val="24"/>
                <w:szCs w:val="24"/>
              </w:rPr>
              <w:t xml:space="preserve"> </w:t>
            </w:r>
            <w:r w:rsidR="00870A0A" w:rsidRPr="00AB411B">
              <w:rPr>
                <w:i/>
                <w:iCs/>
                <w:sz w:val="24"/>
                <w:szCs w:val="24"/>
              </w:rPr>
              <w:t>SSWWA 2014</w:t>
            </w:r>
            <w:r w:rsidRPr="00AB411B">
              <w:rPr>
                <w:sz w:val="24"/>
                <w:szCs w:val="24"/>
              </w:rPr>
              <w:t xml:space="preserve">, an ‘Adult at Risk’ is defined as an individual who has care and support needs, is experiencing or at risk of abuse or neglect, and is unable to protect themselves from such risks. Although there were concerns </w:t>
            </w:r>
            <w:r w:rsidR="00F32BD6" w:rsidRPr="00AB411B">
              <w:rPr>
                <w:sz w:val="24"/>
                <w:szCs w:val="24"/>
              </w:rPr>
              <w:t>placing 1 at risk</w:t>
            </w:r>
            <w:r w:rsidRPr="00AB411B">
              <w:rPr>
                <w:sz w:val="24"/>
                <w:szCs w:val="24"/>
              </w:rPr>
              <w:t>, they were in hospital and not exposed to immediate danger. We agreed that the most appropriate course of action was to first explore the concerns further, verify the facts, and assess whether the risks could be addressed through preventative measures without immediate escalation</w:t>
            </w:r>
            <w:r w:rsidR="00D00A6D" w:rsidRPr="00AB411B">
              <w:rPr>
                <w:sz w:val="24"/>
                <w:szCs w:val="24"/>
              </w:rPr>
              <w:t xml:space="preserve"> (SCW, 2011, S</w:t>
            </w:r>
            <w:r w:rsidR="00B67467" w:rsidRPr="00AB411B">
              <w:rPr>
                <w:sz w:val="24"/>
                <w:szCs w:val="24"/>
              </w:rPr>
              <w:t>CDS</w:t>
            </w:r>
            <w:r w:rsidR="00D00A6D" w:rsidRPr="00AB411B">
              <w:rPr>
                <w:sz w:val="24"/>
                <w:szCs w:val="24"/>
              </w:rPr>
              <w:t>W12)</w:t>
            </w:r>
            <w:r w:rsidRPr="00AB411B">
              <w:rPr>
                <w:sz w:val="24"/>
                <w:szCs w:val="24"/>
              </w:rPr>
              <w:t xml:space="preserve">. This approach aligned with proportionate safeguarding practice and early intervention, as outlined in Principle 1 of the </w:t>
            </w:r>
            <w:r w:rsidRPr="00AB411B">
              <w:rPr>
                <w:i/>
                <w:iCs/>
                <w:color w:val="auto"/>
                <w:sz w:val="24"/>
                <w:szCs w:val="24"/>
              </w:rPr>
              <w:t>Wales Safeguarding Procedures</w:t>
            </w:r>
            <w:r w:rsidRPr="00AB411B">
              <w:rPr>
                <w:color w:val="auto"/>
                <w:sz w:val="24"/>
                <w:szCs w:val="24"/>
              </w:rPr>
              <w:t xml:space="preserve"> </w:t>
            </w:r>
            <w:r w:rsidRPr="00AB411B">
              <w:rPr>
                <w:sz w:val="24"/>
                <w:szCs w:val="24"/>
              </w:rPr>
              <w:t>(</w:t>
            </w:r>
            <w:r w:rsidR="00081E3A" w:rsidRPr="00AB411B">
              <w:rPr>
                <w:sz w:val="24"/>
                <w:szCs w:val="24"/>
              </w:rPr>
              <w:t>S</w:t>
            </w:r>
            <w:r w:rsidR="00A26B1B" w:rsidRPr="00AB411B">
              <w:rPr>
                <w:sz w:val="24"/>
                <w:szCs w:val="24"/>
              </w:rPr>
              <w:t>ocial Care Wales (S</w:t>
            </w:r>
            <w:r w:rsidR="00081E3A" w:rsidRPr="00AB411B">
              <w:rPr>
                <w:sz w:val="24"/>
                <w:szCs w:val="24"/>
              </w:rPr>
              <w:t>CW</w:t>
            </w:r>
            <w:r w:rsidR="00A26B1B" w:rsidRPr="00AB411B">
              <w:rPr>
                <w:sz w:val="24"/>
                <w:szCs w:val="24"/>
              </w:rPr>
              <w:t>)</w:t>
            </w:r>
            <w:r w:rsidRPr="00AB411B">
              <w:rPr>
                <w:sz w:val="24"/>
                <w:szCs w:val="24"/>
              </w:rPr>
              <w:t>, 2019).</w:t>
            </w:r>
            <w:r w:rsidR="001E3A49" w:rsidRPr="00AB411B">
              <w:rPr>
                <w:sz w:val="24"/>
                <w:szCs w:val="24"/>
              </w:rPr>
              <w:t xml:space="preserve"> </w:t>
            </w:r>
            <w:r w:rsidR="00A1251F" w:rsidRPr="00AB411B">
              <w:rPr>
                <w:sz w:val="24"/>
                <w:szCs w:val="24"/>
              </w:rPr>
              <w:t xml:space="preserve">The decision to delay escalation </w:t>
            </w:r>
            <w:r w:rsidR="008D67AA" w:rsidRPr="00AB411B">
              <w:rPr>
                <w:sz w:val="24"/>
                <w:szCs w:val="24"/>
              </w:rPr>
              <w:t xml:space="preserve">therefore </w:t>
            </w:r>
            <w:r w:rsidR="00A1251F" w:rsidRPr="00AB411B">
              <w:rPr>
                <w:sz w:val="24"/>
                <w:szCs w:val="24"/>
              </w:rPr>
              <w:t xml:space="preserve">allowed for further evidence gathering and preventative action, ensuring that any formal safeguarding intervention would be both necessary and proportionate. </w:t>
            </w:r>
          </w:p>
          <w:p w14:paraId="38A5BDC9" w14:textId="77777777" w:rsidR="007A6B03" w:rsidRPr="00AB411B" w:rsidRDefault="007A6B03" w:rsidP="00235790">
            <w:pPr>
              <w:spacing w:line="360" w:lineRule="auto"/>
              <w:jc w:val="both"/>
              <w:rPr>
                <w:sz w:val="24"/>
                <w:szCs w:val="24"/>
              </w:rPr>
            </w:pPr>
          </w:p>
          <w:p w14:paraId="6D4D557C" w14:textId="738E0A57" w:rsidR="00241ADF" w:rsidRPr="00AB411B" w:rsidRDefault="001514F4" w:rsidP="00CA10BF">
            <w:pPr>
              <w:spacing w:line="360" w:lineRule="auto"/>
              <w:jc w:val="both"/>
              <w:rPr>
                <w:sz w:val="24"/>
                <w:szCs w:val="24"/>
              </w:rPr>
            </w:pPr>
            <w:r w:rsidRPr="00AB411B">
              <w:rPr>
                <w:sz w:val="24"/>
                <w:szCs w:val="24"/>
              </w:rPr>
              <w:lastRenderedPageBreak/>
              <w:t xml:space="preserve">The Wales Safeguarding Procedures provide a national framework for safeguarding practice across Wales. While not statutory in themselves, they are underpinned by statutory guidance issued under the Social Services and Well-being (Wales) Act 2014 (SSWWA), particularly Part 7, and are designed to support practitioners in meeting their legal duties, as outlined in </w:t>
            </w:r>
            <w:r w:rsidRPr="00AB411B">
              <w:rPr>
                <w:i/>
                <w:iCs/>
                <w:sz w:val="24"/>
                <w:szCs w:val="24"/>
              </w:rPr>
              <w:t>Working Together to Safeguard People</w:t>
            </w:r>
            <w:r w:rsidR="005704B3" w:rsidRPr="00AB411B">
              <w:rPr>
                <w:i/>
                <w:iCs/>
                <w:sz w:val="24"/>
                <w:szCs w:val="24"/>
              </w:rPr>
              <w:t xml:space="preserve"> </w:t>
            </w:r>
            <w:r w:rsidR="005704B3" w:rsidRPr="00AB411B">
              <w:rPr>
                <w:sz w:val="24"/>
                <w:szCs w:val="24"/>
              </w:rPr>
              <w:t>(Welsh Government, 2019)</w:t>
            </w:r>
            <w:r w:rsidRPr="00AB411B">
              <w:rPr>
                <w:sz w:val="24"/>
                <w:szCs w:val="24"/>
              </w:rPr>
              <w:t xml:space="preserve">. The procedures are built on core principles that emphasise shared responsibility, stating that safeguarding is everyone’s business. Effective safeguarding requires each practitioner and organisation to actively promote the safety and well-being of adults at risk. </w:t>
            </w:r>
            <w:r w:rsidR="00CA10BF" w:rsidRPr="00AB411B">
              <w:rPr>
                <w:sz w:val="24"/>
                <w:szCs w:val="24"/>
              </w:rPr>
              <w:t>The procedures also stress the importance of multi-agency and multi-disciplinary working, enabling professionals to develop a fuller understanding of an individual’s circumstances, needs, and risks</w:t>
            </w:r>
            <w:r w:rsidR="00D95D81" w:rsidRPr="00AB411B">
              <w:rPr>
                <w:sz w:val="24"/>
                <w:szCs w:val="24"/>
              </w:rPr>
              <w:t xml:space="preserve"> (SCW, 2017, 6.8)</w:t>
            </w:r>
            <w:r w:rsidR="00CA10BF" w:rsidRPr="00AB411B">
              <w:rPr>
                <w:sz w:val="24"/>
                <w:szCs w:val="24"/>
              </w:rPr>
              <w:t>. They promote co-productive relationships with the adult at risk, their family, and carers, ensuring that safeguarding interventions are person-centred, respectful, and aligned with what matters most to the individual.</w:t>
            </w:r>
            <w:r w:rsidR="00CF4762" w:rsidRPr="00AB411B">
              <w:rPr>
                <w:sz w:val="24"/>
                <w:szCs w:val="24"/>
              </w:rPr>
              <w:t xml:space="preserve"> </w:t>
            </w:r>
            <w:r w:rsidR="00CA10BF" w:rsidRPr="00AB411B">
              <w:rPr>
                <w:sz w:val="24"/>
                <w:szCs w:val="24"/>
              </w:rPr>
              <w:t>Additionally, the framework includes “Pointers for Practice”, offer</w:t>
            </w:r>
            <w:r w:rsidR="00CF4762" w:rsidRPr="00AB411B">
              <w:rPr>
                <w:sz w:val="24"/>
                <w:szCs w:val="24"/>
              </w:rPr>
              <w:t>ing</w:t>
            </w:r>
            <w:r w:rsidR="00CA10BF" w:rsidRPr="00AB411B">
              <w:rPr>
                <w:sz w:val="24"/>
                <w:szCs w:val="24"/>
              </w:rPr>
              <w:t xml:space="preserve"> practical guidance to help professionals identify signs of abuse, neglect, and maltreatment</w:t>
            </w:r>
            <w:r w:rsidR="00CF4762" w:rsidRPr="00AB411B">
              <w:rPr>
                <w:sz w:val="24"/>
                <w:szCs w:val="24"/>
              </w:rPr>
              <w:t xml:space="preserve"> as</w:t>
            </w:r>
            <w:r w:rsidR="0067065E" w:rsidRPr="00AB411B">
              <w:rPr>
                <w:sz w:val="24"/>
                <w:szCs w:val="24"/>
              </w:rPr>
              <w:t xml:space="preserve"> well as potentially vulnerable situations</w:t>
            </w:r>
            <w:r w:rsidR="00834C4E" w:rsidRPr="00AB411B">
              <w:rPr>
                <w:sz w:val="24"/>
                <w:szCs w:val="24"/>
              </w:rPr>
              <w:t xml:space="preserve"> to abuse or neglect by a carer</w:t>
            </w:r>
            <w:r w:rsidR="00C24AE9" w:rsidRPr="00AB411B">
              <w:rPr>
                <w:sz w:val="24"/>
                <w:szCs w:val="24"/>
              </w:rPr>
              <w:t xml:space="preserve"> </w:t>
            </w:r>
            <w:r w:rsidR="00A26B1B" w:rsidRPr="00AB411B">
              <w:rPr>
                <w:sz w:val="24"/>
                <w:szCs w:val="24"/>
              </w:rPr>
              <w:t>(SCW, 2019).</w:t>
            </w:r>
            <w:r w:rsidR="00CA10BF" w:rsidRPr="00AB411B">
              <w:rPr>
                <w:sz w:val="24"/>
                <w:szCs w:val="24"/>
              </w:rPr>
              <w:t xml:space="preserve"> This was particularly useful in considering not only the risks to 1, but also the vulnerabilities of 2 as a </w:t>
            </w:r>
            <w:proofErr w:type="spellStart"/>
            <w:r w:rsidR="00CA10BF" w:rsidRPr="00AB411B">
              <w:rPr>
                <w:sz w:val="24"/>
                <w:szCs w:val="24"/>
              </w:rPr>
              <w:t>carer</w:t>
            </w:r>
            <w:proofErr w:type="spellEnd"/>
            <w:r w:rsidR="00CA10BF" w:rsidRPr="00AB411B">
              <w:rPr>
                <w:sz w:val="24"/>
                <w:szCs w:val="24"/>
              </w:rPr>
              <w:t>, and how this dynamic increased the overall safeguarding concerns.</w:t>
            </w:r>
          </w:p>
          <w:p w14:paraId="7FE829CE" w14:textId="77777777" w:rsidR="00CA10BF" w:rsidRPr="00AB411B" w:rsidRDefault="00CA10BF" w:rsidP="00CA10BF">
            <w:pPr>
              <w:spacing w:line="360" w:lineRule="auto"/>
              <w:jc w:val="both"/>
              <w:rPr>
                <w:sz w:val="24"/>
                <w:szCs w:val="24"/>
              </w:rPr>
            </w:pPr>
          </w:p>
          <w:p w14:paraId="13FCAE1D" w14:textId="4531C8D4" w:rsidR="00E26AE3" w:rsidRPr="00AB411B" w:rsidRDefault="00483640" w:rsidP="00235790">
            <w:pPr>
              <w:spacing w:line="360" w:lineRule="auto"/>
              <w:jc w:val="both"/>
              <w:rPr>
                <w:sz w:val="24"/>
                <w:szCs w:val="24"/>
              </w:rPr>
            </w:pPr>
            <w:r w:rsidRPr="00AB411B">
              <w:rPr>
                <w:sz w:val="24"/>
                <w:szCs w:val="24"/>
              </w:rPr>
              <w:t>Had 1 been in the community rather than hospital, the safeguarding concerns would have warranted an immediate referral and rapid response. This case highlighted that professional judgement is context-dependent and varies according to the urgency and nature of the situation, influencing how critical thinking is applied (</w:t>
            </w:r>
            <w:r w:rsidR="00D24616" w:rsidRPr="00AB411B">
              <w:rPr>
                <w:sz w:val="24"/>
                <w:szCs w:val="24"/>
              </w:rPr>
              <w:t>SCW, 2011, S</w:t>
            </w:r>
            <w:r w:rsidR="00B67467" w:rsidRPr="00AB411B">
              <w:rPr>
                <w:sz w:val="24"/>
                <w:szCs w:val="24"/>
              </w:rPr>
              <w:t>CDS</w:t>
            </w:r>
            <w:r w:rsidR="00D24616" w:rsidRPr="00AB411B">
              <w:rPr>
                <w:sz w:val="24"/>
                <w:szCs w:val="24"/>
              </w:rPr>
              <w:t xml:space="preserve">W4; </w:t>
            </w:r>
            <w:r w:rsidRPr="00AB411B">
              <w:rPr>
                <w:sz w:val="24"/>
                <w:szCs w:val="24"/>
              </w:rPr>
              <w:t xml:space="preserve">Rutter &amp; Brown, 2015). In cases involving immediate risk, </w:t>
            </w:r>
            <w:r w:rsidR="0034611F" w:rsidRPr="00AB411B">
              <w:rPr>
                <w:sz w:val="24"/>
                <w:szCs w:val="24"/>
              </w:rPr>
              <w:t xml:space="preserve">investigations and </w:t>
            </w:r>
            <w:r w:rsidRPr="00AB411B">
              <w:rPr>
                <w:sz w:val="24"/>
                <w:szCs w:val="24"/>
              </w:rPr>
              <w:t xml:space="preserve">decisions must often be swift and prioritise safety, whereas potential or emerging risks allow for a more analytical and preventative approach. </w:t>
            </w:r>
            <w:r w:rsidR="00E26AE3" w:rsidRPr="00AB411B">
              <w:rPr>
                <w:sz w:val="24"/>
                <w:szCs w:val="24"/>
              </w:rPr>
              <w:t>As van de Luitgaarden (2009) notes, in other contexts such as when discharge is imminent or the individual is already residing at home, the situation may require a more naturalistic response, prompting instinctive safeguarding action based on professional experience and immediate concern.</w:t>
            </w:r>
          </w:p>
          <w:p w14:paraId="7C4AEEE0" w14:textId="77777777" w:rsidR="00E134C9" w:rsidRPr="00AB411B" w:rsidRDefault="00E134C9" w:rsidP="00235790">
            <w:pPr>
              <w:spacing w:line="360" w:lineRule="auto"/>
              <w:jc w:val="both"/>
              <w:rPr>
                <w:sz w:val="24"/>
                <w:szCs w:val="24"/>
              </w:rPr>
            </w:pPr>
          </w:p>
          <w:p w14:paraId="7DAD820B" w14:textId="3CC8BFD2" w:rsidR="00F32BD6" w:rsidRPr="00AB411B" w:rsidRDefault="00483640" w:rsidP="00235790">
            <w:pPr>
              <w:spacing w:line="360" w:lineRule="auto"/>
              <w:jc w:val="both"/>
              <w:rPr>
                <w:sz w:val="24"/>
                <w:szCs w:val="24"/>
              </w:rPr>
            </w:pPr>
            <w:r w:rsidRPr="00AB411B">
              <w:rPr>
                <w:sz w:val="24"/>
                <w:szCs w:val="24"/>
              </w:rPr>
              <w:lastRenderedPageBreak/>
              <w:t>This context enabled me to investigate environmental and relational risks more thoroughly and engage with the carer to explore potential harm</w:t>
            </w:r>
            <w:r w:rsidR="002A5862" w:rsidRPr="00AB411B">
              <w:rPr>
                <w:sz w:val="24"/>
                <w:szCs w:val="24"/>
              </w:rPr>
              <w:t xml:space="preserve"> (SCW, 2011, S</w:t>
            </w:r>
            <w:r w:rsidR="00B67467" w:rsidRPr="00AB411B">
              <w:rPr>
                <w:sz w:val="24"/>
                <w:szCs w:val="24"/>
              </w:rPr>
              <w:t>CDS</w:t>
            </w:r>
            <w:r w:rsidR="002A5862" w:rsidRPr="00AB411B">
              <w:rPr>
                <w:sz w:val="24"/>
                <w:szCs w:val="24"/>
              </w:rPr>
              <w:t>W12, S</w:t>
            </w:r>
            <w:r w:rsidR="00B67467" w:rsidRPr="00AB411B">
              <w:rPr>
                <w:sz w:val="24"/>
                <w:szCs w:val="24"/>
              </w:rPr>
              <w:t>CDS</w:t>
            </w:r>
            <w:r w:rsidR="002A5862" w:rsidRPr="00AB411B">
              <w:rPr>
                <w:sz w:val="24"/>
                <w:szCs w:val="24"/>
              </w:rPr>
              <w:t>W13</w:t>
            </w:r>
            <w:r w:rsidR="00BB3252" w:rsidRPr="00AB411B">
              <w:rPr>
                <w:sz w:val="24"/>
                <w:szCs w:val="24"/>
              </w:rPr>
              <w:t>)</w:t>
            </w:r>
            <w:r w:rsidRPr="00AB411B">
              <w:rPr>
                <w:sz w:val="24"/>
                <w:szCs w:val="24"/>
              </w:rPr>
              <w:t>. Had a discharge date been arranged</w:t>
            </w:r>
            <w:r w:rsidR="009E2941" w:rsidRPr="00AB411B">
              <w:rPr>
                <w:sz w:val="24"/>
                <w:szCs w:val="24"/>
              </w:rPr>
              <w:t xml:space="preserve"> for 1</w:t>
            </w:r>
            <w:r w:rsidRPr="00AB411B">
              <w:rPr>
                <w:sz w:val="24"/>
                <w:szCs w:val="24"/>
              </w:rPr>
              <w:t xml:space="preserve">, an </w:t>
            </w:r>
            <w:r w:rsidR="00055BA1" w:rsidRPr="00AB411B">
              <w:rPr>
                <w:sz w:val="24"/>
                <w:szCs w:val="24"/>
              </w:rPr>
              <w:t>‘</w:t>
            </w:r>
            <w:r w:rsidRPr="00AB411B">
              <w:rPr>
                <w:sz w:val="24"/>
                <w:szCs w:val="24"/>
              </w:rPr>
              <w:t>Adult at Risk</w:t>
            </w:r>
            <w:r w:rsidR="00055BA1" w:rsidRPr="00AB411B">
              <w:rPr>
                <w:sz w:val="24"/>
                <w:szCs w:val="24"/>
              </w:rPr>
              <w:t>’</w:t>
            </w:r>
            <w:r w:rsidRPr="00AB411B">
              <w:rPr>
                <w:sz w:val="24"/>
                <w:szCs w:val="24"/>
              </w:rPr>
              <w:t xml:space="preserve"> referral would have been necessary due to the imminence of potential harm</w:t>
            </w:r>
            <w:r w:rsidR="005B1C8F" w:rsidRPr="00AB411B">
              <w:rPr>
                <w:sz w:val="24"/>
                <w:szCs w:val="24"/>
              </w:rPr>
              <w:t>, as well as the</w:t>
            </w:r>
            <w:r w:rsidRPr="00AB411B">
              <w:rPr>
                <w:sz w:val="24"/>
                <w:szCs w:val="24"/>
              </w:rPr>
              <w:t xml:space="preserve"> need to revisit the Best Interest Decision.</w:t>
            </w:r>
            <w:r w:rsidR="009E2941" w:rsidRPr="00AB411B">
              <w:rPr>
                <w:sz w:val="24"/>
                <w:szCs w:val="24"/>
              </w:rPr>
              <w:t xml:space="preserve"> This would have involved consultation with the Local Authority Safeguarding Team</w:t>
            </w:r>
            <w:r w:rsidR="00C1674F" w:rsidRPr="00AB411B">
              <w:rPr>
                <w:sz w:val="24"/>
                <w:szCs w:val="24"/>
              </w:rPr>
              <w:t>, who oversee these referrals, and</w:t>
            </w:r>
            <w:r w:rsidR="009E2941" w:rsidRPr="00AB411B">
              <w:rPr>
                <w:sz w:val="24"/>
                <w:szCs w:val="24"/>
              </w:rPr>
              <w:t xml:space="preserve"> to</w:t>
            </w:r>
            <w:r w:rsidR="00016156" w:rsidRPr="00AB411B">
              <w:rPr>
                <w:sz w:val="24"/>
                <w:szCs w:val="24"/>
              </w:rPr>
              <w:t xml:space="preserve"> </w:t>
            </w:r>
            <w:r w:rsidR="009E2941" w:rsidRPr="00AB411B">
              <w:rPr>
                <w:sz w:val="24"/>
                <w:szCs w:val="24"/>
              </w:rPr>
              <w:t>agree actions</w:t>
            </w:r>
            <w:r w:rsidR="00340FAE" w:rsidRPr="00AB411B">
              <w:rPr>
                <w:sz w:val="24"/>
                <w:szCs w:val="24"/>
              </w:rPr>
              <w:t xml:space="preserve"> in responding to risks identified</w:t>
            </w:r>
            <w:r w:rsidR="00EB07FB" w:rsidRPr="00AB411B">
              <w:rPr>
                <w:sz w:val="24"/>
                <w:szCs w:val="24"/>
              </w:rPr>
              <w:t xml:space="preserve"> (SCW, 2017, 4.2; SCW, 2011, </w:t>
            </w:r>
            <w:r w:rsidR="00323D49" w:rsidRPr="00AB411B">
              <w:rPr>
                <w:sz w:val="24"/>
                <w:szCs w:val="24"/>
              </w:rPr>
              <w:t>S</w:t>
            </w:r>
            <w:r w:rsidR="00B67467" w:rsidRPr="00AB411B">
              <w:rPr>
                <w:sz w:val="24"/>
                <w:szCs w:val="24"/>
              </w:rPr>
              <w:t>CDS</w:t>
            </w:r>
            <w:r w:rsidR="00323D49" w:rsidRPr="00AB411B">
              <w:rPr>
                <w:sz w:val="24"/>
                <w:szCs w:val="24"/>
              </w:rPr>
              <w:t>W16).</w:t>
            </w:r>
          </w:p>
          <w:p w14:paraId="1F29DB2B" w14:textId="77777777" w:rsidR="00404547" w:rsidRPr="00AB411B" w:rsidRDefault="00404547" w:rsidP="00235790">
            <w:pPr>
              <w:spacing w:line="360" w:lineRule="auto"/>
              <w:jc w:val="both"/>
              <w:rPr>
                <w:sz w:val="24"/>
                <w:szCs w:val="24"/>
              </w:rPr>
            </w:pPr>
          </w:p>
          <w:p w14:paraId="7A8F6137" w14:textId="49362D4E" w:rsidR="00CC155E" w:rsidRPr="00AB411B" w:rsidRDefault="002B37A7" w:rsidP="00235790">
            <w:pPr>
              <w:spacing w:line="360" w:lineRule="auto"/>
              <w:jc w:val="both"/>
              <w:rPr>
                <w:sz w:val="24"/>
                <w:szCs w:val="24"/>
              </w:rPr>
            </w:pPr>
            <w:r w:rsidRPr="00AB411B">
              <w:rPr>
                <w:sz w:val="24"/>
                <w:szCs w:val="24"/>
              </w:rPr>
              <w:t>The assessment process was shaped by the evidence gathered, while the analysis involved interpreting that evidence and weighing it against potential outcomes. This included considering both what had already occurred and what could potentially happen, giving appropriate weight to the likelihood and impact of future events. This process directly links to safeguarding, as it ensures decisions are context sensitive and evidence informed. It involves a thorough understanding of current and emerging risks, and that any intervention is proportionate, timely, and evidence based</w:t>
            </w:r>
            <w:r w:rsidR="00B501D1" w:rsidRPr="00AB411B">
              <w:rPr>
                <w:sz w:val="24"/>
                <w:szCs w:val="24"/>
              </w:rPr>
              <w:t xml:space="preserve"> (Rutter and Brown, 2015).</w:t>
            </w:r>
          </w:p>
          <w:p w14:paraId="43C973BE" w14:textId="77777777" w:rsidR="00C333FD" w:rsidRPr="00AB411B" w:rsidRDefault="00C333FD" w:rsidP="00235790">
            <w:pPr>
              <w:spacing w:line="360" w:lineRule="auto"/>
              <w:jc w:val="both"/>
              <w:rPr>
                <w:sz w:val="24"/>
                <w:szCs w:val="24"/>
              </w:rPr>
            </w:pPr>
          </w:p>
          <w:p w14:paraId="7B0D2565" w14:textId="77777777" w:rsidR="00C333FD" w:rsidRPr="00AB411B" w:rsidRDefault="00C333FD" w:rsidP="00C333FD">
            <w:pPr>
              <w:spacing w:line="360" w:lineRule="auto"/>
              <w:jc w:val="both"/>
              <w:rPr>
                <w:sz w:val="24"/>
                <w:szCs w:val="24"/>
              </w:rPr>
            </w:pPr>
            <w:r w:rsidRPr="00AB411B">
              <w:rPr>
                <w:sz w:val="24"/>
                <w:szCs w:val="24"/>
              </w:rPr>
              <w:t xml:space="preserve">A critical legal distinction in this case was between absolute and qualified rights as listed under the European Convention on Human Rights, which brought the Human Rights Act 1998 into law in Wales. Article 3, which protects individuals from torture and inhuman or degrading treatment, an absolute right, meaning it cannot be restricted under any circumstances. This was relevant in assessing the potential risks posed to 1’s health and dignity, particularly in relation to environmental neglect, pressure care, and risk of being physically moved from bed. In contrast, Article 8, which protects the right to private and family life, is a qualified right. It can be lawfully restricted when necessary to protect the rights and freedoms of others. While 2’s right to family life and autonomy was respected, it could not override 1’s absolute right to live free from harm. This legal distinction supported the ethical justification for intervention, even when it conflicted with the carer’s wishes SCW, 2017, 1.2). </w:t>
            </w:r>
          </w:p>
          <w:p w14:paraId="426080B6" w14:textId="77777777" w:rsidR="00C333FD" w:rsidRPr="00AB411B" w:rsidRDefault="00C333FD" w:rsidP="00C333FD">
            <w:pPr>
              <w:spacing w:line="360" w:lineRule="auto"/>
              <w:jc w:val="both"/>
              <w:rPr>
                <w:sz w:val="24"/>
                <w:szCs w:val="24"/>
              </w:rPr>
            </w:pPr>
          </w:p>
          <w:p w14:paraId="0B36AB0D" w14:textId="77777777" w:rsidR="00C333FD" w:rsidRPr="00AB411B" w:rsidRDefault="00C333FD" w:rsidP="00C333FD">
            <w:pPr>
              <w:spacing w:line="360" w:lineRule="auto"/>
              <w:jc w:val="both"/>
              <w:rPr>
                <w:sz w:val="24"/>
                <w:szCs w:val="24"/>
              </w:rPr>
            </w:pPr>
            <w:r w:rsidRPr="00AB411B">
              <w:rPr>
                <w:sz w:val="24"/>
                <w:szCs w:val="24"/>
              </w:rPr>
              <w:t xml:space="preserve">Other relevant legislation includes the United Nations Principles for Older Persons (1991) which is underpinned by key values of dignity, independence, participation, care, and self-fulfilment. These principles informed the way safeguarding risks were navigated, ensuring that </w:t>
            </w:r>
            <w:r w:rsidRPr="00AB411B">
              <w:rPr>
                <w:sz w:val="24"/>
                <w:szCs w:val="24"/>
              </w:rPr>
              <w:lastRenderedPageBreak/>
              <w:t>the individual's rights and needs were central, and upheld throughout the assessment and discharge planning process. These principles complement Welsh, UK and EU legislation by reinforcing a rights-based, person-centred approach to safeguarding and care planning.</w:t>
            </w:r>
          </w:p>
          <w:p w14:paraId="2402B51E" w14:textId="77777777" w:rsidR="001924C8" w:rsidRPr="00AB411B" w:rsidRDefault="001924C8" w:rsidP="00235790">
            <w:pPr>
              <w:spacing w:line="360" w:lineRule="auto"/>
              <w:jc w:val="both"/>
              <w:rPr>
                <w:sz w:val="24"/>
                <w:szCs w:val="24"/>
              </w:rPr>
            </w:pPr>
          </w:p>
          <w:p w14:paraId="67422292" w14:textId="0D44B18B" w:rsidR="00CC155E" w:rsidRPr="00AB411B" w:rsidRDefault="00CC155E" w:rsidP="00235790">
            <w:pPr>
              <w:spacing w:line="360" w:lineRule="auto"/>
              <w:jc w:val="both"/>
              <w:rPr>
                <w:sz w:val="24"/>
                <w:szCs w:val="24"/>
              </w:rPr>
            </w:pPr>
            <w:r w:rsidRPr="00AB411B">
              <w:rPr>
                <w:sz w:val="24"/>
                <w:szCs w:val="24"/>
              </w:rPr>
              <w:t>Within exploring the safeguarding risks, I engaged in multi-disciplinary working, including consultation with occupational therapists, pressure care team, nursing staff, care agency to better understand 1’s circumstances, needs and explore potential solutions</w:t>
            </w:r>
            <w:r w:rsidR="000B325B" w:rsidRPr="00AB411B">
              <w:rPr>
                <w:sz w:val="24"/>
                <w:szCs w:val="24"/>
              </w:rPr>
              <w:t>.</w:t>
            </w:r>
            <w:r w:rsidRPr="00AB411B">
              <w:rPr>
                <w:sz w:val="24"/>
                <w:szCs w:val="24"/>
              </w:rPr>
              <w:t xml:space="preserve"> This collaborative approach enabled me to</w:t>
            </w:r>
            <w:r w:rsidR="00FC7859" w:rsidRPr="00AB411B">
              <w:rPr>
                <w:sz w:val="24"/>
                <w:szCs w:val="24"/>
              </w:rPr>
              <w:t xml:space="preserve"> gain knowledge and expertise from other professional </w:t>
            </w:r>
            <w:proofErr w:type="gramStart"/>
            <w:r w:rsidR="00FC7859" w:rsidRPr="00AB411B">
              <w:rPr>
                <w:sz w:val="24"/>
                <w:szCs w:val="24"/>
              </w:rPr>
              <w:t>in order to</w:t>
            </w:r>
            <w:proofErr w:type="gramEnd"/>
            <w:r w:rsidRPr="00AB411B">
              <w:rPr>
                <w:sz w:val="24"/>
                <w:szCs w:val="24"/>
              </w:rPr>
              <w:t xml:space="preserve"> explore potential solutions and </w:t>
            </w:r>
            <w:r w:rsidR="00FC7859" w:rsidRPr="00AB411B">
              <w:rPr>
                <w:sz w:val="24"/>
                <w:szCs w:val="24"/>
              </w:rPr>
              <w:t xml:space="preserve">form </w:t>
            </w:r>
            <w:r w:rsidRPr="00AB411B">
              <w:rPr>
                <w:sz w:val="24"/>
                <w:szCs w:val="24"/>
              </w:rPr>
              <w:t>professional judgement</w:t>
            </w:r>
            <w:r w:rsidR="00FC7859" w:rsidRPr="00AB411B">
              <w:rPr>
                <w:sz w:val="24"/>
                <w:szCs w:val="24"/>
              </w:rPr>
              <w:t>s</w:t>
            </w:r>
            <w:r w:rsidR="0081120C" w:rsidRPr="00AB411B">
              <w:rPr>
                <w:sz w:val="24"/>
                <w:szCs w:val="24"/>
              </w:rPr>
              <w:t xml:space="preserve"> (SCW, 2011, S</w:t>
            </w:r>
            <w:r w:rsidR="00B67467" w:rsidRPr="00AB411B">
              <w:rPr>
                <w:sz w:val="24"/>
                <w:szCs w:val="24"/>
              </w:rPr>
              <w:t>CDS</w:t>
            </w:r>
            <w:r w:rsidR="0081120C" w:rsidRPr="00AB411B">
              <w:rPr>
                <w:sz w:val="24"/>
                <w:szCs w:val="24"/>
              </w:rPr>
              <w:t>W1</w:t>
            </w:r>
            <w:r w:rsidR="000B325B" w:rsidRPr="00AB411B">
              <w:rPr>
                <w:sz w:val="24"/>
                <w:szCs w:val="24"/>
              </w:rPr>
              <w:t>, S</w:t>
            </w:r>
            <w:r w:rsidR="00B67467" w:rsidRPr="00AB411B">
              <w:rPr>
                <w:sz w:val="24"/>
                <w:szCs w:val="24"/>
              </w:rPr>
              <w:t>CDS</w:t>
            </w:r>
            <w:r w:rsidR="000B325B" w:rsidRPr="00AB411B">
              <w:rPr>
                <w:sz w:val="24"/>
                <w:szCs w:val="24"/>
              </w:rPr>
              <w:t>W4, S</w:t>
            </w:r>
            <w:r w:rsidR="00B67467" w:rsidRPr="00AB411B">
              <w:rPr>
                <w:sz w:val="24"/>
                <w:szCs w:val="24"/>
              </w:rPr>
              <w:t>CDS</w:t>
            </w:r>
            <w:r w:rsidR="000B325B" w:rsidRPr="00AB411B">
              <w:rPr>
                <w:sz w:val="24"/>
                <w:szCs w:val="24"/>
              </w:rPr>
              <w:t>W6; SCW, 2017, 6.8)</w:t>
            </w:r>
            <w:r w:rsidRPr="00AB411B">
              <w:rPr>
                <w:sz w:val="24"/>
                <w:szCs w:val="24"/>
              </w:rPr>
              <w:t xml:space="preserve">. Information was shared appropriately and lawfully, ensuring that all relevant professionals had the required information needed to consider the potential risks. In doing so, I adhered to data protection principles by sharing only necessary information with relevant professionals. This aligns with the </w:t>
            </w:r>
            <w:r w:rsidRPr="00AB411B">
              <w:rPr>
                <w:i/>
                <w:iCs/>
                <w:sz w:val="24"/>
                <w:szCs w:val="24"/>
              </w:rPr>
              <w:t>Data Protection Act 2018</w:t>
            </w:r>
            <w:r w:rsidRPr="00AB411B">
              <w:rPr>
                <w:sz w:val="24"/>
                <w:szCs w:val="24"/>
              </w:rPr>
              <w:t xml:space="preserve"> and GDPR principles, which permits data sharing </w:t>
            </w:r>
            <w:r w:rsidR="005A21D9" w:rsidRPr="00AB411B">
              <w:rPr>
                <w:sz w:val="24"/>
                <w:szCs w:val="24"/>
              </w:rPr>
              <w:t>without consent when it is justified by safeguarding needs</w:t>
            </w:r>
            <w:r w:rsidR="00A92418" w:rsidRPr="00AB411B">
              <w:rPr>
                <w:sz w:val="24"/>
                <w:szCs w:val="24"/>
              </w:rPr>
              <w:t xml:space="preserve"> or </w:t>
            </w:r>
            <w:r w:rsidR="00FC4D20" w:rsidRPr="00AB411B">
              <w:rPr>
                <w:sz w:val="24"/>
                <w:szCs w:val="24"/>
              </w:rPr>
              <w:t>to prevent harm</w:t>
            </w:r>
            <w:r w:rsidR="005A21D9" w:rsidRPr="00AB411B">
              <w:rPr>
                <w:sz w:val="24"/>
                <w:szCs w:val="24"/>
              </w:rPr>
              <w:t xml:space="preserve"> </w:t>
            </w:r>
            <w:r w:rsidR="001E76FD" w:rsidRPr="00AB411B">
              <w:rPr>
                <w:sz w:val="24"/>
                <w:szCs w:val="24"/>
              </w:rPr>
              <w:t xml:space="preserve">(SCW, 2017, </w:t>
            </w:r>
            <w:r w:rsidR="005D4065" w:rsidRPr="00AB411B">
              <w:rPr>
                <w:sz w:val="24"/>
                <w:szCs w:val="24"/>
              </w:rPr>
              <w:t xml:space="preserve">3.6, </w:t>
            </w:r>
            <w:r w:rsidR="001E76FD" w:rsidRPr="00AB411B">
              <w:rPr>
                <w:sz w:val="24"/>
                <w:szCs w:val="24"/>
              </w:rPr>
              <w:t>6.1)</w:t>
            </w:r>
            <w:r w:rsidR="00CD6B64" w:rsidRPr="00AB411B">
              <w:rPr>
                <w:sz w:val="24"/>
                <w:szCs w:val="24"/>
              </w:rPr>
              <w:t>.</w:t>
            </w:r>
          </w:p>
          <w:p w14:paraId="2F04776E" w14:textId="77777777" w:rsidR="00CC155E" w:rsidRPr="00AB411B" w:rsidRDefault="00CC155E" w:rsidP="00235790">
            <w:pPr>
              <w:spacing w:line="360" w:lineRule="auto"/>
              <w:jc w:val="both"/>
              <w:rPr>
                <w:sz w:val="24"/>
                <w:szCs w:val="24"/>
              </w:rPr>
            </w:pPr>
          </w:p>
          <w:p w14:paraId="2E38A3BD" w14:textId="47CD4D7E" w:rsidR="00701D02" w:rsidRPr="00AB411B" w:rsidRDefault="0081355C" w:rsidP="0081355C">
            <w:pPr>
              <w:spacing w:line="360" w:lineRule="auto"/>
              <w:jc w:val="both"/>
              <w:rPr>
                <w:sz w:val="24"/>
                <w:szCs w:val="24"/>
              </w:rPr>
            </w:pPr>
            <w:r w:rsidRPr="00AB411B">
              <w:rPr>
                <w:sz w:val="24"/>
                <w:szCs w:val="24"/>
              </w:rPr>
              <w:t>I prioritised engagement and rapport-building with 2 to foster trust and establish professional boundaries and responsibilities</w:t>
            </w:r>
            <w:r w:rsidR="00701D02" w:rsidRPr="00AB411B">
              <w:rPr>
                <w:sz w:val="24"/>
                <w:szCs w:val="24"/>
              </w:rPr>
              <w:t xml:space="preserve"> which are </w:t>
            </w:r>
            <w:r w:rsidRPr="00AB411B">
              <w:rPr>
                <w:sz w:val="24"/>
                <w:szCs w:val="24"/>
              </w:rPr>
              <w:t>key components of effective safeguarding practice. A pivotal moment of collaboration occurred when I initiated a joint phone call with a staff nurse and 2 to address concerns about manual handling risks. Previously, 2 had declined to discuss the risks involved in transferring 1 from bed, stating that I was not a nurse or physiotherapist. This response led to conflict and presented a dilemma in how to effectively engage the carer in safeguarding conversation</w:t>
            </w:r>
            <w:r w:rsidR="00701D02" w:rsidRPr="00AB411B">
              <w:rPr>
                <w:sz w:val="24"/>
                <w:szCs w:val="24"/>
              </w:rPr>
              <w:t>s.</w:t>
            </w:r>
            <w:r w:rsidR="00256A5E" w:rsidRPr="00AB411B">
              <w:rPr>
                <w:sz w:val="24"/>
                <w:szCs w:val="24"/>
              </w:rPr>
              <w:t xml:space="preserve"> </w:t>
            </w:r>
            <w:r w:rsidR="00BB4126" w:rsidRPr="00AB411B">
              <w:rPr>
                <w:sz w:val="24"/>
                <w:szCs w:val="24"/>
              </w:rPr>
              <w:t>D</w:t>
            </w:r>
            <w:r w:rsidRPr="00AB411B">
              <w:rPr>
                <w:sz w:val="24"/>
                <w:szCs w:val="24"/>
              </w:rPr>
              <w:t>uring the call, the nurse clarified that the individual was not to be moved and explained the associated risks, which 2 responded positively to. This interaction demonstrated how perceptions of professional credibility can influence engagement and potentially hinder safeguarding efforts. By facilitating a multi-agency response, I was able to ensure that accurate information was shared, risks were clearly communicated, and the carer was supported in understanding their role in preventing harm.</w:t>
            </w:r>
          </w:p>
          <w:p w14:paraId="0579A677" w14:textId="4EA755D6" w:rsidR="001431CB" w:rsidRPr="00AB411B" w:rsidRDefault="005318F7" w:rsidP="0081355C">
            <w:pPr>
              <w:spacing w:line="360" w:lineRule="auto"/>
              <w:jc w:val="both"/>
              <w:rPr>
                <w:sz w:val="24"/>
                <w:szCs w:val="24"/>
              </w:rPr>
            </w:pPr>
            <w:r w:rsidRPr="00AB411B">
              <w:rPr>
                <w:sz w:val="24"/>
                <w:szCs w:val="24"/>
              </w:rPr>
              <w:t xml:space="preserve">This approach contributed to safeguarding by enabling early identification and management of potential risks, promoting informed decision-making, and fostering trust in professional interventions. My role was to convey the level of risk and the potential escalation to </w:t>
            </w:r>
            <w:r w:rsidRPr="00AB411B">
              <w:rPr>
                <w:sz w:val="24"/>
                <w:szCs w:val="24"/>
              </w:rPr>
              <w:lastRenderedPageBreak/>
              <w:t>safeguarding procedures if unsafe actions were taken, which 2 stated they understood. This multi-disciplinary approach was particularly effective in clarifying the circumstances while also allowing us to hear 2’s perspective. It enabled a shared understanding of the risks, helped reduce conflict, and supported agreement on safeguarding actions. Following this discussion, a collective decision was made that 1 should continue with discharge planning home, as the risks had been clarified</w:t>
            </w:r>
            <w:r w:rsidR="00EA6F7A" w:rsidRPr="00AB411B">
              <w:rPr>
                <w:sz w:val="24"/>
                <w:szCs w:val="24"/>
              </w:rPr>
              <w:t xml:space="preserve">. </w:t>
            </w:r>
            <w:r w:rsidR="0081355C" w:rsidRPr="00AB411B">
              <w:rPr>
                <w:sz w:val="24"/>
                <w:szCs w:val="24"/>
              </w:rPr>
              <w:t>A coordinated, multi-agency response not only enhances safety but also helps build positive perceptions of services and strengthens engagement with carers (Ball, McElwee &amp; McManus, 2024).</w:t>
            </w:r>
          </w:p>
          <w:p w14:paraId="363C2306" w14:textId="77777777" w:rsidR="008757CC" w:rsidRPr="00AB411B" w:rsidRDefault="008757CC" w:rsidP="00235790">
            <w:pPr>
              <w:spacing w:line="360" w:lineRule="auto"/>
              <w:jc w:val="both"/>
              <w:rPr>
                <w:sz w:val="24"/>
                <w:szCs w:val="24"/>
              </w:rPr>
            </w:pPr>
          </w:p>
          <w:p w14:paraId="1B48FEE0" w14:textId="6DAECA5D" w:rsidR="00256A5E" w:rsidRPr="00AB411B" w:rsidRDefault="00256A5E" w:rsidP="00256A5E">
            <w:pPr>
              <w:spacing w:line="360" w:lineRule="auto"/>
              <w:jc w:val="both"/>
              <w:rPr>
                <w:sz w:val="24"/>
                <w:szCs w:val="24"/>
              </w:rPr>
            </w:pPr>
            <w:r w:rsidRPr="00AB411B">
              <w:rPr>
                <w:sz w:val="24"/>
                <w:szCs w:val="24"/>
              </w:rPr>
              <w:t xml:space="preserve">As part of the assessment, environmental risks were also considered. In relation to the </w:t>
            </w:r>
            <w:r w:rsidRPr="00AB411B">
              <w:rPr>
                <w:i/>
                <w:iCs/>
                <w:sz w:val="24"/>
                <w:szCs w:val="24"/>
              </w:rPr>
              <w:t>Well-being of Future Generations (Wales) Act 2015</w:t>
            </w:r>
            <w:r w:rsidRPr="00AB411B">
              <w:rPr>
                <w:sz w:val="24"/>
                <w:szCs w:val="24"/>
              </w:rPr>
              <w:t>, which aims to improve the social, economic, environmental, and cultural well-being of Wales, the Act introduced national well-being indicators to measure progress toward these goals. These indicators are relevant to safeguarding, as they help identify conditions that may contribute to harm</w:t>
            </w:r>
            <w:r w:rsidR="006274A4" w:rsidRPr="00AB411B">
              <w:rPr>
                <w:sz w:val="24"/>
                <w:szCs w:val="24"/>
              </w:rPr>
              <w:t xml:space="preserve">, </w:t>
            </w:r>
            <w:r w:rsidRPr="00AB411B">
              <w:rPr>
                <w:sz w:val="24"/>
                <w:szCs w:val="24"/>
              </w:rPr>
              <w:t xml:space="preserve">such as hazardous or unsuitable home environments. Safeguarding is not only about protection but also about prevention. Striving to meet these indicators aligns with our duties under the </w:t>
            </w:r>
            <w:r w:rsidR="001E4EEE" w:rsidRPr="00AB411B">
              <w:rPr>
                <w:i/>
                <w:iCs/>
                <w:sz w:val="24"/>
                <w:szCs w:val="24"/>
              </w:rPr>
              <w:t>SSWWA 2014</w:t>
            </w:r>
            <w:r w:rsidRPr="00AB411B">
              <w:rPr>
                <w:sz w:val="24"/>
                <w:szCs w:val="24"/>
              </w:rPr>
              <w:t>, which emphasises early intervention and promoting well-being. In cases involving poor home conditions and vulnerable adults, professionals must balance immediate needs with long-term outcomes. Support was offered by signposting to agencies that could address the mould in the property, alongside ongoing support such as sourcing cleaners and exploring benefits to help with heating costs. These actions aimed to promote the well-being of both individuals, who were older adults with vulnerabilities and care needs, by addressing environmental factors that could escalate into safeguarding concerns</w:t>
            </w:r>
            <w:r w:rsidR="00EA351A" w:rsidRPr="00AB411B">
              <w:rPr>
                <w:sz w:val="24"/>
                <w:szCs w:val="24"/>
              </w:rPr>
              <w:t>.</w:t>
            </w:r>
          </w:p>
          <w:p w14:paraId="3FE5643E" w14:textId="77777777" w:rsidR="00647F4A" w:rsidRPr="00AB411B" w:rsidRDefault="00647F4A" w:rsidP="00235790">
            <w:pPr>
              <w:spacing w:line="360" w:lineRule="auto"/>
              <w:jc w:val="both"/>
              <w:rPr>
                <w:sz w:val="24"/>
                <w:szCs w:val="24"/>
              </w:rPr>
            </w:pPr>
          </w:p>
          <w:p w14:paraId="7BEB68F3" w14:textId="77777777" w:rsidR="00403757" w:rsidRPr="00AB411B" w:rsidRDefault="00403757" w:rsidP="00235790">
            <w:pPr>
              <w:spacing w:line="360" w:lineRule="auto"/>
              <w:jc w:val="both"/>
              <w:rPr>
                <w:sz w:val="24"/>
                <w:szCs w:val="24"/>
              </w:rPr>
            </w:pPr>
            <w:r w:rsidRPr="00AB411B">
              <w:rPr>
                <w:sz w:val="24"/>
                <w:szCs w:val="24"/>
              </w:rPr>
              <w:t xml:space="preserve">Consideration was given to whether the environmental neglect was linked to poverty, as well as to the physical ability of both individuals to manage the issue over time, </w:t>
            </w:r>
            <w:proofErr w:type="gramStart"/>
            <w:r w:rsidRPr="00AB411B">
              <w:rPr>
                <w:sz w:val="24"/>
                <w:szCs w:val="24"/>
              </w:rPr>
              <w:t>taking into account</w:t>
            </w:r>
            <w:proofErr w:type="gramEnd"/>
            <w:r w:rsidRPr="00AB411B">
              <w:rPr>
                <w:sz w:val="24"/>
                <w:szCs w:val="24"/>
              </w:rPr>
              <w:t xml:space="preserve"> their age, cultural norms, and standards of living. 2 responded with hostility when the mould issue was discussed and rejected support, stating it was a private matter. This resistance may have stemmed from a lack of trust, perceptions of intrusion, or limited understanding of the associated health risks. 2 may not have recognised the impact of environmental neglect on </w:t>
            </w:r>
            <w:r w:rsidRPr="00AB411B">
              <w:rPr>
                <w:sz w:val="24"/>
                <w:szCs w:val="24"/>
              </w:rPr>
              <w:lastRenderedPageBreak/>
              <w:t>their own health or that of the other person, which highlights the importance of education and clear communication in safeguarding practice.</w:t>
            </w:r>
          </w:p>
          <w:p w14:paraId="1B5647AB" w14:textId="77777777" w:rsidR="00D81E14" w:rsidRPr="00AB411B" w:rsidRDefault="00D81E14" w:rsidP="00235790">
            <w:pPr>
              <w:spacing w:line="360" w:lineRule="auto"/>
              <w:jc w:val="both"/>
              <w:rPr>
                <w:sz w:val="24"/>
                <w:szCs w:val="24"/>
              </w:rPr>
            </w:pPr>
          </w:p>
          <w:p w14:paraId="11263DCC" w14:textId="7B95F8AF" w:rsidR="00403757" w:rsidRPr="00AB411B" w:rsidRDefault="00403757" w:rsidP="00235790">
            <w:pPr>
              <w:spacing w:line="360" w:lineRule="auto"/>
              <w:jc w:val="both"/>
              <w:rPr>
                <w:sz w:val="24"/>
                <w:szCs w:val="24"/>
              </w:rPr>
            </w:pPr>
            <w:r w:rsidRPr="00AB411B">
              <w:rPr>
                <w:sz w:val="24"/>
                <w:szCs w:val="24"/>
              </w:rPr>
              <w:t xml:space="preserve">Addressing such concerns requires sensitivity, cultural awareness, and a balance between respecting autonomy and ensuring safety. However, in line with health and safety responsibilities, addressing this hazard was essential to ensure a safe discharge home. This also related to the </w:t>
            </w:r>
            <w:r w:rsidRPr="00AB411B">
              <w:rPr>
                <w:i/>
                <w:iCs/>
                <w:sz w:val="24"/>
                <w:szCs w:val="24"/>
              </w:rPr>
              <w:t>Health and Safety at Work etc. Act 1974</w:t>
            </w:r>
            <w:r w:rsidRPr="00AB411B">
              <w:rPr>
                <w:sz w:val="24"/>
                <w:szCs w:val="24"/>
              </w:rPr>
              <w:t xml:space="preserve">, as carers and visiting professionals must be protected from exposure to mould and would not have been able to attend the property without this risk being mitigated. Although 2 declined my advice and support, </w:t>
            </w:r>
            <w:r w:rsidR="00350FC0" w:rsidRPr="00AB411B">
              <w:rPr>
                <w:sz w:val="24"/>
                <w:szCs w:val="24"/>
              </w:rPr>
              <w:t xml:space="preserve">after </w:t>
            </w:r>
            <w:r w:rsidRPr="00AB411B">
              <w:rPr>
                <w:sz w:val="24"/>
                <w:szCs w:val="24"/>
              </w:rPr>
              <w:t>highlighting the risks</w:t>
            </w:r>
            <w:r w:rsidR="00247BA6" w:rsidRPr="00AB411B">
              <w:rPr>
                <w:sz w:val="24"/>
                <w:szCs w:val="24"/>
              </w:rPr>
              <w:t xml:space="preserve">, </w:t>
            </w:r>
            <w:r w:rsidR="00350FC0" w:rsidRPr="00AB411B">
              <w:rPr>
                <w:sz w:val="24"/>
                <w:szCs w:val="24"/>
              </w:rPr>
              <w:t xml:space="preserve">2 agreed </w:t>
            </w:r>
            <w:r w:rsidRPr="00AB411B">
              <w:rPr>
                <w:sz w:val="24"/>
                <w:szCs w:val="24"/>
              </w:rPr>
              <w:t>to seek their own support and resolve the issue</w:t>
            </w:r>
            <w:r w:rsidR="00D81E14" w:rsidRPr="00AB411B">
              <w:rPr>
                <w:sz w:val="24"/>
                <w:szCs w:val="24"/>
              </w:rPr>
              <w:t xml:space="preserve"> </w:t>
            </w:r>
            <w:r w:rsidR="00350FC0" w:rsidRPr="00AB411B">
              <w:rPr>
                <w:sz w:val="24"/>
                <w:szCs w:val="24"/>
              </w:rPr>
              <w:t>(SCW, 2017, 1.4).</w:t>
            </w:r>
          </w:p>
          <w:p w14:paraId="3CE717C0" w14:textId="585568B9" w:rsidR="00F71EF1" w:rsidRPr="00AB411B" w:rsidRDefault="00F71EF1" w:rsidP="00235790">
            <w:pPr>
              <w:spacing w:line="360" w:lineRule="auto"/>
              <w:jc w:val="both"/>
              <w:rPr>
                <w:sz w:val="24"/>
                <w:szCs w:val="24"/>
              </w:rPr>
            </w:pPr>
            <w:r w:rsidRPr="00AB411B">
              <w:rPr>
                <w:sz w:val="24"/>
                <w:szCs w:val="24"/>
              </w:rPr>
              <w:t xml:space="preserve"> </w:t>
            </w:r>
          </w:p>
          <w:p w14:paraId="153940DD" w14:textId="77777777" w:rsidR="00D202F4" w:rsidRPr="00AB411B" w:rsidRDefault="00D202F4" w:rsidP="00D202F4">
            <w:pPr>
              <w:spacing w:line="360" w:lineRule="auto"/>
              <w:jc w:val="both"/>
              <w:rPr>
                <w:sz w:val="24"/>
                <w:szCs w:val="24"/>
              </w:rPr>
            </w:pPr>
            <w:r w:rsidRPr="00AB411B">
              <w:rPr>
                <w:sz w:val="24"/>
                <w:szCs w:val="24"/>
              </w:rPr>
              <w:t>A further challenge arose weeks later when 2 turned off the air-flow mattress, stating it was too noisy. This introduced an additional layer of risk, as 1 was at increased risk of pressure damage without this equipment. I consulted with the NHS pressure care team to seek professional advice on the impact of this and to explore alternative solutions. This decision reflected a balance between protecting 1’s physical health and respecting 2’s discomfort. It also acknowledged that interventions such as specialist equipment can feel intrusive, particularly in private domestic spaces. This may be influenced by cultural values around autonomy, privacy, and control within the home (SCW, 2017, 1.4). Following consultation with the pressure care team, we identified a suitable alternative mattress that respected 2’s preferences while also safeguarding 1 with the necessary equipment to support skin integrity.</w:t>
            </w:r>
          </w:p>
          <w:p w14:paraId="5B5B6C3F" w14:textId="2567ABDF" w:rsidR="00D202F4" w:rsidRPr="00AB411B" w:rsidRDefault="00D202F4" w:rsidP="00D202F4">
            <w:pPr>
              <w:spacing w:line="360" w:lineRule="auto"/>
              <w:jc w:val="both"/>
              <w:rPr>
                <w:sz w:val="24"/>
                <w:szCs w:val="24"/>
              </w:rPr>
            </w:pPr>
            <w:r w:rsidRPr="00AB411B">
              <w:rPr>
                <w:sz w:val="24"/>
                <w:szCs w:val="24"/>
              </w:rPr>
              <w:t xml:space="preserve"> </w:t>
            </w:r>
          </w:p>
          <w:p w14:paraId="637EE3C5" w14:textId="478D14F2" w:rsidR="00BA79E8" w:rsidRPr="00AB411B" w:rsidRDefault="00D202F4" w:rsidP="00235790">
            <w:pPr>
              <w:spacing w:line="360" w:lineRule="auto"/>
              <w:jc w:val="both"/>
              <w:rPr>
                <w:sz w:val="24"/>
                <w:szCs w:val="24"/>
              </w:rPr>
            </w:pPr>
            <w:r w:rsidRPr="00AB411B">
              <w:rPr>
                <w:sz w:val="24"/>
                <w:szCs w:val="24"/>
              </w:rPr>
              <w:t xml:space="preserve">Finally, I developed a safeguarding escalation plan with hospital staff in case further concerns arose, as well as a separate plan for the care agency should risks emerge once 1 returned home. This proactive approach ensured that safeguarding procedures could be triggered swiftly if the level of risk increased. The care plan was shaped by the context of care provision in Wales, where domiciliary care services often operate within limited timeframes due to workforce pressures and geographical constraints. In this case, 1 would be alone with 2 for extended periods without supervision from formal carers, creating opportunities for risks to arise. The plan therefore needed to be realistic and responsive to the practical limitations of </w:t>
            </w:r>
            <w:r w:rsidRPr="00AB411B">
              <w:rPr>
                <w:sz w:val="24"/>
                <w:szCs w:val="24"/>
              </w:rPr>
              <w:lastRenderedPageBreak/>
              <w:t xml:space="preserve">care delivery and safeguarding individuals in their own home (SCW, 2011, SCDSW4, SCDSW16; SCW, 2017, 4.4). </w:t>
            </w:r>
          </w:p>
          <w:p w14:paraId="75CEBA18" w14:textId="77777777" w:rsidR="00D202F4" w:rsidRPr="00AB411B" w:rsidRDefault="00D202F4" w:rsidP="00235790">
            <w:pPr>
              <w:spacing w:line="360" w:lineRule="auto"/>
              <w:jc w:val="both"/>
              <w:rPr>
                <w:sz w:val="24"/>
                <w:szCs w:val="24"/>
              </w:rPr>
            </w:pPr>
          </w:p>
          <w:p w14:paraId="65FE60C2" w14:textId="113536EC" w:rsidR="006163C0" w:rsidRPr="00AB411B" w:rsidRDefault="004E6264" w:rsidP="00235790">
            <w:pPr>
              <w:spacing w:line="360" w:lineRule="auto"/>
              <w:jc w:val="both"/>
              <w:rPr>
                <w:sz w:val="24"/>
                <w:szCs w:val="24"/>
              </w:rPr>
            </w:pPr>
            <w:r w:rsidRPr="00AB411B">
              <w:rPr>
                <w:sz w:val="24"/>
                <w:szCs w:val="24"/>
              </w:rPr>
              <w:t>In addition to the legislative and safeguarding complexities, this case highlighted the impact of ageist discrimination within practice. While using professional curiosity to explore the home environment, I was met with resistance and comments such as, “You don’t know how to treat mould,” and “You’re too young to understand.” These remarks challenged my personal confidence and undermined my professional role. As Moorhead (2018) notes, newly qualified professionals are often perceived as less credible, particularly when their age or experience is questioned. This experience provided valuable learning in navigating such dynamics, requiring me to assert my professional identity while maintaining respectful collaboration and managing interpersonal challenges.</w:t>
            </w:r>
            <w:r w:rsidR="00370648" w:rsidRPr="00AB411B">
              <w:rPr>
                <w:sz w:val="24"/>
                <w:szCs w:val="24"/>
              </w:rPr>
              <w:t xml:space="preserve"> Importantly, it also demonstrated how discriminatory attitudes can act as a barrier to safeguarding, by undermining professional authority, limiting open dialogue, and reducing the effectiveness of risk assessment and intervention.</w:t>
            </w:r>
          </w:p>
          <w:p w14:paraId="1CD9C616" w14:textId="5C583924" w:rsidR="00807C36" w:rsidRPr="00AB411B" w:rsidRDefault="00807C36" w:rsidP="00235790">
            <w:pPr>
              <w:spacing w:line="360" w:lineRule="auto"/>
              <w:jc w:val="both"/>
              <w:rPr>
                <w:sz w:val="24"/>
                <w:szCs w:val="24"/>
              </w:rPr>
            </w:pPr>
          </w:p>
          <w:p w14:paraId="6990F57C" w14:textId="7A380C04" w:rsidR="00807C36" w:rsidRPr="00AB411B" w:rsidRDefault="00807C36" w:rsidP="00235790">
            <w:pPr>
              <w:spacing w:line="360" w:lineRule="auto"/>
              <w:jc w:val="both"/>
              <w:rPr>
                <w:sz w:val="24"/>
                <w:szCs w:val="24"/>
              </w:rPr>
            </w:pPr>
            <w:r w:rsidRPr="00AB411B">
              <w:rPr>
                <w:sz w:val="24"/>
                <w:szCs w:val="24"/>
              </w:rPr>
              <w:t xml:space="preserve">I also considered the </w:t>
            </w:r>
            <w:r w:rsidRPr="00AB411B">
              <w:rPr>
                <w:i/>
                <w:iCs/>
                <w:sz w:val="24"/>
                <w:szCs w:val="24"/>
              </w:rPr>
              <w:t>Equality Act 2010</w:t>
            </w:r>
            <w:r w:rsidRPr="00AB411B">
              <w:rPr>
                <w:sz w:val="24"/>
                <w:szCs w:val="24"/>
              </w:rPr>
              <w:t>, which protects against age-based discrimination, including towards professionals. This reinforced the importance of challenging bias in a respectful and constructive way to uphold professional integrity and achieve desired outcomes. At the same time, I reflected on my own assumptions and potential bias toward 2, who was an older adult with health needs and disabilities. While safeguarding concerns were valid, it was important to recognise that</w:t>
            </w:r>
            <w:r w:rsidR="00C2314D" w:rsidRPr="00AB411B">
              <w:rPr>
                <w:sz w:val="24"/>
                <w:szCs w:val="24"/>
              </w:rPr>
              <w:t xml:space="preserve"> 2 had reduced mobility, and</w:t>
            </w:r>
            <w:r w:rsidRPr="00AB411B">
              <w:rPr>
                <w:sz w:val="24"/>
                <w:szCs w:val="24"/>
              </w:rPr>
              <w:t xml:space="preserve"> their </w:t>
            </w:r>
            <w:r w:rsidR="00C2314D" w:rsidRPr="00AB411B">
              <w:rPr>
                <w:sz w:val="24"/>
                <w:szCs w:val="24"/>
              </w:rPr>
              <w:t xml:space="preserve">own </w:t>
            </w:r>
            <w:r w:rsidRPr="00AB411B">
              <w:rPr>
                <w:sz w:val="24"/>
                <w:szCs w:val="24"/>
              </w:rPr>
              <w:t xml:space="preserve">physical limitations reduced the likelihood of </w:t>
            </w:r>
            <w:r w:rsidR="009253A3" w:rsidRPr="00AB411B">
              <w:rPr>
                <w:sz w:val="24"/>
                <w:szCs w:val="24"/>
              </w:rPr>
              <w:t>this risk occurring</w:t>
            </w:r>
            <w:r w:rsidR="00C2314D" w:rsidRPr="00AB411B">
              <w:rPr>
                <w:sz w:val="24"/>
                <w:szCs w:val="24"/>
              </w:rPr>
              <w:t xml:space="preserve">. </w:t>
            </w:r>
            <w:r w:rsidRPr="00AB411B">
              <w:rPr>
                <w:sz w:val="24"/>
                <w:szCs w:val="24"/>
              </w:rPr>
              <w:t xml:space="preserve">However, I still needed to </w:t>
            </w:r>
            <w:r w:rsidR="009253A3" w:rsidRPr="00AB411B">
              <w:rPr>
                <w:sz w:val="24"/>
                <w:szCs w:val="24"/>
              </w:rPr>
              <w:t>deal with</w:t>
            </w:r>
            <w:r w:rsidRPr="00AB411B">
              <w:rPr>
                <w:sz w:val="24"/>
                <w:szCs w:val="24"/>
              </w:rPr>
              <w:t xml:space="preserve"> the </w:t>
            </w:r>
            <w:r w:rsidR="009253A3" w:rsidRPr="00AB411B">
              <w:rPr>
                <w:sz w:val="24"/>
                <w:szCs w:val="24"/>
              </w:rPr>
              <w:t>matter</w:t>
            </w:r>
            <w:r w:rsidRPr="00AB411B">
              <w:rPr>
                <w:sz w:val="24"/>
                <w:szCs w:val="24"/>
              </w:rPr>
              <w:t xml:space="preserve"> as a serious safeguarding concern, given the potential risk to 1’s health and safety. This prompted me to approach the situation with greater empathy and balance, ensuring that safeguarding decisions were proportionate and informed by a holistic understanding of both individuals’ circumstances.</w:t>
            </w:r>
          </w:p>
          <w:p w14:paraId="60F42F5E" w14:textId="77777777" w:rsidR="00B54FAA" w:rsidRPr="00AB411B" w:rsidRDefault="00B54FAA" w:rsidP="00235790">
            <w:pPr>
              <w:spacing w:line="360" w:lineRule="auto"/>
              <w:jc w:val="both"/>
              <w:rPr>
                <w:sz w:val="24"/>
                <w:szCs w:val="24"/>
              </w:rPr>
            </w:pPr>
          </w:p>
          <w:p w14:paraId="351ABAA7" w14:textId="56AED06A" w:rsidR="001824D3" w:rsidRPr="00AB411B" w:rsidRDefault="001824D3" w:rsidP="00235790">
            <w:pPr>
              <w:spacing w:line="360" w:lineRule="auto"/>
              <w:jc w:val="both"/>
              <w:rPr>
                <w:sz w:val="24"/>
                <w:szCs w:val="24"/>
              </w:rPr>
            </w:pPr>
            <w:r w:rsidRPr="00AB411B">
              <w:rPr>
                <w:sz w:val="24"/>
                <w:szCs w:val="24"/>
              </w:rPr>
              <w:t xml:space="preserve">Cultural </w:t>
            </w:r>
            <w:r w:rsidR="005A4B48" w:rsidRPr="00AB411B">
              <w:rPr>
                <w:sz w:val="24"/>
                <w:szCs w:val="24"/>
              </w:rPr>
              <w:t>humility</w:t>
            </w:r>
            <w:r w:rsidRPr="00AB411B">
              <w:rPr>
                <w:sz w:val="24"/>
                <w:szCs w:val="24"/>
              </w:rPr>
              <w:t xml:space="preserve"> was essential throughout this case</w:t>
            </w:r>
            <w:r w:rsidR="00477037" w:rsidRPr="00AB411B">
              <w:rPr>
                <w:sz w:val="24"/>
                <w:szCs w:val="24"/>
              </w:rPr>
              <w:t xml:space="preserve"> and is a core skill in competent practice (N</w:t>
            </w:r>
            <w:r w:rsidR="00195DD9" w:rsidRPr="00AB411B">
              <w:rPr>
                <w:sz w:val="24"/>
                <w:szCs w:val="24"/>
              </w:rPr>
              <w:t>ational Association of Social Workers</w:t>
            </w:r>
            <w:r w:rsidR="00477037" w:rsidRPr="00AB411B">
              <w:rPr>
                <w:sz w:val="24"/>
                <w:szCs w:val="24"/>
              </w:rPr>
              <w:t xml:space="preserve">, </w:t>
            </w:r>
            <w:r w:rsidR="00195DD9" w:rsidRPr="00AB411B">
              <w:rPr>
                <w:sz w:val="24"/>
                <w:szCs w:val="24"/>
              </w:rPr>
              <w:t>2015)</w:t>
            </w:r>
            <w:r w:rsidRPr="00AB411B">
              <w:rPr>
                <w:sz w:val="24"/>
                <w:szCs w:val="24"/>
              </w:rPr>
              <w:t xml:space="preserve">. 2’s resistance to professional involvement may have stemmed from generational and cultural norms that value privacy and self-reliance in family care. On deeper reflection, the very act of possessing knowledge, shared by the care </w:t>
            </w:r>
            <w:r w:rsidRPr="00AB411B">
              <w:rPr>
                <w:sz w:val="24"/>
                <w:szCs w:val="24"/>
              </w:rPr>
              <w:lastRenderedPageBreak/>
              <w:t>agency, created tension, as 2 viewed such matters as private. This highlighted a power dynamic, where Social Services hold information that families may not have consented to share, creating challenges in how safeguarding concerns are raised and addressed</w:t>
            </w:r>
            <w:r w:rsidR="009C531E" w:rsidRPr="00AB411B">
              <w:rPr>
                <w:sz w:val="24"/>
                <w:szCs w:val="24"/>
              </w:rPr>
              <w:t xml:space="preserve"> (SCW, 2017, 3.4).</w:t>
            </w:r>
          </w:p>
          <w:p w14:paraId="2B53C80F" w14:textId="77777777" w:rsidR="00906222" w:rsidRPr="00AB411B" w:rsidRDefault="00906222" w:rsidP="00235790">
            <w:pPr>
              <w:spacing w:line="360" w:lineRule="auto"/>
              <w:jc w:val="both"/>
              <w:rPr>
                <w:sz w:val="24"/>
                <w:szCs w:val="24"/>
              </w:rPr>
            </w:pPr>
          </w:p>
          <w:p w14:paraId="27454420" w14:textId="67121288" w:rsidR="00B412B8" w:rsidRPr="00AB411B" w:rsidRDefault="00B412B8" w:rsidP="00235790">
            <w:pPr>
              <w:spacing w:line="360" w:lineRule="auto"/>
              <w:jc w:val="both"/>
              <w:rPr>
                <w:sz w:val="24"/>
                <w:szCs w:val="24"/>
              </w:rPr>
            </w:pPr>
            <w:r w:rsidRPr="00AB411B">
              <w:rPr>
                <w:sz w:val="24"/>
                <w:szCs w:val="24"/>
              </w:rPr>
              <w:t>Another layer of complexity involved recognising when family dominance risks overshadowing the voice of the person being supported. In this case, 2’s wishes were often more prominent than 1’s, who remained largely passive due to their health condition. To counterbalance this, I referred to relevant legislation, sought guidance from senior colleagues, and collaborated with other professionals to ensure that 1’s rights and needs remained central to the analysis and decision-making. Both formal and informal supervision played a critical role in shaping my judgement throughout this process, particularly as safeguarding thresholds were repeatedly considered</w:t>
            </w:r>
            <w:r w:rsidR="008451F2" w:rsidRPr="00AB411B">
              <w:rPr>
                <w:sz w:val="24"/>
                <w:szCs w:val="24"/>
              </w:rPr>
              <w:t xml:space="preserve"> where new concerns emerged (</w:t>
            </w:r>
            <w:r w:rsidR="00E85643" w:rsidRPr="00AB411B">
              <w:rPr>
                <w:sz w:val="24"/>
                <w:szCs w:val="24"/>
              </w:rPr>
              <w:t>SCW, 2011, S</w:t>
            </w:r>
            <w:r w:rsidR="00B67467" w:rsidRPr="00AB411B">
              <w:rPr>
                <w:sz w:val="24"/>
                <w:szCs w:val="24"/>
              </w:rPr>
              <w:t>CDS</w:t>
            </w:r>
            <w:r w:rsidR="00E85643" w:rsidRPr="00AB411B">
              <w:rPr>
                <w:sz w:val="24"/>
                <w:szCs w:val="24"/>
              </w:rPr>
              <w:t>W2</w:t>
            </w:r>
            <w:r w:rsidR="000E2428" w:rsidRPr="00AB411B">
              <w:rPr>
                <w:sz w:val="24"/>
                <w:szCs w:val="24"/>
              </w:rPr>
              <w:t>)</w:t>
            </w:r>
            <w:r w:rsidRPr="00AB411B">
              <w:rPr>
                <w:sz w:val="24"/>
                <w:szCs w:val="24"/>
              </w:rPr>
              <w:t>.</w:t>
            </w:r>
          </w:p>
          <w:p w14:paraId="5F6E6679" w14:textId="77777777" w:rsidR="00C340CA" w:rsidRPr="00AB411B" w:rsidRDefault="00C340CA" w:rsidP="00235790">
            <w:pPr>
              <w:spacing w:line="360" w:lineRule="auto"/>
              <w:jc w:val="both"/>
              <w:rPr>
                <w:sz w:val="24"/>
                <w:szCs w:val="24"/>
              </w:rPr>
            </w:pPr>
          </w:p>
          <w:p w14:paraId="1572F18F" w14:textId="24B9DD61" w:rsidR="00320004" w:rsidRPr="00AB411B" w:rsidRDefault="002E015E" w:rsidP="00235790">
            <w:pPr>
              <w:spacing w:line="360" w:lineRule="auto"/>
              <w:jc w:val="both"/>
              <w:rPr>
                <w:sz w:val="24"/>
                <w:szCs w:val="24"/>
              </w:rPr>
            </w:pPr>
            <w:r w:rsidRPr="00AB411B">
              <w:rPr>
                <w:sz w:val="24"/>
                <w:szCs w:val="24"/>
              </w:rPr>
              <w:t xml:space="preserve">On reflection, this case has </w:t>
            </w:r>
            <w:r w:rsidR="00844F0E" w:rsidRPr="00AB411B">
              <w:rPr>
                <w:sz w:val="24"/>
                <w:szCs w:val="24"/>
              </w:rPr>
              <w:t xml:space="preserve">reinforced the importance of </w:t>
            </w:r>
            <w:r w:rsidR="00E0256D" w:rsidRPr="00AB411B">
              <w:rPr>
                <w:sz w:val="24"/>
                <w:szCs w:val="24"/>
              </w:rPr>
              <w:t xml:space="preserve">evidenced based practice combined with </w:t>
            </w:r>
            <w:r w:rsidR="00844F0E" w:rsidRPr="00AB411B">
              <w:rPr>
                <w:sz w:val="24"/>
                <w:szCs w:val="24"/>
              </w:rPr>
              <w:t xml:space="preserve">legal literacy, as understanding the legislation underpinning our practice empowers professionals to act when necessary. Had 2 continued to refuse support and the home remained unsafe, legal intervention, such as a court order to clean the property or a best interest review may have been required to reconsider whether the home was a safe environment for 1 to return to. </w:t>
            </w:r>
            <w:r w:rsidR="002F0DA1" w:rsidRPr="00AB411B">
              <w:rPr>
                <w:sz w:val="24"/>
                <w:szCs w:val="24"/>
              </w:rPr>
              <w:t>Ultimately, professional judgement in this case involved gathering evidence, analysing risks while respecting privacy and cultural sensitivity, and assessing</w:t>
            </w:r>
            <w:r w:rsidR="006D3220" w:rsidRPr="00AB411B">
              <w:rPr>
                <w:sz w:val="24"/>
                <w:szCs w:val="24"/>
              </w:rPr>
              <w:t xml:space="preserve"> the best way </w:t>
            </w:r>
            <w:r w:rsidR="002F0DA1" w:rsidRPr="00AB411B">
              <w:rPr>
                <w:sz w:val="24"/>
                <w:szCs w:val="24"/>
              </w:rPr>
              <w:t>to respond to th</w:t>
            </w:r>
            <w:r w:rsidR="006D3220" w:rsidRPr="00AB411B">
              <w:rPr>
                <w:sz w:val="24"/>
                <w:szCs w:val="24"/>
              </w:rPr>
              <w:t>ese</w:t>
            </w:r>
            <w:r w:rsidR="002F0DA1" w:rsidRPr="00AB411B">
              <w:rPr>
                <w:sz w:val="24"/>
                <w:szCs w:val="24"/>
              </w:rPr>
              <w:t xml:space="preserve"> risks </w:t>
            </w:r>
            <w:r w:rsidR="002A5A7E" w:rsidRPr="00AB411B">
              <w:rPr>
                <w:sz w:val="24"/>
                <w:szCs w:val="24"/>
              </w:rPr>
              <w:t xml:space="preserve">(SCW, 2011, </w:t>
            </w:r>
            <w:r w:rsidR="005B674A" w:rsidRPr="00AB411B">
              <w:rPr>
                <w:sz w:val="24"/>
                <w:szCs w:val="24"/>
              </w:rPr>
              <w:t>S</w:t>
            </w:r>
            <w:r w:rsidR="00B67467" w:rsidRPr="00AB411B">
              <w:rPr>
                <w:sz w:val="24"/>
                <w:szCs w:val="24"/>
              </w:rPr>
              <w:t>CDS</w:t>
            </w:r>
            <w:r w:rsidR="005B674A" w:rsidRPr="00AB411B">
              <w:rPr>
                <w:sz w:val="24"/>
                <w:szCs w:val="24"/>
              </w:rPr>
              <w:t xml:space="preserve">W1, </w:t>
            </w:r>
            <w:r w:rsidR="002A5A7E" w:rsidRPr="00AB411B">
              <w:rPr>
                <w:sz w:val="24"/>
                <w:szCs w:val="24"/>
              </w:rPr>
              <w:t>S</w:t>
            </w:r>
            <w:r w:rsidR="00B67467" w:rsidRPr="00AB411B">
              <w:rPr>
                <w:sz w:val="24"/>
                <w:szCs w:val="24"/>
              </w:rPr>
              <w:t>CDS</w:t>
            </w:r>
            <w:r w:rsidR="002A5A7E" w:rsidRPr="00AB411B">
              <w:rPr>
                <w:sz w:val="24"/>
                <w:szCs w:val="24"/>
              </w:rPr>
              <w:t>W3, S</w:t>
            </w:r>
            <w:r w:rsidR="00B67467" w:rsidRPr="00AB411B">
              <w:rPr>
                <w:sz w:val="24"/>
                <w:szCs w:val="24"/>
              </w:rPr>
              <w:t>CDS</w:t>
            </w:r>
            <w:r w:rsidR="002A5A7E" w:rsidRPr="00AB411B">
              <w:rPr>
                <w:sz w:val="24"/>
                <w:szCs w:val="24"/>
              </w:rPr>
              <w:t>W7)</w:t>
            </w:r>
            <w:r w:rsidR="00844F0E" w:rsidRPr="00AB411B">
              <w:rPr>
                <w:sz w:val="24"/>
                <w:szCs w:val="24"/>
              </w:rPr>
              <w:t>.</w:t>
            </w:r>
          </w:p>
          <w:p w14:paraId="47DE52EF" w14:textId="77777777" w:rsidR="00844F0E" w:rsidRPr="00AB411B" w:rsidRDefault="00844F0E" w:rsidP="00235790">
            <w:pPr>
              <w:spacing w:line="360" w:lineRule="auto"/>
              <w:jc w:val="both"/>
              <w:rPr>
                <w:sz w:val="24"/>
                <w:szCs w:val="24"/>
              </w:rPr>
            </w:pPr>
          </w:p>
          <w:p w14:paraId="72C37D2C" w14:textId="5DC1734C" w:rsidR="00A96E59" w:rsidRPr="00AB411B" w:rsidRDefault="001824D3" w:rsidP="00235790">
            <w:pPr>
              <w:spacing w:line="360" w:lineRule="auto"/>
              <w:jc w:val="both"/>
              <w:rPr>
                <w:sz w:val="24"/>
                <w:szCs w:val="24"/>
              </w:rPr>
            </w:pPr>
            <w:r w:rsidRPr="00AB411B">
              <w:rPr>
                <w:sz w:val="24"/>
                <w:szCs w:val="24"/>
              </w:rPr>
              <w:t xml:space="preserve">Reflecting on these experiences, I drew on several social work theories to guide my approach </w:t>
            </w:r>
            <w:r w:rsidR="00FF0E1E" w:rsidRPr="00AB411B">
              <w:rPr>
                <w:sz w:val="24"/>
                <w:szCs w:val="24"/>
              </w:rPr>
              <w:t xml:space="preserve">in assessing risk </w:t>
            </w:r>
            <w:r w:rsidRPr="00AB411B">
              <w:rPr>
                <w:sz w:val="24"/>
                <w:szCs w:val="24"/>
              </w:rPr>
              <w:t>and strengthen my decision-making</w:t>
            </w:r>
            <w:r w:rsidR="008E083F" w:rsidRPr="00AB411B">
              <w:rPr>
                <w:sz w:val="24"/>
                <w:szCs w:val="24"/>
              </w:rPr>
              <w:t xml:space="preserve"> (SCW, 2011, S</w:t>
            </w:r>
            <w:r w:rsidR="00B67467" w:rsidRPr="00AB411B">
              <w:rPr>
                <w:sz w:val="24"/>
                <w:szCs w:val="24"/>
              </w:rPr>
              <w:t>CDS</w:t>
            </w:r>
            <w:r w:rsidR="008E083F" w:rsidRPr="00AB411B">
              <w:rPr>
                <w:sz w:val="24"/>
                <w:szCs w:val="24"/>
              </w:rPr>
              <w:t>W17)</w:t>
            </w:r>
            <w:r w:rsidRPr="00AB411B">
              <w:rPr>
                <w:sz w:val="24"/>
                <w:szCs w:val="24"/>
              </w:rPr>
              <w:t>.</w:t>
            </w:r>
            <w:r w:rsidR="00FF0E1E" w:rsidRPr="00AB411B">
              <w:rPr>
                <w:sz w:val="24"/>
                <w:szCs w:val="24"/>
              </w:rPr>
              <w:t xml:space="preserve"> </w:t>
            </w:r>
            <w:r w:rsidRPr="00AB411B">
              <w:rPr>
                <w:sz w:val="24"/>
                <w:szCs w:val="24"/>
              </w:rPr>
              <w:t xml:space="preserve">Ecological theory enabled me to understand the multiple layers of influence </w:t>
            </w:r>
            <w:r w:rsidR="00FF0E1E" w:rsidRPr="00AB411B">
              <w:rPr>
                <w:sz w:val="24"/>
                <w:szCs w:val="24"/>
              </w:rPr>
              <w:t>surrounding 1</w:t>
            </w:r>
            <w:r w:rsidRPr="00AB411B">
              <w:rPr>
                <w:sz w:val="24"/>
                <w:szCs w:val="24"/>
              </w:rPr>
              <w:t>’s situation including individual, interpersonal, community, and societal, and to identify both current risks and future safeguarding needs</w:t>
            </w:r>
            <w:r w:rsidR="00974916" w:rsidRPr="00AB411B">
              <w:rPr>
                <w:sz w:val="24"/>
                <w:szCs w:val="24"/>
              </w:rPr>
              <w:t xml:space="preserve"> (Teater, 2014)</w:t>
            </w:r>
            <w:r w:rsidRPr="00AB411B">
              <w:rPr>
                <w:sz w:val="24"/>
                <w:szCs w:val="24"/>
              </w:rPr>
              <w:t>. As part of this systems-informed approach, I worked closely with multidisciplinary teams to develop a safeguarding plan that empowered staff to escalate concerns should risks re-emerge in the community.</w:t>
            </w:r>
            <w:r w:rsidR="00A96E59" w:rsidRPr="00AB411B">
              <w:rPr>
                <w:sz w:val="24"/>
                <w:szCs w:val="24"/>
              </w:rPr>
              <w:t xml:space="preserve"> </w:t>
            </w:r>
            <w:r w:rsidR="000A5C19" w:rsidRPr="00AB411B">
              <w:rPr>
                <w:sz w:val="24"/>
                <w:szCs w:val="24"/>
              </w:rPr>
              <w:t xml:space="preserve">Without this approach, </w:t>
            </w:r>
            <w:r w:rsidR="000A5C19" w:rsidRPr="00AB411B">
              <w:rPr>
                <w:sz w:val="24"/>
                <w:szCs w:val="24"/>
              </w:rPr>
              <w:lastRenderedPageBreak/>
              <w:t xml:space="preserve">there is a risk of safeguarding failings. </w:t>
            </w:r>
            <w:r w:rsidR="00B16825" w:rsidRPr="00AB411B">
              <w:rPr>
                <w:sz w:val="24"/>
                <w:szCs w:val="24"/>
              </w:rPr>
              <w:t xml:space="preserve">These failings are explored with Adult Practice Reviews </w:t>
            </w:r>
            <w:r w:rsidR="00B93D55" w:rsidRPr="00AB411B">
              <w:rPr>
                <w:sz w:val="24"/>
                <w:szCs w:val="24"/>
              </w:rPr>
              <w:t xml:space="preserve">led by regional Safeguarding Boards. </w:t>
            </w:r>
          </w:p>
          <w:p w14:paraId="0F19CB52" w14:textId="77777777" w:rsidR="00B16825" w:rsidRPr="00AB411B" w:rsidRDefault="00B16825" w:rsidP="00623E5E">
            <w:pPr>
              <w:spacing w:line="360" w:lineRule="auto"/>
              <w:jc w:val="both"/>
              <w:rPr>
                <w:sz w:val="24"/>
                <w:szCs w:val="24"/>
              </w:rPr>
            </w:pPr>
          </w:p>
          <w:p w14:paraId="37445E19" w14:textId="02A500BC" w:rsidR="00623E5E" w:rsidRPr="00AB411B" w:rsidRDefault="00623E5E" w:rsidP="00623E5E">
            <w:pPr>
              <w:spacing w:line="360" w:lineRule="auto"/>
              <w:jc w:val="both"/>
              <w:rPr>
                <w:sz w:val="24"/>
                <w:szCs w:val="24"/>
              </w:rPr>
            </w:pPr>
            <w:r w:rsidRPr="00AB411B">
              <w:rPr>
                <w:sz w:val="24"/>
                <w:szCs w:val="24"/>
              </w:rPr>
              <w:t>McManus, Ball and Monaghan (2025) report findings from Adult Practice Reviews, which aim to identify opportunities for learning from practice where significant harm or loss of life has occurred. This is particularly important as the safeguarding landscape in Wales continues to evolve, requiring proactive learning to improve protection for vulnerable adults. It is also a commitment within our Code of Professional Practice to maintain and develop professional understanding (SCW, 2017, 6.9).</w:t>
            </w:r>
          </w:p>
          <w:p w14:paraId="6AAD82E5" w14:textId="77777777" w:rsidR="007B2F83" w:rsidRPr="00AB411B" w:rsidRDefault="007B2F83" w:rsidP="00623E5E">
            <w:pPr>
              <w:spacing w:line="360" w:lineRule="auto"/>
              <w:jc w:val="both"/>
              <w:rPr>
                <w:sz w:val="24"/>
                <w:szCs w:val="24"/>
              </w:rPr>
            </w:pPr>
          </w:p>
          <w:p w14:paraId="54DAC032" w14:textId="29EA6E78" w:rsidR="00623E5E" w:rsidRPr="00AB411B" w:rsidRDefault="00623E5E" w:rsidP="00623E5E">
            <w:pPr>
              <w:spacing w:line="360" w:lineRule="auto"/>
              <w:jc w:val="both"/>
              <w:rPr>
                <w:sz w:val="24"/>
                <w:szCs w:val="24"/>
              </w:rPr>
            </w:pPr>
            <w:r w:rsidRPr="00AB411B">
              <w:rPr>
                <w:sz w:val="24"/>
                <w:szCs w:val="24"/>
              </w:rPr>
              <w:t xml:space="preserve">The practice reviews highlight the need for an integrated approach to ensure plans are holistic and consider the whole person and their needs. They also emphasise the collective responsibility of all agencies involved. In 1’s case, the safeguarding principles of collaboration were applied, strengthening communication and ensuring clear escalation plans with relevant agencies, including health professionals and the care agency. </w:t>
            </w:r>
            <w:r w:rsidR="000A63E9" w:rsidRPr="00AB411B">
              <w:rPr>
                <w:sz w:val="24"/>
                <w:szCs w:val="24"/>
              </w:rPr>
              <w:t>Prior to discharge, I consulted with the care agency to ensure they understood the escalation pathway and their role in safeguarding. I also engaged with neighbours who had previously provided informal support, to build a fuller picture of the home environment and identify potential protective factors. These steps reflected a wider systems approach to safeguarding at all levels, ensuring that interventions were both preventative and responsive.</w:t>
            </w:r>
            <w:r w:rsidR="007B2F83" w:rsidRPr="00AB411B">
              <w:rPr>
                <w:sz w:val="24"/>
                <w:szCs w:val="24"/>
              </w:rPr>
              <w:t xml:space="preserve"> </w:t>
            </w:r>
            <w:r w:rsidRPr="00AB411B">
              <w:rPr>
                <w:sz w:val="24"/>
                <w:szCs w:val="24"/>
              </w:rPr>
              <w:t xml:space="preserve">This proactive, coordinated approach reflects learning from Adult Practice Reviews and aligns with the Welsh Government’s </w:t>
            </w:r>
            <w:r w:rsidRPr="00AB411B">
              <w:rPr>
                <w:i/>
                <w:iCs/>
                <w:sz w:val="24"/>
                <w:szCs w:val="24"/>
              </w:rPr>
              <w:t>Working Together to Safeguard People</w:t>
            </w:r>
            <w:r w:rsidRPr="00AB411B">
              <w:rPr>
                <w:sz w:val="24"/>
                <w:szCs w:val="24"/>
              </w:rPr>
              <w:t xml:space="preserve"> guidance, which emphasises how shared responsibility and joined-up safeguarding arrangements can better protect adults at risk (Welsh Government, 2019).</w:t>
            </w:r>
          </w:p>
          <w:p w14:paraId="4E2BA28F" w14:textId="77777777" w:rsidR="00496AF7" w:rsidRPr="00AB411B" w:rsidRDefault="00496AF7" w:rsidP="00235790">
            <w:pPr>
              <w:spacing w:line="360" w:lineRule="auto"/>
              <w:jc w:val="both"/>
              <w:rPr>
                <w:sz w:val="24"/>
                <w:szCs w:val="24"/>
              </w:rPr>
            </w:pPr>
          </w:p>
          <w:p w14:paraId="5757DDA4" w14:textId="6289B546" w:rsidR="006C11EC" w:rsidRPr="00AB411B" w:rsidRDefault="006C11EC" w:rsidP="00235790">
            <w:pPr>
              <w:spacing w:line="360" w:lineRule="auto"/>
              <w:jc w:val="both"/>
              <w:rPr>
                <w:sz w:val="24"/>
                <w:szCs w:val="24"/>
              </w:rPr>
            </w:pPr>
            <w:r w:rsidRPr="00AB411B">
              <w:rPr>
                <w:sz w:val="24"/>
                <w:szCs w:val="24"/>
              </w:rPr>
              <w:t xml:space="preserve">Anti-oppressive practice was also essential in managing the power dynamics within this case. It was important to consider 2’s own experience of powerlessness. The involvement of social services may have felt intrusive to them, particularly given their cultural and generational values around privacy and autonomy. From their perspective, the safeguarding process may have disrupted the family dynamic and challenged their role as a </w:t>
            </w:r>
            <w:proofErr w:type="spellStart"/>
            <w:r w:rsidRPr="00AB411B">
              <w:rPr>
                <w:sz w:val="24"/>
                <w:szCs w:val="24"/>
              </w:rPr>
              <w:t>carer</w:t>
            </w:r>
            <w:proofErr w:type="spellEnd"/>
            <w:r w:rsidRPr="00AB411B">
              <w:rPr>
                <w:sz w:val="24"/>
                <w:szCs w:val="24"/>
              </w:rPr>
              <w:t xml:space="preserve">. This tension reflects both legal and cultural challenges, where 1’s rights must be upheld, but 2’s feelings of </w:t>
            </w:r>
            <w:r w:rsidRPr="00AB411B">
              <w:rPr>
                <w:sz w:val="24"/>
                <w:szCs w:val="24"/>
              </w:rPr>
              <w:lastRenderedPageBreak/>
              <w:t>disempowerment also needed to be acknowledged and managed sensitively.</w:t>
            </w:r>
            <w:r w:rsidR="00B93D55" w:rsidRPr="00AB411B">
              <w:rPr>
                <w:sz w:val="24"/>
                <w:szCs w:val="24"/>
              </w:rPr>
              <w:t xml:space="preserve"> </w:t>
            </w:r>
            <w:r w:rsidRPr="00AB411B">
              <w:rPr>
                <w:sz w:val="24"/>
                <w:szCs w:val="24"/>
              </w:rPr>
              <w:t>In addition, I encountered a form of oppression during the intervention. 2 openly questioned my professional competence based on my age, which felt undermining and led to feelings of resentment. This experience highlighted the importance of reflective supervision and peer support in navigating personal challenges while maintaining professionalism and empathy in practice.</w:t>
            </w:r>
          </w:p>
          <w:p w14:paraId="2707E1D9" w14:textId="77777777" w:rsidR="006C11EC" w:rsidRPr="00AB411B" w:rsidRDefault="006C11EC" w:rsidP="00235790">
            <w:pPr>
              <w:spacing w:line="360" w:lineRule="auto"/>
              <w:jc w:val="both"/>
              <w:rPr>
                <w:sz w:val="24"/>
                <w:szCs w:val="24"/>
              </w:rPr>
            </w:pPr>
          </w:p>
          <w:p w14:paraId="21EAADDB" w14:textId="534099CE" w:rsidR="00586C14" w:rsidRPr="00AB411B" w:rsidRDefault="005A66CB" w:rsidP="00235790">
            <w:pPr>
              <w:spacing w:line="360" w:lineRule="auto"/>
              <w:jc w:val="both"/>
              <w:rPr>
                <w:sz w:val="24"/>
                <w:szCs w:val="24"/>
              </w:rPr>
            </w:pPr>
            <w:r w:rsidRPr="00AB411B">
              <w:rPr>
                <w:sz w:val="24"/>
                <w:szCs w:val="24"/>
              </w:rPr>
              <w:t>Recognising the emotional toll of the case, I proactively requested supervision from my senior. Supervision provided not only professional guidance but also a vital space for emotional processing, resilience-building, and critical reflection. It enabled me to explore my own biases, particularly those arising from feeling unfairly discriminated against as a younger practitioner. Through supervision, I was able to ensure that my actions and decisions were ethically sound, professionally vetted, and aligned with best practice. This experience reinforced the value of reflective supervision in maintaining emotional well-being and safeguarding the integrity of my practice</w:t>
            </w:r>
            <w:r w:rsidR="002E6D6A" w:rsidRPr="00AB411B">
              <w:rPr>
                <w:sz w:val="24"/>
                <w:szCs w:val="24"/>
              </w:rPr>
              <w:t xml:space="preserve"> (SCW, 2011, S</w:t>
            </w:r>
            <w:r w:rsidR="00B67467" w:rsidRPr="00AB411B">
              <w:rPr>
                <w:sz w:val="24"/>
                <w:szCs w:val="24"/>
              </w:rPr>
              <w:t>CDS</w:t>
            </w:r>
            <w:r w:rsidR="002E6D6A" w:rsidRPr="00AB411B">
              <w:rPr>
                <w:sz w:val="24"/>
                <w:szCs w:val="24"/>
              </w:rPr>
              <w:t>W2</w:t>
            </w:r>
            <w:r w:rsidR="00DB3E7B" w:rsidRPr="00AB411B">
              <w:rPr>
                <w:sz w:val="24"/>
                <w:szCs w:val="24"/>
              </w:rPr>
              <w:t>, S</w:t>
            </w:r>
            <w:r w:rsidR="00B67467" w:rsidRPr="00AB411B">
              <w:rPr>
                <w:sz w:val="24"/>
                <w:szCs w:val="24"/>
              </w:rPr>
              <w:t>CDS</w:t>
            </w:r>
            <w:r w:rsidR="00DB3E7B" w:rsidRPr="00AB411B">
              <w:rPr>
                <w:sz w:val="24"/>
                <w:szCs w:val="24"/>
              </w:rPr>
              <w:t>W5</w:t>
            </w:r>
            <w:r w:rsidR="009D4DC1" w:rsidRPr="00AB411B">
              <w:rPr>
                <w:sz w:val="24"/>
                <w:szCs w:val="24"/>
              </w:rPr>
              <w:t>).</w:t>
            </w:r>
          </w:p>
          <w:p w14:paraId="0ED01329" w14:textId="77777777" w:rsidR="00374550" w:rsidRPr="00AB411B" w:rsidRDefault="00374550" w:rsidP="00235790">
            <w:pPr>
              <w:spacing w:line="360" w:lineRule="auto"/>
              <w:jc w:val="both"/>
              <w:rPr>
                <w:sz w:val="24"/>
                <w:szCs w:val="24"/>
              </w:rPr>
            </w:pPr>
          </w:p>
          <w:p w14:paraId="598EFFFA" w14:textId="197B5FA7" w:rsidR="005A66CB" w:rsidRPr="00AB411B" w:rsidRDefault="00243530" w:rsidP="00235790">
            <w:pPr>
              <w:spacing w:line="360" w:lineRule="auto"/>
              <w:jc w:val="both"/>
              <w:rPr>
                <w:sz w:val="24"/>
                <w:szCs w:val="24"/>
              </w:rPr>
            </w:pPr>
            <w:r w:rsidRPr="00AB411B">
              <w:rPr>
                <w:sz w:val="24"/>
                <w:szCs w:val="24"/>
              </w:rPr>
              <w:t>It is also important to consider feelings of powerlessness for those who lack capacity within safeguarding processes.</w:t>
            </w:r>
            <w:r w:rsidR="007B2F83" w:rsidRPr="00AB411B">
              <w:rPr>
                <w:sz w:val="24"/>
                <w:szCs w:val="24"/>
              </w:rPr>
              <w:t xml:space="preserve"> </w:t>
            </w:r>
            <w:r w:rsidRPr="00AB411B">
              <w:rPr>
                <w:sz w:val="24"/>
                <w:szCs w:val="24"/>
              </w:rPr>
              <w:t>This can result in a loss of agency, especially when interventions are made without active involvement. It was essential to ensure that 1’s dignity and preferences were respected wherever possible, and that their voice was not lost in the process. For this reason, efforts to uphold their wishes to return home were placed at the heart of discharge planning. Despite safeguarding concerns emerging, I remained committed to achieving the outcomes they had expressed. This reflects the principles of anti-oppressive practice, respecting individual rights</w:t>
            </w:r>
            <w:r w:rsidR="00DB5056" w:rsidRPr="00AB411B">
              <w:rPr>
                <w:sz w:val="24"/>
                <w:szCs w:val="24"/>
              </w:rPr>
              <w:t xml:space="preserve"> and wishes</w:t>
            </w:r>
            <w:r w:rsidR="0070057E" w:rsidRPr="00AB411B">
              <w:rPr>
                <w:sz w:val="24"/>
                <w:szCs w:val="24"/>
              </w:rPr>
              <w:t xml:space="preserve"> (SCW, 2017, 1.2)</w:t>
            </w:r>
          </w:p>
          <w:p w14:paraId="6B4496C1" w14:textId="77777777" w:rsidR="00BA79E8" w:rsidRPr="00AB411B" w:rsidRDefault="00BA79E8" w:rsidP="00235790">
            <w:pPr>
              <w:spacing w:line="360" w:lineRule="auto"/>
              <w:jc w:val="both"/>
              <w:rPr>
                <w:sz w:val="24"/>
                <w:szCs w:val="24"/>
              </w:rPr>
            </w:pPr>
          </w:p>
          <w:p w14:paraId="1E1231E9" w14:textId="514EBAA7" w:rsidR="001824D3" w:rsidRPr="00AB411B" w:rsidRDefault="001824D3" w:rsidP="00235790">
            <w:pPr>
              <w:spacing w:line="360" w:lineRule="auto"/>
              <w:jc w:val="both"/>
              <w:rPr>
                <w:sz w:val="24"/>
                <w:szCs w:val="24"/>
              </w:rPr>
            </w:pPr>
            <w:r w:rsidRPr="00AB411B">
              <w:rPr>
                <w:sz w:val="24"/>
                <w:szCs w:val="24"/>
              </w:rPr>
              <w:t>On reflection, given the concerns around 1’s capacity and the complexity of the discharge planning process, I should have considered whether an</w:t>
            </w:r>
            <w:r w:rsidR="00BF38F9" w:rsidRPr="00AB411B">
              <w:rPr>
                <w:sz w:val="24"/>
                <w:szCs w:val="24"/>
              </w:rPr>
              <w:t xml:space="preserve"> Independent Mental Capacity Advocate (IMCA)</w:t>
            </w:r>
            <w:r w:rsidRPr="00AB411B">
              <w:rPr>
                <w:sz w:val="24"/>
                <w:szCs w:val="24"/>
              </w:rPr>
              <w:t xml:space="preserve"> referral was appropriate. The </w:t>
            </w:r>
            <w:r w:rsidR="00F973D1" w:rsidRPr="00AB411B">
              <w:rPr>
                <w:i/>
                <w:iCs/>
                <w:sz w:val="24"/>
                <w:szCs w:val="24"/>
              </w:rPr>
              <w:t>MCA</w:t>
            </w:r>
            <w:r w:rsidRPr="00AB411B">
              <w:rPr>
                <w:i/>
                <w:iCs/>
                <w:sz w:val="24"/>
                <w:szCs w:val="24"/>
              </w:rPr>
              <w:t xml:space="preserve"> 2005</w:t>
            </w:r>
            <w:r w:rsidRPr="00AB411B">
              <w:rPr>
                <w:sz w:val="24"/>
                <w:szCs w:val="24"/>
              </w:rPr>
              <w:t xml:space="preserve"> outlines the circumstances under which an IMCA must be involved, particularly where decisions relate to safeguarding or accommodation, where there isn’t a suitable representative. Although 1 had consented to 2’s involvement, emerging safeguarding concerns and potential risks meant that their suitability </w:t>
            </w:r>
            <w:r w:rsidRPr="00AB411B">
              <w:rPr>
                <w:sz w:val="24"/>
                <w:szCs w:val="24"/>
              </w:rPr>
              <w:lastRenderedPageBreak/>
              <w:t xml:space="preserve">as a representative could have been compromised. If these concerns had not been addressed, a referral to an IMCA would have been necessary to ensure their rights and voice were protected. This reflection has strengthened my understanding of advocacy rights. </w:t>
            </w:r>
          </w:p>
          <w:p w14:paraId="3360C4A6" w14:textId="77777777" w:rsidR="00BA79E8" w:rsidRPr="00AB411B" w:rsidRDefault="00BA79E8" w:rsidP="00235790">
            <w:pPr>
              <w:spacing w:line="360" w:lineRule="auto"/>
              <w:jc w:val="both"/>
              <w:rPr>
                <w:sz w:val="24"/>
                <w:szCs w:val="24"/>
              </w:rPr>
            </w:pPr>
          </w:p>
          <w:p w14:paraId="2300C982" w14:textId="77777777" w:rsidR="00313013" w:rsidRPr="00AB411B" w:rsidRDefault="00313013" w:rsidP="00313013">
            <w:pPr>
              <w:spacing w:line="360" w:lineRule="auto"/>
              <w:jc w:val="both"/>
              <w:rPr>
                <w:sz w:val="24"/>
                <w:szCs w:val="24"/>
              </w:rPr>
            </w:pPr>
            <w:r w:rsidRPr="00AB411B">
              <w:rPr>
                <w:sz w:val="24"/>
                <w:szCs w:val="24"/>
              </w:rPr>
              <w:t>Reflecting on this case, I drew on the 4D2P model to better understand the dynamics at play (</w:t>
            </w:r>
            <w:proofErr w:type="spellStart"/>
            <w:r w:rsidRPr="00AB411B">
              <w:rPr>
                <w:sz w:val="24"/>
                <w:szCs w:val="24"/>
              </w:rPr>
              <w:t>Tedam</w:t>
            </w:r>
            <w:proofErr w:type="spellEnd"/>
            <w:r w:rsidRPr="00AB411B">
              <w:rPr>
                <w:sz w:val="24"/>
                <w:szCs w:val="24"/>
              </w:rPr>
              <w:t xml:space="preserve">, 2021). This framework helped me retrospectively explore the multidirectional nature of oppression, including both the discrimination I experienced as a younger practitioner and 1 and 2’s feelings of disempowerment due to professional involvement. The model provided a structured lens for identifying ethical tensions, challenging assumptions, and promoting safeguarding responses that are proportionate, respectful, and person-centred. This experience has deepened my understanding of safeguarding as a complex, multi-layered process that must be both evidence-based and contextually informed. It reinforced that effective safeguarding is not a one-size-fits-all approach, but one that requires professional judgement, legal literacy, and meaningful collaboration across agencies. Reflective supervision played a vital role in navigating ethical dilemmas and maintaining a focus on person-centred outcomes. </w:t>
            </w:r>
          </w:p>
          <w:p w14:paraId="43A0F2B6" w14:textId="77777777" w:rsidR="00313013" w:rsidRPr="00AB411B" w:rsidRDefault="00313013" w:rsidP="00313013">
            <w:pPr>
              <w:spacing w:line="360" w:lineRule="auto"/>
              <w:jc w:val="both"/>
              <w:rPr>
                <w:sz w:val="24"/>
                <w:szCs w:val="24"/>
              </w:rPr>
            </w:pPr>
          </w:p>
          <w:p w14:paraId="373F2F42" w14:textId="747401B5" w:rsidR="00313013" w:rsidRPr="00AB411B" w:rsidRDefault="00313013" w:rsidP="00313013">
            <w:pPr>
              <w:spacing w:line="360" w:lineRule="auto"/>
              <w:jc w:val="both"/>
              <w:rPr>
                <w:sz w:val="24"/>
                <w:szCs w:val="24"/>
              </w:rPr>
            </w:pPr>
            <w:r w:rsidRPr="00AB411B">
              <w:rPr>
                <w:sz w:val="24"/>
                <w:szCs w:val="24"/>
              </w:rPr>
              <w:t>Ultimately, I learned that safeguarding is not only about managing risk</w:t>
            </w:r>
            <w:r w:rsidR="00B96C36" w:rsidRPr="00AB411B">
              <w:rPr>
                <w:sz w:val="24"/>
                <w:szCs w:val="24"/>
              </w:rPr>
              <w:t>, but</w:t>
            </w:r>
            <w:r w:rsidRPr="00AB411B">
              <w:rPr>
                <w:sz w:val="24"/>
                <w:szCs w:val="24"/>
              </w:rPr>
              <w:t xml:space="preserve"> about upholding dignity, respecting cultural values, and ensuring that individuals remain at the heart of decision-making. This case has strengthened my commitment to anti-oppressive practice and highlighted the importance of continuous learning to improve outcomes for individuals being supported. It also enhanced my understanding of how different legislation applies when safeguarding individuals, particularly the way Welsh legislation interfaces with national and international legal frameworks.</w:t>
            </w:r>
          </w:p>
          <w:p w14:paraId="162DB481" w14:textId="77777777" w:rsidR="00235790" w:rsidRPr="00AB411B" w:rsidRDefault="00235790" w:rsidP="00235790">
            <w:pPr>
              <w:spacing w:line="360" w:lineRule="auto"/>
              <w:jc w:val="both"/>
              <w:rPr>
                <w:sz w:val="24"/>
                <w:szCs w:val="24"/>
              </w:rPr>
            </w:pPr>
          </w:p>
          <w:p w14:paraId="3DC1C8AB" w14:textId="77777777" w:rsidR="00235790" w:rsidRPr="00AB411B" w:rsidRDefault="00235790" w:rsidP="00235790">
            <w:pPr>
              <w:spacing w:line="360" w:lineRule="auto"/>
              <w:jc w:val="both"/>
              <w:rPr>
                <w:sz w:val="24"/>
                <w:szCs w:val="24"/>
              </w:rPr>
            </w:pPr>
          </w:p>
          <w:p w14:paraId="7306D683" w14:textId="77777777" w:rsidR="00235790" w:rsidRPr="00AB411B" w:rsidRDefault="00235790" w:rsidP="00235790">
            <w:pPr>
              <w:spacing w:line="360" w:lineRule="auto"/>
              <w:jc w:val="both"/>
              <w:rPr>
                <w:sz w:val="24"/>
                <w:szCs w:val="24"/>
              </w:rPr>
            </w:pPr>
          </w:p>
          <w:p w14:paraId="2B1A92A0" w14:textId="30C535AE" w:rsidR="00235790" w:rsidRPr="001824D3" w:rsidRDefault="00235790" w:rsidP="00235790">
            <w:pPr>
              <w:spacing w:line="360" w:lineRule="auto"/>
              <w:jc w:val="both"/>
              <w:rPr>
                <w:sz w:val="24"/>
                <w:szCs w:val="24"/>
              </w:rPr>
            </w:pPr>
            <w:r>
              <w:rPr>
                <w:sz w:val="24"/>
                <w:szCs w:val="24"/>
              </w:rPr>
              <w:t>Total word Count: 4</w:t>
            </w:r>
            <w:r w:rsidR="00EA351A">
              <w:rPr>
                <w:sz w:val="24"/>
                <w:szCs w:val="24"/>
              </w:rPr>
              <w:t>3</w:t>
            </w:r>
            <w:r w:rsidR="00266F1A">
              <w:rPr>
                <w:sz w:val="24"/>
                <w:szCs w:val="24"/>
              </w:rPr>
              <w:t>50</w:t>
            </w:r>
          </w:p>
          <w:p w14:paraId="2D3DCAFF" w14:textId="77777777" w:rsidR="00E72E1D" w:rsidRDefault="00E72E1D" w:rsidP="001824D3"/>
          <w:p w14:paraId="69CB8E56" w14:textId="77777777" w:rsidR="00E72E1D" w:rsidRDefault="00E72E1D" w:rsidP="001824D3"/>
          <w:p w14:paraId="1378B7C4" w14:textId="77777777" w:rsidR="00E72E1D" w:rsidRDefault="00E72E1D" w:rsidP="001824D3"/>
          <w:p w14:paraId="47F21B6A" w14:textId="68FC53C2" w:rsidR="00D37F31" w:rsidRPr="008B28E7" w:rsidRDefault="00D37F31" w:rsidP="00FF7EBB">
            <w:pPr>
              <w:jc w:val="both"/>
              <w:rPr>
                <w:sz w:val="24"/>
                <w:szCs w:val="24"/>
              </w:rPr>
            </w:pPr>
            <w:r>
              <w:rPr>
                <w:sz w:val="24"/>
                <w:szCs w:val="24"/>
              </w:rPr>
              <w:t xml:space="preserve"> </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77C35" w14:textId="77777777" w:rsidR="001269BC" w:rsidRDefault="001269BC">
      <w:r>
        <w:separator/>
      </w:r>
    </w:p>
  </w:endnote>
  <w:endnote w:type="continuationSeparator" w:id="0">
    <w:p w14:paraId="58ED7E26" w14:textId="77777777" w:rsidR="001269BC" w:rsidRDefault="00126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50E449" w14:textId="77777777" w:rsidR="001269BC" w:rsidRDefault="001269BC">
      <w:r>
        <w:separator/>
      </w:r>
    </w:p>
  </w:footnote>
  <w:footnote w:type="continuationSeparator" w:id="0">
    <w:p w14:paraId="17BDF8B5" w14:textId="77777777" w:rsidR="001269BC" w:rsidRDefault="001269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D6"/>
    <w:rsid w:val="000045B8"/>
    <w:rsid w:val="00005DD8"/>
    <w:rsid w:val="00007948"/>
    <w:rsid w:val="00012B16"/>
    <w:rsid w:val="00015603"/>
    <w:rsid w:val="00016156"/>
    <w:rsid w:val="00020EEC"/>
    <w:rsid w:val="000223E5"/>
    <w:rsid w:val="0002440E"/>
    <w:rsid w:val="0002759A"/>
    <w:rsid w:val="00027B1F"/>
    <w:rsid w:val="0003088B"/>
    <w:rsid w:val="00031E6E"/>
    <w:rsid w:val="000325D9"/>
    <w:rsid w:val="0003333E"/>
    <w:rsid w:val="000372B2"/>
    <w:rsid w:val="000402DA"/>
    <w:rsid w:val="0004079F"/>
    <w:rsid w:val="00043543"/>
    <w:rsid w:val="00044032"/>
    <w:rsid w:val="00045B87"/>
    <w:rsid w:val="00045C07"/>
    <w:rsid w:val="00045C40"/>
    <w:rsid w:val="000461CA"/>
    <w:rsid w:val="00046861"/>
    <w:rsid w:val="00053E54"/>
    <w:rsid w:val="00054A07"/>
    <w:rsid w:val="00055BA1"/>
    <w:rsid w:val="00055D43"/>
    <w:rsid w:val="00056FAC"/>
    <w:rsid w:val="00057751"/>
    <w:rsid w:val="00062E39"/>
    <w:rsid w:val="00063B20"/>
    <w:rsid w:val="00064063"/>
    <w:rsid w:val="000644F2"/>
    <w:rsid w:val="0006581A"/>
    <w:rsid w:val="00067487"/>
    <w:rsid w:val="00070A52"/>
    <w:rsid w:val="00071202"/>
    <w:rsid w:val="00074461"/>
    <w:rsid w:val="00075160"/>
    <w:rsid w:val="000766EC"/>
    <w:rsid w:val="00080E58"/>
    <w:rsid w:val="00081E3A"/>
    <w:rsid w:val="00083D99"/>
    <w:rsid w:val="00084DA6"/>
    <w:rsid w:val="00085699"/>
    <w:rsid w:val="000864F7"/>
    <w:rsid w:val="0008705A"/>
    <w:rsid w:val="00087BA9"/>
    <w:rsid w:val="000900EB"/>
    <w:rsid w:val="00090160"/>
    <w:rsid w:val="00091F52"/>
    <w:rsid w:val="00092970"/>
    <w:rsid w:val="00093720"/>
    <w:rsid w:val="000938E6"/>
    <w:rsid w:val="00093B3C"/>
    <w:rsid w:val="0009488C"/>
    <w:rsid w:val="00095C1B"/>
    <w:rsid w:val="00096DEA"/>
    <w:rsid w:val="000A1A41"/>
    <w:rsid w:val="000A4240"/>
    <w:rsid w:val="000A469A"/>
    <w:rsid w:val="000A584A"/>
    <w:rsid w:val="000A5894"/>
    <w:rsid w:val="000A5C19"/>
    <w:rsid w:val="000A63E9"/>
    <w:rsid w:val="000A6458"/>
    <w:rsid w:val="000B325B"/>
    <w:rsid w:val="000C378F"/>
    <w:rsid w:val="000C381F"/>
    <w:rsid w:val="000C5A06"/>
    <w:rsid w:val="000C613B"/>
    <w:rsid w:val="000C6892"/>
    <w:rsid w:val="000C6FFE"/>
    <w:rsid w:val="000D0461"/>
    <w:rsid w:val="000D0BB6"/>
    <w:rsid w:val="000D2ED2"/>
    <w:rsid w:val="000D5E51"/>
    <w:rsid w:val="000D6653"/>
    <w:rsid w:val="000E0D51"/>
    <w:rsid w:val="000E1FB0"/>
    <w:rsid w:val="000E2428"/>
    <w:rsid w:val="000E26B0"/>
    <w:rsid w:val="000E37C2"/>
    <w:rsid w:val="000E38C3"/>
    <w:rsid w:val="000F1599"/>
    <w:rsid w:val="000F1769"/>
    <w:rsid w:val="000F180E"/>
    <w:rsid w:val="000F1A97"/>
    <w:rsid w:val="000F42AE"/>
    <w:rsid w:val="000F6196"/>
    <w:rsid w:val="000F6BC3"/>
    <w:rsid w:val="001002E3"/>
    <w:rsid w:val="00101CB4"/>
    <w:rsid w:val="0010312C"/>
    <w:rsid w:val="00105026"/>
    <w:rsid w:val="0010662B"/>
    <w:rsid w:val="00106669"/>
    <w:rsid w:val="00106DC7"/>
    <w:rsid w:val="001075C2"/>
    <w:rsid w:val="00111542"/>
    <w:rsid w:val="00112391"/>
    <w:rsid w:val="00114F52"/>
    <w:rsid w:val="001205B0"/>
    <w:rsid w:val="00122A60"/>
    <w:rsid w:val="001269BC"/>
    <w:rsid w:val="00130119"/>
    <w:rsid w:val="00132812"/>
    <w:rsid w:val="001347F8"/>
    <w:rsid w:val="001359EE"/>
    <w:rsid w:val="00135E56"/>
    <w:rsid w:val="00137BB5"/>
    <w:rsid w:val="00137E05"/>
    <w:rsid w:val="001431CB"/>
    <w:rsid w:val="001447F6"/>
    <w:rsid w:val="00147DE3"/>
    <w:rsid w:val="00150794"/>
    <w:rsid w:val="001514F4"/>
    <w:rsid w:val="00151DA6"/>
    <w:rsid w:val="00160034"/>
    <w:rsid w:val="001608C4"/>
    <w:rsid w:val="00164832"/>
    <w:rsid w:val="00167886"/>
    <w:rsid w:val="00171418"/>
    <w:rsid w:val="00172D5A"/>
    <w:rsid w:val="001738D4"/>
    <w:rsid w:val="0017438A"/>
    <w:rsid w:val="00174E10"/>
    <w:rsid w:val="001772BF"/>
    <w:rsid w:val="001772DE"/>
    <w:rsid w:val="001821B3"/>
    <w:rsid w:val="001824D3"/>
    <w:rsid w:val="00182E8E"/>
    <w:rsid w:val="001924C8"/>
    <w:rsid w:val="0019496C"/>
    <w:rsid w:val="00195DD9"/>
    <w:rsid w:val="001961CF"/>
    <w:rsid w:val="001975E4"/>
    <w:rsid w:val="001A16EF"/>
    <w:rsid w:val="001A3ECB"/>
    <w:rsid w:val="001A59BB"/>
    <w:rsid w:val="001A607E"/>
    <w:rsid w:val="001A6A51"/>
    <w:rsid w:val="001A79C4"/>
    <w:rsid w:val="001B14E3"/>
    <w:rsid w:val="001B331A"/>
    <w:rsid w:val="001B468D"/>
    <w:rsid w:val="001C0237"/>
    <w:rsid w:val="001C065D"/>
    <w:rsid w:val="001C0E74"/>
    <w:rsid w:val="001C18E2"/>
    <w:rsid w:val="001C3BD8"/>
    <w:rsid w:val="001C3E71"/>
    <w:rsid w:val="001C4DB8"/>
    <w:rsid w:val="001C50B8"/>
    <w:rsid w:val="001D229F"/>
    <w:rsid w:val="001D73FF"/>
    <w:rsid w:val="001D7F40"/>
    <w:rsid w:val="001E2EB6"/>
    <w:rsid w:val="001E39FA"/>
    <w:rsid w:val="001E3A49"/>
    <w:rsid w:val="001E4EEE"/>
    <w:rsid w:val="001E76FD"/>
    <w:rsid w:val="001F3438"/>
    <w:rsid w:val="001F4552"/>
    <w:rsid w:val="001F734E"/>
    <w:rsid w:val="002017E5"/>
    <w:rsid w:val="002019EB"/>
    <w:rsid w:val="00204B58"/>
    <w:rsid w:val="00205051"/>
    <w:rsid w:val="00211F65"/>
    <w:rsid w:val="00214047"/>
    <w:rsid w:val="00216563"/>
    <w:rsid w:val="0021792F"/>
    <w:rsid w:val="00220D06"/>
    <w:rsid w:val="00223C0E"/>
    <w:rsid w:val="002246A0"/>
    <w:rsid w:val="00227E57"/>
    <w:rsid w:val="00230439"/>
    <w:rsid w:val="00231F3D"/>
    <w:rsid w:val="00232A09"/>
    <w:rsid w:val="00234D4B"/>
    <w:rsid w:val="00235176"/>
    <w:rsid w:val="00235790"/>
    <w:rsid w:val="00236061"/>
    <w:rsid w:val="0024100E"/>
    <w:rsid w:val="00241ADF"/>
    <w:rsid w:val="00241C1B"/>
    <w:rsid w:val="0024288B"/>
    <w:rsid w:val="00243530"/>
    <w:rsid w:val="00243DB0"/>
    <w:rsid w:val="00247265"/>
    <w:rsid w:val="00247BA6"/>
    <w:rsid w:val="00256A5E"/>
    <w:rsid w:val="00260663"/>
    <w:rsid w:val="00263B20"/>
    <w:rsid w:val="0026517F"/>
    <w:rsid w:val="002657E9"/>
    <w:rsid w:val="0026665E"/>
    <w:rsid w:val="00266F1A"/>
    <w:rsid w:val="0027147E"/>
    <w:rsid w:val="002761F4"/>
    <w:rsid w:val="002775E1"/>
    <w:rsid w:val="00277979"/>
    <w:rsid w:val="00277B01"/>
    <w:rsid w:val="00277D42"/>
    <w:rsid w:val="00286897"/>
    <w:rsid w:val="00286D6C"/>
    <w:rsid w:val="00291ADD"/>
    <w:rsid w:val="002920DF"/>
    <w:rsid w:val="00292F3D"/>
    <w:rsid w:val="00295CA1"/>
    <w:rsid w:val="002A02AE"/>
    <w:rsid w:val="002A0E51"/>
    <w:rsid w:val="002A1A44"/>
    <w:rsid w:val="002A291A"/>
    <w:rsid w:val="002A2C54"/>
    <w:rsid w:val="002A4E2E"/>
    <w:rsid w:val="002A5604"/>
    <w:rsid w:val="002A5862"/>
    <w:rsid w:val="002A5A7E"/>
    <w:rsid w:val="002B091E"/>
    <w:rsid w:val="002B1031"/>
    <w:rsid w:val="002B1460"/>
    <w:rsid w:val="002B1701"/>
    <w:rsid w:val="002B23C3"/>
    <w:rsid w:val="002B35E1"/>
    <w:rsid w:val="002B37A7"/>
    <w:rsid w:val="002B443A"/>
    <w:rsid w:val="002B5B35"/>
    <w:rsid w:val="002B7AEE"/>
    <w:rsid w:val="002C1F00"/>
    <w:rsid w:val="002C2536"/>
    <w:rsid w:val="002C256A"/>
    <w:rsid w:val="002C3031"/>
    <w:rsid w:val="002C4233"/>
    <w:rsid w:val="002C496D"/>
    <w:rsid w:val="002D04F8"/>
    <w:rsid w:val="002D05EB"/>
    <w:rsid w:val="002D0E30"/>
    <w:rsid w:val="002D11A8"/>
    <w:rsid w:val="002D15E5"/>
    <w:rsid w:val="002D2F29"/>
    <w:rsid w:val="002D46C0"/>
    <w:rsid w:val="002D5A92"/>
    <w:rsid w:val="002D65D2"/>
    <w:rsid w:val="002D6B31"/>
    <w:rsid w:val="002D79B4"/>
    <w:rsid w:val="002E015E"/>
    <w:rsid w:val="002E6571"/>
    <w:rsid w:val="002E6D17"/>
    <w:rsid w:val="002E6D6A"/>
    <w:rsid w:val="002E7017"/>
    <w:rsid w:val="002E7F2C"/>
    <w:rsid w:val="002F0DA1"/>
    <w:rsid w:val="002F1FC7"/>
    <w:rsid w:val="002F2185"/>
    <w:rsid w:val="002F4F6E"/>
    <w:rsid w:val="002F6117"/>
    <w:rsid w:val="003015C3"/>
    <w:rsid w:val="003106DB"/>
    <w:rsid w:val="00312079"/>
    <w:rsid w:val="00313013"/>
    <w:rsid w:val="0031350A"/>
    <w:rsid w:val="00316815"/>
    <w:rsid w:val="003168CA"/>
    <w:rsid w:val="00320004"/>
    <w:rsid w:val="0032102F"/>
    <w:rsid w:val="00321255"/>
    <w:rsid w:val="00321AFC"/>
    <w:rsid w:val="0032230D"/>
    <w:rsid w:val="00322A0B"/>
    <w:rsid w:val="00323D49"/>
    <w:rsid w:val="00330881"/>
    <w:rsid w:val="00331CD2"/>
    <w:rsid w:val="00332426"/>
    <w:rsid w:val="00335C41"/>
    <w:rsid w:val="00335FC5"/>
    <w:rsid w:val="0033771E"/>
    <w:rsid w:val="00337FEF"/>
    <w:rsid w:val="00340FAE"/>
    <w:rsid w:val="0034468F"/>
    <w:rsid w:val="0034611F"/>
    <w:rsid w:val="00346847"/>
    <w:rsid w:val="00346F94"/>
    <w:rsid w:val="00350FC0"/>
    <w:rsid w:val="003520D3"/>
    <w:rsid w:val="00354B6D"/>
    <w:rsid w:val="00355210"/>
    <w:rsid w:val="00355CFD"/>
    <w:rsid w:val="00361B8A"/>
    <w:rsid w:val="00365DF9"/>
    <w:rsid w:val="00366076"/>
    <w:rsid w:val="00370648"/>
    <w:rsid w:val="0037066E"/>
    <w:rsid w:val="00372DB4"/>
    <w:rsid w:val="00372FAC"/>
    <w:rsid w:val="00373A36"/>
    <w:rsid w:val="0037419E"/>
    <w:rsid w:val="00374550"/>
    <w:rsid w:val="00375AF5"/>
    <w:rsid w:val="003761BD"/>
    <w:rsid w:val="00377448"/>
    <w:rsid w:val="00377884"/>
    <w:rsid w:val="00381E54"/>
    <w:rsid w:val="003826BD"/>
    <w:rsid w:val="00384803"/>
    <w:rsid w:val="00385414"/>
    <w:rsid w:val="003855AC"/>
    <w:rsid w:val="00387D17"/>
    <w:rsid w:val="00390074"/>
    <w:rsid w:val="003909DB"/>
    <w:rsid w:val="00392F73"/>
    <w:rsid w:val="00393600"/>
    <w:rsid w:val="00396B3C"/>
    <w:rsid w:val="0039762B"/>
    <w:rsid w:val="003A0C37"/>
    <w:rsid w:val="003A1B6B"/>
    <w:rsid w:val="003A46C0"/>
    <w:rsid w:val="003A5518"/>
    <w:rsid w:val="003A600E"/>
    <w:rsid w:val="003A6513"/>
    <w:rsid w:val="003B16C7"/>
    <w:rsid w:val="003B29BC"/>
    <w:rsid w:val="003B3115"/>
    <w:rsid w:val="003B6662"/>
    <w:rsid w:val="003B7E99"/>
    <w:rsid w:val="003C0B56"/>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D38"/>
    <w:rsid w:val="003F67A4"/>
    <w:rsid w:val="004001CE"/>
    <w:rsid w:val="00400786"/>
    <w:rsid w:val="004007E9"/>
    <w:rsid w:val="00401FDA"/>
    <w:rsid w:val="00403757"/>
    <w:rsid w:val="00404547"/>
    <w:rsid w:val="004046F0"/>
    <w:rsid w:val="0040668F"/>
    <w:rsid w:val="00410613"/>
    <w:rsid w:val="00411EF7"/>
    <w:rsid w:val="004125F4"/>
    <w:rsid w:val="00412677"/>
    <w:rsid w:val="00412D4E"/>
    <w:rsid w:val="00425160"/>
    <w:rsid w:val="0042595C"/>
    <w:rsid w:val="00425BBB"/>
    <w:rsid w:val="00430DE3"/>
    <w:rsid w:val="00432B4C"/>
    <w:rsid w:val="004348AE"/>
    <w:rsid w:val="004376C0"/>
    <w:rsid w:val="0044223A"/>
    <w:rsid w:val="00444B65"/>
    <w:rsid w:val="00444F7A"/>
    <w:rsid w:val="00450B67"/>
    <w:rsid w:val="00451851"/>
    <w:rsid w:val="0045189A"/>
    <w:rsid w:val="00453343"/>
    <w:rsid w:val="004538C3"/>
    <w:rsid w:val="00455E96"/>
    <w:rsid w:val="004608B9"/>
    <w:rsid w:val="00463B55"/>
    <w:rsid w:val="00465947"/>
    <w:rsid w:val="004667B1"/>
    <w:rsid w:val="00467F66"/>
    <w:rsid w:val="00470461"/>
    <w:rsid w:val="00470BB1"/>
    <w:rsid w:val="00472109"/>
    <w:rsid w:val="00472EEA"/>
    <w:rsid w:val="00473153"/>
    <w:rsid w:val="0047350F"/>
    <w:rsid w:val="004743AF"/>
    <w:rsid w:val="00475B9F"/>
    <w:rsid w:val="00477037"/>
    <w:rsid w:val="00482C17"/>
    <w:rsid w:val="00483640"/>
    <w:rsid w:val="00484CE3"/>
    <w:rsid w:val="0048670B"/>
    <w:rsid w:val="00487C87"/>
    <w:rsid w:val="00490726"/>
    <w:rsid w:val="004911B4"/>
    <w:rsid w:val="0049196A"/>
    <w:rsid w:val="0049224D"/>
    <w:rsid w:val="004923DA"/>
    <w:rsid w:val="00492EEB"/>
    <w:rsid w:val="00493434"/>
    <w:rsid w:val="004968E2"/>
    <w:rsid w:val="00496AF7"/>
    <w:rsid w:val="004A2A49"/>
    <w:rsid w:val="004A5A64"/>
    <w:rsid w:val="004B4CE4"/>
    <w:rsid w:val="004B5553"/>
    <w:rsid w:val="004B600B"/>
    <w:rsid w:val="004B63EC"/>
    <w:rsid w:val="004B6822"/>
    <w:rsid w:val="004B69F6"/>
    <w:rsid w:val="004C2D3A"/>
    <w:rsid w:val="004C6596"/>
    <w:rsid w:val="004D03C4"/>
    <w:rsid w:val="004D0BF1"/>
    <w:rsid w:val="004D0F4E"/>
    <w:rsid w:val="004D3278"/>
    <w:rsid w:val="004D35A4"/>
    <w:rsid w:val="004D41CE"/>
    <w:rsid w:val="004D445F"/>
    <w:rsid w:val="004D6414"/>
    <w:rsid w:val="004E087B"/>
    <w:rsid w:val="004E44A4"/>
    <w:rsid w:val="004E6264"/>
    <w:rsid w:val="004E7B8B"/>
    <w:rsid w:val="004E7BDD"/>
    <w:rsid w:val="004F1966"/>
    <w:rsid w:val="004F1E21"/>
    <w:rsid w:val="004F2542"/>
    <w:rsid w:val="004F4E33"/>
    <w:rsid w:val="004F740D"/>
    <w:rsid w:val="004F7B8F"/>
    <w:rsid w:val="00500748"/>
    <w:rsid w:val="00500E3E"/>
    <w:rsid w:val="005011D6"/>
    <w:rsid w:val="00502A14"/>
    <w:rsid w:val="005042F1"/>
    <w:rsid w:val="0050481B"/>
    <w:rsid w:val="005113D4"/>
    <w:rsid w:val="0051287D"/>
    <w:rsid w:val="00513C7D"/>
    <w:rsid w:val="005166D4"/>
    <w:rsid w:val="00520425"/>
    <w:rsid w:val="0052076A"/>
    <w:rsid w:val="00521123"/>
    <w:rsid w:val="00521221"/>
    <w:rsid w:val="0052250B"/>
    <w:rsid w:val="005263F9"/>
    <w:rsid w:val="005305C6"/>
    <w:rsid w:val="005318F7"/>
    <w:rsid w:val="00540EEC"/>
    <w:rsid w:val="005414F4"/>
    <w:rsid w:val="00541DA7"/>
    <w:rsid w:val="00543702"/>
    <w:rsid w:val="00546187"/>
    <w:rsid w:val="00547B11"/>
    <w:rsid w:val="00557D77"/>
    <w:rsid w:val="00562EAA"/>
    <w:rsid w:val="00563670"/>
    <w:rsid w:val="00563B58"/>
    <w:rsid w:val="005640C4"/>
    <w:rsid w:val="0056684C"/>
    <w:rsid w:val="005704B3"/>
    <w:rsid w:val="00574A0C"/>
    <w:rsid w:val="00574AB7"/>
    <w:rsid w:val="0057780F"/>
    <w:rsid w:val="00581E0A"/>
    <w:rsid w:val="00586C14"/>
    <w:rsid w:val="00586D89"/>
    <w:rsid w:val="005877C8"/>
    <w:rsid w:val="00587923"/>
    <w:rsid w:val="00593966"/>
    <w:rsid w:val="00594F9F"/>
    <w:rsid w:val="005A1B4C"/>
    <w:rsid w:val="005A21D9"/>
    <w:rsid w:val="005A3E66"/>
    <w:rsid w:val="005A4B48"/>
    <w:rsid w:val="005A545C"/>
    <w:rsid w:val="005A66CB"/>
    <w:rsid w:val="005B1C8F"/>
    <w:rsid w:val="005B271A"/>
    <w:rsid w:val="005B3A2D"/>
    <w:rsid w:val="005B674A"/>
    <w:rsid w:val="005B7F85"/>
    <w:rsid w:val="005C1567"/>
    <w:rsid w:val="005C28D3"/>
    <w:rsid w:val="005C6CE5"/>
    <w:rsid w:val="005D1265"/>
    <w:rsid w:val="005D3F07"/>
    <w:rsid w:val="005D4065"/>
    <w:rsid w:val="005D4A1E"/>
    <w:rsid w:val="005D4F72"/>
    <w:rsid w:val="005D5424"/>
    <w:rsid w:val="005E13EA"/>
    <w:rsid w:val="005E17F1"/>
    <w:rsid w:val="005E1D74"/>
    <w:rsid w:val="005E1F04"/>
    <w:rsid w:val="005E2E24"/>
    <w:rsid w:val="005F0BBF"/>
    <w:rsid w:val="005F4B30"/>
    <w:rsid w:val="005F64AA"/>
    <w:rsid w:val="005F7851"/>
    <w:rsid w:val="00606E27"/>
    <w:rsid w:val="006108C9"/>
    <w:rsid w:val="006137C1"/>
    <w:rsid w:val="006147DC"/>
    <w:rsid w:val="00614DF7"/>
    <w:rsid w:val="006163C0"/>
    <w:rsid w:val="006179BB"/>
    <w:rsid w:val="0062158D"/>
    <w:rsid w:val="006223FD"/>
    <w:rsid w:val="00623E5E"/>
    <w:rsid w:val="006274A4"/>
    <w:rsid w:val="006326D1"/>
    <w:rsid w:val="00632E0A"/>
    <w:rsid w:val="00633165"/>
    <w:rsid w:val="00642DCF"/>
    <w:rsid w:val="006444EA"/>
    <w:rsid w:val="006447DE"/>
    <w:rsid w:val="00644889"/>
    <w:rsid w:val="00647F4A"/>
    <w:rsid w:val="0065276E"/>
    <w:rsid w:val="00654329"/>
    <w:rsid w:val="00654CEC"/>
    <w:rsid w:val="00655507"/>
    <w:rsid w:val="006579FD"/>
    <w:rsid w:val="006635E3"/>
    <w:rsid w:val="0066389E"/>
    <w:rsid w:val="006669F3"/>
    <w:rsid w:val="00667132"/>
    <w:rsid w:val="00670405"/>
    <w:rsid w:val="0067065E"/>
    <w:rsid w:val="006712A7"/>
    <w:rsid w:val="00672CED"/>
    <w:rsid w:val="00674983"/>
    <w:rsid w:val="00674FC2"/>
    <w:rsid w:val="00676E35"/>
    <w:rsid w:val="00677E42"/>
    <w:rsid w:val="006812E2"/>
    <w:rsid w:val="00681955"/>
    <w:rsid w:val="00682334"/>
    <w:rsid w:val="00683BDD"/>
    <w:rsid w:val="00684732"/>
    <w:rsid w:val="00684B16"/>
    <w:rsid w:val="00687016"/>
    <w:rsid w:val="006872A0"/>
    <w:rsid w:val="0069625A"/>
    <w:rsid w:val="00696A88"/>
    <w:rsid w:val="00696F65"/>
    <w:rsid w:val="00697572"/>
    <w:rsid w:val="006A06E4"/>
    <w:rsid w:val="006B2DAF"/>
    <w:rsid w:val="006B4496"/>
    <w:rsid w:val="006B5E67"/>
    <w:rsid w:val="006B6612"/>
    <w:rsid w:val="006C11EC"/>
    <w:rsid w:val="006C2EB5"/>
    <w:rsid w:val="006C2F5D"/>
    <w:rsid w:val="006C540C"/>
    <w:rsid w:val="006D02FE"/>
    <w:rsid w:val="006D18A3"/>
    <w:rsid w:val="006D3220"/>
    <w:rsid w:val="006D5970"/>
    <w:rsid w:val="006D728E"/>
    <w:rsid w:val="006E481E"/>
    <w:rsid w:val="006E795F"/>
    <w:rsid w:val="006F0862"/>
    <w:rsid w:val="006F1438"/>
    <w:rsid w:val="006F2A9E"/>
    <w:rsid w:val="006F5ED3"/>
    <w:rsid w:val="0070016D"/>
    <w:rsid w:val="00700249"/>
    <w:rsid w:val="0070057E"/>
    <w:rsid w:val="00701D02"/>
    <w:rsid w:val="007052DD"/>
    <w:rsid w:val="00705D1D"/>
    <w:rsid w:val="007069CD"/>
    <w:rsid w:val="00706BB5"/>
    <w:rsid w:val="00711146"/>
    <w:rsid w:val="0071231A"/>
    <w:rsid w:val="00712E90"/>
    <w:rsid w:val="00713B7E"/>
    <w:rsid w:val="00715D8D"/>
    <w:rsid w:val="00722258"/>
    <w:rsid w:val="00724FF7"/>
    <w:rsid w:val="0072678F"/>
    <w:rsid w:val="007276E5"/>
    <w:rsid w:val="00727C4C"/>
    <w:rsid w:val="0073054C"/>
    <w:rsid w:val="00734809"/>
    <w:rsid w:val="00735D8C"/>
    <w:rsid w:val="0073714E"/>
    <w:rsid w:val="007374EF"/>
    <w:rsid w:val="007406E1"/>
    <w:rsid w:val="0074268F"/>
    <w:rsid w:val="007435E7"/>
    <w:rsid w:val="00743E40"/>
    <w:rsid w:val="00745016"/>
    <w:rsid w:val="007500A4"/>
    <w:rsid w:val="0075031F"/>
    <w:rsid w:val="00750CD3"/>
    <w:rsid w:val="00751263"/>
    <w:rsid w:val="00751F8F"/>
    <w:rsid w:val="007544FC"/>
    <w:rsid w:val="00755427"/>
    <w:rsid w:val="00756548"/>
    <w:rsid w:val="0075673A"/>
    <w:rsid w:val="0075704F"/>
    <w:rsid w:val="00763B2D"/>
    <w:rsid w:val="00764C84"/>
    <w:rsid w:val="00764F63"/>
    <w:rsid w:val="007710AD"/>
    <w:rsid w:val="00772924"/>
    <w:rsid w:val="00775B97"/>
    <w:rsid w:val="0078112D"/>
    <w:rsid w:val="00784AC1"/>
    <w:rsid w:val="007872F2"/>
    <w:rsid w:val="007873F9"/>
    <w:rsid w:val="007908E0"/>
    <w:rsid w:val="00793EB3"/>
    <w:rsid w:val="00794205"/>
    <w:rsid w:val="0079422A"/>
    <w:rsid w:val="007A1F6A"/>
    <w:rsid w:val="007A628F"/>
    <w:rsid w:val="007A6B03"/>
    <w:rsid w:val="007A7043"/>
    <w:rsid w:val="007A7C7C"/>
    <w:rsid w:val="007B05EE"/>
    <w:rsid w:val="007B0DE3"/>
    <w:rsid w:val="007B1BFD"/>
    <w:rsid w:val="007B2F83"/>
    <w:rsid w:val="007B7191"/>
    <w:rsid w:val="007C0AD3"/>
    <w:rsid w:val="007C1D94"/>
    <w:rsid w:val="007C3CF5"/>
    <w:rsid w:val="007C3F93"/>
    <w:rsid w:val="007C556F"/>
    <w:rsid w:val="007C5ABE"/>
    <w:rsid w:val="007C6A87"/>
    <w:rsid w:val="007D0A07"/>
    <w:rsid w:val="007D0A6A"/>
    <w:rsid w:val="007D0F11"/>
    <w:rsid w:val="007D133D"/>
    <w:rsid w:val="007D3EB4"/>
    <w:rsid w:val="007D3F16"/>
    <w:rsid w:val="007D5C8F"/>
    <w:rsid w:val="007D664D"/>
    <w:rsid w:val="007D66B9"/>
    <w:rsid w:val="007D709F"/>
    <w:rsid w:val="007D7B4E"/>
    <w:rsid w:val="007E1776"/>
    <w:rsid w:val="007E2795"/>
    <w:rsid w:val="007E757D"/>
    <w:rsid w:val="007F10BD"/>
    <w:rsid w:val="007F1D83"/>
    <w:rsid w:val="007F312E"/>
    <w:rsid w:val="007F3F7E"/>
    <w:rsid w:val="007F4BA4"/>
    <w:rsid w:val="00800822"/>
    <w:rsid w:val="00801E32"/>
    <w:rsid w:val="00806D87"/>
    <w:rsid w:val="00807C36"/>
    <w:rsid w:val="00811017"/>
    <w:rsid w:val="0081120C"/>
    <w:rsid w:val="00812C00"/>
    <w:rsid w:val="0081355C"/>
    <w:rsid w:val="00813CC5"/>
    <w:rsid w:val="00813CEC"/>
    <w:rsid w:val="0081534C"/>
    <w:rsid w:val="0081577B"/>
    <w:rsid w:val="00816CE7"/>
    <w:rsid w:val="008171E4"/>
    <w:rsid w:val="008208EA"/>
    <w:rsid w:val="00822B44"/>
    <w:rsid w:val="00824E67"/>
    <w:rsid w:val="00825A64"/>
    <w:rsid w:val="00826F48"/>
    <w:rsid w:val="008277D4"/>
    <w:rsid w:val="008308AE"/>
    <w:rsid w:val="00830DD1"/>
    <w:rsid w:val="008314BB"/>
    <w:rsid w:val="0083166E"/>
    <w:rsid w:val="00831DC3"/>
    <w:rsid w:val="008322C7"/>
    <w:rsid w:val="008340BA"/>
    <w:rsid w:val="00834C4E"/>
    <w:rsid w:val="00834F1D"/>
    <w:rsid w:val="00836FEC"/>
    <w:rsid w:val="008411E7"/>
    <w:rsid w:val="008416F6"/>
    <w:rsid w:val="00841F9D"/>
    <w:rsid w:val="008420E1"/>
    <w:rsid w:val="00843E9D"/>
    <w:rsid w:val="00844D98"/>
    <w:rsid w:val="00844EE6"/>
    <w:rsid w:val="00844F0E"/>
    <w:rsid w:val="008451F2"/>
    <w:rsid w:val="00846D84"/>
    <w:rsid w:val="00850233"/>
    <w:rsid w:val="0085230E"/>
    <w:rsid w:val="008550A1"/>
    <w:rsid w:val="00861038"/>
    <w:rsid w:val="00865B58"/>
    <w:rsid w:val="00866B50"/>
    <w:rsid w:val="00867A63"/>
    <w:rsid w:val="008708F1"/>
    <w:rsid w:val="00870A0A"/>
    <w:rsid w:val="00871960"/>
    <w:rsid w:val="0087369F"/>
    <w:rsid w:val="008741B0"/>
    <w:rsid w:val="00874C43"/>
    <w:rsid w:val="008757CC"/>
    <w:rsid w:val="00880539"/>
    <w:rsid w:val="00885129"/>
    <w:rsid w:val="008859D2"/>
    <w:rsid w:val="008859E8"/>
    <w:rsid w:val="0088737B"/>
    <w:rsid w:val="00887656"/>
    <w:rsid w:val="00891078"/>
    <w:rsid w:val="00892716"/>
    <w:rsid w:val="00893067"/>
    <w:rsid w:val="008933DE"/>
    <w:rsid w:val="00894EA9"/>
    <w:rsid w:val="00895FCE"/>
    <w:rsid w:val="00896797"/>
    <w:rsid w:val="00897F05"/>
    <w:rsid w:val="00897F3E"/>
    <w:rsid w:val="008A1D3B"/>
    <w:rsid w:val="008A21B4"/>
    <w:rsid w:val="008A4836"/>
    <w:rsid w:val="008A66C9"/>
    <w:rsid w:val="008B07DE"/>
    <w:rsid w:val="008B1309"/>
    <w:rsid w:val="008B28E7"/>
    <w:rsid w:val="008B67F6"/>
    <w:rsid w:val="008B7CA2"/>
    <w:rsid w:val="008C14C7"/>
    <w:rsid w:val="008C2F83"/>
    <w:rsid w:val="008C2FFB"/>
    <w:rsid w:val="008C633F"/>
    <w:rsid w:val="008C668E"/>
    <w:rsid w:val="008C6EEA"/>
    <w:rsid w:val="008C7770"/>
    <w:rsid w:val="008C79C7"/>
    <w:rsid w:val="008D03B0"/>
    <w:rsid w:val="008D2150"/>
    <w:rsid w:val="008D2786"/>
    <w:rsid w:val="008D3895"/>
    <w:rsid w:val="008D5813"/>
    <w:rsid w:val="008D5999"/>
    <w:rsid w:val="008D634E"/>
    <w:rsid w:val="008D67AA"/>
    <w:rsid w:val="008D778A"/>
    <w:rsid w:val="008D78C9"/>
    <w:rsid w:val="008E083F"/>
    <w:rsid w:val="008E3195"/>
    <w:rsid w:val="008E5A35"/>
    <w:rsid w:val="008F127E"/>
    <w:rsid w:val="008F32D9"/>
    <w:rsid w:val="008F4BF0"/>
    <w:rsid w:val="00902A65"/>
    <w:rsid w:val="00903932"/>
    <w:rsid w:val="00906222"/>
    <w:rsid w:val="009079BD"/>
    <w:rsid w:val="00907FC3"/>
    <w:rsid w:val="00910CDE"/>
    <w:rsid w:val="00912BD9"/>
    <w:rsid w:val="009139D2"/>
    <w:rsid w:val="00914447"/>
    <w:rsid w:val="00916FB2"/>
    <w:rsid w:val="00920E5B"/>
    <w:rsid w:val="009253A3"/>
    <w:rsid w:val="00926436"/>
    <w:rsid w:val="00926C53"/>
    <w:rsid w:val="0093018C"/>
    <w:rsid w:val="009307F3"/>
    <w:rsid w:val="0093646B"/>
    <w:rsid w:val="0094495F"/>
    <w:rsid w:val="00945A62"/>
    <w:rsid w:val="009544C0"/>
    <w:rsid w:val="00954FA4"/>
    <w:rsid w:val="009559EF"/>
    <w:rsid w:val="00955CA4"/>
    <w:rsid w:val="00956AE9"/>
    <w:rsid w:val="009571FF"/>
    <w:rsid w:val="00962337"/>
    <w:rsid w:val="009641B6"/>
    <w:rsid w:val="009644E4"/>
    <w:rsid w:val="00964CC6"/>
    <w:rsid w:val="00966089"/>
    <w:rsid w:val="00967BFA"/>
    <w:rsid w:val="00974916"/>
    <w:rsid w:val="00974CED"/>
    <w:rsid w:val="00976EFF"/>
    <w:rsid w:val="0098262C"/>
    <w:rsid w:val="00982A49"/>
    <w:rsid w:val="0098427C"/>
    <w:rsid w:val="00986B43"/>
    <w:rsid w:val="00986C0B"/>
    <w:rsid w:val="00986D46"/>
    <w:rsid w:val="00987D0D"/>
    <w:rsid w:val="00991DDF"/>
    <w:rsid w:val="00991FDA"/>
    <w:rsid w:val="00992ACA"/>
    <w:rsid w:val="0099335F"/>
    <w:rsid w:val="009A1AB3"/>
    <w:rsid w:val="009A5F3B"/>
    <w:rsid w:val="009A5F79"/>
    <w:rsid w:val="009A6F87"/>
    <w:rsid w:val="009B0B61"/>
    <w:rsid w:val="009B28C0"/>
    <w:rsid w:val="009B3178"/>
    <w:rsid w:val="009B3E46"/>
    <w:rsid w:val="009B6668"/>
    <w:rsid w:val="009B7136"/>
    <w:rsid w:val="009B7226"/>
    <w:rsid w:val="009C337F"/>
    <w:rsid w:val="009C531E"/>
    <w:rsid w:val="009C53E7"/>
    <w:rsid w:val="009C6092"/>
    <w:rsid w:val="009C6820"/>
    <w:rsid w:val="009C7342"/>
    <w:rsid w:val="009D4365"/>
    <w:rsid w:val="009D43A1"/>
    <w:rsid w:val="009D477B"/>
    <w:rsid w:val="009D4DC1"/>
    <w:rsid w:val="009D4E3B"/>
    <w:rsid w:val="009D59C2"/>
    <w:rsid w:val="009D7BC9"/>
    <w:rsid w:val="009E01EA"/>
    <w:rsid w:val="009E122F"/>
    <w:rsid w:val="009E1982"/>
    <w:rsid w:val="009E2941"/>
    <w:rsid w:val="009E4D2C"/>
    <w:rsid w:val="009E56FF"/>
    <w:rsid w:val="009F0978"/>
    <w:rsid w:val="009F3AEC"/>
    <w:rsid w:val="009F61D5"/>
    <w:rsid w:val="009F6801"/>
    <w:rsid w:val="009F6B14"/>
    <w:rsid w:val="00A00081"/>
    <w:rsid w:val="00A06422"/>
    <w:rsid w:val="00A06B69"/>
    <w:rsid w:val="00A10575"/>
    <w:rsid w:val="00A10D56"/>
    <w:rsid w:val="00A111ED"/>
    <w:rsid w:val="00A1251F"/>
    <w:rsid w:val="00A12AAE"/>
    <w:rsid w:val="00A12F22"/>
    <w:rsid w:val="00A15BA3"/>
    <w:rsid w:val="00A16DD1"/>
    <w:rsid w:val="00A22441"/>
    <w:rsid w:val="00A23F3B"/>
    <w:rsid w:val="00A24406"/>
    <w:rsid w:val="00A25F64"/>
    <w:rsid w:val="00A26B1B"/>
    <w:rsid w:val="00A27332"/>
    <w:rsid w:val="00A275F6"/>
    <w:rsid w:val="00A303B9"/>
    <w:rsid w:val="00A33194"/>
    <w:rsid w:val="00A3466D"/>
    <w:rsid w:val="00A36B2D"/>
    <w:rsid w:val="00A37416"/>
    <w:rsid w:val="00A40D56"/>
    <w:rsid w:val="00A40ED6"/>
    <w:rsid w:val="00A41814"/>
    <w:rsid w:val="00A42824"/>
    <w:rsid w:val="00A47621"/>
    <w:rsid w:val="00A479CD"/>
    <w:rsid w:val="00A50CFC"/>
    <w:rsid w:val="00A524EB"/>
    <w:rsid w:val="00A54D67"/>
    <w:rsid w:val="00A5525D"/>
    <w:rsid w:val="00A55A3F"/>
    <w:rsid w:val="00A564F7"/>
    <w:rsid w:val="00A5656A"/>
    <w:rsid w:val="00A578BA"/>
    <w:rsid w:val="00A60103"/>
    <w:rsid w:val="00A64285"/>
    <w:rsid w:val="00A652F6"/>
    <w:rsid w:val="00A65861"/>
    <w:rsid w:val="00A72599"/>
    <w:rsid w:val="00A732EA"/>
    <w:rsid w:val="00A7489E"/>
    <w:rsid w:val="00A772C0"/>
    <w:rsid w:val="00A77621"/>
    <w:rsid w:val="00A8015F"/>
    <w:rsid w:val="00A805B8"/>
    <w:rsid w:val="00A81EA4"/>
    <w:rsid w:val="00A85039"/>
    <w:rsid w:val="00A86F8F"/>
    <w:rsid w:val="00A906AA"/>
    <w:rsid w:val="00A92418"/>
    <w:rsid w:val="00A94C5E"/>
    <w:rsid w:val="00A96E59"/>
    <w:rsid w:val="00AA252C"/>
    <w:rsid w:val="00AA666E"/>
    <w:rsid w:val="00AA6B2F"/>
    <w:rsid w:val="00AA7960"/>
    <w:rsid w:val="00AB0236"/>
    <w:rsid w:val="00AB0702"/>
    <w:rsid w:val="00AB3CB3"/>
    <w:rsid w:val="00AB411B"/>
    <w:rsid w:val="00AB5518"/>
    <w:rsid w:val="00AC3A0E"/>
    <w:rsid w:val="00AC4A04"/>
    <w:rsid w:val="00AC5679"/>
    <w:rsid w:val="00AD0994"/>
    <w:rsid w:val="00AD336F"/>
    <w:rsid w:val="00AE0988"/>
    <w:rsid w:val="00AE134C"/>
    <w:rsid w:val="00AE160F"/>
    <w:rsid w:val="00AE1868"/>
    <w:rsid w:val="00AE2564"/>
    <w:rsid w:val="00AE301F"/>
    <w:rsid w:val="00AE3302"/>
    <w:rsid w:val="00AE5BA6"/>
    <w:rsid w:val="00AE6231"/>
    <w:rsid w:val="00AE7077"/>
    <w:rsid w:val="00AF1B6A"/>
    <w:rsid w:val="00AF61C2"/>
    <w:rsid w:val="00AF6CC6"/>
    <w:rsid w:val="00B0296A"/>
    <w:rsid w:val="00B037B0"/>
    <w:rsid w:val="00B04704"/>
    <w:rsid w:val="00B07E79"/>
    <w:rsid w:val="00B12295"/>
    <w:rsid w:val="00B137BE"/>
    <w:rsid w:val="00B15998"/>
    <w:rsid w:val="00B16825"/>
    <w:rsid w:val="00B17FA0"/>
    <w:rsid w:val="00B2292C"/>
    <w:rsid w:val="00B22C3C"/>
    <w:rsid w:val="00B24344"/>
    <w:rsid w:val="00B26769"/>
    <w:rsid w:val="00B2754B"/>
    <w:rsid w:val="00B31C91"/>
    <w:rsid w:val="00B331F1"/>
    <w:rsid w:val="00B34F98"/>
    <w:rsid w:val="00B3747F"/>
    <w:rsid w:val="00B412B8"/>
    <w:rsid w:val="00B42E76"/>
    <w:rsid w:val="00B42FC4"/>
    <w:rsid w:val="00B430B7"/>
    <w:rsid w:val="00B43194"/>
    <w:rsid w:val="00B436BF"/>
    <w:rsid w:val="00B47734"/>
    <w:rsid w:val="00B501D1"/>
    <w:rsid w:val="00B50FBA"/>
    <w:rsid w:val="00B522AC"/>
    <w:rsid w:val="00B54FAA"/>
    <w:rsid w:val="00B55551"/>
    <w:rsid w:val="00B558EB"/>
    <w:rsid w:val="00B577D3"/>
    <w:rsid w:val="00B60466"/>
    <w:rsid w:val="00B60641"/>
    <w:rsid w:val="00B6548F"/>
    <w:rsid w:val="00B658A4"/>
    <w:rsid w:val="00B67467"/>
    <w:rsid w:val="00B70D96"/>
    <w:rsid w:val="00B71A32"/>
    <w:rsid w:val="00B7502A"/>
    <w:rsid w:val="00B77305"/>
    <w:rsid w:val="00B774BD"/>
    <w:rsid w:val="00B82CC2"/>
    <w:rsid w:val="00B847A2"/>
    <w:rsid w:val="00B84A89"/>
    <w:rsid w:val="00B84E03"/>
    <w:rsid w:val="00B86124"/>
    <w:rsid w:val="00B9256C"/>
    <w:rsid w:val="00B92BEF"/>
    <w:rsid w:val="00B93D55"/>
    <w:rsid w:val="00B94443"/>
    <w:rsid w:val="00B9689A"/>
    <w:rsid w:val="00B96C36"/>
    <w:rsid w:val="00B97056"/>
    <w:rsid w:val="00B97D62"/>
    <w:rsid w:val="00B97E8D"/>
    <w:rsid w:val="00BA531E"/>
    <w:rsid w:val="00BA728B"/>
    <w:rsid w:val="00BA79E8"/>
    <w:rsid w:val="00BB06CB"/>
    <w:rsid w:val="00BB261F"/>
    <w:rsid w:val="00BB2887"/>
    <w:rsid w:val="00BB3252"/>
    <w:rsid w:val="00BB3B56"/>
    <w:rsid w:val="00BB4126"/>
    <w:rsid w:val="00BB5EAA"/>
    <w:rsid w:val="00BB5F11"/>
    <w:rsid w:val="00BB6638"/>
    <w:rsid w:val="00BB7FD2"/>
    <w:rsid w:val="00BC04FA"/>
    <w:rsid w:val="00BC1C22"/>
    <w:rsid w:val="00BC21F5"/>
    <w:rsid w:val="00BC460B"/>
    <w:rsid w:val="00BC4ED3"/>
    <w:rsid w:val="00BC5725"/>
    <w:rsid w:val="00BD30B1"/>
    <w:rsid w:val="00BD6AAF"/>
    <w:rsid w:val="00BE09C6"/>
    <w:rsid w:val="00BE0F7B"/>
    <w:rsid w:val="00BE10C2"/>
    <w:rsid w:val="00BE200F"/>
    <w:rsid w:val="00BE55D0"/>
    <w:rsid w:val="00BE63ED"/>
    <w:rsid w:val="00BE66F4"/>
    <w:rsid w:val="00BE71B2"/>
    <w:rsid w:val="00BF0091"/>
    <w:rsid w:val="00BF0D6C"/>
    <w:rsid w:val="00BF38F9"/>
    <w:rsid w:val="00C01D14"/>
    <w:rsid w:val="00C01D97"/>
    <w:rsid w:val="00C025B4"/>
    <w:rsid w:val="00C029EC"/>
    <w:rsid w:val="00C161FD"/>
    <w:rsid w:val="00C1674F"/>
    <w:rsid w:val="00C17C9F"/>
    <w:rsid w:val="00C17D23"/>
    <w:rsid w:val="00C2314D"/>
    <w:rsid w:val="00C23F17"/>
    <w:rsid w:val="00C246F2"/>
    <w:rsid w:val="00C24AC8"/>
    <w:rsid w:val="00C24AE9"/>
    <w:rsid w:val="00C2693A"/>
    <w:rsid w:val="00C26B24"/>
    <w:rsid w:val="00C26D0D"/>
    <w:rsid w:val="00C27C95"/>
    <w:rsid w:val="00C300D2"/>
    <w:rsid w:val="00C311FE"/>
    <w:rsid w:val="00C3270F"/>
    <w:rsid w:val="00C3278B"/>
    <w:rsid w:val="00C33375"/>
    <w:rsid w:val="00C333FD"/>
    <w:rsid w:val="00C340CA"/>
    <w:rsid w:val="00C34C23"/>
    <w:rsid w:val="00C35607"/>
    <w:rsid w:val="00C368FA"/>
    <w:rsid w:val="00C412D4"/>
    <w:rsid w:val="00C42005"/>
    <w:rsid w:val="00C4664D"/>
    <w:rsid w:val="00C472AA"/>
    <w:rsid w:val="00C50568"/>
    <w:rsid w:val="00C50A05"/>
    <w:rsid w:val="00C5139D"/>
    <w:rsid w:val="00C54AED"/>
    <w:rsid w:val="00C55233"/>
    <w:rsid w:val="00C555FC"/>
    <w:rsid w:val="00C55E9B"/>
    <w:rsid w:val="00C56D09"/>
    <w:rsid w:val="00C57D24"/>
    <w:rsid w:val="00C6031C"/>
    <w:rsid w:val="00C604D6"/>
    <w:rsid w:val="00C63CAB"/>
    <w:rsid w:val="00C63D00"/>
    <w:rsid w:val="00C6441B"/>
    <w:rsid w:val="00C65921"/>
    <w:rsid w:val="00C7108B"/>
    <w:rsid w:val="00C7118E"/>
    <w:rsid w:val="00C75883"/>
    <w:rsid w:val="00C76545"/>
    <w:rsid w:val="00C77FA5"/>
    <w:rsid w:val="00C8089F"/>
    <w:rsid w:val="00C835FE"/>
    <w:rsid w:val="00C836CC"/>
    <w:rsid w:val="00C852D6"/>
    <w:rsid w:val="00C871E7"/>
    <w:rsid w:val="00C87A74"/>
    <w:rsid w:val="00C87B62"/>
    <w:rsid w:val="00C91DBC"/>
    <w:rsid w:val="00C92C71"/>
    <w:rsid w:val="00C93F8F"/>
    <w:rsid w:val="00C95338"/>
    <w:rsid w:val="00CA0894"/>
    <w:rsid w:val="00CA10BF"/>
    <w:rsid w:val="00CA3593"/>
    <w:rsid w:val="00CA558A"/>
    <w:rsid w:val="00CA5726"/>
    <w:rsid w:val="00CA6590"/>
    <w:rsid w:val="00CA7E6A"/>
    <w:rsid w:val="00CB258E"/>
    <w:rsid w:val="00CB3C8F"/>
    <w:rsid w:val="00CC02F1"/>
    <w:rsid w:val="00CC1122"/>
    <w:rsid w:val="00CC11A6"/>
    <w:rsid w:val="00CC135E"/>
    <w:rsid w:val="00CC155E"/>
    <w:rsid w:val="00CC1A41"/>
    <w:rsid w:val="00CC471F"/>
    <w:rsid w:val="00CC5429"/>
    <w:rsid w:val="00CC7226"/>
    <w:rsid w:val="00CD0735"/>
    <w:rsid w:val="00CD2508"/>
    <w:rsid w:val="00CD45E3"/>
    <w:rsid w:val="00CD4771"/>
    <w:rsid w:val="00CD5089"/>
    <w:rsid w:val="00CD5D3F"/>
    <w:rsid w:val="00CD6B64"/>
    <w:rsid w:val="00CD7E1F"/>
    <w:rsid w:val="00CE4BC4"/>
    <w:rsid w:val="00CE7DA2"/>
    <w:rsid w:val="00CF1465"/>
    <w:rsid w:val="00CF2F8A"/>
    <w:rsid w:val="00CF3DB3"/>
    <w:rsid w:val="00CF4762"/>
    <w:rsid w:val="00D00A6D"/>
    <w:rsid w:val="00D0274B"/>
    <w:rsid w:val="00D0503D"/>
    <w:rsid w:val="00D052BC"/>
    <w:rsid w:val="00D07026"/>
    <w:rsid w:val="00D1290A"/>
    <w:rsid w:val="00D146AE"/>
    <w:rsid w:val="00D17378"/>
    <w:rsid w:val="00D202F4"/>
    <w:rsid w:val="00D22C8F"/>
    <w:rsid w:val="00D24616"/>
    <w:rsid w:val="00D26F60"/>
    <w:rsid w:val="00D3203C"/>
    <w:rsid w:val="00D33491"/>
    <w:rsid w:val="00D335C8"/>
    <w:rsid w:val="00D3442D"/>
    <w:rsid w:val="00D36F00"/>
    <w:rsid w:val="00D37761"/>
    <w:rsid w:val="00D37F31"/>
    <w:rsid w:val="00D44B67"/>
    <w:rsid w:val="00D44CC0"/>
    <w:rsid w:val="00D44F8E"/>
    <w:rsid w:val="00D50C9F"/>
    <w:rsid w:val="00D5135A"/>
    <w:rsid w:val="00D51FD5"/>
    <w:rsid w:val="00D55DE0"/>
    <w:rsid w:val="00D57918"/>
    <w:rsid w:val="00D607EF"/>
    <w:rsid w:val="00D60F88"/>
    <w:rsid w:val="00D61A0B"/>
    <w:rsid w:val="00D61C8F"/>
    <w:rsid w:val="00D64393"/>
    <w:rsid w:val="00D646BD"/>
    <w:rsid w:val="00D65558"/>
    <w:rsid w:val="00D658BB"/>
    <w:rsid w:val="00D70E6E"/>
    <w:rsid w:val="00D71201"/>
    <w:rsid w:val="00D720C7"/>
    <w:rsid w:val="00D77F79"/>
    <w:rsid w:val="00D81E14"/>
    <w:rsid w:val="00D84841"/>
    <w:rsid w:val="00D860D6"/>
    <w:rsid w:val="00D876E6"/>
    <w:rsid w:val="00D90958"/>
    <w:rsid w:val="00D91269"/>
    <w:rsid w:val="00D9277D"/>
    <w:rsid w:val="00D94E0D"/>
    <w:rsid w:val="00D95D81"/>
    <w:rsid w:val="00DA1025"/>
    <w:rsid w:val="00DA22EC"/>
    <w:rsid w:val="00DA5682"/>
    <w:rsid w:val="00DA5860"/>
    <w:rsid w:val="00DA5C0C"/>
    <w:rsid w:val="00DB2767"/>
    <w:rsid w:val="00DB3E7B"/>
    <w:rsid w:val="00DB4743"/>
    <w:rsid w:val="00DB5056"/>
    <w:rsid w:val="00DC1B10"/>
    <w:rsid w:val="00DC264D"/>
    <w:rsid w:val="00DC2924"/>
    <w:rsid w:val="00DC2A97"/>
    <w:rsid w:val="00DC4729"/>
    <w:rsid w:val="00DC7EA7"/>
    <w:rsid w:val="00DD31C5"/>
    <w:rsid w:val="00DD5020"/>
    <w:rsid w:val="00DD63BE"/>
    <w:rsid w:val="00DE2854"/>
    <w:rsid w:val="00DE4296"/>
    <w:rsid w:val="00DF0223"/>
    <w:rsid w:val="00DF1F40"/>
    <w:rsid w:val="00DF2469"/>
    <w:rsid w:val="00DF2C25"/>
    <w:rsid w:val="00DF7899"/>
    <w:rsid w:val="00E0256D"/>
    <w:rsid w:val="00E0524C"/>
    <w:rsid w:val="00E134C9"/>
    <w:rsid w:val="00E1378E"/>
    <w:rsid w:val="00E15751"/>
    <w:rsid w:val="00E17160"/>
    <w:rsid w:val="00E17D41"/>
    <w:rsid w:val="00E2283E"/>
    <w:rsid w:val="00E231D1"/>
    <w:rsid w:val="00E26706"/>
    <w:rsid w:val="00E26AE3"/>
    <w:rsid w:val="00E2756F"/>
    <w:rsid w:val="00E3127A"/>
    <w:rsid w:val="00E31ECF"/>
    <w:rsid w:val="00E3288D"/>
    <w:rsid w:val="00E35112"/>
    <w:rsid w:val="00E35BEC"/>
    <w:rsid w:val="00E41A6A"/>
    <w:rsid w:val="00E41F94"/>
    <w:rsid w:val="00E445EE"/>
    <w:rsid w:val="00E50688"/>
    <w:rsid w:val="00E50821"/>
    <w:rsid w:val="00E51006"/>
    <w:rsid w:val="00E51AB2"/>
    <w:rsid w:val="00E51F91"/>
    <w:rsid w:val="00E52465"/>
    <w:rsid w:val="00E5498A"/>
    <w:rsid w:val="00E559CE"/>
    <w:rsid w:val="00E568B2"/>
    <w:rsid w:val="00E60F42"/>
    <w:rsid w:val="00E63456"/>
    <w:rsid w:val="00E6746C"/>
    <w:rsid w:val="00E700A7"/>
    <w:rsid w:val="00E7086E"/>
    <w:rsid w:val="00E71248"/>
    <w:rsid w:val="00E72E1D"/>
    <w:rsid w:val="00E73545"/>
    <w:rsid w:val="00E73C41"/>
    <w:rsid w:val="00E75911"/>
    <w:rsid w:val="00E7598F"/>
    <w:rsid w:val="00E769B4"/>
    <w:rsid w:val="00E76F60"/>
    <w:rsid w:val="00E812B5"/>
    <w:rsid w:val="00E81727"/>
    <w:rsid w:val="00E83D90"/>
    <w:rsid w:val="00E83F91"/>
    <w:rsid w:val="00E85643"/>
    <w:rsid w:val="00E86299"/>
    <w:rsid w:val="00E9107A"/>
    <w:rsid w:val="00E91F62"/>
    <w:rsid w:val="00E929FD"/>
    <w:rsid w:val="00E93240"/>
    <w:rsid w:val="00E9445F"/>
    <w:rsid w:val="00E9479B"/>
    <w:rsid w:val="00E94E22"/>
    <w:rsid w:val="00E94EFD"/>
    <w:rsid w:val="00E95F08"/>
    <w:rsid w:val="00E9620E"/>
    <w:rsid w:val="00E97171"/>
    <w:rsid w:val="00EA0342"/>
    <w:rsid w:val="00EA2788"/>
    <w:rsid w:val="00EA351A"/>
    <w:rsid w:val="00EA4D48"/>
    <w:rsid w:val="00EA6F7A"/>
    <w:rsid w:val="00EA7ADF"/>
    <w:rsid w:val="00EB07FB"/>
    <w:rsid w:val="00EB0877"/>
    <w:rsid w:val="00EB2173"/>
    <w:rsid w:val="00EB62E6"/>
    <w:rsid w:val="00EB6333"/>
    <w:rsid w:val="00EB695F"/>
    <w:rsid w:val="00EC019D"/>
    <w:rsid w:val="00EC2502"/>
    <w:rsid w:val="00EC3A85"/>
    <w:rsid w:val="00EC4193"/>
    <w:rsid w:val="00EC4B89"/>
    <w:rsid w:val="00EC59A5"/>
    <w:rsid w:val="00EC6E15"/>
    <w:rsid w:val="00ED1B30"/>
    <w:rsid w:val="00ED4284"/>
    <w:rsid w:val="00ED5D03"/>
    <w:rsid w:val="00EE01ED"/>
    <w:rsid w:val="00EE1AC1"/>
    <w:rsid w:val="00EE1F67"/>
    <w:rsid w:val="00EE39D6"/>
    <w:rsid w:val="00EE52AD"/>
    <w:rsid w:val="00EE5BC3"/>
    <w:rsid w:val="00EE6FAB"/>
    <w:rsid w:val="00EF09F7"/>
    <w:rsid w:val="00EF328C"/>
    <w:rsid w:val="00EF339B"/>
    <w:rsid w:val="00EF68BB"/>
    <w:rsid w:val="00F01F92"/>
    <w:rsid w:val="00F029E3"/>
    <w:rsid w:val="00F030D4"/>
    <w:rsid w:val="00F03F50"/>
    <w:rsid w:val="00F04053"/>
    <w:rsid w:val="00F06573"/>
    <w:rsid w:val="00F071D4"/>
    <w:rsid w:val="00F10A08"/>
    <w:rsid w:val="00F15354"/>
    <w:rsid w:val="00F22AC5"/>
    <w:rsid w:val="00F254D1"/>
    <w:rsid w:val="00F32B82"/>
    <w:rsid w:val="00F32BD6"/>
    <w:rsid w:val="00F34C86"/>
    <w:rsid w:val="00F4043E"/>
    <w:rsid w:val="00F41795"/>
    <w:rsid w:val="00F41BBC"/>
    <w:rsid w:val="00F444D3"/>
    <w:rsid w:val="00F444F0"/>
    <w:rsid w:val="00F446FF"/>
    <w:rsid w:val="00F45521"/>
    <w:rsid w:val="00F50847"/>
    <w:rsid w:val="00F50EC6"/>
    <w:rsid w:val="00F53F27"/>
    <w:rsid w:val="00F546D1"/>
    <w:rsid w:val="00F60281"/>
    <w:rsid w:val="00F607D4"/>
    <w:rsid w:val="00F65B44"/>
    <w:rsid w:val="00F66272"/>
    <w:rsid w:val="00F67736"/>
    <w:rsid w:val="00F709C0"/>
    <w:rsid w:val="00F71EF1"/>
    <w:rsid w:val="00F72E01"/>
    <w:rsid w:val="00F767B9"/>
    <w:rsid w:val="00F81FEC"/>
    <w:rsid w:val="00F85C7B"/>
    <w:rsid w:val="00F86CEB"/>
    <w:rsid w:val="00F927A1"/>
    <w:rsid w:val="00F92921"/>
    <w:rsid w:val="00F92E4D"/>
    <w:rsid w:val="00F95D08"/>
    <w:rsid w:val="00F973D1"/>
    <w:rsid w:val="00F97DD8"/>
    <w:rsid w:val="00FA0BF4"/>
    <w:rsid w:val="00FA142D"/>
    <w:rsid w:val="00FA1653"/>
    <w:rsid w:val="00FA23BD"/>
    <w:rsid w:val="00FA3764"/>
    <w:rsid w:val="00FA41C7"/>
    <w:rsid w:val="00FA4A79"/>
    <w:rsid w:val="00FA56ED"/>
    <w:rsid w:val="00FA7976"/>
    <w:rsid w:val="00FB002C"/>
    <w:rsid w:val="00FB05DD"/>
    <w:rsid w:val="00FB0F7C"/>
    <w:rsid w:val="00FB24EA"/>
    <w:rsid w:val="00FB333C"/>
    <w:rsid w:val="00FB4D7B"/>
    <w:rsid w:val="00FB5FA6"/>
    <w:rsid w:val="00FB664D"/>
    <w:rsid w:val="00FC0334"/>
    <w:rsid w:val="00FC1310"/>
    <w:rsid w:val="00FC2FF3"/>
    <w:rsid w:val="00FC3263"/>
    <w:rsid w:val="00FC4D20"/>
    <w:rsid w:val="00FC51F9"/>
    <w:rsid w:val="00FC5B40"/>
    <w:rsid w:val="00FC5FF8"/>
    <w:rsid w:val="00FC68F3"/>
    <w:rsid w:val="00FC7859"/>
    <w:rsid w:val="00FD191B"/>
    <w:rsid w:val="00FD271B"/>
    <w:rsid w:val="00FD3D7C"/>
    <w:rsid w:val="00FD4273"/>
    <w:rsid w:val="00FD4F8F"/>
    <w:rsid w:val="00FD68F7"/>
    <w:rsid w:val="00FE0451"/>
    <w:rsid w:val="00FE0C16"/>
    <w:rsid w:val="00FE14B1"/>
    <w:rsid w:val="00FE1FDD"/>
    <w:rsid w:val="00FE4D97"/>
    <w:rsid w:val="00FE5F90"/>
    <w:rsid w:val="00FF0070"/>
    <w:rsid w:val="00FF07C3"/>
    <w:rsid w:val="00FF0BAC"/>
    <w:rsid w:val="00FF0E1E"/>
    <w:rsid w:val="00FF502B"/>
    <w:rsid w:val="00FF5F6A"/>
    <w:rsid w:val="00FF63FB"/>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770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8104">
      <w:bodyDiv w:val="1"/>
      <w:marLeft w:val="0"/>
      <w:marRight w:val="0"/>
      <w:marTop w:val="0"/>
      <w:marBottom w:val="0"/>
      <w:divBdr>
        <w:top w:val="none" w:sz="0" w:space="0" w:color="auto"/>
        <w:left w:val="none" w:sz="0" w:space="0" w:color="auto"/>
        <w:bottom w:val="none" w:sz="0" w:space="0" w:color="auto"/>
        <w:right w:val="none" w:sz="0" w:space="0" w:color="auto"/>
      </w:divBdr>
    </w:div>
    <w:div w:id="13768000">
      <w:bodyDiv w:val="1"/>
      <w:marLeft w:val="0"/>
      <w:marRight w:val="0"/>
      <w:marTop w:val="0"/>
      <w:marBottom w:val="0"/>
      <w:divBdr>
        <w:top w:val="none" w:sz="0" w:space="0" w:color="auto"/>
        <w:left w:val="none" w:sz="0" w:space="0" w:color="auto"/>
        <w:bottom w:val="none" w:sz="0" w:space="0" w:color="auto"/>
        <w:right w:val="none" w:sz="0" w:space="0" w:color="auto"/>
      </w:divBdr>
    </w:div>
    <w:div w:id="49038257">
      <w:bodyDiv w:val="1"/>
      <w:marLeft w:val="0"/>
      <w:marRight w:val="0"/>
      <w:marTop w:val="0"/>
      <w:marBottom w:val="0"/>
      <w:divBdr>
        <w:top w:val="none" w:sz="0" w:space="0" w:color="auto"/>
        <w:left w:val="none" w:sz="0" w:space="0" w:color="auto"/>
        <w:bottom w:val="none" w:sz="0" w:space="0" w:color="auto"/>
        <w:right w:val="none" w:sz="0" w:space="0" w:color="auto"/>
      </w:divBdr>
    </w:div>
    <w:div w:id="54790460">
      <w:bodyDiv w:val="1"/>
      <w:marLeft w:val="0"/>
      <w:marRight w:val="0"/>
      <w:marTop w:val="0"/>
      <w:marBottom w:val="0"/>
      <w:divBdr>
        <w:top w:val="none" w:sz="0" w:space="0" w:color="auto"/>
        <w:left w:val="none" w:sz="0" w:space="0" w:color="auto"/>
        <w:bottom w:val="none" w:sz="0" w:space="0" w:color="auto"/>
        <w:right w:val="none" w:sz="0" w:space="0" w:color="auto"/>
      </w:divBdr>
    </w:div>
    <w:div w:id="77404852">
      <w:bodyDiv w:val="1"/>
      <w:marLeft w:val="0"/>
      <w:marRight w:val="0"/>
      <w:marTop w:val="0"/>
      <w:marBottom w:val="0"/>
      <w:divBdr>
        <w:top w:val="none" w:sz="0" w:space="0" w:color="auto"/>
        <w:left w:val="none" w:sz="0" w:space="0" w:color="auto"/>
        <w:bottom w:val="none" w:sz="0" w:space="0" w:color="auto"/>
        <w:right w:val="none" w:sz="0" w:space="0" w:color="auto"/>
      </w:divBdr>
    </w:div>
    <w:div w:id="102578815">
      <w:bodyDiv w:val="1"/>
      <w:marLeft w:val="0"/>
      <w:marRight w:val="0"/>
      <w:marTop w:val="0"/>
      <w:marBottom w:val="0"/>
      <w:divBdr>
        <w:top w:val="none" w:sz="0" w:space="0" w:color="auto"/>
        <w:left w:val="none" w:sz="0" w:space="0" w:color="auto"/>
        <w:bottom w:val="none" w:sz="0" w:space="0" w:color="auto"/>
        <w:right w:val="none" w:sz="0" w:space="0" w:color="auto"/>
      </w:divBdr>
    </w:div>
    <w:div w:id="107821493">
      <w:bodyDiv w:val="1"/>
      <w:marLeft w:val="0"/>
      <w:marRight w:val="0"/>
      <w:marTop w:val="0"/>
      <w:marBottom w:val="0"/>
      <w:divBdr>
        <w:top w:val="none" w:sz="0" w:space="0" w:color="auto"/>
        <w:left w:val="none" w:sz="0" w:space="0" w:color="auto"/>
        <w:bottom w:val="none" w:sz="0" w:space="0" w:color="auto"/>
        <w:right w:val="none" w:sz="0" w:space="0" w:color="auto"/>
      </w:divBdr>
    </w:div>
    <w:div w:id="174732255">
      <w:bodyDiv w:val="1"/>
      <w:marLeft w:val="0"/>
      <w:marRight w:val="0"/>
      <w:marTop w:val="0"/>
      <w:marBottom w:val="0"/>
      <w:divBdr>
        <w:top w:val="none" w:sz="0" w:space="0" w:color="auto"/>
        <w:left w:val="none" w:sz="0" w:space="0" w:color="auto"/>
        <w:bottom w:val="none" w:sz="0" w:space="0" w:color="auto"/>
        <w:right w:val="none" w:sz="0" w:space="0" w:color="auto"/>
      </w:divBdr>
    </w:div>
    <w:div w:id="193933368">
      <w:bodyDiv w:val="1"/>
      <w:marLeft w:val="0"/>
      <w:marRight w:val="0"/>
      <w:marTop w:val="0"/>
      <w:marBottom w:val="0"/>
      <w:divBdr>
        <w:top w:val="none" w:sz="0" w:space="0" w:color="auto"/>
        <w:left w:val="none" w:sz="0" w:space="0" w:color="auto"/>
        <w:bottom w:val="none" w:sz="0" w:space="0" w:color="auto"/>
        <w:right w:val="none" w:sz="0" w:space="0" w:color="auto"/>
      </w:divBdr>
    </w:div>
    <w:div w:id="237323339">
      <w:bodyDiv w:val="1"/>
      <w:marLeft w:val="0"/>
      <w:marRight w:val="0"/>
      <w:marTop w:val="0"/>
      <w:marBottom w:val="0"/>
      <w:divBdr>
        <w:top w:val="none" w:sz="0" w:space="0" w:color="auto"/>
        <w:left w:val="none" w:sz="0" w:space="0" w:color="auto"/>
        <w:bottom w:val="none" w:sz="0" w:space="0" w:color="auto"/>
        <w:right w:val="none" w:sz="0" w:space="0" w:color="auto"/>
      </w:divBdr>
    </w:div>
    <w:div w:id="261914378">
      <w:bodyDiv w:val="1"/>
      <w:marLeft w:val="0"/>
      <w:marRight w:val="0"/>
      <w:marTop w:val="0"/>
      <w:marBottom w:val="0"/>
      <w:divBdr>
        <w:top w:val="none" w:sz="0" w:space="0" w:color="auto"/>
        <w:left w:val="none" w:sz="0" w:space="0" w:color="auto"/>
        <w:bottom w:val="none" w:sz="0" w:space="0" w:color="auto"/>
        <w:right w:val="none" w:sz="0" w:space="0" w:color="auto"/>
      </w:divBdr>
    </w:div>
    <w:div w:id="265313348">
      <w:bodyDiv w:val="1"/>
      <w:marLeft w:val="0"/>
      <w:marRight w:val="0"/>
      <w:marTop w:val="0"/>
      <w:marBottom w:val="0"/>
      <w:divBdr>
        <w:top w:val="none" w:sz="0" w:space="0" w:color="auto"/>
        <w:left w:val="none" w:sz="0" w:space="0" w:color="auto"/>
        <w:bottom w:val="none" w:sz="0" w:space="0" w:color="auto"/>
        <w:right w:val="none" w:sz="0" w:space="0" w:color="auto"/>
      </w:divBdr>
    </w:div>
    <w:div w:id="313875941">
      <w:bodyDiv w:val="1"/>
      <w:marLeft w:val="0"/>
      <w:marRight w:val="0"/>
      <w:marTop w:val="0"/>
      <w:marBottom w:val="0"/>
      <w:divBdr>
        <w:top w:val="none" w:sz="0" w:space="0" w:color="auto"/>
        <w:left w:val="none" w:sz="0" w:space="0" w:color="auto"/>
        <w:bottom w:val="none" w:sz="0" w:space="0" w:color="auto"/>
        <w:right w:val="none" w:sz="0" w:space="0" w:color="auto"/>
      </w:divBdr>
    </w:div>
    <w:div w:id="324360129">
      <w:bodyDiv w:val="1"/>
      <w:marLeft w:val="0"/>
      <w:marRight w:val="0"/>
      <w:marTop w:val="0"/>
      <w:marBottom w:val="0"/>
      <w:divBdr>
        <w:top w:val="none" w:sz="0" w:space="0" w:color="auto"/>
        <w:left w:val="none" w:sz="0" w:space="0" w:color="auto"/>
        <w:bottom w:val="none" w:sz="0" w:space="0" w:color="auto"/>
        <w:right w:val="none" w:sz="0" w:space="0" w:color="auto"/>
      </w:divBdr>
    </w:div>
    <w:div w:id="325400332">
      <w:bodyDiv w:val="1"/>
      <w:marLeft w:val="0"/>
      <w:marRight w:val="0"/>
      <w:marTop w:val="0"/>
      <w:marBottom w:val="0"/>
      <w:divBdr>
        <w:top w:val="none" w:sz="0" w:space="0" w:color="auto"/>
        <w:left w:val="none" w:sz="0" w:space="0" w:color="auto"/>
        <w:bottom w:val="none" w:sz="0" w:space="0" w:color="auto"/>
        <w:right w:val="none" w:sz="0" w:space="0" w:color="auto"/>
      </w:divBdr>
    </w:div>
    <w:div w:id="327485740">
      <w:bodyDiv w:val="1"/>
      <w:marLeft w:val="0"/>
      <w:marRight w:val="0"/>
      <w:marTop w:val="0"/>
      <w:marBottom w:val="0"/>
      <w:divBdr>
        <w:top w:val="none" w:sz="0" w:space="0" w:color="auto"/>
        <w:left w:val="none" w:sz="0" w:space="0" w:color="auto"/>
        <w:bottom w:val="none" w:sz="0" w:space="0" w:color="auto"/>
        <w:right w:val="none" w:sz="0" w:space="0" w:color="auto"/>
      </w:divBdr>
      <w:divsChild>
        <w:div w:id="13302158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757484">
      <w:bodyDiv w:val="1"/>
      <w:marLeft w:val="0"/>
      <w:marRight w:val="0"/>
      <w:marTop w:val="0"/>
      <w:marBottom w:val="0"/>
      <w:divBdr>
        <w:top w:val="none" w:sz="0" w:space="0" w:color="auto"/>
        <w:left w:val="none" w:sz="0" w:space="0" w:color="auto"/>
        <w:bottom w:val="none" w:sz="0" w:space="0" w:color="auto"/>
        <w:right w:val="none" w:sz="0" w:space="0" w:color="auto"/>
      </w:divBdr>
    </w:div>
    <w:div w:id="356196724">
      <w:bodyDiv w:val="1"/>
      <w:marLeft w:val="0"/>
      <w:marRight w:val="0"/>
      <w:marTop w:val="0"/>
      <w:marBottom w:val="0"/>
      <w:divBdr>
        <w:top w:val="none" w:sz="0" w:space="0" w:color="auto"/>
        <w:left w:val="none" w:sz="0" w:space="0" w:color="auto"/>
        <w:bottom w:val="none" w:sz="0" w:space="0" w:color="auto"/>
        <w:right w:val="none" w:sz="0" w:space="0" w:color="auto"/>
      </w:divBdr>
    </w:div>
    <w:div w:id="392389199">
      <w:bodyDiv w:val="1"/>
      <w:marLeft w:val="0"/>
      <w:marRight w:val="0"/>
      <w:marTop w:val="0"/>
      <w:marBottom w:val="0"/>
      <w:divBdr>
        <w:top w:val="none" w:sz="0" w:space="0" w:color="auto"/>
        <w:left w:val="none" w:sz="0" w:space="0" w:color="auto"/>
        <w:bottom w:val="none" w:sz="0" w:space="0" w:color="auto"/>
        <w:right w:val="none" w:sz="0" w:space="0" w:color="auto"/>
      </w:divBdr>
    </w:div>
    <w:div w:id="413478519">
      <w:bodyDiv w:val="1"/>
      <w:marLeft w:val="0"/>
      <w:marRight w:val="0"/>
      <w:marTop w:val="0"/>
      <w:marBottom w:val="0"/>
      <w:divBdr>
        <w:top w:val="none" w:sz="0" w:space="0" w:color="auto"/>
        <w:left w:val="none" w:sz="0" w:space="0" w:color="auto"/>
        <w:bottom w:val="none" w:sz="0" w:space="0" w:color="auto"/>
        <w:right w:val="none" w:sz="0" w:space="0" w:color="auto"/>
      </w:divBdr>
    </w:div>
    <w:div w:id="446319063">
      <w:bodyDiv w:val="1"/>
      <w:marLeft w:val="0"/>
      <w:marRight w:val="0"/>
      <w:marTop w:val="0"/>
      <w:marBottom w:val="0"/>
      <w:divBdr>
        <w:top w:val="none" w:sz="0" w:space="0" w:color="auto"/>
        <w:left w:val="none" w:sz="0" w:space="0" w:color="auto"/>
        <w:bottom w:val="none" w:sz="0" w:space="0" w:color="auto"/>
        <w:right w:val="none" w:sz="0" w:space="0" w:color="auto"/>
      </w:divBdr>
    </w:div>
    <w:div w:id="449861276">
      <w:bodyDiv w:val="1"/>
      <w:marLeft w:val="0"/>
      <w:marRight w:val="0"/>
      <w:marTop w:val="0"/>
      <w:marBottom w:val="0"/>
      <w:divBdr>
        <w:top w:val="none" w:sz="0" w:space="0" w:color="auto"/>
        <w:left w:val="none" w:sz="0" w:space="0" w:color="auto"/>
        <w:bottom w:val="none" w:sz="0" w:space="0" w:color="auto"/>
        <w:right w:val="none" w:sz="0" w:space="0" w:color="auto"/>
      </w:divBdr>
    </w:div>
    <w:div w:id="479343742">
      <w:bodyDiv w:val="1"/>
      <w:marLeft w:val="0"/>
      <w:marRight w:val="0"/>
      <w:marTop w:val="0"/>
      <w:marBottom w:val="0"/>
      <w:divBdr>
        <w:top w:val="none" w:sz="0" w:space="0" w:color="auto"/>
        <w:left w:val="none" w:sz="0" w:space="0" w:color="auto"/>
        <w:bottom w:val="none" w:sz="0" w:space="0" w:color="auto"/>
        <w:right w:val="none" w:sz="0" w:space="0" w:color="auto"/>
      </w:divBdr>
    </w:div>
    <w:div w:id="565072395">
      <w:bodyDiv w:val="1"/>
      <w:marLeft w:val="0"/>
      <w:marRight w:val="0"/>
      <w:marTop w:val="0"/>
      <w:marBottom w:val="0"/>
      <w:divBdr>
        <w:top w:val="none" w:sz="0" w:space="0" w:color="auto"/>
        <w:left w:val="none" w:sz="0" w:space="0" w:color="auto"/>
        <w:bottom w:val="none" w:sz="0" w:space="0" w:color="auto"/>
        <w:right w:val="none" w:sz="0" w:space="0" w:color="auto"/>
      </w:divBdr>
    </w:div>
    <w:div w:id="579146665">
      <w:bodyDiv w:val="1"/>
      <w:marLeft w:val="0"/>
      <w:marRight w:val="0"/>
      <w:marTop w:val="0"/>
      <w:marBottom w:val="0"/>
      <w:divBdr>
        <w:top w:val="none" w:sz="0" w:space="0" w:color="auto"/>
        <w:left w:val="none" w:sz="0" w:space="0" w:color="auto"/>
        <w:bottom w:val="none" w:sz="0" w:space="0" w:color="auto"/>
        <w:right w:val="none" w:sz="0" w:space="0" w:color="auto"/>
      </w:divBdr>
    </w:div>
    <w:div w:id="610018235">
      <w:bodyDiv w:val="1"/>
      <w:marLeft w:val="0"/>
      <w:marRight w:val="0"/>
      <w:marTop w:val="0"/>
      <w:marBottom w:val="0"/>
      <w:divBdr>
        <w:top w:val="none" w:sz="0" w:space="0" w:color="auto"/>
        <w:left w:val="none" w:sz="0" w:space="0" w:color="auto"/>
        <w:bottom w:val="none" w:sz="0" w:space="0" w:color="auto"/>
        <w:right w:val="none" w:sz="0" w:space="0" w:color="auto"/>
      </w:divBdr>
    </w:div>
    <w:div w:id="635716698">
      <w:bodyDiv w:val="1"/>
      <w:marLeft w:val="0"/>
      <w:marRight w:val="0"/>
      <w:marTop w:val="0"/>
      <w:marBottom w:val="0"/>
      <w:divBdr>
        <w:top w:val="none" w:sz="0" w:space="0" w:color="auto"/>
        <w:left w:val="none" w:sz="0" w:space="0" w:color="auto"/>
        <w:bottom w:val="none" w:sz="0" w:space="0" w:color="auto"/>
        <w:right w:val="none" w:sz="0" w:space="0" w:color="auto"/>
      </w:divBdr>
    </w:div>
    <w:div w:id="648553513">
      <w:bodyDiv w:val="1"/>
      <w:marLeft w:val="0"/>
      <w:marRight w:val="0"/>
      <w:marTop w:val="0"/>
      <w:marBottom w:val="0"/>
      <w:divBdr>
        <w:top w:val="none" w:sz="0" w:space="0" w:color="auto"/>
        <w:left w:val="none" w:sz="0" w:space="0" w:color="auto"/>
        <w:bottom w:val="none" w:sz="0" w:space="0" w:color="auto"/>
        <w:right w:val="none" w:sz="0" w:space="0" w:color="auto"/>
      </w:divBdr>
    </w:div>
    <w:div w:id="686441219">
      <w:bodyDiv w:val="1"/>
      <w:marLeft w:val="0"/>
      <w:marRight w:val="0"/>
      <w:marTop w:val="0"/>
      <w:marBottom w:val="0"/>
      <w:divBdr>
        <w:top w:val="none" w:sz="0" w:space="0" w:color="auto"/>
        <w:left w:val="none" w:sz="0" w:space="0" w:color="auto"/>
        <w:bottom w:val="none" w:sz="0" w:space="0" w:color="auto"/>
        <w:right w:val="none" w:sz="0" w:space="0" w:color="auto"/>
      </w:divBdr>
    </w:div>
    <w:div w:id="712073290">
      <w:bodyDiv w:val="1"/>
      <w:marLeft w:val="0"/>
      <w:marRight w:val="0"/>
      <w:marTop w:val="0"/>
      <w:marBottom w:val="0"/>
      <w:divBdr>
        <w:top w:val="none" w:sz="0" w:space="0" w:color="auto"/>
        <w:left w:val="none" w:sz="0" w:space="0" w:color="auto"/>
        <w:bottom w:val="none" w:sz="0" w:space="0" w:color="auto"/>
        <w:right w:val="none" w:sz="0" w:space="0" w:color="auto"/>
      </w:divBdr>
    </w:div>
    <w:div w:id="742725702">
      <w:bodyDiv w:val="1"/>
      <w:marLeft w:val="0"/>
      <w:marRight w:val="0"/>
      <w:marTop w:val="0"/>
      <w:marBottom w:val="0"/>
      <w:divBdr>
        <w:top w:val="none" w:sz="0" w:space="0" w:color="auto"/>
        <w:left w:val="none" w:sz="0" w:space="0" w:color="auto"/>
        <w:bottom w:val="none" w:sz="0" w:space="0" w:color="auto"/>
        <w:right w:val="none" w:sz="0" w:space="0" w:color="auto"/>
      </w:divBdr>
    </w:div>
    <w:div w:id="745801730">
      <w:bodyDiv w:val="1"/>
      <w:marLeft w:val="0"/>
      <w:marRight w:val="0"/>
      <w:marTop w:val="0"/>
      <w:marBottom w:val="0"/>
      <w:divBdr>
        <w:top w:val="none" w:sz="0" w:space="0" w:color="auto"/>
        <w:left w:val="none" w:sz="0" w:space="0" w:color="auto"/>
        <w:bottom w:val="none" w:sz="0" w:space="0" w:color="auto"/>
        <w:right w:val="none" w:sz="0" w:space="0" w:color="auto"/>
      </w:divBdr>
    </w:div>
    <w:div w:id="759715091">
      <w:bodyDiv w:val="1"/>
      <w:marLeft w:val="0"/>
      <w:marRight w:val="0"/>
      <w:marTop w:val="0"/>
      <w:marBottom w:val="0"/>
      <w:divBdr>
        <w:top w:val="none" w:sz="0" w:space="0" w:color="auto"/>
        <w:left w:val="none" w:sz="0" w:space="0" w:color="auto"/>
        <w:bottom w:val="none" w:sz="0" w:space="0" w:color="auto"/>
        <w:right w:val="none" w:sz="0" w:space="0" w:color="auto"/>
      </w:divBdr>
    </w:div>
    <w:div w:id="772936256">
      <w:bodyDiv w:val="1"/>
      <w:marLeft w:val="0"/>
      <w:marRight w:val="0"/>
      <w:marTop w:val="0"/>
      <w:marBottom w:val="0"/>
      <w:divBdr>
        <w:top w:val="none" w:sz="0" w:space="0" w:color="auto"/>
        <w:left w:val="none" w:sz="0" w:space="0" w:color="auto"/>
        <w:bottom w:val="none" w:sz="0" w:space="0" w:color="auto"/>
        <w:right w:val="none" w:sz="0" w:space="0" w:color="auto"/>
      </w:divBdr>
    </w:div>
    <w:div w:id="783428866">
      <w:bodyDiv w:val="1"/>
      <w:marLeft w:val="0"/>
      <w:marRight w:val="0"/>
      <w:marTop w:val="0"/>
      <w:marBottom w:val="0"/>
      <w:divBdr>
        <w:top w:val="none" w:sz="0" w:space="0" w:color="auto"/>
        <w:left w:val="none" w:sz="0" w:space="0" w:color="auto"/>
        <w:bottom w:val="none" w:sz="0" w:space="0" w:color="auto"/>
        <w:right w:val="none" w:sz="0" w:space="0" w:color="auto"/>
      </w:divBdr>
    </w:div>
    <w:div w:id="814949152">
      <w:bodyDiv w:val="1"/>
      <w:marLeft w:val="0"/>
      <w:marRight w:val="0"/>
      <w:marTop w:val="0"/>
      <w:marBottom w:val="0"/>
      <w:divBdr>
        <w:top w:val="none" w:sz="0" w:space="0" w:color="auto"/>
        <w:left w:val="none" w:sz="0" w:space="0" w:color="auto"/>
        <w:bottom w:val="none" w:sz="0" w:space="0" w:color="auto"/>
        <w:right w:val="none" w:sz="0" w:space="0" w:color="auto"/>
      </w:divBdr>
    </w:div>
    <w:div w:id="814950373">
      <w:bodyDiv w:val="1"/>
      <w:marLeft w:val="0"/>
      <w:marRight w:val="0"/>
      <w:marTop w:val="0"/>
      <w:marBottom w:val="0"/>
      <w:divBdr>
        <w:top w:val="none" w:sz="0" w:space="0" w:color="auto"/>
        <w:left w:val="none" w:sz="0" w:space="0" w:color="auto"/>
        <w:bottom w:val="none" w:sz="0" w:space="0" w:color="auto"/>
        <w:right w:val="none" w:sz="0" w:space="0" w:color="auto"/>
      </w:divBdr>
    </w:div>
    <w:div w:id="816537542">
      <w:bodyDiv w:val="1"/>
      <w:marLeft w:val="0"/>
      <w:marRight w:val="0"/>
      <w:marTop w:val="0"/>
      <w:marBottom w:val="0"/>
      <w:divBdr>
        <w:top w:val="none" w:sz="0" w:space="0" w:color="auto"/>
        <w:left w:val="none" w:sz="0" w:space="0" w:color="auto"/>
        <w:bottom w:val="none" w:sz="0" w:space="0" w:color="auto"/>
        <w:right w:val="none" w:sz="0" w:space="0" w:color="auto"/>
      </w:divBdr>
    </w:div>
    <w:div w:id="837159528">
      <w:bodyDiv w:val="1"/>
      <w:marLeft w:val="0"/>
      <w:marRight w:val="0"/>
      <w:marTop w:val="0"/>
      <w:marBottom w:val="0"/>
      <w:divBdr>
        <w:top w:val="none" w:sz="0" w:space="0" w:color="auto"/>
        <w:left w:val="none" w:sz="0" w:space="0" w:color="auto"/>
        <w:bottom w:val="none" w:sz="0" w:space="0" w:color="auto"/>
        <w:right w:val="none" w:sz="0" w:space="0" w:color="auto"/>
      </w:divBdr>
    </w:div>
    <w:div w:id="867642352">
      <w:bodyDiv w:val="1"/>
      <w:marLeft w:val="0"/>
      <w:marRight w:val="0"/>
      <w:marTop w:val="0"/>
      <w:marBottom w:val="0"/>
      <w:divBdr>
        <w:top w:val="none" w:sz="0" w:space="0" w:color="auto"/>
        <w:left w:val="none" w:sz="0" w:space="0" w:color="auto"/>
        <w:bottom w:val="none" w:sz="0" w:space="0" w:color="auto"/>
        <w:right w:val="none" w:sz="0" w:space="0" w:color="auto"/>
      </w:divBdr>
    </w:div>
    <w:div w:id="869992627">
      <w:bodyDiv w:val="1"/>
      <w:marLeft w:val="0"/>
      <w:marRight w:val="0"/>
      <w:marTop w:val="0"/>
      <w:marBottom w:val="0"/>
      <w:divBdr>
        <w:top w:val="none" w:sz="0" w:space="0" w:color="auto"/>
        <w:left w:val="none" w:sz="0" w:space="0" w:color="auto"/>
        <w:bottom w:val="none" w:sz="0" w:space="0" w:color="auto"/>
        <w:right w:val="none" w:sz="0" w:space="0" w:color="auto"/>
      </w:divBdr>
    </w:div>
    <w:div w:id="872379877">
      <w:bodyDiv w:val="1"/>
      <w:marLeft w:val="0"/>
      <w:marRight w:val="0"/>
      <w:marTop w:val="0"/>
      <w:marBottom w:val="0"/>
      <w:divBdr>
        <w:top w:val="none" w:sz="0" w:space="0" w:color="auto"/>
        <w:left w:val="none" w:sz="0" w:space="0" w:color="auto"/>
        <w:bottom w:val="none" w:sz="0" w:space="0" w:color="auto"/>
        <w:right w:val="none" w:sz="0" w:space="0" w:color="auto"/>
      </w:divBdr>
    </w:div>
    <w:div w:id="97676128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4161816">
      <w:bodyDiv w:val="1"/>
      <w:marLeft w:val="0"/>
      <w:marRight w:val="0"/>
      <w:marTop w:val="0"/>
      <w:marBottom w:val="0"/>
      <w:divBdr>
        <w:top w:val="none" w:sz="0" w:space="0" w:color="auto"/>
        <w:left w:val="none" w:sz="0" w:space="0" w:color="auto"/>
        <w:bottom w:val="none" w:sz="0" w:space="0" w:color="auto"/>
        <w:right w:val="none" w:sz="0" w:space="0" w:color="auto"/>
      </w:divBdr>
    </w:div>
    <w:div w:id="994604272">
      <w:bodyDiv w:val="1"/>
      <w:marLeft w:val="0"/>
      <w:marRight w:val="0"/>
      <w:marTop w:val="0"/>
      <w:marBottom w:val="0"/>
      <w:divBdr>
        <w:top w:val="none" w:sz="0" w:space="0" w:color="auto"/>
        <w:left w:val="none" w:sz="0" w:space="0" w:color="auto"/>
        <w:bottom w:val="none" w:sz="0" w:space="0" w:color="auto"/>
        <w:right w:val="none" w:sz="0" w:space="0" w:color="auto"/>
      </w:divBdr>
    </w:div>
    <w:div w:id="1010718916">
      <w:bodyDiv w:val="1"/>
      <w:marLeft w:val="0"/>
      <w:marRight w:val="0"/>
      <w:marTop w:val="0"/>
      <w:marBottom w:val="0"/>
      <w:divBdr>
        <w:top w:val="none" w:sz="0" w:space="0" w:color="auto"/>
        <w:left w:val="none" w:sz="0" w:space="0" w:color="auto"/>
        <w:bottom w:val="none" w:sz="0" w:space="0" w:color="auto"/>
        <w:right w:val="none" w:sz="0" w:space="0" w:color="auto"/>
      </w:divBdr>
    </w:div>
    <w:div w:id="1085490251">
      <w:bodyDiv w:val="1"/>
      <w:marLeft w:val="0"/>
      <w:marRight w:val="0"/>
      <w:marTop w:val="0"/>
      <w:marBottom w:val="0"/>
      <w:divBdr>
        <w:top w:val="none" w:sz="0" w:space="0" w:color="auto"/>
        <w:left w:val="none" w:sz="0" w:space="0" w:color="auto"/>
        <w:bottom w:val="none" w:sz="0" w:space="0" w:color="auto"/>
        <w:right w:val="none" w:sz="0" w:space="0" w:color="auto"/>
      </w:divBdr>
    </w:div>
    <w:div w:id="1101678903">
      <w:bodyDiv w:val="1"/>
      <w:marLeft w:val="0"/>
      <w:marRight w:val="0"/>
      <w:marTop w:val="0"/>
      <w:marBottom w:val="0"/>
      <w:divBdr>
        <w:top w:val="none" w:sz="0" w:space="0" w:color="auto"/>
        <w:left w:val="none" w:sz="0" w:space="0" w:color="auto"/>
        <w:bottom w:val="none" w:sz="0" w:space="0" w:color="auto"/>
        <w:right w:val="none" w:sz="0" w:space="0" w:color="auto"/>
      </w:divBdr>
    </w:div>
    <w:div w:id="11671365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949223">
      <w:bodyDiv w:val="1"/>
      <w:marLeft w:val="0"/>
      <w:marRight w:val="0"/>
      <w:marTop w:val="0"/>
      <w:marBottom w:val="0"/>
      <w:divBdr>
        <w:top w:val="none" w:sz="0" w:space="0" w:color="auto"/>
        <w:left w:val="none" w:sz="0" w:space="0" w:color="auto"/>
        <w:bottom w:val="none" w:sz="0" w:space="0" w:color="auto"/>
        <w:right w:val="none" w:sz="0" w:space="0" w:color="auto"/>
      </w:divBdr>
    </w:div>
    <w:div w:id="1250961474">
      <w:bodyDiv w:val="1"/>
      <w:marLeft w:val="0"/>
      <w:marRight w:val="0"/>
      <w:marTop w:val="0"/>
      <w:marBottom w:val="0"/>
      <w:divBdr>
        <w:top w:val="none" w:sz="0" w:space="0" w:color="auto"/>
        <w:left w:val="none" w:sz="0" w:space="0" w:color="auto"/>
        <w:bottom w:val="none" w:sz="0" w:space="0" w:color="auto"/>
        <w:right w:val="none" w:sz="0" w:space="0" w:color="auto"/>
      </w:divBdr>
      <w:divsChild>
        <w:div w:id="2678521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9987786">
      <w:bodyDiv w:val="1"/>
      <w:marLeft w:val="0"/>
      <w:marRight w:val="0"/>
      <w:marTop w:val="0"/>
      <w:marBottom w:val="0"/>
      <w:divBdr>
        <w:top w:val="none" w:sz="0" w:space="0" w:color="auto"/>
        <w:left w:val="none" w:sz="0" w:space="0" w:color="auto"/>
        <w:bottom w:val="none" w:sz="0" w:space="0" w:color="auto"/>
        <w:right w:val="none" w:sz="0" w:space="0" w:color="auto"/>
      </w:divBdr>
    </w:div>
    <w:div w:id="1311055498">
      <w:bodyDiv w:val="1"/>
      <w:marLeft w:val="0"/>
      <w:marRight w:val="0"/>
      <w:marTop w:val="0"/>
      <w:marBottom w:val="0"/>
      <w:divBdr>
        <w:top w:val="none" w:sz="0" w:space="0" w:color="auto"/>
        <w:left w:val="none" w:sz="0" w:space="0" w:color="auto"/>
        <w:bottom w:val="none" w:sz="0" w:space="0" w:color="auto"/>
        <w:right w:val="none" w:sz="0" w:space="0" w:color="auto"/>
      </w:divBdr>
    </w:div>
    <w:div w:id="1320384565">
      <w:bodyDiv w:val="1"/>
      <w:marLeft w:val="0"/>
      <w:marRight w:val="0"/>
      <w:marTop w:val="0"/>
      <w:marBottom w:val="0"/>
      <w:divBdr>
        <w:top w:val="none" w:sz="0" w:space="0" w:color="auto"/>
        <w:left w:val="none" w:sz="0" w:space="0" w:color="auto"/>
        <w:bottom w:val="none" w:sz="0" w:space="0" w:color="auto"/>
        <w:right w:val="none" w:sz="0" w:space="0" w:color="auto"/>
      </w:divBdr>
    </w:div>
    <w:div w:id="1330936962">
      <w:bodyDiv w:val="1"/>
      <w:marLeft w:val="0"/>
      <w:marRight w:val="0"/>
      <w:marTop w:val="0"/>
      <w:marBottom w:val="0"/>
      <w:divBdr>
        <w:top w:val="none" w:sz="0" w:space="0" w:color="auto"/>
        <w:left w:val="none" w:sz="0" w:space="0" w:color="auto"/>
        <w:bottom w:val="none" w:sz="0" w:space="0" w:color="auto"/>
        <w:right w:val="none" w:sz="0" w:space="0" w:color="auto"/>
      </w:divBdr>
    </w:div>
    <w:div w:id="1335838957">
      <w:bodyDiv w:val="1"/>
      <w:marLeft w:val="0"/>
      <w:marRight w:val="0"/>
      <w:marTop w:val="0"/>
      <w:marBottom w:val="0"/>
      <w:divBdr>
        <w:top w:val="none" w:sz="0" w:space="0" w:color="auto"/>
        <w:left w:val="none" w:sz="0" w:space="0" w:color="auto"/>
        <w:bottom w:val="none" w:sz="0" w:space="0" w:color="auto"/>
        <w:right w:val="none" w:sz="0" w:space="0" w:color="auto"/>
      </w:divBdr>
    </w:div>
    <w:div w:id="1395155939">
      <w:bodyDiv w:val="1"/>
      <w:marLeft w:val="0"/>
      <w:marRight w:val="0"/>
      <w:marTop w:val="0"/>
      <w:marBottom w:val="0"/>
      <w:divBdr>
        <w:top w:val="none" w:sz="0" w:space="0" w:color="auto"/>
        <w:left w:val="none" w:sz="0" w:space="0" w:color="auto"/>
        <w:bottom w:val="none" w:sz="0" w:space="0" w:color="auto"/>
        <w:right w:val="none" w:sz="0" w:space="0" w:color="auto"/>
      </w:divBdr>
    </w:div>
    <w:div w:id="1417246316">
      <w:bodyDiv w:val="1"/>
      <w:marLeft w:val="0"/>
      <w:marRight w:val="0"/>
      <w:marTop w:val="0"/>
      <w:marBottom w:val="0"/>
      <w:divBdr>
        <w:top w:val="none" w:sz="0" w:space="0" w:color="auto"/>
        <w:left w:val="none" w:sz="0" w:space="0" w:color="auto"/>
        <w:bottom w:val="none" w:sz="0" w:space="0" w:color="auto"/>
        <w:right w:val="none" w:sz="0" w:space="0" w:color="auto"/>
      </w:divBdr>
    </w:div>
    <w:div w:id="1509949772">
      <w:bodyDiv w:val="1"/>
      <w:marLeft w:val="0"/>
      <w:marRight w:val="0"/>
      <w:marTop w:val="0"/>
      <w:marBottom w:val="0"/>
      <w:divBdr>
        <w:top w:val="none" w:sz="0" w:space="0" w:color="auto"/>
        <w:left w:val="none" w:sz="0" w:space="0" w:color="auto"/>
        <w:bottom w:val="none" w:sz="0" w:space="0" w:color="auto"/>
        <w:right w:val="none" w:sz="0" w:space="0" w:color="auto"/>
      </w:divBdr>
    </w:div>
    <w:div w:id="1532645427">
      <w:bodyDiv w:val="1"/>
      <w:marLeft w:val="0"/>
      <w:marRight w:val="0"/>
      <w:marTop w:val="0"/>
      <w:marBottom w:val="0"/>
      <w:divBdr>
        <w:top w:val="none" w:sz="0" w:space="0" w:color="auto"/>
        <w:left w:val="none" w:sz="0" w:space="0" w:color="auto"/>
        <w:bottom w:val="none" w:sz="0" w:space="0" w:color="auto"/>
        <w:right w:val="none" w:sz="0" w:space="0" w:color="auto"/>
      </w:divBdr>
    </w:div>
    <w:div w:id="1652365993">
      <w:bodyDiv w:val="1"/>
      <w:marLeft w:val="0"/>
      <w:marRight w:val="0"/>
      <w:marTop w:val="0"/>
      <w:marBottom w:val="0"/>
      <w:divBdr>
        <w:top w:val="none" w:sz="0" w:space="0" w:color="auto"/>
        <w:left w:val="none" w:sz="0" w:space="0" w:color="auto"/>
        <w:bottom w:val="none" w:sz="0" w:space="0" w:color="auto"/>
        <w:right w:val="none" w:sz="0" w:space="0" w:color="auto"/>
      </w:divBdr>
    </w:div>
    <w:div w:id="1690832050">
      <w:bodyDiv w:val="1"/>
      <w:marLeft w:val="0"/>
      <w:marRight w:val="0"/>
      <w:marTop w:val="0"/>
      <w:marBottom w:val="0"/>
      <w:divBdr>
        <w:top w:val="none" w:sz="0" w:space="0" w:color="auto"/>
        <w:left w:val="none" w:sz="0" w:space="0" w:color="auto"/>
        <w:bottom w:val="none" w:sz="0" w:space="0" w:color="auto"/>
        <w:right w:val="none" w:sz="0" w:space="0" w:color="auto"/>
      </w:divBdr>
    </w:div>
    <w:div w:id="1805542268">
      <w:bodyDiv w:val="1"/>
      <w:marLeft w:val="0"/>
      <w:marRight w:val="0"/>
      <w:marTop w:val="0"/>
      <w:marBottom w:val="0"/>
      <w:divBdr>
        <w:top w:val="none" w:sz="0" w:space="0" w:color="auto"/>
        <w:left w:val="none" w:sz="0" w:space="0" w:color="auto"/>
        <w:bottom w:val="none" w:sz="0" w:space="0" w:color="auto"/>
        <w:right w:val="none" w:sz="0" w:space="0" w:color="auto"/>
      </w:divBdr>
    </w:div>
    <w:div w:id="1876967180">
      <w:bodyDiv w:val="1"/>
      <w:marLeft w:val="0"/>
      <w:marRight w:val="0"/>
      <w:marTop w:val="0"/>
      <w:marBottom w:val="0"/>
      <w:divBdr>
        <w:top w:val="none" w:sz="0" w:space="0" w:color="auto"/>
        <w:left w:val="none" w:sz="0" w:space="0" w:color="auto"/>
        <w:bottom w:val="none" w:sz="0" w:space="0" w:color="auto"/>
        <w:right w:val="none" w:sz="0" w:space="0" w:color="auto"/>
      </w:divBdr>
    </w:div>
    <w:div w:id="1879932730">
      <w:bodyDiv w:val="1"/>
      <w:marLeft w:val="0"/>
      <w:marRight w:val="0"/>
      <w:marTop w:val="0"/>
      <w:marBottom w:val="0"/>
      <w:divBdr>
        <w:top w:val="none" w:sz="0" w:space="0" w:color="auto"/>
        <w:left w:val="none" w:sz="0" w:space="0" w:color="auto"/>
        <w:bottom w:val="none" w:sz="0" w:space="0" w:color="auto"/>
        <w:right w:val="none" w:sz="0" w:space="0" w:color="auto"/>
      </w:divBdr>
    </w:div>
    <w:div w:id="1928029959">
      <w:bodyDiv w:val="1"/>
      <w:marLeft w:val="0"/>
      <w:marRight w:val="0"/>
      <w:marTop w:val="0"/>
      <w:marBottom w:val="0"/>
      <w:divBdr>
        <w:top w:val="none" w:sz="0" w:space="0" w:color="auto"/>
        <w:left w:val="none" w:sz="0" w:space="0" w:color="auto"/>
        <w:bottom w:val="none" w:sz="0" w:space="0" w:color="auto"/>
        <w:right w:val="none" w:sz="0" w:space="0" w:color="auto"/>
      </w:divBdr>
    </w:div>
    <w:div w:id="19563984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30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15</Pages>
  <Words>4537</Words>
  <Characters>26608</Characters>
  <Application>Microsoft Office Word</Application>
  <DocSecurity>0</DocSecurity>
  <Lines>435</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Emily Bhogal</cp:lastModifiedBy>
  <cp:revision>547</cp:revision>
  <cp:lastPrinted>2020-02-11T19:20:00Z</cp:lastPrinted>
  <dcterms:created xsi:type="dcterms:W3CDTF">2022-09-29T11:34:00Z</dcterms:created>
  <dcterms:modified xsi:type="dcterms:W3CDTF">2025-10-07T22:35:00Z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