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1A5CB" w14:textId="77777777" w:rsidR="00AE2AB6" w:rsidRDefault="00AE2AB6">
      <w:pPr>
        <w:spacing w:after="0" w:line="360" w:lineRule="auto"/>
        <w:contextualSpacing/>
        <w:jc w:val="center"/>
        <w:rPr>
          <w:rFonts w:ascii="Arial" w:hAnsi="Arial" w:cs="Arial"/>
          <w:b/>
          <w:bCs/>
          <w:sz w:val="22"/>
          <w:szCs w:val="22"/>
          <w:lang w:val="en-IN"/>
        </w:rPr>
      </w:pPr>
    </w:p>
    <w:p w14:paraId="5D3153C0" w14:textId="10821051" w:rsidR="00AE2AB6" w:rsidRDefault="009500DF">
      <w:pPr>
        <w:spacing w:after="0" w:line="360" w:lineRule="auto"/>
        <w:contextualSpacing/>
        <w:jc w:val="center"/>
        <w:rPr>
          <w:rFonts w:ascii="Arial" w:hAnsi="Arial" w:cs="Arial"/>
          <w:b/>
          <w:bCs/>
          <w:sz w:val="22"/>
          <w:szCs w:val="22"/>
          <w:lang w:val="en-IN"/>
        </w:rPr>
      </w:pPr>
      <w:r>
        <w:rPr>
          <w:noProof/>
        </w:rPr>
        <w:drawing>
          <wp:inline distT="0" distB="0" distL="0" distR="0" wp14:anchorId="68B8A480" wp14:editId="34427A6C">
            <wp:extent cx="5727260" cy="1379529"/>
            <wp:effectExtent l="0" t="0" r="6985" b="0"/>
            <wp:docPr id="2" name="Picture 2"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amed UK University of the Year for Teaching Qual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77227" cy="1391565"/>
                    </a:xfrm>
                    <a:prstGeom prst="rect">
                      <a:avLst/>
                    </a:prstGeom>
                    <a:noFill/>
                    <a:ln>
                      <a:noFill/>
                    </a:ln>
                  </pic:spPr>
                </pic:pic>
              </a:graphicData>
            </a:graphic>
          </wp:inline>
        </w:drawing>
      </w:r>
    </w:p>
    <w:p w14:paraId="2A813928" w14:textId="77777777" w:rsidR="00AE2AB6" w:rsidRDefault="00AE2AB6">
      <w:pPr>
        <w:spacing w:after="0" w:line="360" w:lineRule="auto"/>
        <w:contextualSpacing/>
        <w:jc w:val="center"/>
        <w:rPr>
          <w:rFonts w:ascii="Arial" w:hAnsi="Arial" w:cs="Arial"/>
          <w:b/>
          <w:bCs/>
          <w:sz w:val="22"/>
          <w:szCs w:val="22"/>
          <w:lang w:val="en-IN"/>
        </w:rPr>
      </w:pPr>
    </w:p>
    <w:p w14:paraId="09C7F01C" w14:textId="77777777" w:rsidR="00AE2AB6" w:rsidRDefault="00AE2AB6">
      <w:pPr>
        <w:spacing w:after="0" w:line="360" w:lineRule="auto"/>
        <w:contextualSpacing/>
        <w:jc w:val="center"/>
        <w:rPr>
          <w:rFonts w:ascii="Arial" w:hAnsi="Arial" w:cs="Arial"/>
          <w:b/>
          <w:bCs/>
          <w:sz w:val="22"/>
          <w:szCs w:val="22"/>
          <w:lang w:val="en-IN"/>
        </w:rPr>
      </w:pPr>
    </w:p>
    <w:p w14:paraId="4EBF9877" w14:textId="77777777" w:rsidR="00AE2AB6" w:rsidRDefault="00AE2AB6">
      <w:pPr>
        <w:spacing w:after="0" w:line="360" w:lineRule="auto"/>
        <w:contextualSpacing/>
        <w:jc w:val="center"/>
        <w:rPr>
          <w:rFonts w:ascii="Arial" w:hAnsi="Arial" w:cs="Arial"/>
          <w:b/>
          <w:bCs/>
          <w:sz w:val="22"/>
          <w:szCs w:val="22"/>
          <w:lang w:val="en-IN"/>
        </w:rPr>
      </w:pPr>
    </w:p>
    <w:p w14:paraId="15CC99BC" w14:textId="77777777" w:rsidR="00F82935" w:rsidRPr="00A06024" w:rsidRDefault="00F82935" w:rsidP="00F82935">
      <w:pPr>
        <w:spacing w:after="0" w:line="360" w:lineRule="auto"/>
        <w:contextualSpacing/>
        <w:jc w:val="center"/>
        <w:rPr>
          <w:rFonts w:ascii="Arial" w:hAnsi="Arial" w:cs="Arial"/>
          <w:b/>
          <w:bCs/>
        </w:rPr>
      </w:pPr>
      <w:r w:rsidRPr="00A06024">
        <w:rPr>
          <w:rFonts w:ascii="Arial" w:hAnsi="Arial" w:cs="Arial"/>
          <w:b/>
          <w:bCs/>
        </w:rPr>
        <w:t>Mid Staffordshire NHS Foundation Trust Scandal: A Case Study Analysis</w:t>
      </w:r>
    </w:p>
    <w:p w14:paraId="65327EBC" w14:textId="77777777" w:rsidR="00F82935" w:rsidRDefault="00F82935" w:rsidP="00F82935">
      <w:pPr>
        <w:spacing w:after="0" w:line="360" w:lineRule="auto"/>
        <w:contextualSpacing/>
        <w:rPr>
          <w:rFonts w:ascii="Arial" w:hAnsi="Arial" w:cs="Arial"/>
          <w:sz w:val="22"/>
          <w:szCs w:val="22"/>
          <w:lang w:val="en-IN"/>
        </w:rPr>
      </w:pPr>
    </w:p>
    <w:p w14:paraId="5D34F066" w14:textId="77777777" w:rsidR="00F82935" w:rsidRDefault="00F82935" w:rsidP="00F82935">
      <w:pPr>
        <w:ind w:left="720"/>
        <w:rPr>
          <w:rFonts w:ascii="Arial" w:hAnsi="Arial" w:cs="Arial"/>
          <w:sz w:val="22"/>
          <w:szCs w:val="22"/>
          <w:lang w:val="en-IN"/>
        </w:rPr>
      </w:pPr>
    </w:p>
    <w:p w14:paraId="52F76DCB" w14:textId="77777777" w:rsidR="00F82935" w:rsidRDefault="00F82935" w:rsidP="00F82935">
      <w:pPr>
        <w:ind w:left="720"/>
        <w:rPr>
          <w:rFonts w:ascii="Arial" w:hAnsi="Arial" w:cs="Arial"/>
          <w:sz w:val="22"/>
          <w:szCs w:val="22"/>
          <w:lang w:val="en-IN"/>
        </w:rPr>
      </w:pPr>
      <w:r>
        <w:rPr>
          <w:rFonts w:ascii="Arial" w:hAnsi="Arial" w:cs="Arial"/>
          <w:sz w:val="22"/>
          <w:szCs w:val="22"/>
        </w:rPr>
        <w:t>Name</w:t>
      </w:r>
      <w:r>
        <w:rPr>
          <w:rFonts w:ascii="Arial" w:hAnsi="Arial" w:cs="Arial"/>
          <w:sz w:val="22"/>
          <w:szCs w:val="22"/>
          <w:lang w:val="en-IN"/>
        </w:rPr>
        <w:t xml:space="preserve">:   </w:t>
      </w:r>
      <w:proofErr w:type="spellStart"/>
      <w:r>
        <w:rPr>
          <w:rFonts w:ascii="Arial" w:hAnsi="Arial" w:cs="Arial"/>
          <w:sz w:val="22"/>
          <w:szCs w:val="22"/>
          <w:lang w:val="en-IN"/>
        </w:rPr>
        <w:t>Krishaben</w:t>
      </w:r>
      <w:proofErr w:type="spellEnd"/>
      <w:r>
        <w:rPr>
          <w:rFonts w:ascii="Arial" w:hAnsi="Arial" w:cs="Arial"/>
          <w:sz w:val="22"/>
          <w:szCs w:val="22"/>
          <w:lang w:val="en-IN"/>
        </w:rPr>
        <w:t xml:space="preserve"> </w:t>
      </w:r>
      <w:proofErr w:type="spellStart"/>
      <w:r>
        <w:rPr>
          <w:rFonts w:ascii="Arial" w:hAnsi="Arial" w:cs="Arial"/>
          <w:sz w:val="22"/>
          <w:szCs w:val="22"/>
          <w:lang w:val="en-IN"/>
        </w:rPr>
        <w:t>Mukeshbhai</w:t>
      </w:r>
      <w:proofErr w:type="spellEnd"/>
      <w:r>
        <w:rPr>
          <w:rFonts w:ascii="Arial" w:hAnsi="Arial" w:cs="Arial"/>
          <w:sz w:val="22"/>
          <w:szCs w:val="22"/>
          <w:lang w:val="en-IN"/>
        </w:rPr>
        <w:t xml:space="preserve"> Ahir</w:t>
      </w:r>
    </w:p>
    <w:p w14:paraId="793BDE6F" w14:textId="77777777" w:rsidR="00F82935" w:rsidRDefault="00F82935" w:rsidP="00F82935">
      <w:pPr>
        <w:tabs>
          <w:tab w:val="left" w:pos="210"/>
        </w:tabs>
        <w:rPr>
          <w:b/>
          <w:bCs/>
          <w:sz w:val="32"/>
          <w:szCs w:val="32"/>
          <w:lang w:val="en-IN"/>
        </w:rPr>
      </w:pPr>
      <w:r>
        <w:rPr>
          <w:rFonts w:ascii="Arial" w:hAnsi="Arial" w:cs="Arial"/>
          <w:sz w:val="22"/>
          <w:szCs w:val="22"/>
          <w:lang w:val="en-IN"/>
        </w:rPr>
        <w:t xml:space="preserve">           Student ID:  2527055</w:t>
      </w:r>
    </w:p>
    <w:p w14:paraId="08D1326D" w14:textId="77777777" w:rsidR="00F82935" w:rsidRPr="003C179C" w:rsidRDefault="00F82935" w:rsidP="00F82935">
      <w:pPr>
        <w:tabs>
          <w:tab w:val="left" w:pos="210"/>
        </w:tabs>
        <w:rPr>
          <w:b/>
          <w:bCs/>
          <w:sz w:val="32"/>
          <w:szCs w:val="32"/>
          <w:lang w:val="en-IN"/>
        </w:rPr>
      </w:pPr>
      <w:r>
        <w:rPr>
          <w:b/>
          <w:bCs/>
          <w:sz w:val="32"/>
          <w:szCs w:val="32"/>
          <w:lang w:val="en-IN"/>
        </w:rPr>
        <w:t xml:space="preserve">        </w:t>
      </w:r>
      <w:r>
        <w:rPr>
          <w:rFonts w:ascii="Arial" w:hAnsi="Arial" w:cs="Arial"/>
          <w:sz w:val="22"/>
          <w:szCs w:val="22"/>
        </w:rPr>
        <w:t>Institution</w:t>
      </w:r>
      <w:r>
        <w:rPr>
          <w:rFonts w:ascii="Arial" w:hAnsi="Arial" w:cs="Arial"/>
          <w:sz w:val="22"/>
          <w:szCs w:val="22"/>
          <w:lang w:val="en-IN"/>
        </w:rPr>
        <w:t xml:space="preserve">:   University Of Wales Trinity Saint David </w:t>
      </w:r>
    </w:p>
    <w:p w14:paraId="5C883ADD" w14:textId="77777777" w:rsidR="00F82935" w:rsidRPr="003E753A" w:rsidRDefault="00F82935" w:rsidP="00F82935">
      <w:pPr>
        <w:ind w:left="720"/>
        <w:rPr>
          <w:rFonts w:ascii="Arial" w:hAnsi="Arial" w:cs="Arial"/>
          <w:sz w:val="22"/>
          <w:szCs w:val="22"/>
          <w:lang w:val="en-IN"/>
        </w:rPr>
      </w:pPr>
      <w:r>
        <w:rPr>
          <w:rFonts w:ascii="Arial" w:hAnsi="Arial" w:cs="Arial"/>
          <w:sz w:val="22"/>
          <w:szCs w:val="22"/>
        </w:rPr>
        <w:t>Instructor</w:t>
      </w:r>
      <w:r>
        <w:rPr>
          <w:rFonts w:ascii="Arial" w:hAnsi="Arial" w:cs="Arial"/>
          <w:sz w:val="22"/>
          <w:szCs w:val="22"/>
          <w:lang w:val="en-IN"/>
        </w:rPr>
        <w:t>:   Dr. Fahad Khan</w:t>
      </w:r>
    </w:p>
    <w:p w14:paraId="7147241F" w14:textId="77777777" w:rsidR="00F82935" w:rsidRDefault="00F82935" w:rsidP="00F82935">
      <w:pPr>
        <w:ind w:left="720"/>
        <w:rPr>
          <w:rFonts w:ascii="Arial" w:hAnsi="Arial" w:cs="Arial"/>
          <w:sz w:val="22"/>
          <w:szCs w:val="22"/>
          <w:lang w:val="en-IN"/>
        </w:rPr>
      </w:pPr>
      <w:r>
        <w:rPr>
          <w:rFonts w:ascii="Arial" w:hAnsi="Arial" w:cs="Arial"/>
          <w:sz w:val="22"/>
          <w:szCs w:val="22"/>
        </w:rPr>
        <w:t>Course</w:t>
      </w:r>
      <w:r>
        <w:rPr>
          <w:rFonts w:ascii="Arial" w:hAnsi="Arial" w:cs="Arial"/>
          <w:sz w:val="22"/>
          <w:szCs w:val="22"/>
          <w:lang w:val="en-IN"/>
        </w:rPr>
        <w:t>:   Master in Public Health and Social Care in Practice</w:t>
      </w:r>
    </w:p>
    <w:p w14:paraId="5141B26C" w14:textId="77777777" w:rsidR="00F82935" w:rsidRDefault="00F82935" w:rsidP="00F82935">
      <w:pPr>
        <w:ind w:left="720"/>
        <w:rPr>
          <w:rFonts w:ascii="Arial" w:hAnsi="Arial" w:cs="Arial"/>
          <w:sz w:val="22"/>
          <w:szCs w:val="22"/>
          <w:lang w:val="en-IN"/>
        </w:rPr>
      </w:pPr>
      <w:r>
        <w:rPr>
          <w:rFonts w:ascii="Arial" w:hAnsi="Arial" w:cs="Arial"/>
          <w:sz w:val="22"/>
          <w:szCs w:val="22"/>
          <w:lang w:val="en-IN"/>
        </w:rPr>
        <w:t>Module:   Health Care System Organisation and Leadership</w:t>
      </w:r>
    </w:p>
    <w:p w14:paraId="6066A822" w14:textId="77777777" w:rsidR="00F82935" w:rsidRPr="003E753A" w:rsidRDefault="00F82935" w:rsidP="00F82935">
      <w:pPr>
        <w:ind w:left="720"/>
        <w:rPr>
          <w:rFonts w:ascii="Arial" w:hAnsi="Arial" w:cs="Arial"/>
          <w:sz w:val="22"/>
          <w:szCs w:val="22"/>
          <w:lang w:val="en-IN"/>
        </w:rPr>
      </w:pPr>
      <w:r>
        <w:rPr>
          <w:rFonts w:ascii="Arial" w:hAnsi="Arial" w:cs="Arial"/>
          <w:sz w:val="22"/>
          <w:szCs w:val="22"/>
          <w:lang w:val="en-IN"/>
        </w:rPr>
        <w:t>Module Code:   LCHS7002</w:t>
      </w:r>
    </w:p>
    <w:p w14:paraId="5D4D0474" w14:textId="77777777" w:rsidR="00F82935" w:rsidRPr="003E753A" w:rsidRDefault="00F82935" w:rsidP="00F82935">
      <w:pPr>
        <w:ind w:left="720"/>
        <w:rPr>
          <w:rFonts w:ascii="Arial" w:hAnsi="Arial" w:cs="Arial"/>
          <w:sz w:val="22"/>
          <w:szCs w:val="22"/>
          <w:lang w:val="en-IN"/>
        </w:rPr>
      </w:pPr>
      <w:r>
        <w:rPr>
          <w:rFonts w:ascii="Arial" w:hAnsi="Arial" w:cs="Arial"/>
          <w:sz w:val="22"/>
          <w:szCs w:val="22"/>
        </w:rPr>
        <w:t>Date</w:t>
      </w:r>
      <w:r>
        <w:rPr>
          <w:rFonts w:ascii="Arial" w:hAnsi="Arial" w:cs="Arial"/>
          <w:sz w:val="22"/>
          <w:szCs w:val="22"/>
          <w:lang w:val="en-IN"/>
        </w:rPr>
        <w:t>:   27 March 2026</w:t>
      </w:r>
    </w:p>
    <w:p w14:paraId="32A49169" w14:textId="77777777" w:rsidR="00AE2AB6" w:rsidRDefault="00AE2AB6">
      <w:pPr>
        <w:spacing w:after="0" w:line="360" w:lineRule="auto"/>
        <w:contextualSpacing/>
        <w:jc w:val="center"/>
        <w:rPr>
          <w:rFonts w:ascii="Arial" w:hAnsi="Arial" w:cs="Arial"/>
          <w:b/>
          <w:bCs/>
          <w:sz w:val="22"/>
          <w:szCs w:val="22"/>
          <w:lang w:val="en-IN"/>
        </w:rPr>
      </w:pPr>
    </w:p>
    <w:p w14:paraId="22E47B82" w14:textId="77777777" w:rsidR="00AE2AB6" w:rsidRDefault="00AE2AB6">
      <w:pPr>
        <w:spacing w:after="0" w:line="360" w:lineRule="auto"/>
        <w:contextualSpacing/>
        <w:jc w:val="center"/>
        <w:rPr>
          <w:rFonts w:ascii="Arial" w:hAnsi="Arial" w:cs="Arial"/>
          <w:b/>
          <w:bCs/>
          <w:sz w:val="22"/>
          <w:szCs w:val="22"/>
          <w:lang w:val="en-IN"/>
        </w:rPr>
      </w:pPr>
    </w:p>
    <w:p w14:paraId="16FF8722" w14:textId="77777777" w:rsidR="00AE2AB6" w:rsidRDefault="00AE2AB6">
      <w:pPr>
        <w:spacing w:after="0" w:line="360" w:lineRule="auto"/>
        <w:contextualSpacing/>
        <w:jc w:val="center"/>
        <w:rPr>
          <w:rFonts w:ascii="Arial" w:hAnsi="Arial" w:cs="Arial"/>
          <w:b/>
          <w:bCs/>
          <w:sz w:val="22"/>
          <w:szCs w:val="22"/>
          <w:lang w:val="en-IN"/>
        </w:rPr>
      </w:pPr>
    </w:p>
    <w:p w14:paraId="047B8465" w14:textId="77777777" w:rsidR="00AE2AB6" w:rsidRDefault="00AE2AB6">
      <w:pPr>
        <w:spacing w:after="0" w:line="360" w:lineRule="auto"/>
        <w:contextualSpacing/>
        <w:jc w:val="center"/>
        <w:rPr>
          <w:rFonts w:ascii="Arial" w:hAnsi="Arial" w:cs="Arial"/>
          <w:b/>
          <w:bCs/>
          <w:sz w:val="22"/>
          <w:szCs w:val="22"/>
          <w:lang w:val="en-IN"/>
        </w:rPr>
      </w:pPr>
    </w:p>
    <w:p w14:paraId="49FD874A" w14:textId="77777777" w:rsidR="00AE2AB6" w:rsidRDefault="00AE2AB6">
      <w:pPr>
        <w:spacing w:after="0" w:line="360" w:lineRule="auto"/>
        <w:contextualSpacing/>
        <w:jc w:val="center"/>
        <w:rPr>
          <w:rFonts w:ascii="Arial" w:hAnsi="Arial" w:cs="Arial"/>
          <w:b/>
          <w:bCs/>
          <w:sz w:val="22"/>
          <w:szCs w:val="22"/>
          <w:lang w:val="en-IN"/>
        </w:rPr>
      </w:pPr>
    </w:p>
    <w:p w14:paraId="7E96757A" w14:textId="77777777" w:rsidR="00AE2AB6" w:rsidRDefault="00AE2AB6">
      <w:pPr>
        <w:spacing w:after="0" w:line="360" w:lineRule="auto"/>
        <w:contextualSpacing/>
        <w:jc w:val="center"/>
        <w:rPr>
          <w:rFonts w:ascii="Arial" w:hAnsi="Arial" w:cs="Arial"/>
          <w:b/>
          <w:bCs/>
          <w:sz w:val="22"/>
          <w:szCs w:val="22"/>
          <w:lang w:val="en-IN"/>
        </w:rPr>
      </w:pPr>
    </w:p>
    <w:p w14:paraId="18180A97" w14:textId="77777777" w:rsidR="00593612" w:rsidRDefault="00000000">
      <w:pPr>
        <w:rPr>
          <w:rFonts w:ascii="Arial" w:hAnsi="Arial" w:cs="Arial"/>
          <w:sz w:val="22"/>
          <w:szCs w:val="22"/>
        </w:rPr>
      </w:pPr>
      <w:r>
        <w:rPr>
          <w:rFonts w:ascii="Arial" w:hAnsi="Arial" w:cs="Arial"/>
          <w:sz w:val="22"/>
          <w:szCs w:val="22"/>
        </w:rPr>
        <w:br w:type="page"/>
      </w:r>
    </w:p>
    <w:sdt>
      <w:sdtPr>
        <w:rPr>
          <w:rFonts w:asciiTheme="minorHAnsi" w:eastAsiaTheme="minorHAnsi" w:hAnsiTheme="minorHAnsi" w:cstheme="minorBidi"/>
          <w:color w:val="auto"/>
          <w:kern w:val="2"/>
          <w:sz w:val="24"/>
          <w:szCs w:val="24"/>
          <w:lang w:val="zh-CN"/>
          <w14:ligatures w14:val="standardContextual"/>
        </w:rPr>
        <w:id w:val="904420820"/>
        <w:docPartObj>
          <w:docPartGallery w:val="Table of Contents"/>
          <w:docPartUnique/>
        </w:docPartObj>
      </w:sdtPr>
      <w:sdtEndPr>
        <w:rPr>
          <w:b/>
          <w:bCs/>
        </w:rPr>
      </w:sdtEndPr>
      <w:sdtContent>
        <w:p w14:paraId="18180A98" w14:textId="77777777" w:rsidR="00593612" w:rsidRDefault="00000000">
          <w:pPr>
            <w:pStyle w:val="TOCHeading1"/>
          </w:pPr>
          <w:r>
            <w:t>Contents</w:t>
          </w:r>
        </w:p>
        <w:p w14:paraId="18180A99" w14:textId="77777777" w:rsidR="00593612" w:rsidRDefault="00000000">
          <w:pPr>
            <w:pStyle w:val="TOC1"/>
            <w:tabs>
              <w:tab w:val="right" w:leader="dot" w:pos="9016"/>
            </w:tabs>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TOC \o "1-3" \h \z \u </w:instrText>
          </w:r>
          <w:r>
            <w:rPr>
              <w:rFonts w:ascii="Arial" w:hAnsi="Arial" w:cs="Arial"/>
              <w:sz w:val="22"/>
              <w:szCs w:val="22"/>
            </w:rPr>
            <w:fldChar w:fldCharType="separate"/>
          </w:r>
          <w:hyperlink w:anchor="_Toc225444897" w:history="1">
            <w:r>
              <w:rPr>
                <w:rStyle w:val="Hyperlink"/>
                <w:rFonts w:ascii="Arial" w:hAnsi="Arial" w:cs="Arial"/>
                <w:sz w:val="22"/>
                <w:szCs w:val="22"/>
              </w:rPr>
              <w:t>Mid Staffordshire NHS Foundation Trust Scandal: A Case Study Analysis</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_Toc225444897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3</w:t>
            </w:r>
            <w:r>
              <w:rPr>
                <w:rFonts w:ascii="Arial" w:hAnsi="Arial" w:cs="Arial"/>
                <w:sz w:val="22"/>
                <w:szCs w:val="22"/>
              </w:rPr>
              <w:fldChar w:fldCharType="end"/>
            </w:r>
          </w:hyperlink>
        </w:p>
        <w:p w14:paraId="18180A9A" w14:textId="77777777" w:rsidR="00593612" w:rsidRDefault="00000000">
          <w:pPr>
            <w:pStyle w:val="TOC1"/>
            <w:tabs>
              <w:tab w:val="right" w:leader="dot" w:pos="9016"/>
            </w:tabs>
            <w:rPr>
              <w:rFonts w:ascii="Arial" w:hAnsi="Arial" w:cs="Arial"/>
              <w:sz w:val="22"/>
              <w:szCs w:val="22"/>
            </w:rPr>
          </w:pPr>
          <w:hyperlink w:anchor="_Toc225444898" w:history="1">
            <w:r>
              <w:rPr>
                <w:rStyle w:val="Hyperlink"/>
                <w:rFonts w:ascii="Arial" w:hAnsi="Arial" w:cs="Arial"/>
                <w:sz w:val="22"/>
                <w:szCs w:val="22"/>
              </w:rPr>
              <w:t>Introduction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_Toc225444898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3</w:t>
            </w:r>
            <w:r>
              <w:rPr>
                <w:rFonts w:ascii="Arial" w:hAnsi="Arial" w:cs="Arial"/>
                <w:sz w:val="22"/>
                <w:szCs w:val="22"/>
              </w:rPr>
              <w:fldChar w:fldCharType="end"/>
            </w:r>
          </w:hyperlink>
        </w:p>
        <w:p w14:paraId="18180A9B" w14:textId="77777777" w:rsidR="00593612" w:rsidRDefault="00000000">
          <w:pPr>
            <w:pStyle w:val="TOC1"/>
            <w:tabs>
              <w:tab w:val="right" w:leader="dot" w:pos="9016"/>
            </w:tabs>
            <w:rPr>
              <w:rFonts w:ascii="Arial" w:hAnsi="Arial" w:cs="Arial"/>
              <w:sz w:val="22"/>
              <w:szCs w:val="22"/>
            </w:rPr>
          </w:pPr>
          <w:hyperlink w:anchor="_Toc225444899" w:history="1">
            <w:r>
              <w:rPr>
                <w:rStyle w:val="Hyperlink"/>
                <w:rFonts w:ascii="Arial" w:hAnsi="Arial" w:cs="Arial"/>
                <w:sz w:val="22"/>
                <w:szCs w:val="22"/>
              </w:rPr>
              <w:t>Main Body and Analysis</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_Toc225444899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3</w:t>
            </w:r>
            <w:r>
              <w:rPr>
                <w:rFonts w:ascii="Arial" w:hAnsi="Arial" w:cs="Arial"/>
                <w:sz w:val="22"/>
                <w:szCs w:val="22"/>
              </w:rPr>
              <w:fldChar w:fldCharType="end"/>
            </w:r>
          </w:hyperlink>
        </w:p>
        <w:p w14:paraId="18180A9C" w14:textId="77777777" w:rsidR="00593612" w:rsidRDefault="00000000">
          <w:pPr>
            <w:pStyle w:val="TOC2"/>
            <w:tabs>
              <w:tab w:val="right" w:leader="dot" w:pos="9016"/>
            </w:tabs>
            <w:rPr>
              <w:rFonts w:ascii="Arial" w:hAnsi="Arial" w:cs="Arial"/>
              <w:sz w:val="22"/>
              <w:szCs w:val="22"/>
            </w:rPr>
          </w:pPr>
          <w:hyperlink w:anchor="_Toc225444900" w:history="1">
            <w:r>
              <w:rPr>
                <w:rStyle w:val="Hyperlink"/>
                <w:rFonts w:ascii="Arial" w:hAnsi="Arial" w:cs="Arial"/>
                <w:sz w:val="22"/>
                <w:szCs w:val="22"/>
              </w:rPr>
              <w:t>a. Problem Identification and System Context</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_Toc225444900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3</w:t>
            </w:r>
            <w:r>
              <w:rPr>
                <w:rFonts w:ascii="Arial" w:hAnsi="Arial" w:cs="Arial"/>
                <w:sz w:val="22"/>
                <w:szCs w:val="22"/>
              </w:rPr>
              <w:fldChar w:fldCharType="end"/>
            </w:r>
          </w:hyperlink>
        </w:p>
        <w:p w14:paraId="18180A9D" w14:textId="77777777" w:rsidR="00593612" w:rsidRDefault="00000000">
          <w:pPr>
            <w:pStyle w:val="TOC3"/>
            <w:tabs>
              <w:tab w:val="right" w:leader="dot" w:pos="9016"/>
            </w:tabs>
            <w:rPr>
              <w:rFonts w:ascii="Arial" w:hAnsi="Arial" w:cs="Arial"/>
              <w:sz w:val="22"/>
              <w:szCs w:val="22"/>
            </w:rPr>
          </w:pPr>
          <w:hyperlink w:anchor="_Toc225444901" w:history="1">
            <w:r>
              <w:rPr>
                <w:rStyle w:val="Hyperlink"/>
                <w:rFonts w:ascii="Arial" w:hAnsi="Arial" w:cs="Arial"/>
                <w:sz w:val="22"/>
                <w:szCs w:val="22"/>
              </w:rPr>
              <w:t>Global and National Data</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_Toc225444901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4</w:t>
            </w:r>
            <w:r>
              <w:rPr>
                <w:rFonts w:ascii="Arial" w:hAnsi="Arial" w:cs="Arial"/>
                <w:sz w:val="22"/>
                <w:szCs w:val="22"/>
              </w:rPr>
              <w:fldChar w:fldCharType="end"/>
            </w:r>
          </w:hyperlink>
        </w:p>
        <w:p w14:paraId="18180A9E" w14:textId="77777777" w:rsidR="00593612" w:rsidRDefault="00000000">
          <w:pPr>
            <w:pStyle w:val="TOC3"/>
            <w:tabs>
              <w:tab w:val="right" w:leader="dot" w:pos="9016"/>
            </w:tabs>
            <w:rPr>
              <w:rFonts w:ascii="Arial" w:hAnsi="Arial" w:cs="Arial"/>
              <w:sz w:val="22"/>
              <w:szCs w:val="22"/>
            </w:rPr>
          </w:pPr>
          <w:hyperlink w:anchor="_Toc225444902" w:history="1">
            <w:r>
              <w:rPr>
                <w:rStyle w:val="Hyperlink"/>
                <w:rFonts w:ascii="Arial" w:hAnsi="Arial" w:cs="Arial"/>
                <w:sz w:val="22"/>
                <w:szCs w:val="22"/>
              </w:rPr>
              <w:t>Systemic Weaknesses</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_Toc225444902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5</w:t>
            </w:r>
            <w:r>
              <w:rPr>
                <w:rFonts w:ascii="Arial" w:hAnsi="Arial" w:cs="Arial"/>
                <w:sz w:val="22"/>
                <w:szCs w:val="22"/>
              </w:rPr>
              <w:fldChar w:fldCharType="end"/>
            </w:r>
          </w:hyperlink>
        </w:p>
        <w:p w14:paraId="18180A9F" w14:textId="77777777" w:rsidR="00593612" w:rsidRDefault="00000000">
          <w:pPr>
            <w:pStyle w:val="TOC3"/>
            <w:tabs>
              <w:tab w:val="right" w:leader="dot" w:pos="9016"/>
            </w:tabs>
            <w:rPr>
              <w:rFonts w:ascii="Arial" w:hAnsi="Arial" w:cs="Arial"/>
              <w:sz w:val="22"/>
              <w:szCs w:val="22"/>
            </w:rPr>
          </w:pPr>
          <w:hyperlink w:anchor="_Toc225444903" w:history="1">
            <w:r>
              <w:rPr>
                <w:rStyle w:val="Hyperlink"/>
                <w:rFonts w:ascii="Arial" w:hAnsi="Arial" w:cs="Arial"/>
                <w:sz w:val="22"/>
                <w:szCs w:val="22"/>
              </w:rPr>
              <w:t>Governance Level</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_Toc225444903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6</w:t>
            </w:r>
            <w:r>
              <w:rPr>
                <w:rFonts w:ascii="Arial" w:hAnsi="Arial" w:cs="Arial"/>
                <w:sz w:val="22"/>
                <w:szCs w:val="22"/>
              </w:rPr>
              <w:fldChar w:fldCharType="end"/>
            </w:r>
          </w:hyperlink>
        </w:p>
        <w:p w14:paraId="18180AA0" w14:textId="77777777" w:rsidR="00593612" w:rsidRDefault="00000000">
          <w:pPr>
            <w:pStyle w:val="TOC3"/>
            <w:tabs>
              <w:tab w:val="right" w:leader="dot" w:pos="9016"/>
            </w:tabs>
            <w:rPr>
              <w:rFonts w:ascii="Arial" w:hAnsi="Arial" w:cs="Arial"/>
              <w:sz w:val="22"/>
              <w:szCs w:val="22"/>
            </w:rPr>
          </w:pPr>
          <w:hyperlink w:anchor="_Toc225444904" w:history="1">
            <w:r>
              <w:rPr>
                <w:rStyle w:val="Hyperlink"/>
                <w:rFonts w:ascii="Arial" w:hAnsi="Arial" w:cs="Arial"/>
                <w:sz w:val="22"/>
                <w:szCs w:val="22"/>
              </w:rPr>
              <w:t>Rich Picture</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_Toc225444904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6</w:t>
            </w:r>
            <w:r>
              <w:rPr>
                <w:rFonts w:ascii="Arial" w:hAnsi="Arial" w:cs="Arial"/>
                <w:sz w:val="22"/>
                <w:szCs w:val="22"/>
              </w:rPr>
              <w:fldChar w:fldCharType="end"/>
            </w:r>
          </w:hyperlink>
        </w:p>
        <w:p w14:paraId="18180AA1" w14:textId="77777777" w:rsidR="00593612" w:rsidRDefault="00000000">
          <w:pPr>
            <w:pStyle w:val="TOC2"/>
            <w:tabs>
              <w:tab w:val="right" w:leader="dot" w:pos="9016"/>
            </w:tabs>
            <w:rPr>
              <w:rFonts w:ascii="Arial" w:hAnsi="Arial" w:cs="Arial"/>
              <w:sz w:val="22"/>
              <w:szCs w:val="22"/>
            </w:rPr>
          </w:pPr>
          <w:hyperlink w:anchor="_Toc225444905" w:history="1">
            <w:r>
              <w:rPr>
                <w:rStyle w:val="Hyperlink"/>
                <w:rFonts w:ascii="Arial" w:hAnsi="Arial" w:cs="Arial"/>
                <w:sz w:val="22"/>
                <w:szCs w:val="22"/>
              </w:rPr>
              <w:t>b. Decentralisation and Centralisation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_Toc225444905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7</w:t>
            </w:r>
            <w:r>
              <w:rPr>
                <w:rFonts w:ascii="Arial" w:hAnsi="Arial" w:cs="Arial"/>
                <w:sz w:val="22"/>
                <w:szCs w:val="22"/>
              </w:rPr>
              <w:fldChar w:fldCharType="end"/>
            </w:r>
          </w:hyperlink>
        </w:p>
        <w:p w14:paraId="18180AA2" w14:textId="77777777" w:rsidR="00593612" w:rsidRDefault="00000000">
          <w:pPr>
            <w:pStyle w:val="TOC3"/>
            <w:tabs>
              <w:tab w:val="right" w:leader="dot" w:pos="9016"/>
            </w:tabs>
            <w:rPr>
              <w:rFonts w:ascii="Arial" w:hAnsi="Arial" w:cs="Arial"/>
              <w:sz w:val="22"/>
              <w:szCs w:val="22"/>
            </w:rPr>
          </w:pPr>
          <w:hyperlink w:anchor="_Toc225444906" w:history="1">
            <w:r>
              <w:rPr>
                <w:rStyle w:val="Hyperlink"/>
                <w:rFonts w:ascii="Arial" w:hAnsi="Arial" w:cs="Arial"/>
                <w:sz w:val="22"/>
                <w:szCs w:val="22"/>
              </w:rPr>
              <w:t>System Type: Centralised and Decentralised Operations in the NHS</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_Toc225444906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7</w:t>
            </w:r>
            <w:r>
              <w:rPr>
                <w:rFonts w:ascii="Arial" w:hAnsi="Arial" w:cs="Arial"/>
                <w:sz w:val="22"/>
                <w:szCs w:val="22"/>
              </w:rPr>
              <w:fldChar w:fldCharType="end"/>
            </w:r>
          </w:hyperlink>
        </w:p>
        <w:p w14:paraId="18180AA3" w14:textId="77777777" w:rsidR="00593612" w:rsidRDefault="00000000">
          <w:pPr>
            <w:pStyle w:val="TOC3"/>
            <w:tabs>
              <w:tab w:val="right" w:leader="dot" w:pos="9016"/>
            </w:tabs>
            <w:rPr>
              <w:rFonts w:ascii="Arial" w:hAnsi="Arial" w:cs="Arial"/>
              <w:sz w:val="22"/>
              <w:szCs w:val="22"/>
            </w:rPr>
          </w:pPr>
          <w:hyperlink w:anchor="_Toc225444907" w:history="1">
            <w:r>
              <w:rPr>
                <w:rStyle w:val="Hyperlink"/>
                <w:rFonts w:ascii="Arial" w:hAnsi="Arial" w:cs="Arial"/>
                <w:sz w:val="22"/>
                <w:szCs w:val="22"/>
              </w:rPr>
              <w:t>Centralisation: Focus of Decision Making</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_Toc225444907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8</w:t>
            </w:r>
            <w:r>
              <w:rPr>
                <w:rFonts w:ascii="Arial" w:hAnsi="Arial" w:cs="Arial"/>
                <w:sz w:val="22"/>
                <w:szCs w:val="22"/>
              </w:rPr>
              <w:fldChar w:fldCharType="end"/>
            </w:r>
          </w:hyperlink>
        </w:p>
        <w:p w14:paraId="18180AA4" w14:textId="77777777" w:rsidR="00593612" w:rsidRDefault="00000000">
          <w:pPr>
            <w:pStyle w:val="TOC3"/>
            <w:tabs>
              <w:tab w:val="right" w:leader="dot" w:pos="9016"/>
            </w:tabs>
            <w:rPr>
              <w:rFonts w:ascii="Arial" w:hAnsi="Arial" w:cs="Arial"/>
              <w:sz w:val="22"/>
              <w:szCs w:val="22"/>
            </w:rPr>
          </w:pPr>
          <w:hyperlink w:anchor="_Toc225444908" w:history="1">
            <w:r>
              <w:rPr>
                <w:rStyle w:val="Hyperlink"/>
                <w:rFonts w:ascii="Arial" w:hAnsi="Arial" w:cs="Arial"/>
                <w:sz w:val="22"/>
                <w:szCs w:val="22"/>
              </w:rPr>
              <w:t>Decentralisation: Distribution of Power</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_Toc225444908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8</w:t>
            </w:r>
            <w:r>
              <w:rPr>
                <w:rFonts w:ascii="Arial" w:hAnsi="Arial" w:cs="Arial"/>
                <w:sz w:val="22"/>
                <w:szCs w:val="22"/>
              </w:rPr>
              <w:fldChar w:fldCharType="end"/>
            </w:r>
          </w:hyperlink>
        </w:p>
        <w:p w14:paraId="18180AA5" w14:textId="77777777" w:rsidR="00593612" w:rsidRDefault="00000000">
          <w:pPr>
            <w:pStyle w:val="TOC3"/>
            <w:tabs>
              <w:tab w:val="right" w:leader="dot" w:pos="9016"/>
            </w:tabs>
            <w:rPr>
              <w:rFonts w:ascii="Arial" w:hAnsi="Arial" w:cs="Arial"/>
              <w:sz w:val="22"/>
              <w:szCs w:val="22"/>
            </w:rPr>
          </w:pPr>
          <w:hyperlink w:anchor="_Toc225444909" w:history="1">
            <w:r>
              <w:rPr>
                <w:rStyle w:val="Hyperlink"/>
                <w:rFonts w:ascii="Arial" w:hAnsi="Arial" w:cs="Arial"/>
                <w:sz w:val="22"/>
                <w:szCs w:val="22"/>
              </w:rPr>
              <w:t>Critical Analysis: Crisis Management Centralisation and Decentralisation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_Toc225444909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9</w:t>
            </w:r>
            <w:r>
              <w:rPr>
                <w:rFonts w:ascii="Arial" w:hAnsi="Arial" w:cs="Arial"/>
                <w:sz w:val="22"/>
                <w:szCs w:val="22"/>
              </w:rPr>
              <w:fldChar w:fldCharType="end"/>
            </w:r>
          </w:hyperlink>
        </w:p>
        <w:p w14:paraId="18180AA6" w14:textId="77777777" w:rsidR="00593612" w:rsidRDefault="00000000">
          <w:pPr>
            <w:pStyle w:val="TOC2"/>
            <w:tabs>
              <w:tab w:val="right" w:leader="dot" w:pos="9016"/>
            </w:tabs>
            <w:rPr>
              <w:rFonts w:ascii="Arial" w:hAnsi="Arial" w:cs="Arial"/>
              <w:sz w:val="22"/>
              <w:szCs w:val="22"/>
            </w:rPr>
          </w:pPr>
          <w:hyperlink w:anchor="_Toc225444910" w:history="1">
            <w:r>
              <w:rPr>
                <w:rStyle w:val="Hyperlink"/>
                <w:rFonts w:ascii="Arial" w:hAnsi="Arial" w:cs="Arial"/>
                <w:sz w:val="22"/>
                <w:szCs w:val="22"/>
              </w:rPr>
              <w:t>c. Leadership Theories and Practice</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_Toc225444910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9</w:t>
            </w:r>
            <w:r>
              <w:rPr>
                <w:rFonts w:ascii="Arial" w:hAnsi="Arial" w:cs="Arial"/>
                <w:sz w:val="22"/>
                <w:szCs w:val="22"/>
              </w:rPr>
              <w:fldChar w:fldCharType="end"/>
            </w:r>
          </w:hyperlink>
        </w:p>
        <w:p w14:paraId="18180AA7" w14:textId="77777777" w:rsidR="00593612" w:rsidRDefault="00000000">
          <w:pPr>
            <w:pStyle w:val="TOC3"/>
            <w:tabs>
              <w:tab w:val="right" w:leader="dot" w:pos="9016"/>
            </w:tabs>
            <w:rPr>
              <w:rFonts w:ascii="Arial" w:hAnsi="Arial" w:cs="Arial"/>
              <w:sz w:val="22"/>
              <w:szCs w:val="22"/>
            </w:rPr>
          </w:pPr>
          <w:hyperlink w:anchor="_Toc225444911" w:history="1">
            <w:r>
              <w:rPr>
                <w:rStyle w:val="Hyperlink"/>
                <w:rFonts w:ascii="Arial" w:hAnsi="Arial" w:cs="Arial"/>
                <w:sz w:val="22"/>
                <w:szCs w:val="22"/>
              </w:rPr>
              <w:t>Leadership Theories used in the case of Mid Staffordshire</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_Toc225444911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10</w:t>
            </w:r>
            <w:r>
              <w:rPr>
                <w:rFonts w:ascii="Arial" w:hAnsi="Arial" w:cs="Arial"/>
                <w:sz w:val="22"/>
                <w:szCs w:val="22"/>
              </w:rPr>
              <w:fldChar w:fldCharType="end"/>
            </w:r>
          </w:hyperlink>
        </w:p>
        <w:p w14:paraId="18180AA8" w14:textId="77777777" w:rsidR="00593612" w:rsidRDefault="00000000">
          <w:pPr>
            <w:pStyle w:val="TOC3"/>
            <w:tabs>
              <w:tab w:val="right" w:leader="dot" w:pos="9016"/>
            </w:tabs>
            <w:rPr>
              <w:rFonts w:ascii="Arial" w:hAnsi="Arial" w:cs="Arial"/>
              <w:sz w:val="22"/>
              <w:szCs w:val="22"/>
            </w:rPr>
          </w:pPr>
          <w:hyperlink w:anchor="_Toc225444912" w:history="1">
            <w:r>
              <w:rPr>
                <w:rStyle w:val="Hyperlink"/>
                <w:rFonts w:ascii="Arial" w:hAnsi="Arial" w:cs="Arial"/>
                <w:sz w:val="22"/>
                <w:szCs w:val="22"/>
              </w:rPr>
              <w:t>Leadership Style Analysis</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_Toc225444912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11</w:t>
            </w:r>
            <w:r>
              <w:rPr>
                <w:rFonts w:ascii="Arial" w:hAnsi="Arial" w:cs="Arial"/>
                <w:sz w:val="22"/>
                <w:szCs w:val="22"/>
              </w:rPr>
              <w:fldChar w:fldCharType="end"/>
            </w:r>
          </w:hyperlink>
        </w:p>
        <w:p w14:paraId="18180AA9" w14:textId="77777777" w:rsidR="00593612" w:rsidRDefault="00000000">
          <w:pPr>
            <w:pStyle w:val="TOC3"/>
            <w:tabs>
              <w:tab w:val="right" w:leader="dot" w:pos="9016"/>
            </w:tabs>
            <w:rPr>
              <w:rFonts w:ascii="Arial" w:hAnsi="Arial" w:cs="Arial"/>
              <w:sz w:val="22"/>
              <w:szCs w:val="22"/>
            </w:rPr>
          </w:pPr>
          <w:hyperlink w:anchor="_Toc225444913" w:history="1">
            <w:r>
              <w:rPr>
                <w:rStyle w:val="Hyperlink"/>
                <w:rFonts w:ascii="Arial" w:hAnsi="Arial" w:cs="Arial"/>
                <w:sz w:val="22"/>
                <w:szCs w:val="22"/>
              </w:rPr>
              <w:t>Comparison and Improvement</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_Toc225444913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11</w:t>
            </w:r>
            <w:r>
              <w:rPr>
                <w:rFonts w:ascii="Arial" w:hAnsi="Arial" w:cs="Arial"/>
                <w:sz w:val="22"/>
                <w:szCs w:val="22"/>
              </w:rPr>
              <w:fldChar w:fldCharType="end"/>
            </w:r>
          </w:hyperlink>
        </w:p>
        <w:p w14:paraId="18180AAA" w14:textId="77777777" w:rsidR="00593612" w:rsidRDefault="00000000">
          <w:pPr>
            <w:pStyle w:val="TOC2"/>
            <w:tabs>
              <w:tab w:val="right" w:leader="dot" w:pos="9016"/>
            </w:tabs>
            <w:rPr>
              <w:rFonts w:ascii="Arial" w:hAnsi="Arial" w:cs="Arial"/>
              <w:sz w:val="22"/>
              <w:szCs w:val="22"/>
            </w:rPr>
          </w:pPr>
          <w:hyperlink w:anchor="_Toc225444914" w:history="1">
            <w:r>
              <w:rPr>
                <w:rStyle w:val="Hyperlink"/>
                <w:rFonts w:ascii="Arial" w:hAnsi="Arial" w:cs="Arial"/>
                <w:sz w:val="22"/>
                <w:szCs w:val="22"/>
              </w:rPr>
              <w:t>d. Critiques, Lessons Learned and Improvements</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_Toc225444914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11</w:t>
            </w:r>
            <w:r>
              <w:rPr>
                <w:rFonts w:ascii="Arial" w:hAnsi="Arial" w:cs="Arial"/>
                <w:sz w:val="22"/>
                <w:szCs w:val="22"/>
              </w:rPr>
              <w:fldChar w:fldCharType="end"/>
            </w:r>
          </w:hyperlink>
        </w:p>
        <w:p w14:paraId="18180AAB" w14:textId="77777777" w:rsidR="00593612" w:rsidRDefault="00000000">
          <w:pPr>
            <w:pStyle w:val="TOC1"/>
            <w:tabs>
              <w:tab w:val="right" w:leader="dot" w:pos="9016"/>
            </w:tabs>
            <w:rPr>
              <w:rFonts w:ascii="Arial" w:hAnsi="Arial" w:cs="Arial"/>
              <w:sz w:val="22"/>
              <w:szCs w:val="22"/>
            </w:rPr>
          </w:pPr>
          <w:hyperlink w:anchor="_Toc225444915" w:history="1">
            <w:r>
              <w:rPr>
                <w:rStyle w:val="Hyperlink"/>
                <w:rFonts w:ascii="Arial" w:hAnsi="Arial" w:cs="Arial"/>
                <w:sz w:val="22"/>
                <w:szCs w:val="22"/>
              </w:rPr>
              <w:t>3.Recommendations</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_Toc225444915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13</w:t>
            </w:r>
            <w:r>
              <w:rPr>
                <w:rFonts w:ascii="Arial" w:hAnsi="Arial" w:cs="Arial"/>
                <w:sz w:val="22"/>
                <w:szCs w:val="22"/>
              </w:rPr>
              <w:fldChar w:fldCharType="end"/>
            </w:r>
          </w:hyperlink>
        </w:p>
        <w:p w14:paraId="18180AAC" w14:textId="77777777" w:rsidR="00593612" w:rsidRDefault="00000000">
          <w:pPr>
            <w:pStyle w:val="TOC2"/>
            <w:tabs>
              <w:tab w:val="right" w:leader="dot" w:pos="9016"/>
            </w:tabs>
            <w:rPr>
              <w:rFonts w:ascii="Arial" w:hAnsi="Arial" w:cs="Arial"/>
              <w:sz w:val="22"/>
              <w:szCs w:val="22"/>
            </w:rPr>
          </w:pPr>
          <w:hyperlink w:anchor="_Toc225444916" w:history="1">
            <w:r>
              <w:rPr>
                <w:rStyle w:val="Hyperlink"/>
                <w:rFonts w:ascii="Arial" w:hAnsi="Arial" w:cs="Arial"/>
                <w:sz w:val="22"/>
                <w:szCs w:val="22"/>
              </w:rPr>
              <w:t>Leadership Style</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_Toc225444916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13</w:t>
            </w:r>
            <w:r>
              <w:rPr>
                <w:rFonts w:ascii="Arial" w:hAnsi="Arial" w:cs="Arial"/>
                <w:sz w:val="22"/>
                <w:szCs w:val="22"/>
              </w:rPr>
              <w:fldChar w:fldCharType="end"/>
            </w:r>
          </w:hyperlink>
        </w:p>
        <w:p w14:paraId="18180AAD" w14:textId="77777777" w:rsidR="00593612" w:rsidRDefault="00000000">
          <w:pPr>
            <w:pStyle w:val="TOC2"/>
            <w:tabs>
              <w:tab w:val="right" w:leader="dot" w:pos="9016"/>
            </w:tabs>
            <w:rPr>
              <w:rFonts w:ascii="Arial" w:hAnsi="Arial" w:cs="Arial"/>
              <w:sz w:val="22"/>
              <w:szCs w:val="22"/>
            </w:rPr>
          </w:pPr>
          <w:hyperlink w:anchor="_Toc225444917" w:history="1">
            <w:r>
              <w:rPr>
                <w:rStyle w:val="Hyperlink"/>
                <w:rFonts w:ascii="Arial" w:hAnsi="Arial" w:cs="Arial"/>
                <w:sz w:val="22"/>
                <w:szCs w:val="22"/>
              </w:rPr>
              <w:t>Governance Strengthening</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_Toc225444917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14</w:t>
            </w:r>
            <w:r>
              <w:rPr>
                <w:rFonts w:ascii="Arial" w:hAnsi="Arial" w:cs="Arial"/>
                <w:sz w:val="22"/>
                <w:szCs w:val="22"/>
              </w:rPr>
              <w:fldChar w:fldCharType="end"/>
            </w:r>
          </w:hyperlink>
        </w:p>
        <w:p w14:paraId="18180AAE" w14:textId="77777777" w:rsidR="00593612" w:rsidRDefault="00000000">
          <w:pPr>
            <w:pStyle w:val="TOC2"/>
            <w:tabs>
              <w:tab w:val="right" w:leader="dot" w:pos="9016"/>
            </w:tabs>
            <w:rPr>
              <w:rFonts w:ascii="Arial" w:hAnsi="Arial" w:cs="Arial"/>
              <w:sz w:val="22"/>
              <w:szCs w:val="22"/>
            </w:rPr>
          </w:pPr>
          <w:hyperlink w:anchor="_Toc225444918" w:history="1">
            <w:r>
              <w:rPr>
                <w:rStyle w:val="Hyperlink"/>
                <w:rFonts w:ascii="Arial" w:hAnsi="Arial" w:cs="Arial"/>
                <w:sz w:val="22"/>
                <w:szCs w:val="22"/>
              </w:rPr>
              <w:t>Enhancing Efficiency</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_Toc225444918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14</w:t>
            </w:r>
            <w:r>
              <w:rPr>
                <w:rFonts w:ascii="Arial" w:hAnsi="Arial" w:cs="Arial"/>
                <w:sz w:val="22"/>
                <w:szCs w:val="22"/>
              </w:rPr>
              <w:fldChar w:fldCharType="end"/>
            </w:r>
          </w:hyperlink>
        </w:p>
        <w:p w14:paraId="18180AAF" w14:textId="77777777" w:rsidR="00593612" w:rsidRDefault="00000000">
          <w:pPr>
            <w:pStyle w:val="TOC2"/>
            <w:tabs>
              <w:tab w:val="right" w:leader="dot" w:pos="9016"/>
            </w:tabs>
            <w:rPr>
              <w:rFonts w:ascii="Arial" w:hAnsi="Arial" w:cs="Arial"/>
              <w:sz w:val="22"/>
              <w:szCs w:val="22"/>
            </w:rPr>
          </w:pPr>
          <w:hyperlink w:anchor="_Toc225444919" w:history="1">
            <w:r>
              <w:rPr>
                <w:rStyle w:val="Hyperlink"/>
                <w:rFonts w:ascii="Arial" w:hAnsi="Arial" w:cs="Arial"/>
                <w:sz w:val="22"/>
                <w:szCs w:val="22"/>
              </w:rPr>
              <w:t>Continuous Learning</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_Toc225444919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14</w:t>
            </w:r>
            <w:r>
              <w:rPr>
                <w:rFonts w:ascii="Arial" w:hAnsi="Arial" w:cs="Arial"/>
                <w:sz w:val="22"/>
                <w:szCs w:val="22"/>
              </w:rPr>
              <w:fldChar w:fldCharType="end"/>
            </w:r>
          </w:hyperlink>
        </w:p>
        <w:p w14:paraId="18180AB0" w14:textId="77777777" w:rsidR="00593612" w:rsidRDefault="00000000">
          <w:pPr>
            <w:pStyle w:val="TOC1"/>
            <w:tabs>
              <w:tab w:val="right" w:leader="dot" w:pos="9016"/>
            </w:tabs>
            <w:rPr>
              <w:rFonts w:ascii="Arial" w:hAnsi="Arial" w:cs="Arial"/>
              <w:sz w:val="22"/>
              <w:szCs w:val="22"/>
            </w:rPr>
          </w:pPr>
          <w:hyperlink w:anchor="_Toc225444920" w:history="1">
            <w:r>
              <w:rPr>
                <w:rStyle w:val="Hyperlink"/>
                <w:rFonts w:ascii="Arial" w:hAnsi="Arial" w:cs="Arial"/>
                <w:sz w:val="22"/>
                <w:szCs w:val="22"/>
              </w:rPr>
              <w:t>4.Conclusion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_Toc225444920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15</w:t>
            </w:r>
            <w:r>
              <w:rPr>
                <w:rFonts w:ascii="Arial" w:hAnsi="Arial" w:cs="Arial"/>
                <w:sz w:val="22"/>
                <w:szCs w:val="22"/>
              </w:rPr>
              <w:fldChar w:fldCharType="end"/>
            </w:r>
          </w:hyperlink>
        </w:p>
        <w:p w14:paraId="18180AB1" w14:textId="77777777" w:rsidR="00593612" w:rsidRDefault="00000000">
          <w:pPr>
            <w:pStyle w:val="TOC1"/>
            <w:tabs>
              <w:tab w:val="right" w:leader="dot" w:pos="9016"/>
            </w:tabs>
            <w:rPr>
              <w:rFonts w:ascii="Arial" w:hAnsi="Arial" w:cs="Arial"/>
              <w:sz w:val="22"/>
              <w:szCs w:val="22"/>
            </w:rPr>
          </w:pPr>
          <w:hyperlink w:anchor="_Toc225444921" w:history="1">
            <w:r>
              <w:rPr>
                <w:rStyle w:val="Hyperlink"/>
                <w:rFonts w:ascii="Arial" w:hAnsi="Arial" w:cs="Arial"/>
                <w:sz w:val="22"/>
                <w:szCs w:val="22"/>
              </w:rPr>
              <w:t>Reference list</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_Toc225444921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16</w:t>
            </w:r>
            <w:r>
              <w:rPr>
                <w:rFonts w:ascii="Arial" w:hAnsi="Arial" w:cs="Arial"/>
                <w:sz w:val="22"/>
                <w:szCs w:val="22"/>
              </w:rPr>
              <w:fldChar w:fldCharType="end"/>
            </w:r>
          </w:hyperlink>
        </w:p>
        <w:p w14:paraId="18180AB2" w14:textId="77777777" w:rsidR="00593612" w:rsidRDefault="00000000">
          <w:r>
            <w:rPr>
              <w:rFonts w:ascii="Arial" w:hAnsi="Arial" w:cs="Arial"/>
              <w:sz w:val="22"/>
              <w:szCs w:val="22"/>
            </w:rPr>
            <w:fldChar w:fldCharType="end"/>
          </w:r>
        </w:p>
      </w:sdtContent>
    </w:sdt>
    <w:p w14:paraId="18180AB3" w14:textId="77777777" w:rsidR="00593612" w:rsidRDefault="00593612">
      <w:pPr>
        <w:spacing w:after="0" w:line="360" w:lineRule="auto"/>
        <w:contextualSpacing/>
        <w:rPr>
          <w:rFonts w:ascii="Arial" w:hAnsi="Arial" w:cs="Arial"/>
          <w:sz w:val="22"/>
          <w:szCs w:val="22"/>
        </w:rPr>
      </w:pPr>
    </w:p>
    <w:p w14:paraId="18180AB4" w14:textId="77777777" w:rsidR="00593612" w:rsidRDefault="00000000">
      <w:pPr>
        <w:rPr>
          <w:rFonts w:ascii="Arial" w:hAnsi="Arial" w:cs="Arial"/>
        </w:rPr>
      </w:pPr>
      <w:r>
        <w:rPr>
          <w:rFonts w:ascii="Arial" w:hAnsi="Arial" w:cs="Arial"/>
        </w:rPr>
        <w:br w:type="page"/>
      </w:r>
    </w:p>
    <w:p w14:paraId="18180AB5" w14:textId="77777777" w:rsidR="00593612" w:rsidRDefault="00000000">
      <w:pPr>
        <w:pStyle w:val="Heading1"/>
        <w:rPr>
          <w:rFonts w:ascii="Arial" w:hAnsi="Arial" w:cs="Arial"/>
          <w:b/>
          <w:bCs/>
          <w:color w:val="auto"/>
          <w:sz w:val="22"/>
          <w:szCs w:val="22"/>
        </w:rPr>
      </w:pPr>
      <w:bookmarkStart w:id="0" w:name="_Toc225444897"/>
      <w:r>
        <w:rPr>
          <w:rFonts w:ascii="Arial" w:hAnsi="Arial" w:cs="Arial"/>
          <w:b/>
          <w:bCs/>
          <w:color w:val="auto"/>
          <w:sz w:val="22"/>
          <w:szCs w:val="22"/>
        </w:rPr>
        <w:lastRenderedPageBreak/>
        <w:t>Mid Staffordshire NHS Foundation Trust Scandal: A Case Study Analysis</w:t>
      </w:r>
      <w:bookmarkEnd w:id="0"/>
    </w:p>
    <w:p w14:paraId="18180AB6" w14:textId="77777777" w:rsidR="00593612" w:rsidRDefault="00000000">
      <w:pPr>
        <w:pStyle w:val="Heading1"/>
        <w:rPr>
          <w:rFonts w:ascii="Arial" w:hAnsi="Arial" w:cs="Arial"/>
          <w:b/>
          <w:bCs/>
          <w:color w:val="auto"/>
          <w:sz w:val="22"/>
          <w:szCs w:val="22"/>
        </w:rPr>
      </w:pPr>
      <w:bookmarkStart w:id="1" w:name="_Toc225444898"/>
      <w:r>
        <w:rPr>
          <w:rFonts w:ascii="Arial" w:hAnsi="Arial" w:cs="Arial"/>
          <w:b/>
          <w:bCs/>
          <w:color w:val="auto"/>
          <w:sz w:val="22"/>
          <w:szCs w:val="22"/>
        </w:rPr>
        <w:t>Introduction</w:t>
      </w:r>
      <w:bookmarkEnd w:id="1"/>
    </w:p>
    <w:p w14:paraId="18180AB7" w14:textId="77777777" w:rsidR="00593612" w:rsidRDefault="00000000">
      <w:pPr>
        <w:spacing w:after="0" w:line="360" w:lineRule="auto"/>
        <w:contextualSpacing/>
        <w:jc w:val="both"/>
        <w:rPr>
          <w:rFonts w:ascii="Arial" w:hAnsi="Arial" w:cs="Arial"/>
          <w:sz w:val="22"/>
          <w:szCs w:val="22"/>
        </w:rPr>
      </w:pPr>
      <w:bookmarkStart w:id="2" w:name="_Hlk224381968"/>
      <w:r>
        <w:rPr>
          <w:rFonts w:ascii="Arial" w:hAnsi="Arial" w:cs="Arial"/>
          <w:sz w:val="22"/>
          <w:szCs w:val="22"/>
        </w:rPr>
        <w:t>Healthcare leadership plays a critical role in defining the quality and safety of care provided to patients (West et al., 2015). The example of the Mid Staffordshire NHS Foundation Trust (2005-2008) may be considered one of the most notorious cases of malpractice in leadership within the UK National Health Service (NHS) (Channel 4 News, 2013; Croner i, 2013). During this period, Stafford Hospital had witnessed a negligence of standards of care that increased the number of preventable deaths and failure of patient safety measures (Channel 4 News, 2013; Croner I, 2013). In the given case study, the systemic failures, leadership failures, and governance issues that resulted in the crisis in Mid Staffordshire can be studied to reach conclusions that can be applied to all healthcare organisations worldwide (Dixon Woods et al., 2014). Healthcare Leadership refers to the ability to advise and affect others to achieve the shared goals with the idea to deliver safe and caring care (West et al., 2015). Patient safety and organisational change management are part of effective healthcare leadership that entails motivated employees (West et al., 2015). Centralisation and decentralisation are the models of governance that affect decision-making (The King's Fund, 2022). Transformational, transactional, and situational theories of leadership have been applied in order to explain the answers to decision-making and crisis management in the Mid Staffordshire NHS Foundation Trust scandal (Dixon-Woods et al., 2014; Dekker &amp; Hugh, 2014). These consequences of healthcare failures have far-reaching effects on the type of leadership adopted in a crisis (Dekker &amp; Hugh, 2014). An open communication, a leadership approach that prioritises the safety of patients first and listens to the staff's opinions, can be applied to prevent a disaster (Alotaibi &amp; Federico, 2017; Danso &amp; Lasim, 2024). Contrarily, a poor leadership performance can also contribute to the exacerbation of the problem and system dysfunction (Dixon Woods et al., 2014). This report critically analyses the Mid Staffordshire NHS Foundation Trust scandal using systems thinking, explore the concept of centralisation or decentralisation in governance, apply theories of leadership, and suggest the recommendations for future improvements in healthcare organisations (Dekker &amp; Hugh, 2014; Dixon Woods et al., 2014).</w:t>
      </w:r>
    </w:p>
    <w:p w14:paraId="18180AB8" w14:textId="77777777" w:rsidR="00593612" w:rsidRDefault="00000000">
      <w:pPr>
        <w:pStyle w:val="Heading1"/>
        <w:rPr>
          <w:rFonts w:ascii="Arial" w:hAnsi="Arial" w:cs="Arial"/>
          <w:b/>
          <w:bCs/>
          <w:color w:val="auto"/>
          <w:sz w:val="22"/>
          <w:szCs w:val="22"/>
        </w:rPr>
      </w:pPr>
      <w:bookmarkStart w:id="3" w:name="_Toc225444899"/>
      <w:r>
        <w:rPr>
          <w:rFonts w:ascii="Arial" w:hAnsi="Arial" w:cs="Arial"/>
          <w:b/>
          <w:bCs/>
          <w:color w:val="auto"/>
          <w:sz w:val="22"/>
          <w:szCs w:val="22"/>
        </w:rPr>
        <w:t>Main Body and Analysis</w:t>
      </w:r>
      <w:bookmarkEnd w:id="3"/>
    </w:p>
    <w:p w14:paraId="18180AB9" w14:textId="77777777" w:rsidR="00593612" w:rsidRDefault="00000000">
      <w:pPr>
        <w:pStyle w:val="Heading2"/>
        <w:rPr>
          <w:rFonts w:ascii="Arial" w:hAnsi="Arial" w:cs="Arial"/>
          <w:b/>
          <w:bCs/>
          <w:color w:val="auto"/>
          <w:sz w:val="22"/>
          <w:szCs w:val="22"/>
        </w:rPr>
      </w:pPr>
      <w:bookmarkStart w:id="4" w:name="_Toc225444900"/>
      <w:r>
        <w:rPr>
          <w:rFonts w:ascii="Arial" w:hAnsi="Arial" w:cs="Arial"/>
          <w:b/>
          <w:bCs/>
          <w:color w:val="auto"/>
          <w:sz w:val="22"/>
          <w:szCs w:val="22"/>
        </w:rPr>
        <w:t>a. Problem Identification and System Context</w:t>
      </w:r>
      <w:bookmarkEnd w:id="4"/>
    </w:p>
    <w:p w14:paraId="18180ABA"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 xml:space="preserve">The example of the Mid Staffordshire NHS Foundation Trust is among the most unfortunate instances of healthcare governance and management failures (Francis, 2013; Dixon Woods et al., 2014). During the period 2005-2008, there was a systematic lack of quality care among the patients of the Stafford Hospital, which resulted in numerous avoidable deaths and substandard care (Channel 4 News, 2013; Croner-i, 2013). This crisis has been brought about </w:t>
      </w:r>
      <w:r>
        <w:rPr>
          <w:rFonts w:ascii="Arial" w:hAnsi="Arial" w:cs="Arial"/>
          <w:sz w:val="22"/>
          <w:szCs w:val="22"/>
        </w:rPr>
        <w:lastRenderedPageBreak/>
        <w:t>by a mixture of many interrelated problems, and some of them were connected to the system failures in the area of leadership, understaffing, and the focus on financial results rather than patient safety (Francis, 2013; Dixon Woods et al., 2014). It was not merely the isolated failures but a larger systemic failure of governance, accountability and organisational culture (Dixon Woods et al., 2014; Dekker &amp; Hugh, 2014).</w:t>
      </w:r>
    </w:p>
    <w:p w14:paraId="18180ABB" w14:textId="77777777" w:rsidR="00593612" w:rsidRDefault="00000000">
      <w:pPr>
        <w:pStyle w:val="Heading3"/>
        <w:rPr>
          <w:rFonts w:ascii="Arial" w:hAnsi="Arial" w:cs="Arial"/>
          <w:b/>
          <w:bCs/>
          <w:color w:val="auto"/>
          <w:sz w:val="22"/>
          <w:szCs w:val="22"/>
        </w:rPr>
      </w:pPr>
      <w:bookmarkStart w:id="5" w:name="_Toc225444901"/>
      <w:r>
        <w:rPr>
          <w:rFonts w:ascii="Arial" w:hAnsi="Arial" w:cs="Arial"/>
          <w:b/>
          <w:bCs/>
          <w:color w:val="auto"/>
          <w:sz w:val="22"/>
          <w:szCs w:val="22"/>
        </w:rPr>
        <w:t>Global and National Data</w:t>
      </w:r>
      <w:bookmarkEnd w:id="5"/>
    </w:p>
    <w:p w14:paraId="18180ABC"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The company of Mid Staffordshire is not the sole UK-based organisation that has issues (Dixon Woods et al., 2014; Kumah, 2025). The question of patient safety remains a concern on the international level, and the records by the World Health Organisation reported that every ten patients are treated in a hospital resulting in injuries (WHO, 2025). The consequences of poor care are unimaginable, as it is estimated that 134 million negative events occur annually, and they end up in 2.6 million deaths that happen all over the world (WHO, 2025). The Institute for Healthcare Improvement (IHI, 2020) claims that the third cause of death in the United States is medical errors. According to NHS England, in the UK alone, 1.8 million adverse incidents happened in hospitals in the year 2019 (Kumah, 2025), which is why the problems can be observed in healthcare systems worldwide (Kumah, 2025; Dixon Woods et al., 2014). Such statistics show that the case of the Mid Staffordshire is not an exception; it is a systemic issue within the medical industry that has to be changed as soon as possible (WHO, 2025; Dixon Woods et al., 2014). The very occurrence of medical errors, adverse events, and inaction regarding the safety concerns occurring at the international level indicates the need to review the governance of healthcare and its leaders (Dekker &amp; Hugh, 2014; Dixon Woods et al., 2014).</w:t>
      </w:r>
    </w:p>
    <w:p w14:paraId="18180ABD" w14:textId="77777777" w:rsidR="00593612" w:rsidRDefault="00000000">
      <w:pP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18180B2F" wp14:editId="18180B30">
            <wp:extent cx="6598920" cy="3337560"/>
            <wp:effectExtent l="0" t="0" r="0" b="0"/>
            <wp:docPr id="20133396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339673"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6607485" cy="3341892"/>
                    </a:xfrm>
                    <a:prstGeom prst="rect">
                      <a:avLst/>
                    </a:prstGeom>
                    <a:noFill/>
                  </pic:spPr>
                </pic:pic>
              </a:graphicData>
            </a:graphic>
          </wp:inline>
        </w:drawing>
      </w:r>
    </w:p>
    <w:p w14:paraId="18180ABE" w14:textId="77777777" w:rsidR="00593612" w:rsidRDefault="00593612">
      <w:pPr>
        <w:rPr>
          <w:rFonts w:ascii="Times New Roman" w:hAnsi="Times New Roman" w:cs="Times New Roman"/>
          <w:b/>
          <w:bCs/>
          <w:sz w:val="22"/>
          <w:szCs w:val="22"/>
        </w:rPr>
      </w:pPr>
    </w:p>
    <w:p w14:paraId="18180ABF" w14:textId="77777777" w:rsidR="00593612" w:rsidRDefault="00000000">
      <w:pPr>
        <w:pStyle w:val="Caption"/>
        <w:spacing w:after="0" w:line="360" w:lineRule="auto"/>
        <w:contextualSpacing/>
        <w:jc w:val="both"/>
        <w:rPr>
          <w:rFonts w:ascii="Arial" w:hAnsi="Arial" w:cs="Arial"/>
          <w:b/>
          <w:bCs/>
          <w:i w:val="0"/>
          <w:iCs w:val="0"/>
          <w:color w:val="auto"/>
          <w:sz w:val="28"/>
          <w:szCs w:val="28"/>
        </w:rPr>
      </w:pPr>
      <w:r>
        <w:rPr>
          <w:rFonts w:ascii="Arial" w:hAnsi="Arial" w:cs="Arial"/>
          <w:b/>
          <w:bCs/>
          <w:i w:val="0"/>
          <w:iCs w:val="0"/>
          <w:color w:val="auto"/>
          <w:sz w:val="22"/>
          <w:szCs w:val="22"/>
        </w:rPr>
        <w:t xml:space="preserve">Figure </w:t>
      </w:r>
      <w:r>
        <w:rPr>
          <w:rFonts w:ascii="Arial" w:hAnsi="Arial" w:cs="Arial"/>
          <w:b/>
          <w:bCs/>
          <w:i w:val="0"/>
          <w:iCs w:val="0"/>
          <w:color w:val="auto"/>
          <w:sz w:val="22"/>
          <w:szCs w:val="22"/>
        </w:rPr>
        <w:fldChar w:fldCharType="begin"/>
      </w:r>
      <w:r>
        <w:rPr>
          <w:rFonts w:ascii="Arial" w:hAnsi="Arial" w:cs="Arial"/>
          <w:b/>
          <w:bCs/>
          <w:i w:val="0"/>
          <w:iCs w:val="0"/>
          <w:color w:val="auto"/>
          <w:sz w:val="22"/>
          <w:szCs w:val="22"/>
        </w:rPr>
        <w:instrText xml:space="preserve"> SEQ Figure \* ARABIC </w:instrText>
      </w:r>
      <w:r>
        <w:rPr>
          <w:rFonts w:ascii="Arial" w:hAnsi="Arial" w:cs="Arial"/>
          <w:b/>
          <w:bCs/>
          <w:i w:val="0"/>
          <w:iCs w:val="0"/>
          <w:color w:val="auto"/>
          <w:sz w:val="22"/>
          <w:szCs w:val="22"/>
        </w:rPr>
        <w:fldChar w:fldCharType="separate"/>
      </w:r>
      <w:r>
        <w:rPr>
          <w:rFonts w:ascii="Arial" w:hAnsi="Arial" w:cs="Arial"/>
          <w:b/>
          <w:bCs/>
          <w:i w:val="0"/>
          <w:iCs w:val="0"/>
          <w:color w:val="auto"/>
          <w:sz w:val="22"/>
          <w:szCs w:val="22"/>
        </w:rPr>
        <w:t>1</w:t>
      </w:r>
      <w:r>
        <w:rPr>
          <w:rFonts w:ascii="Arial" w:hAnsi="Arial" w:cs="Arial"/>
          <w:b/>
          <w:bCs/>
          <w:i w:val="0"/>
          <w:iCs w:val="0"/>
          <w:color w:val="auto"/>
          <w:sz w:val="22"/>
          <w:szCs w:val="22"/>
        </w:rPr>
        <w:fldChar w:fldCharType="end"/>
      </w:r>
      <w:r>
        <w:rPr>
          <w:rFonts w:ascii="Arial" w:hAnsi="Arial" w:cs="Arial"/>
          <w:b/>
          <w:bCs/>
          <w:i w:val="0"/>
          <w:iCs w:val="0"/>
          <w:color w:val="auto"/>
          <w:sz w:val="22"/>
          <w:szCs w:val="22"/>
        </w:rPr>
        <w:t xml:space="preserve"> Global heath safety statistics</w:t>
      </w:r>
    </w:p>
    <w:p w14:paraId="18180AC0" w14:textId="77777777" w:rsidR="00593612" w:rsidRDefault="00000000">
      <w:pPr>
        <w:pStyle w:val="Heading3"/>
        <w:rPr>
          <w:rFonts w:ascii="Arial" w:hAnsi="Arial" w:cs="Arial"/>
          <w:b/>
          <w:bCs/>
          <w:color w:val="auto"/>
          <w:sz w:val="22"/>
          <w:szCs w:val="22"/>
        </w:rPr>
      </w:pPr>
      <w:bookmarkStart w:id="6" w:name="_Toc225444902"/>
      <w:r>
        <w:rPr>
          <w:rFonts w:ascii="Arial" w:hAnsi="Arial" w:cs="Arial"/>
          <w:b/>
          <w:bCs/>
          <w:color w:val="auto"/>
          <w:sz w:val="22"/>
          <w:szCs w:val="22"/>
        </w:rPr>
        <w:t>Systemic Weaknesses</w:t>
      </w:r>
      <w:bookmarkEnd w:id="6"/>
    </w:p>
    <w:p w14:paraId="18180AC1"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The approach of systemic thinking demonstrates the presence of a set of systemic problems that contributed to the Mid Staffordshire scandal (Francis, 2013; Dixon Woods et al., 2014). They include the absence of proper communication, accountability and inadequate development of the profession (Francis, 2013; Dekker &amp; Hugh, 2014).</w:t>
      </w:r>
    </w:p>
    <w:p w14:paraId="18180AC2" w14:textId="77777777" w:rsidR="00593612" w:rsidRDefault="00000000">
      <w:pPr>
        <w:spacing w:after="0" w:line="360" w:lineRule="auto"/>
        <w:contextualSpacing/>
        <w:jc w:val="both"/>
        <w:rPr>
          <w:rFonts w:ascii="Arial" w:hAnsi="Arial" w:cs="Arial"/>
          <w:sz w:val="22"/>
          <w:szCs w:val="22"/>
        </w:rPr>
      </w:pPr>
      <w:r>
        <w:rPr>
          <w:rFonts w:ascii="Arial" w:hAnsi="Arial" w:cs="Arial"/>
          <w:b/>
          <w:bCs/>
          <w:sz w:val="22"/>
          <w:szCs w:val="22"/>
        </w:rPr>
        <w:t>Ineffective Communication:</w:t>
      </w:r>
      <w:r>
        <w:rPr>
          <w:rFonts w:ascii="Arial" w:hAnsi="Arial" w:cs="Arial"/>
          <w:sz w:val="22"/>
          <w:szCs w:val="22"/>
        </w:rPr>
        <w:t xml:space="preserve"> Inability to communicate effectively at the hospital was one of the most severe system-wide issues (Francis, 2013). The interactions among the hospital departments, nurses, physicians and administrative staff were very poor (Dixon Woods et al., 2014). The concerns that frontline staff had regarding patient safety and the quality of care offered were not addressed or taken into consideration, which led to the establishment of a setting where critical matters were not supposed to be raised (Francis, 2013; Croner-I, 2013). The lack of transparency in the case of adverse events or errors reporting was another aspect of communication breakdown (Dekker &amp; Hugh, 2014). It is the Francis Inquiry that demonstrated the lack of any obvious feedback loop or system of reporting problems by the staff to the upper management or the trust board (Francis, 2013).</w:t>
      </w:r>
    </w:p>
    <w:p w14:paraId="18180AC3" w14:textId="77777777" w:rsidR="00593612" w:rsidRDefault="00000000">
      <w:pPr>
        <w:spacing w:after="0" w:line="360" w:lineRule="auto"/>
        <w:contextualSpacing/>
        <w:jc w:val="both"/>
        <w:rPr>
          <w:rFonts w:ascii="Arial" w:hAnsi="Arial" w:cs="Arial"/>
          <w:sz w:val="22"/>
          <w:szCs w:val="22"/>
        </w:rPr>
      </w:pPr>
      <w:r>
        <w:rPr>
          <w:rFonts w:ascii="Arial" w:hAnsi="Arial" w:cs="Arial"/>
          <w:b/>
          <w:bCs/>
          <w:sz w:val="22"/>
          <w:szCs w:val="22"/>
        </w:rPr>
        <w:t>Lack of Accountability:</w:t>
      </w:r>
      <w:r>
        <w:rPr>
          <w:rFonts w:ascii="Arial" w:hAnsi="Arial" w:cs="Arial"/>
          <w:sz w:val="22"/>
          <w:szCs w:val="22"/>
        </w:rPr>
        <w:t xml:space="preserve"> Lack of accountability at different levels of the organisation was the other organisational failure at Mid Staffordshire (Francis, 2013). The trust board had no role in making sure that the patients were getting poor care since they were more interested in the foundation trust status and financial targets achievement (Francis, 2013; Dixon Woods et al., 2014). The hospital management did not follow up on the numerous complaints raised by the employees and patients on safety concerns (Croner-i, 2013). The Francis Inquiry indicated that the management of Stafford Hospital chose to overlook any sign of care failures since they were more focused on its financial and operational objectives at the cost of the most significant task, patient safety (Francis, 2013).</w:t>
      </w:r>
    </w:p>
    <w:p w14:paraId="18180AC4" w14:textId="77777777" w:rsidR="00593612" w:rsidRDefault="00000000">
      <w:pPr>
        <w:spacing w:after="0" w:line="360" w:lineRule="auto"/>
        <w:contextualSpacing/>
        <w:jc w:val="both"/>
        <w:rPr>
          <w:rFonts w:ascii="Arial" w:hAnsi="Arial" w:cs="Arial"/>
          <w:sz w:val="22"/>
          <w:szCs w:val="22"/>
        </w:rPr>
      </w:pPr>
      <w:r>
        <w:rPr>
          <w:rFonts w:ascii="Arial" w:hAnsi="Arial" w:cs="Arial"/>
          <w:b/>
          <w:bCs/>
          <w:sz w:val="22"/>
          <w:szCs w:val="22"/>
        </w:rPr>
        <w:t>Lack of Professional Development:</w:t>
      </w:r>
      <w:r>
        <w:rPr>
          <w:rFonts w:ascii="Arial" w:hAnsi="Arial" w:cs="Arial"/>
          <w:sz w:val="22"/>
          <w:szCs w:val="22"/>
        </w:rPr>
        <w:t xml:space="preserve"> The other mistake was that the staff members were not professionally trained and developed (Dixon Woods et al., 2014). Professional nursing and other practitioners in the medical field were not properly trained to meet the demands of the patients (Francis, 2013). This lack of training, as well as staffing, was so high that the nurses could not even take care of patients in the period when emergency care was required (Croner-I, 2013). According to the report by the Healthcare Commission, the staffing was not on the high end, and the trust was failing to guarantee the provision of the minimum level of patient care requirements, which led to the postponement of the services needed (Croner-i, 2013; Francis, 2013).</w:t>
      </w:r>
    </w:p>
    <w:p w14:paraId="18180AC5" w14:textId="77777777" w:rsidR="00593612" w:rsidRDefault="00000000">
      <w:pPr>
        <w:pStyle w:val="Heading3"/>
        <w:rPr>
          <w:rFonts w:ascii="Arial" w:hAnsi="Arial" w:cs="Arial"/>
          <w:b/>
          <w:bCs/>
          <w:color w:val="auto"/>
          <w:sz w:val="22"/>
          <w:szCs w:val="22"/>
        </w:rPr>
      </w:pPr>
      <w:bookmarkStart w:id="7" w:name="_Toc225444903"/>
      <w:r>
        <w:rPr>
          <w:rFonts w:ascii="Arial" w:hAnsi="Arial" w:cs="Arial"/>
          <w:b/>
          <w:bCs/>
          <w:color w:val="auto"/>
          <w:sz w:val="22"/>
          <w:szCs w:val="22"/>
        </w:rPr>
        <w:lastRenderedPageBreak/>
        <w:t>Governance Level</w:t>
      </w:r>
      <w:bookmarkEnd w:id="7"/>
    </w:p>
    <w:p w14:paraId="18180AC6"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Governance failures in the scandal in the Mid Staffordshire NHS Foundation Trust occurred on both the local and national oversight levels (Dixon-Woods et al., 2014; Dyer, 2013). It was also not a priority of the Trust Board at the local level, which budgeted financial objectives and turned into a foundation trust (Dyer, 2013; Dyer, 2015). This created the distance between the leadership and frontline employees, which resulted in the decline in the quality of the care (Dixon-Woods et al., 2014). Strategic Health Authority knew about the issues in the region regarding safety, but instead of emphasising the quality of care, it duplicated the organisational goals (European Observatory, 2022; Dyer, 2013). Additionally, the national regulators were unable to recognise and respond to the crisis in a timely manner, the Care Quality Commission (Croner-i, 2013; Dyer, 2015).</w:t>
      </w:r>
    </w:p>
    <w:p w14:paraId="18180AC7" w14:textId="77777777" w:rsidR="00593612" w:rsidRDefault="00000000">
      <w:pPr>
        <w:pStyle w:val="Heading3"/>
        <w:rPr>
          <w:rFonts w:ascii="Arial" w:hAnsi="Arial" w:cs="Arial"/>
          <w:b/>
          <w:bCs/>
          <w:color w:val="auto"/>
          <w:sz w:val="22"/>
          <w:szCs w:val="22"/>
        </w:rPr>
      </w:pPr>
      <w:bookmarkStart w:id="8" w:name="_Toc225444904"/>
      <w:r>
        <w:rPr>
          <w:rFonts w:ascii="Arial" w:hAnsi="Arial" w:cs="Arial"/>
          <w:b/>
          <w:bCs/>
          <w:color w:val="auto"/>
          <w:sz w:val="22"/>
          <w:szCs w:val="22"/>
        </w:rPr>
        <w:t>Rich Picture</w:t>
      </w:r>
      <w:bookmarkEnd w:id="8"/>
    </w:p>
    <w:p w14:paraId="18180AC8"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The complexity of the system issues in the Mid Staffordshire scandal can be illustrated by the help of the rich picture diagram (Dixon Woods et al., 2014). The diagram include:</w:t>
      </w:r>
    </w:p>
    <w:p w14:paraId="18180AC9"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 xml:space="preserve">Patients, relatives, nurses, doctors, trust board members, and regulatory authorities (Dixon Woods et al., 2014). Incidence reporting, staffing process, care delivery plans, and patient feedback (Dosium, 2025; Dixon Woods et al., 2014). Organisation The NHS trust, regulators and the hospital system are arranged in a hierarchical form (Dyer, 2013; Dixon Woods et al., 2014). </w:t>
      </w:r>
      <w:r>
        <w:rPr>
          <w:rFonts w:ascii="Arial" w:hAnsi="Arial" w:cs="Arial"/>
          <w:b/>
          <w:bCs/>
          <w:sz w:val="22"/>
          <w:szCs w:val="22"/>
        </w:rPr>
        <w:t>Overridden Concerns:</w:t>
      </w:r>
      <w:r>
        <w:rPr>
          <w:rFonts w:ascii="Arial" w:hAnsi="Arial" w:cs="Arial"/>
          <w:sz w:val="22"/>
          <w:szCs w:val="22"/>
        </w:rPr>
        <w:t xml:space="preserve"> Broken feedback Loop Overridden concerns are broken feedback loops via inefficient reporting systems and disinterested employees (Dixon Woods et al., 2014; Dosium, 2025). </w:t>
      </w:r>
      <w:r>
        <w:rPr>
          <w:rFonts w:ascii="Arial" w:hAnsi="Arial" w:cs="Arial"/>
          <w:b/>
          <w:bCs/>
          <w:sz w:val="22"/>
          <w:szCs w:val="22"/>
        </w:rPr>
        <w:t>Emotions:</w:t>
      </w:r>
      <w:r>
        <w:rPr>
          <w:rFonts w:ascii="Arial" w:hAnsi="Arial" w:cs="Arial"/>
          <w:sz w:val="22"/>
          <w:szCs w:val="22"/>
        </w:rPr>
        <w:t xml:space="preserve"> The personnel are uncertain and panic-stricken, patients and their families are frustrated and feel powerless, and the trust board is denied (Dyer, 2013). This graphic representation of the relationship between these factors in relation to each other, to help them lead to the systemic failures, which allowed the Mid Staffordshire scandal to take place (Dixon Woods et al., 2014; Dyer, 2015).</w:t>
      </w:r>
    </w:p>
    <w:p w14:paraId="18180ACA" w14:textId="77777777" w:rsidR="00593612" w:rsidRDefault="00000000">
      <w:pPr>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14:anchorId="18180B31" wp14:editId="18180B32">
            <wp:extent cx="6301740" cy="3451860"/>
            <wp:effectExtent l="19050" t="0" r="22860" b="986790"/>
            <wp:docPr id="1051024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024961"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6301740" cy="345186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8180ACB" w14:textId="77777777" w:rsidR="00593612" w:rsidRDefault="00000000">
      <w:pPr>
        <w:pStyle w:val="Caption"/>
        <w:spacing w:after="0" w:line="360" w:lineRule="auto"/>
        <w:jc w:val="both"/>
        <w:rPr>
          <w:rFonts w:ascii="Arial" w:hAnsi="Arial" w:cs="Arial"/>
          <w:b/>
          <w:bCs/>
          <w:i w:val="0"/>
          <w:iCs w:val="0"/>
          <w:color w:val="auto"/>
          <w:sz w:val="22"/>
          <w:szCs w:val="22"/>
        </w:rPr>
      </w:pPr>
      <w:r>
        <w:rPr>
          <w:rFonts w:ascii="Arial" w:hAnsi="Arial" w:cs="Arial"/>
          <w:b/>
          <w:bCs/>
          <w:i w:val="0"/>
          <w:iCs w:val="0"/>
          <w:color w:val="auto"/>
          <w:sz w:val="22"/>
          <w:szCs w:val="22"/>
        </w:rPr>
        <w:t xml:space="preserve">Figure </w:t>
      </w:r>
      <w:r>
        <w:rPr>
          <w:rFonts w:ascii="Arial" w:hAnsi="Arial" w:cs="Arial"/>
          <w:b/>
          <w:bCs/>
          <w:i w:val="0"/>
          <w:iCs w:val="0"/>
          <w:color w:val="auto"/>
          <w:sz w:val="22"/>
          <w:szCs w:val="22"/>
        </w:rPr>
        <w:fldChar w:fldCharType="begin"/>
      </w:r>
      <w:r>
        <w:rPr>
          <w:rFonts w:ascii="Arial" w:hAnsi="Arial" w:cs="Arial"/>
          <w:b/>
          <w:bCs/>
          <w:i w:val="0"/>
          <w:iCs w:val="0"/>
          <w:color w:val="auto"/>
          <w:sz w:val="22"/>
          <w:szCs w:val="22"/>
        </w:rPr>
        <w:instrText xml:space="preserve"> SEQ Figure \* ARABIC </w:instrText>
      </w:r>
      <w:r>
        <w:rPr>
          <w:rFonts w:ascii="Arial" w:hAnsi="Arial" w:cs="Arial"/>
          <w:b/>
          <w:bCs/>
          <w:i w:val="0"/>
          <w:iCs w:val="0"/>
          <w:color w:val="auto"/>
          <w:sz w:val="22"/>
          <w:szCs w:val="22"/>
        </w:rPr>
        <w:fldChar w:fldCharType="separate"/>
      </w:r>
      <w:r>
        <w:rPr>
          <w:rFonts w:ascii="Arial" w:hAnsi="Arial" w:cs="Arial"/>
          <w:b/>
          <w:bCs/>
          <w:i w:val="0"/>
          <w:iCs w:val="0"/>
          <w:color w:val="auto"/>
          <w:sz w:val="22"/>
          <w:szCs w:val="22"/>
        </w:rPr>
        <w:t>2</w:t>
      </w:r>
      <w:r>
        <w:rPr>
          <w:rFonts w:ascii="Arial" w:hAnsi="Arial" w:cs="Arial"/>
          <w:b/>
          <w:bCs/>
          <w:i w:val="0"/>
          <w:iCs w:val="0"/>
          <w:color w:val="auto"/>
          <w:sz w:val="22"/>
          <w:szCs w:val="22"/>
        </w:rPr>
        <w:fldChar w:fldCharType="end"/>
      </w:r>
      <w:r>
        <w:rPr>
          <w:rFonts w:ascii="Arial" w:hAnsi="Arial" w:cs="Arial"/>
          <w:b/>
          <w:bCs/>
          <w:i w:val="0"/>
          <w:iCs w:val="0"/>
          <w:color w:val="auto"/>
          <w:sz w:val="22"/>
          <w:szCs w:val="22"/>
        </w:rPr>
        <w:t xml:space="preserve"> Systemic failures in leadership, governance, and communication at Mid Staffordshire</w:t>
      </w:r>
    </w:p>
    <w:p w14:paraId="18180ACC" w14:textId="77777777" w:rsidR="00593612" w:rsidRDefault="00000000">
      <w:pPr>
        <w:pStyle w:val="Heading2"/>
        <w:rPr>
          <w:rFonts w:ascii="Arial" w:hAnsi="Arial" w:cs="Arial"/>
          <w:b/>
          <w:bCs/>
          <w:color w:val="auto"/>
          <w:sz w:val="22"/>
          <w:szCs w:val="22"/>
        </w:rPr>
      </w:pPr>
      <w:bookmarkStart w:id="9" w:name="_Toc225444905"/>
      <w:r>
        <w:rPr>
          <w:rFonts w:ascii="Arial" w:hAnsi="Arial" w:cs="Arial"/>
          <w:b/>
          <w:bCs/>
          <w:color w:val="auto"/>
          <w:sz w:val="22"/>
          <w:szCs w:val="22"/>
        </w:rPr>
        <w:t>b. Decentralisation and Centralisation</w:t>
      </w:r>
      <w:bookmarkEnd w:id="9"/>
    </w:p>
    <w:p w14:paraId="18180ACD" w14:textId="77777777" w:rsidR="00593612" w:rsidRDefault="00000000">
      <w:pPr>
        <w:spacing w:after="0" w:line="360" w:lineRule="auto"/>
        <w:jc w:val="both"/>
        <w:rPr>
          <w:rFonts w:ascii="Arial" w:hAnsi="Arial" w:cs="Arial"/>
          <w:sz w:val="22"/>
          <w:szCs w:val="22"/>
        </w:rPr>
      </w:pPr>
      <w:r>
        <w:rPr>
          <w:rFonts w:ascii="Arial" w:hAnsi="Arial" w:cs="Arial"/>
          <w:sz w:val="22"/>
          <w:szCs w:val="22"/>
        </w:rPr>
        <w:t>Analysing the governance structure of the scandal involving the Mid Staffordshire NHS Foundation Trust, it is necessary to consider the impact of centralisation and/or decentralisation on crisis management and accountability systems (Dixon Woods et al., 2014; Dyer, 2013). The National Health Service is designed to have a hybrid structure, combining centralised control and decentralised local operations (European Observatory, 2022). However, both centralised and decentralised systems were not successful in the case of Mid Staffordshire, leading to the inability to deliver adequate care to patients, mismanagement of resources, and a lack of accountability (Dyer, 2013; Croner-I, 2013). Subsequently critical in examining the effects of both systems on the Mid Staffordshire scandal, the section assists in identifying the roles in the governance failure of the health care and in providing implications for future models of healthcare governance (Dixon Woods et al., 2014).</w:t>
      </w:r>
    </w:p>
    <w:p w14:paraId="18180ACE" w14:textId="77777777" w:rsidR="00593612" w:rsidRDefault="00000000">
      <w:pPr>
        <w:pStyle w:val="Heading3"/>
        <w:rPr>
          <w:rFonts w:ascii="Arial" w:hAnsi="Arial" w:cs="Arial"/>
          <w:b/>
          <w:bCs/>
          <w:color w:val="auto"/>
          <w:sz w:val="22"/>
          <w:szCs w:val="22"/>
        </w:rPr>
      </w:pPr>
      <w:bookmarkStart w:id="10" w:name="_Toc225444906"/>
      <w:r>
        <w:rPr>
          <w:rFonts w:ascii="Arial" w:hAnsi="Arial" w:cs="Arial"/>
          <w:b/>
          <w:bCs/>
          <w:color w:val="auto"/>
          <w:sz w:val="22"/>
          <w:szCs w:val="22"/>
        </w:rPr>
        <w:t>System Type: Centralised and Decentralised Operations in the NHS</w:t>
      </w:r>
      <w:bookmarkEnd w:id="10"/>
    </w:p>
    <w:p w14:paraId="18180ACF" w14:textId="77777777" w:rsidR="00593612" w:rsidRDefault="00000000">
      <w:pPr>
        <w:spacing w:after="0" w:line="360" w:lineRule="auto"/>
        <w:jc w:val="both"/>
        <w:rPr>
          <w:rFonts w:ascii="Arial" w:hAnsi="Arial" w:cs="Arial"/>
          <w:sz w:val="22"/>
          <w:szCs w:val="22"/>
        </w:rPr>
      </w:pPr>
      <w:r>
        <w:rPr>
          <w:rFonts w:ascii="Arial" w:hAnsi="Arial" w:cs="Arial"/>
          <w:sz w:val="22"/>
          <w:szCs w:val="22"/>
        </w:rPr>
        <w:t xml:space="preserve">The NHS is a combination of a centralised and a decentralised system (European Observatory, 2022). The government, through the Department of Health and Social Care, and </w:t>
      </w:r>
      <w:r>
        <w:rPr>
          <w:rFonts w:ascii="Arial" w:hAnsi="Arial" w:cs="Arial"/>
          <w:sz w:val="22"/>
          <w:szCs w:val="22"/>
        </w:rPr>
        <w:lastRenderedPageBreak/>
        <w:t>the regulatory agencies, through the Care Quality Commission (CQC), make decisions of primary importance for health policies, regulations, and resource allocation (Dyer, 2013). They are required to achieve care standardisation across the system and national standards, and to manage healthcare quality (Dixon Woods et al., 2014). Meanwhile, day-to-day operations of services, such as staffing decisions, resource allocation, and patient issues, are the responsibility of decentralised systems, such as Primary Care Trusts (PCTs) and local NHS organisations (European Observatory, 2022). However, the centralisation and decentralisation of both aspects of governance in Mid Staffordshire were extremely weak, contributing to the failure to deliver high-quality, safe care (Dyer, 2013; Dixon Woods et al., 2014). These failures revealed severe flaws in the hybridity of NHS governance (Dixon Woods et al., 2014).</w:t>
      </w:r>
    </w:p>
    <w:p w14:paraId="18180AD0" w14:textId="77777777" w:rsidR="00593612" w:rsidRDefault="00000000">
      <w:pPr>
        <w:pStyle w:val="Heading3"/>
        <w:rPr>
          <w:rFonts w:ascii="Arial" w:hAnsi="Arial" w:cs="Arial"/>
          <w:b/>
          <w:bCs/>
          <w:color w:val="auto"/>
          <w:sz w:val="22"/>
          <w:szCs w:val="22"/>
        </w:rPr>
      </w:pPr>
      <w:bookmarkStart w:id="11" w:name="_Toc225444907"/>
      <w:r>
        <w:rPr>
          <w:rFonts w:ascii="Arial" w:hAnsi="Arial" w:cs="Arial"/>
          <w:b/>
          <w:bCs/>
          <w:color w:val="auto"/>
          <w:sz w:val="22"/>
          <w:szCs w:val="22"/>
        </w:rPr>
        <w:t>Centralisation: Focus of Decision Making</w:t>
      </w:r>
      <w:bookmarkEnd w:id="11"/>
    </w:p>
    <w:p w14:paraId="18180AD1" w14:textId="77777777" w:rsidR="00593612" w:rsidRDefault="00000000">
      <w:pPr>
        <w:spacing w:after="0" w:line="360" w:lineRule="auto"/>
        <w:jc w:val="both"/>
        <w:rPr>
          <w:rFonts w:ascii="Arial" w:hAnsi="Arial" w:cs="Arial"/>
          <w:sz w:val="22"/>
          <w:szCs w:val="22"/>
        </w:rPr>
      </w:pPr>
      <w:r>
        <w:rPr>
          <w:rFonts w:ascii="Arial" w:hAnsi="Arial" w:cs="Arial"/>
          <w:sz w:val="22"/>
          <w:szCs w:val="22"/>
        </w:rPr>
        <w:t>Centralisation refers to the decision-making that is delegated to the higher levels of the organisation (European Observatory, 2022). General control in the scandal of Mid Staffordshire NHS Foundation Trust was insensitive to early warnings on patient safety (Dyer, 2013). The strategic Health Authority was more preoccupied with the granting of the foundation trust and financial objectives than raising the serious care matters (Dyer, 2013; Croner-I, 2013). This demonstrates that the centralised governance is critically flawed, or the bureaucratic performance measures were put in the forefront, neglecting priorities of clinical safety (Dixon-Woods et al., 2014). Furthermore, the national regulators, such as the Care Quality Commission, responded slowly to the complaints of the same situation made by patients and staff (Dyer, 2015). The case brings about the problem of failure of centralised systems based on ineffective accountability systems and low-priority safety alerts (Dixon-Woods et al., 2014; Dyer, 2015).</w:t>
      </w:r>
    </w:p>
    <w:p w14:paraId="18180AD2" w14:textId="77777777" w:rsidR="00593612" w:rsidRDefault="00000000">
      <w:pPr>
        <w:pStyle w:val="Heading3"/>
        <w:rPr>
          <w:rFonts w:ascii="Arial" w:hAnsi="Arial" w:cs="Arial"/>
          <w:b/>
          <w:bCs/>
          <w:color w:val="auto"/>
          <w:sz w:val="22"/>
          <w:szCs w:val="22"/>
        </w:rPr>
      </w:pPr>
      <w:bookmarkStart w:id="12" w:name="_Toc225444908"/>
      <w:r>
        <w:rPr>
          <w:rFonts w:ascii="Arial" w:hAnsi="Arial" w:cs="Arial"/>
          <w:b/>
          <w:bCs/>
          <w:color w:val="auto"/>
          <w:sz w:val="22"/>
          <w:szCs w:val="22"/>
        </w:rPr>
        <w:t>Decentralisation: Distribution of Power</w:t>
      </w:r>
      <w:bookmarkEnd w:id="12"/>
    </w:p>
    <w:p w14:paraId="18180AD3" w14:textId="77777777" w:rsidR="00593612" w:rsidRDefault="00000000">
      <w:pPr>
        <w:spacing w:after="0" w:line="360" w:lineRule="auto"/>
        <w:jc w:val="both"/>
        <w:rPr>
          <w:rFonts w:ascii="Arial" w:hAnsi="Arial" w:cs="Arial"/>
          <w:sz w:val="22"/>
          <w:szCs w:val="22"/>
        </w:rPr>
      </w:pPr>
      <w:r>
        <w:rPr>
          <w:rFonts w:ascii="Arial" w:hAnsi="Arial" w:cs="Arial"/>
          <w:sz w:val="22"/>
          <w:szCs w:val="22"/>
        </w:rPr>
        <w:t xml:space="preserve">The process of devolution of decisions to lower levels in an organisation is called decentralisation (European Observatory on Health Systems and Policies, 2022). The local bodies were the ones charged with the responsibility of monitoring the quality of care and the demands of patients in the case of the scandal in the Mid Staffordshire NHS Foundation Trust (Francis, 2013). However, major weaknesses of decentralisation were also present (Holmes, 2013; Francis, 2013). The restructuring of Primary Care Trusts weakened the authority over Stafford Hospital and limited the resources and power to introduce the national standards (Francis, 2013; European Observatory on Health Systems and Policies, 2022). The local accountability mechanisms and patient advocacy failed to work, and the majority of the staff members were reluctant to report on safety matters (Mannion, 2012; Francis, 2013). Consequently, the frontline issues were unable to reach the top management due to the </w:t>
      </w:r>
      <w:r>
        <w:rPr>
          <w:rFonts w:ascii="Arial" w:hAnsi="Arial" w:cs="Arial"/>
          <w:sz w:val="22"/>
          <w:szCs w:val="22"/>
        </w:rPr>
        <w:lastRenderedPageBreak/>
        <w:t>communication breakdowns, demonstrating that well-managed decentralised systems might also collapse in a crisis moment (Lynas, 2015; Newdick &amp; Danbury, 2013).</w:t>
      </w:r>
    </w:p>
    <w:p w14:paraId="18180AD4" w14:textId="77777777" w:rsidR="00593612" w:rsidRDefault="00000000">
      <w:pPr>
        <w:pStyle w:val="Heading3"/>
        <w:rPr>
          <w:rFonts w:ascii="Arial" w:hAnsi="Arial" w:cs="Arial"/>
          <w:b/>
          <w:bCs/>
          <w:color w:val="auto"/>
          <w:sz w:val="22"/>
          <w:szCs w:val="22"/>
        </w:rPr>
      </w:pPr>
      <w:bookmarkStart w:id="13" w:name="_Toc225444909"/>
      <w:r>
        <w:rPr>
          <w:rFonts w:ascii="Arial" w:hAnsi="Arial" w:cs="Arial"/>
          <w:b/>
          <w:bCs/>
          <w:color w:val="auto"/>
          <w:sz w:val="22"/>
          <w:szCs w:val="22"/>
        </w:rPr>
        <w:t>Critical Analysis: Crisis Management Centralisation and Decentralisation</w:t>
      </w:r>
      <w:bookmarkEnd w:id="13"/>
    </w:p>
    <w:p w14:paraId="18180AD5" w14:textId="77777777" w:rsidR="00593612" w:rsidRDefault="00000000">
      <w:pPr>
        <w:spacing w:after="0" w:line="360" w:lineRule="auto"/>
        <w:jc w:val="both"/>
        <w:rPr>
          <w:rFonts w:ascii="Arial" w:hAnsi="Arial" w:cs="Arial"/>
          <w:sz w:val="22"/>
          <w:szCs w:val="22"/>
        </w:rPr>
      </w:pPr>
      <w:r>
        <w:rPr>
          <w:rFonts w:ascii="Arial" w:hAnsi="Arial" w:cs="Arial"/>
          <w:sz w:val="22"/>
          <w:szCs w:val="22"/>
        </w:rPr>
        <w:t>The Mid Staffordshire crisis was caused by interactions between centralised and decentralised systems that were not functioning correctly (Francis, 2013; Holmes, 2013). A timely intervention and action at the national level were also absent due to the centralised failure. In contrast, the local one at the hospital level rendered the hospital unable to address patient safety issues on the spot (European Observatory on Health Systems and Policies, 2022; Lynas, 2015). Centralisation's strength in crisisin crisis management: When the central administrative system, such as the Strategic Health Authority (SHA), collapsed in tackling the crisis, the issues at Stafford Hospital got out of control (Francis, 2013). The SHA had the right and duty to do this, but they could not prioritise patient safety, which led to the hospital being mismanaged over the years (Holmes, 2013). This highlights the danger of centralisation whereby centralisation becomes excessive and is focused on administrative targets, including financial targets and political success, rather than patient outcomes (Newdick &amp; Danbury, 2013). The Impact of Decentralisation on Accountability: Decentralised decision-making at the local level was one of the factors contributing to the lack of accountability (European Observatory on Health Systems and Policies, 2022). The Primary Care Trusts (PCTs) were responsible for monitoring services, but they were underfunded and poorly equipped to address issues at Stafford Hospital (Francis, 2013). The absence of frontline staffing participation by decentralised organisations and whistleblowing about safety concerns allowed the organisational culture of negligence to thrive (Mannion &amp; Braithwaite, 2012). Local governance systems, such as hospital management, were unable to balance the hospital's operational needs with the moral and legal obligation to ensure patient safety (Lynas, 2015). Lastly, centralisation and decentralisation destabilised the governance system, which was likely to ensure accountability and effective supervision (Francis, 2013). The central bodies were also unable to respond to the situation, and the decentralised institutions lacked sufficient powers to address local issues and concerns (European Observatory on Health Systems and Policies, 2022). This lax structure, with no internal controls, compounded systematic failures that were acted out in the scandal (Holmes, 2013; Newdick &amp; Danbury, 2013).</w:t>
      </w:r>
    </w:p>
    <w:p w14:paraId="18180AD6" w14:textId="77777777" w:rsidR="00593612" w:rsidRDefault="00000000">
      <w:pPr>
        <w:pStyle w:val="Heading2"/>
        <w:rPr>
          <w:rFonts w:ascii="Arial" w:hAnsi="Arial" w:cs="Arial"/>
          <w:b/>
          <w:bCs/>
          <w:color w:val="auto"/>
          <w:sz w:val="22"/>
          <w:szCs w:val="22"/>
        </w:rPr>
      </w:pPr>
      <w:bookmarkStart w:id="14" w:name="_Toc225444910"/>
      <w:r>
        <w:rPr>
          <w:rFonts w:ascii="Arial" w:hAnsi="Arial" w:cs="Arial"/>
          <w:b/>
          <w:bCs/>
          <w:color w:val="auto"/>
          <w:sz w:val="22"/>
          <w:szCs w:val="22"/>
        </w:rPr>
        <w:t>c. Leadership Theories and Practice</w:t>
      </w:r>
      <w:bookmarkEnd w:id="14"/>
    </w:p>
    <w:p w14:paraId="18180AD7" w14:textId="77777777" w:rsidR="00593612" w:rsidRDefault="00000000">
      <w:pPr>
        <w:spacing w:after="0" w:line="360" w:lineRule="auto"/>
        <w:jc w:val="both"/>
        <w:rPr>
          <w:rFonts w:ascii="Arial" w:hAnsi="Arial" w:cs="Arial"/>
          <w:sz w:val="22"/>
          <w:szCs w:val="22"/>
        </w:rPr>
      </w:pPr>
      <w:r>
        <w:rPr>
          <w:rFonts w:ascii="Arial" w:hAnsi="Arial" w:cs="Arial"/>
          <w:sz w:val="22"/>
          <w:szCs w:val="22"/>
        </w:rPr>
        <w:t xml:space="preserve"> Leadership failures in the scandal at the Mid Staffordshire NHS Foundation Trust is also established, based on inefficient leadership strategies that failed to address the underlying issues and to focus on patient safety (Francis, 2013; Lynas, 2015). Based on the case study and relevant leadership theories, it is possible to identify which leadership behaviours, attitudes, and styles contributed to the crisis and what could have been done as an alternative </w:t>
      </w:r>
      <w:r>
        <w:rPr>
          <w:rFonts w:ascii="Arial" w:hAnsi="Arial" w:cs="Arial"/>
          <w:sz w:val="22"/>
          <w:szCs w:val="22"/>
        </w:rPr>
        <w:lastRenderedPageBreak/>
        <w:t>to prevent the disaster (Mannion &amp; Braithwaite, 2012). The leadership models adopted by the Trust Board and other senior managers at Stafford Hospital included a top-down, reactive approach that gave little consideration to the needs of frontline personnel and patients (Holmes, 2013).</w:t>
      </w:r>
    </w:p>
    <w:p w14:paraId="18180AD8" w14:textId="77777777" w:rsidR="00593612" w:rsidRDefault="00000000">
      <w:pPr>
        <w:pStyle w:val="Heading3"/>
        <w:jc w:val="both"/>
        <w:rPr>
          <w:rFonts w:ascii="Arial" w:hAnsi="Arial" w:cs="Arial"/>
          <w:b/>
          <w:bCs/>
          <w:color w:val="auto"/>
          <w:sz w:val="22"/>
          <w:szCs w:val="22"/>
        </w:rPr>
      </w:pPr>
      <w:bookmarkStart w:id="15" w:name="_Toc225444911"/>
      <w:r>
        <w:rPr>
          <w:rFonts w:ascii="Arial" w:hAnsi="Arial" w:cs="Arial"/>
          <w:b/>
          <w:bCs/>
          <w:color w:val="auto"/>
          <w:sz w:val="22"/>
          <w:szCs w:val="22"/>
        </w:rPr>
        <w:t>Leadership Theories used in the case of Mid Staffordshire</w:t>
      </w:r>
      <w:bookmarkEnd w:id="15"/>
    </w:p>
    <w:p w14:paraId="18180AD9" w14:textId="77777777" w:rsidR="00593612" w:rsidRDefault="00000000">
      <w:pPr>
        <w:spacing w:after="0" w:line="360" w:lineRule="auto"/>
        <w:jc w:val="both"/>
        <w:rPr>
          <w:rFonts w:ascii="Arial" w:hAnsi="Arial" w:cs="Arial"/>
          <w:sz w:val="22"/>
          <w:szCs w:val="22"/>
        </w:rPr>
      </w:pPr>
      <w:r>
        <w:rPr>
          <w:rFonts w:ascii="Arial" w:hAnsi="Arial" w:cs="Arial"/>
          <w:sz w:val="22"/>
          <w:szCs w:val="22"/>
        </w:rPr>
        <w:t>Several leadership theories could be used to explain the failures at Mid Staffordshire (Lynas, 2015). These theories indicate that leadership attitudes, based on the task, and a lack of interaction with employees and patients contribute to poor patient care, inefficiency, and neglect of the organisation (Newdick &amp; Danbury, 2013).</w:t>
      </w:r>
    </w:p>
    <w:p w14:paraId="18180ADA" w14:textId="77777777" w:rsidR="00593612" w:rsidRDefault="00000000">
      <w:pPr>
        <w:spacing w:after="0" w:line="360" w:lineRule="auto"/>
        <w:jc w:val="both"/>
        <w:rPr>
          <w:rFonts w:ascii="Arial" w:hAnsi="Arial" w:cs="Arial"/>
          <w:b/>
          <w:bCs/>
          <w:sz w:val="22"/>
          <w:szCs w:val="22"/>
        </w:rPr>
      </w:pPr>
      <w:r>
        <w:rPr>
          <w:rFonts w:ascii="Arial" w:hAnsi="Arial" w:cs="Arial"/>
          <w:b/>
          <w:bCs/>
          <w:sz w:val="22"/>
          <w:szCs w:val="22"/>
        </w:rPr>
        <w:t>Table of Leadership Theories, Application, and Supporting Evidence in the Mid Staffordshire Case</w:t>
      </w:r>
    </w:p>
    <w:tbl>
      <w:tblPr>
        <w:tblStyle w:val="TableGrid"/>
        <w:tblW w:w="0" w:type="auto"/>
        <w:tblLook w:val="04A0" w:firstRow="1" w:lastRow="0" w:firstColumn="1" w:lastColumn="0" w:noHBand="0" w:noVBand="1"/>
      </w:tblPr>
      <w:tblGrid>
        <w:gridCol w:w="2239"/>
        <w:gridCol w:w="3111"/>
        <w:gridCol w:w="3666"/>
      </w:tblGrid>
      <w:tr w:rsidR="00593612" w14:paraId="18180ADE" w14:textId="77777777">
        <w:tc>
          <w:tcPr>
            <w:tcW w:w="0" w:type="auto"/>
          </w:tcPr>
          <w:p w14:paraId="18180ADB" w14:textId="77777777" w:rsidR="00593612" w:rsidRDefault="00000000">
            <w:pPr>
              <w:spacing w:after="0" w:line="360" w:lineRule="auto"/>
              <w:contextualSpacing/>
              <w:jc w:val="both"/>
              <w:rPr>
                <w:rFonts w:ascii="Arial" w:hAnsi="Arial" w:cs="Arial"/>
                <w:b/>
                <w:bCs/>
                <w:sz w:val="22"/>
                <w:szCs w:val="22"/>
              </w:rPr>
            </w:pPr>
            <w:r>
              <w:rPr>
                <w:rFonts w:ascii="Arial" w:hAnsi="Arial" w:cs="Arial"/>
                <w:b/>
                <w:bCs/>
                <w:sz w:val="22"/>
                <w:szCs w:val="22"/>
              </w:rPr>
              <w:t>Leadership Theory</w:t>
            </w:r>
          </w:p>
        </w:tc>
        <w:tc>
          <w:tcPr>
            <w:tcW w:w="0" w:type="auto"/>
          </w:tcPr>
          <w:p w14:paraId="18180ADC" w14:textId="77777777" w:rsidR="00593612" w:rsidRDefault="00000000">
            <w:pPr>
              <w:spacing w:after="0" w:line="360" w:lineRule="auto"/>
              <w:contextualSpacing/>
              <w:jc w:val="both"/>
              <w:rPr>
                <w:rFonts w:ascii="Arial" w:hAnsi="Arial" w:cs="Arial"/>
                <w:b/>
                <w:bCs/>
                <w:sz w:val="22"/>
                <w:szCs w:val="22"/>
              </w:rPr>
            </w:pPr>
            <w:r>
              <w:rPr>
                <w:rFonts w:ascii="Arial" w:hAnsi="Arial" w:cs="Arial"/>
                <w:b/>
                <w:bCs/>
                <w:sz w:val="22"/>
                <w:szCs w:val="22"/>
              </w:rPr>
              <w:t>Application at Mid Staffordshire</w:t>
            </w:r>
          </w:p>
        </w:tc>
        <w:tc>
          <w:tcPr>
            <w:tcW w:w="0" w:type="auto"/>
          </w:tcPr>
          <w:p w14:paraId="18180ADD" w14:textId="77777777" w:rsidR="00593612" w:rsidRDefault="00000000">
            <w:pPr>
              <w:spacing w:after="0" w:line="360" w:lineRule="auto"/>
              <w:contextualSpacing/>
              <w:jc w:val="both"/>
              <w:rPr>
                <w:rFonts w:ascii="Arial" w:hAnsi="Arial" w:cs="Arial"/>
                <w:b/>
                <w:bCs/>
                <w:sz w:val="22"/>
                <w:szCs w:val="22"/>
              </w:rPr>
            </w:pPr>
            <w:r>
              <w:rPr>
                <w:rFonts w:ascii="Arial" w:hAnsi="Arial" w:cs="Arial"/>
                <w:b/>
                <w:bCs/>
                <w:sz w:val="22"/>
                <w:szCs w:val="22"/>
              </w:rPr>
              <w:t>Supporting Data / Evidence</w:t>
            </w:r>
          </w:p>
        </w:tc>
      </w:tr>
      <w:tr w:rsidR="00593612" w14:paraId="18180AE2" w14:textId="77777777">
        <w:tc>
          <w:tcPr>
            <w:tcW w:w="0" w:type="auto"/>
          </w:tcPr>
          <w:p w14:paraId="18180ADF" w14:textId="77777777" w:rsidR="00593612" w:rsidRDefault="00000000">
            <w:pPr>
              <w:spacing w:after="0" w:line="360" w:lineRule="auto"/>
              <w:contextualSpacing/>
              <w:jc w:val="both"/>
              <w:rPr>
                <w:rFonts w:ascii="Arial" w:hAnsi="Arial" w:cs="Arial"/>
                <w:sz w:val="22"/>
                <w:szCs w:val="22"/>
              </w:rPr>
            </w:pPr>
            <w:r>
              <w:rPr>
                <w:rFonts w:ascii="Arial" w:hAnsi="Arial" w:cs="Arial"/>
                <w:b/>
                <w:bCs/>
                <w:sz w:val="22"/>
                <w:szCs w:val="22"/>
              </w:rPr>
              <w:t>Behavioural Leadership Theory</w:t>
            </w:r>
          </w:p>
        </w:tc>
        <w:tc>
          <w:tcPr>
            <w:tcW w:w="0" w:type="auto"/>
          </w:tcPr>
          <w:p w14:paraId="18180AE0"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Leaders were highly task-oriented, prioritising financial and operational targets over staff welfare and patient care.</w:t>
            </w:r>
          </w:p>
        </w:tc>
        <w:tc>
          <w:tcPr>
            <w:tcW w:w="0" w:type="auto"/>
          </w:tcPr>
          <w:p w14:paraId="18180AE1"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Francis Report: elevated mortality rates (400–1,200 excess deaths between 2005–2008); staff disengagement and dissatisfaction (Francis, 2013; Newdick &amp; Danbury, 2013).</w:t>
            </w:r>
          </w:p>
        </w:tc>
      </w:tr>
      <w:tr w:rsidR="00593612" w14:paraId="18180AE6" w14:textId="77777777">
        <w:tc>
          <w:tcPr>
            <w:tcW w:w="0" w:type="auto"/>
          </w:tcPr>
          <w:p w14:paraId="18180AE3" w14:textId="77777777" w:rsidR="00593612" w:rsidRDefault="00000000">
            <w:pPr>
              <w:spacing w:after="0" w:line="360" w:lineRule="auto"/>
              <w:contextualSpacing/>
              <w:jc w:val="both"/>
              <w:rPr>
                <w:rFonts w:ascii="Arial" w:hAnsi="Arial" w:cs="Arial"/>
                <w:sz w:val="22"/>
                <w:szCs w:val="22"/>
              </w:rPr>
            </w:pPr>
            <w:r>
              <w:rPr>
                <w:rFonts w:ascii="Arial" w:hAnsi="Arial" w:cs="Arial"/>
                <w:b/>
                <w:bCs/>
                <w:sz w:val="22"/>
                <w:szCs w:val="22"/>
              </w:rPr>
              <w:t>Theory X</w:t>
            </w:r>
          </w:p>
        </w:tc>
        <w:tc>
          <w:tcPr>
            <w:tcW w:w="0" w:type="auto"/>
          </w:tcPr>
          <w:p w14:paraId="18180AE4"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Management assumed staff were lazy and needed tight supervision, disempowering employees from raising safety concerns.</w:t>
            </w:r>
          </w:p>
        </w:tc>
        <w:tc>
          <w:tcPr>
            <w:tcW w:w="0" w:type="auto"/>
          </w:tcPr>
          <w:p w14:paraId="18180AE5"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52% of staff reported fear of reporting safety issues; frontline staff excluded from decision-making (Francis, 2013; Holmes, 2013).</w:t>
            </w:r>
          </w:p>
        </w:tc>
      </w:tr>
      <w:tr w:rsidR="00593612" w14:paraId="18180AEA" w14:textId="77777777">
        <w:tc>
          <w:tcPr>
            <w:tcW w:w="0" w:type="auto"/>
          </w:tcPr>
          <w:p w14:paraId="18180AE7" w14:textId="77777777" w:rsidR="00593612" w:rsidRDefault="00000000">
            <w:pPr>
              <w:spacing w:after="0" w:line="360" w:lineRule="auto"/>
              <w:contextualSpacing/>
              <w:jc w:val="both"/>
              <w:rPr>
                <w:rFonts w:ascii="Arial" w:hAnsi="Arial" w:cs="Arial"/>
                <w:sz w:val="22"/>
                <w:szCs w:val="22"/>
              </w:rPr>
            </w:pPr>
            <w:r>
              <w:rPr>
                <w:rFonts w:ascii="Arial" w:hAnsi="Arial" w:cs="Arial"/>
                <w:b/>
                <w:bCs/>
                <w:sz w:val="22"/>
                <w:szCs w:val="22"/>
              </w:rPr>
              <w:t>Theory Y</w:t>
            </w:r>
          </w:p>
        </w:tc>
        <w:tc>
          <w:tcPr>
            <w:tcW w:w="0" w:type="auto"/>
          </w:tcPr>
          <w:p w14:paraId="18180AE8"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Not applied; could have empowered staff and encouraged initiative in patient safety improvements.</w:t>
            </w:r>
          </w:p>
        </w:tc>
        <w:tc>
          <w:tcPr>
            <w:tcW w:w="0" w:type="auto"/>
          </w:tcPr>
          <w:p w14:paraId="18180AE9"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Evidence from other healthcare settings shows self-motivated, empowered staff improve patient outcomes (Lynas, 2015).</w:t>
            </w:r>
          </w:p>
        </w:tc>
      </w:tr>
      <w:tr w:rsidR="00593612" w14:paraId="18180AEE" w14:textId="77777777">
        <w:tc>
          <w:tcPr>
            <w:tcW w:w="0" w:type="auto"/>
          </w:tcPr>
          <w:p w14:paraId="18180AEB" w14:textId="77777777" w:rsidR="00593612" w:rsidRDefault="00000000">
            <w:pPr>
              <w:spacing w:after="0" w:line="360" w:lineRule="auto"/>
              <w:contextualSpacing/>
              <w:jc w:val="both"/>
              <w:rPr>
                <w:rFonts w:ascii="Arial" w:hAnsi="Arial" w:cs="Arial"/>
                <w:sz w:val="22"/>
                <w:szCs w:val="22"/>
              </w:rPr>
            </w:pPr>
            <w:r>
              <w:rPr>
                <w:rFonts w:ascii="Arial" w:hAnsi="Arial" w:cs="Arial"/>
                <w:b/>
                <w:bCs/>
                <w:sz w:val="22"/>
                <w:szCs w:val="22"/>
              </w:rPr>
              <w:t>Tannenbaum &amp; Schmidt Continuum</w:t>
            </w:r>
          </w:p>
        </w:tc>
        <w:tc>
          <w:tcPr>
            <w:tcW w:w="0" w:type="auto"/>
          </w:tcPr>
          <w:p w14:paraId="18180AEC"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Leadership was highly autocratic, with decisions concentrated at the Trust Board and minimal staff participation.</w:t>
            </w:r>
          </w:p>
        </w:tc>
        <w:tc>
          <w:tcPr>
            <w:tcW w:w="0" w:type="auto"/>
          </w:tcPr>
          <w:p w14:paraId="18180AED"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Staff complaints and safety concerns often ignored; poor communication between management and clinical staff (Francis, 2013; Newdick &amp; Danbury, 2013).</w:t>
            </w:r>
          </w:p>
        </w:tc>
      </w:tr>
      <w:tr w:rsidR="00593612" w14:paraId="18180AF2" w14:textId="77777777">
        <w:tc>
          <w:tcPr>
            <w:tcW w:w="0" w:type="auto"/>
          </w:tcPr>
          <w:p w14:paraId="18180AEF" w14:textId="77777777" w:rsidR="00593612" w:rsidRDefault="00000000">
            <w:pPr>
              <w:spacing w:after="0" w:line="360" w:lineRule="auto"/>
              <w:contextualSpacing/>
              <w:jc w:val="both"/>
              <w:rPr>
                <w:rFonts w:ascii="Arial" w:hAnsi="Arial" w:cs="Arial"/>
                <w:sz w:val="22"/>
                <w:szCs w:val="22"/>
              </w:rPr>
            </w:pPr>
            <w:r>
              <w:rPr>
                <w:rFonts w:ascii="Arial" w:hAnsi="Arial" w:cs="Arial"/>
                <w:b/>
                <w:bCs/>
                <w:sz w:val="22"/>
                <w:szCs w:val="22"/>
              </w:rPr>
              <w:t>Transformational Leadership</w:t>
            </w:r>
          </w:p>
        </w:tc>
        <w:tc>
          <w:tcPr>
            <w:tcW w:w="0" w:type="auto"/>
          </w:tcPr>
          <w:p w14:paraId="18180AF0"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 xml:space="preserve">Not adopted; a transformational approach </w:t>
            </w:r>
            <w:r>
              <w:rPr>
                <w:rFonts w:ascii="Arial" w:hAnsi="Arial" w:cs="Arial"/>
                <w:sz w:val="22"/>
                <w:szCs w:val="22"/>
              </w:rPr>
              <w:lastRenderedPageBreak/>
              <w:t>could have inspired, motivated, and empowered staff, fostering psychological safety.</w:t>
            </w:r>
          </w:p>
        </w:tc>
        <w:tc>
          <w:tcPr>
            <w:tcW w:w="0" w:type="auto"/>
          </w:tcPr>
          <w:p w14:paraId="18180AF1"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lastRenderedPageBreak/>
              <w:t xml:space="preserve">Organisations with transformational leadership show higher staff </w:t>
            </w:r>
            <w:r>
              <w:rPr>
                <w:rFonts w:ascii="Arial" w:hAnsi="Arial" w:cs="Arial"/>
                <w:sz w:val="22"/>
                <w:szCs w:val="22"/>
              </w:rPr>
              <w:lastRenderedPageBreak/>
              <w:t>morale, better patient safety outcomes, and greater engagement (Boamah et al., 2018; West et al., 2015).</w:t>
            </w:r>
          </w:p>
        </w:tc>
      </w:tr>
    </w:tbl>
    <w:p w14:paraId="18180AF3" w14:textId="77777777" w:rsidR="00593612" w:rsidRDefault="00000000">
      <w:pPr>
        <w:pStyle w:val="Heading3"/>
        <w:jc w:val="both"/>
        <w:rPr>
          <w:rFonts w:ascii="Arial" w:hAnsi="Arial" w:cs="Arial"/>
          <w:b/>
          <w:bCs/>
          <w:color w:val="auto"/>
          <w:sz w:val="22"/>
          <w:szCs w:val="22"/>
        </w:rPr>
      </w:pPr>
      <w:bookmarkStart w:id="16" w:name="_Toc225444912"/>
      <w:r>
        <w:rPr>
          <w:rFonts w:ascii="Arial" w:hAnsi="Arial" w:cs="Arial"/>
          <w:b/>
          <w:bCs/>
          <w:color w:val="auto"/>
          <w:sz w:val="22"/>
          <w:szCs w:val="22"/>
        </w:rPr>
        <w:lastRenderedPageBreak/>
        <w:t>Leadership Style Analysis</w:t>
      </w:r>
      <w:bookmarkEnd w:id="16"/>
    </w:p>
    <w:p w14:paraId="18180AF4" w14:textId="77777777" w:rsidR="00593612" w:rsidRDefault="00000000">
      <w:pPr>
        <w:spacing w:after="0" w:line="360" w:lineRule="auto"/>
        <w:jc w:val="both"/>
        <w:rPr>
          <w:rFonts w:ascii="Arial" w:hAnsi="Arial" w:cs="Arial"/>
          <w:sz w:val="22"/>
          <w:szCs w:val="22"/>
        </w:rPr>
      </w:pPr>
      <w:r>
        <w:rPr>
          <w:rFonts w:ascii="Arial" w:hAnsi="Arial" w:cs="Arial"/>
          <w:sz w:val="22"/>
          <w:szCs w:val="22"/>
        </w:rPr>
        <w:t>The leadership at Mid Staffordshire was responsive rather than proactive, as it focused on the bureaucratic objectives such as being a foundation trust and achieving financial targets rather than the latter (Smith &amp; Chambers, 2019; Roberts, 2013). This reactive approach delayed the discovery of serious safety issues as the reputation of the institution took priority over the clinical supervision (Weinberg, 2013). It backfired: the Francis Report stated that there were between 400 and 1,200 preventable deaths between 2005 and 2008 due to poor quality care (Francis, 2013). The staff survey revealed that half of the 100 employees are not risky enough to report any issue related to safety due to the fear of the blame label on working in a punitive culture, and high turnover, sickness, and lack of engagement worsened the ability of the hospital to deliver safe care (Francis, 2013; West et al., 2015). Further, the complaints of over 2,000 patients were registered in a year, indicating that the systems have problems in communication and responsiveness at the systemic level (Roberts, 2013). As a rule, the culture of trust, openness, and continuous improvement, which is one of the main reasons behind the scandal, was not fostered by leadership (Smith &amp; Chambers, 2019).</w:t>
      </w:r>
    </w:p>
    <w:p w14:paraId="18180AF5" w14:textId="77777777" w:rsidR="00593612" w:rsidRDefault="00000000">
      <w:pPr>
        <w:pStyle w:val="Heading3"/>
        <w:rPr>
          <w:rFonts w:ascii="Arial" w:hAnsi="Arial" w:cs="Arial"/>
          <w:b/>
          <w:bCs/>
          <w:color w:val="auto"/>
          <w:sz w:val="22"/>
          <w:szCs w:val="22"/>
        </w:rPr>
      </w:pPr>
      <w:bookmarkStart w:id="17" w:name="_Toc225444913"/>
      <w:r>
        <w:rPr>
          <w:rFonts w:ascii="Arial" w:hAnsi="Arial" w:cs="Arial"/>
          <w:b/>
          <w:bCs/>
          <w:color w:val="auto"/>
          <w:sz w:val="22"/>
          <w:szCs w:val="22"/>
        </w:rPr>
        <w:t>Comparison and Improvement</w:t>
      </w:r>
      <w:bookmarkEnd w:id="17"/>
    </w:p>
    <w:p w14:paraId="18180AF6" w14:textId="77777777" w:rsidR="00593612" w:rsidRDefault="00000000">
      <w:pPr>
        <w:spacing w:after="0" w:line="360" w:lineRule="auto"/>
        <w:jc w:val="both"/>
        <w:rPr>
          <w:rFonts w:ascii="Arial" w:hAnsi="Arial" w:cs="Arial"/>
          <w:sz w:val="22"/>
          <w:szCs w:val="22"/>
        </w:rPr>
      </w:pPr>
      <w:r>
        <w:rPr>
          <w:rFonts w:ascii="Arial" w:hAnsi="Arial" w:cs="Arial"/>
          <w:sz w:val="22"/>
          <w:szCs w:val="22"/>
        </w:rPr>
        <w:t>The outcome might have been very different if the leadership at Mid Staffordshire had adopted a distributed or emotional intelligence leadership style (West et al., 2015). The distributed leadership approach would have empowered frontline employees to take ownership of the process of enhancing patient safety and facilitating collaborative decision-making and open communication between management and employees (The King Fund, 2022). Since empathy, self-awareness, and interpersonal skills are the primary concerns of emotionally intelligent leadership, communication and trust would have been improved, and staff would have felt valued and heard (West et al., 2015).</w:t>
      </w:r>
    </w:p>
    <w:p w14:paraId="18180AF7" w14:textId="77777777" w:rsidR="00593612" w:rsidRDefault="00000000">
      <w:pPr>
        <w:pStyle w:val="Heading2"/>
        <w:rPr>
          <w:rFonts w:ascii="Arial" w:hAnsi="Arial" w:cs="Arial"/>
          <w:b/>
          <w:bCs/>
          <w:color w:val="auto"/>
          <w:sz w:val="22"/>
          <w:szCs w:val="22"/>
        </w:rPr>
      </w:pPr>
      <w:bookmarkStart w:id="18" w:name="_Toc225444914"/>
      <w:r>
        <w:rPr>
          <w:rFonts w:ascii="Arial" w:hAnsi="Arial" w:cs="Arial"/>
          <w:b/>
          <w:bCs/>
          <w:color w:val="auto"/>
          <w:sz w:val="22"/>
          <w:szCs w:val="22"/>
        </w:rPr>
        <w:t>d. Critiques, Lessons Learned and Improvements</w:t>
      </w:r>
      <w:bookmarkEnd w:id="18"/>
    </w:p>
    <w:p w14:paraId="18180AF8" w14:textId="77777777" w:rsidR="00593612" w:rsidRDefault="00000000">
      <w:pPr>
        <w:spacing w:after="0" w:line="360" w:lineRule="auto"/>
        <w:jc w:val="both"/>
        <w:rPr>
          <w:rFonts w:ascii="Arial" w:hAnsi="Arial" w:cs="Arial"/>
          <w:sz w:val="22"/>
          <w:szCs w:val="22"/>
        </w:rPr>
      </w:pPr>
      <w:r>
        <w:rPr>
          <w:rFonts w:ascii="Arial" w:hAnsi="Arial" w:cs="Arial"/>
          <w:sz w:val="22"/>
          <w:szCs w:val="22"/>
        </w:rPr>
        <w:t xml:space="preserve">The Mid Staffordshire NHS Foundation Trust case was a tragic example of how failures of leadership, governance, and organisational culture can lead to catastrophic consequences in healthcare (Smith &amp; Chambers, 2019; Roberts, 2013). The scandal has revealed that several weak areas, including escalation procedures, reporting systems, and governance structures, had a direct impact on the quality of care and patient safety (Rafferty &amp; Leary, 2023). The trust leadership also played a significant role in these misfortunes, as did the absence of effective </w:t>
      </w:r>
      <w:r>
        <w:rPr>
          <w:rFonts w:ascii="Arial" w:hAnsi="Arial" w:cs="Arial"/>
          <w:sz w:val="22"/>
          <w:szCs w:val="22"/>
        </w:rPr>
        <w:lastRenderedPageBreak/>
        <w:t>governance at both the local and centralised levels (Roberts, 2013). Such inadequacies led to preventable deaths among hundreds of patients and therefore, there needed to be dramatic reforms that would ensure that there is enhanced patient safety, accountability and transparency in the healthcare organisations (Weinberg, 2013). The greatest failure in the Mid Staffordshire scandal was the leadership (Smith &amp; Chambers, 2019). The Trust Board was already fixated on meeting financial standards and becoming a foundation trust, rather than on patient safety and addressing the rising concerns of frontline employees (Roberts, 2013). The Trust Board used a leadership style that relied primarily on tasks and was autocratic, valuing administrative goals at the expense of the quality of care provided to patients (Rafferty &amp; Leary, 2023). This lack of association with the spirit of healthcare, which involves safe and caring care for patients, was compounded by a poor organisational culture, where patient complaints were not well addressed and were swept under the carpet on a routine basis (Weinberg, 2013). This created distrust between employees and the management team, and employees would not raise concerns about the unsafe practice they were witnessing (Francis, 2013).</w:t>
      </w:r>
    </w:p>
    <w:p w14:paraId="18180AF9"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This was also a primary factor contributing to the crisis at Stafford Hospital due to inadequate governance (Smith &amp; Chambers, 2019). The SHA, which had a supervisory role, failed to respond to the initial alert regarding patient safety issues (Roberts, 2013). However, the SHA also received</w:t>
      </w:r>
      <w:r>
        <w:rPr>
          <w:rFonts w:ascii="Times New Roman" w:hAnsi="Times New Roman" w:cs="Times New Roman"/>
          <w:sz w:val="22"/>
          <w:szCs w:val="22"/>
        </w:rPr>
        <w:t xml:space="preserve"> </w:t>
      </w:r>
      <w:r>
        <w:rPr>
          <w:rFonts w:ascii="Arial" w:hAnsi="Arial" w:cs="Arial"/>
          <w:sz w:val="22"/>
          <w:szCs w:val="22"/>
        </w:rPr>
        <w:t>reports on the sub-par quality of care, yet was more preoccupied with bureaucratic achievements, such as the acquisition of foundation trust status, rather than safety issues, which were becoming a growing concern (Weinberg, 2013). Such a central model of governance was not suitable because it failed to address the problems faced by staff and patients (Smith &amp; Chambers, 2019). The local-level primary care trusts (PCTs) were not sufficiently resourced to intervene and lacked the capacity to adequately monitor the hospital's activities (Francis, 2013). This negligence in follow-up led to the issues at Stafford Hospital developing out of control, resulting in preventable harm to patients (Roberts, 2013). However, centralised nor decentralised governance would ensure that patient care is the top priority (Smith &amp; Chambers, 2019).</w:t>
      </w:r>
    </w:p>
    <w:p w14:paraId="18180AFA"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 xml:space="preserve">The inability to create an environment that would prompt employees to raise concerns was one of the most significant opportunities missed in the scandal (West et al., 2015). Half of the workers who participated in the Francis Inquiry said they did not want to raise their voices to report security issues, primarily because they feared being punished (Francis, 2013). This mental instability meant that many of the issues went unreported, and unsafe behaviours were not addressed (Rafferty &amp; Leary, 2023). The active leadership approach would have promoted a non-punitive culture of openness, where employees would be free to express their concerns without fear of penalty (The King's Fund, 2022). Psychological safety is an essential part of </w:t>
      </w:r>
      <w:r>
        <w:rPr>
          <w:rFonts w:ascii="Arial" w:hAnsi="Arial" w:cs="Arial"/>
          <w:sz w:val="22"/>
          <w:szCs w:val="22"/>
        </w:rPr>
        <w:lastRenderedPageBreak/>
        <w:t>healthcare facilities, as it ensures that staff concerns are recognised and that relevant actions are taken promptly to address escalating problems (West et al., 2015).</w:t>
      </w:r>
    </w:p>
    <w:p w14:paraId="18180AFB"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The second missed opportunity was the failure to implement effective reporting systems (Stoumpos, Kitsios, and Talias, 2023). This was caused by poor reporting and arrangements, which delayed measures to address major issues (Roberts, 2013). The delay in reporting of mistakes, 40% of mistakes were reported more than 48 hours after they had happened, meant that things were left unattended and appropriate measures and corrective actions were not taken to address them (Francis, 2013). One solution that could have been used to ensure that concerns and incidents are escalated early enough was the use of digital reporting systems (Stoumpos, Kitsios, and Talias, 2023). These systems would have allowed staff to report issues swiftly and provided the administration with real-time data on patient safety issues (Stoumpos, Kitsios, and Talias, 2023). This type of system will assist healthcare organisations in ensuring that problems are addressed immediately they arise and that the risks to patient safety are minimised (Senge, 2006). Moreover, the lack of correct ruling lines and control also contributed to the worsening of the situation (Smith &amp; Chambers, 2019). A structure of accountability and responsibility would have ensured that concerns raised at the frontline would not go unnoticed and that the input would inform decision-making regarding patient care by healthcare professionals in direct contact with patients (West et al., 2015). The local and centralised levels of governance will help healthcare organisations focus on patient safety and hold staff accountable (The King's Fund, 2022).</w:t>
      </w:r>
    </w:p>
    <w:p w14:paraId="18180AFC" w14:textId="77777777" w:rsidR="00593612" w:rsidRDefault="00000000">
      <w:pPr>
        <w:pStyle w:val="Heading1"/>
        <w:jc w:val="both"/>
        <w:rPr>
          <w:rFonts w:ascii="Arial" w:hAnsi="Arial" w:cs="Arial"/>
          <w:b/>
          <w:bCs/>
          <w:color w:val="auto"/>
          <w:sz w:val="22"/>
          <w:szCs w:val="22"/>
        </w:rPr>
      </w:pPr>
      <w:bookmarkStart w:id="19" w:name="_Toc225444915"/>
      <w:r>
        <w:rPr>
          <w:rFonts w:ascii="Arial" w:hAnsi="Arial" w:cs="Arial"/>
          <w:b/>
          <w:bCs/>
          <w:color w:val="auto"/>
          <w:sz w:val="22"/>
          <w:szCs w:val="22"/>
        </w:rPr>
        <w:t>3.Recommendations</w:t>
      </w:r>
      <w:bookmarkEnd w:id="19"/>
    </w:p>
    <w:p w14:paraId="18180AFD"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To prevent such a catastrophic turn of events, as in the case of the Mid Staffordshire NHS Foundation Trust scandal, one can develop a set of recommendations (Smith &amp; Chambers, 2019; Weinberg, 2013). Such recommendations are geared to modify leadership, improve governance, make operations more efficient, and establish a culture of lifelong learning (West et al., 2015). Confidence in health infrastructure needs to be restored; this is why such transformations are required to ensure that patient safety is the priority (World Health Organisation, 2025).</w:t>
      </w:r>
    </w:p>
    <w:p w14:paraId="18180AFE" w14:textId="77777777" w:rsidR="00593612" w:rsidRDefault="00000000">
      <w:pPr>
        <w:pStyle w:val="Heading2"/>
        <w:rPr>
          <w:rFonts w:ascii="Arial" w:hAnsi="Arial" w:cs="Arial"/>
          <w:b/>
          <w:bCs/>
          <w:color w:val="auto"/>
          <w:sz w:val="22"/>
          <w:szCs w:val="22"/>
        </w:rPr>
      </w:pPr>
      <w:bookmarkStart w:id="20" w:name="_Toc225444916"/>
      <w:r>
        <w:rPr>
          <w:rFonts w:ascii="Arial" w:hAnsi="Arial" w:cs="Arial"/>
          <w:b/>
          <w:bCs/>
          <w:color w:val="auto"/>
          <w:sz w:val="22"/>
          <w:szCs w:val="22"/>
        </w:rPr>
        <w:t>Leadership Style</w:t>
      </w:r>
      <w:bookmarkEnd w:id="20"/>
    </w:p>
    <w:p w14:paraId="18180AFF"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 xml:space="preserve">The change most crucial to healthcare organisations is transformational leadership (West et al., 2015). A transformational approach is geared towards empowering and motivating workers to strive towards a shared goal; the organisation has a good culture, and workers feel valued (The King's Fund, 2022). Transformational leaders also encourage employee participation by fostering a culture of psychological safety, where employees are motivated to express their concerns and make decisions (Wong, Laschinger, and Cummings, 2018). The lack of contact </w:t>
      </w:r>
      <w:r>
        <w:rPr>
          <w:rFonts w:ascii="Arial" w:hAnsi="Arial" w:cs="Arial"/>
          <w:sz w:val="22"/>
          <w:szCs w:val="22"/>
        </w:rPr>
        <w:lastRenderedPageBreak/>
        <w:t>with frontline workers and the autocratic leadership style of the Trust Board, as seen in the case of Mid Staffordshire, were significant factors contributing to the crisis (Smith &amp; Chambers, 2019; Weinberg, 2013). With transformational leadership, healthcare organisations can establish a culture of patient-centred care as the primary goal, and all members of the healthcare system can work together to improve patient outcomes (West et al., 2015).</w:t>
      </w:r>
    </w:p>
    <w:p w14:paraId="18180B00" w14:textId="77777777" w:rsidR="00593612" w:rsidRDefault="00000000">
      <w:pPr>
        <w:pStyle w:val="Heading2"/>
        <w:rPr>
          <w:rFonts w:ascii="Arial" w:hAnsi="Arial" w:cs="Arial"/>
          <w:b/>
          <w:bCs/>
          <w:color w:val="auto"/>
          <w:sz w:val="22"/>
          <w:szCs w:val="22"/>
        </w:rPr>
      </w:pPr>
      <w:bookmarkStart w:id="21" w:name="_Toc225444917"/>
      <w:r>
        <w:rPr>
          <w:rFonts w:ascii="Arial" w:hAnsi="Arial" w:cs="Arial"/>
          <w:b/>
          <w:bCs/>
          <w:color w:val="auto"/>
          <w:sz w:val="22"/>
          <w:szCs w:val="22"/>
        </w:rPr>
        <w:t>Governance Strengthening</w:t>
      </w:r>
      <w:bookmarkEnd w:id="21"/>
    </w:p>
    <w:p w14:paraId="18180B01"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Another valuable recommendation is strengthening governance mechanisms at both centralised and decentralised levels (Smith &amp; Chambers, 2019). The centralised oversight organisations, including the Strategic Health Authority (SHA) and the Care Quality Commission (CQC), must remain vigilant regarding health care standards. However, the decentralised systems should be empowered to take decisive action at the local level (Weinberg, 2013). Appropriate accountability and responsibility should be established to ensure that staff members' concerns are addressed as quickly as possible and that critical issues are not deferred when they are escalated (West et al., 2015). Local management can introduce changes, and centralised bodies should provide effective supervision and support to ensure patient safety is not compromised (The King's Fund, 2022). A responsive and accountable system will be created through an integrated system of governance that leverages the advantages of centralisation and decentralisation (Smith &amp; Chambers, 2019).</w:t>
      </w:r>
    </w:p>
    <w:p w14:paraId="18180B02" w14:textId="77777777" w:rsidR="00593612" w:rsidRDefault="00000000">
      <w:pPr>
        <w:pStyle w:val="Heading2"/>
        <w:rPr>
          <w:rFonts w:ascii="Arial" w:hAnsi="Arial" w:cs="Arial"/>
          <w:b/>
          <w:bCs/>
          <w:color w:val="auto"/>
          <w:sz w:val="22"/>
          <w:szCs w:val="22"/>
        </w:rPr>
      </w:pPr>
      <w:bookmarkStart w:id="22" w:name="_Toc225444918"/>
      <w:r>
        <w:rPr>
          <w:rFonts w:ascii="Arial" w:hAnsi="Arial" w:cs="Arial"/>
          <w:b/>
          <w:bCs/>
          <w:color w:val="auto"/>
          <w:sz w:val="22"/>
          <w:szCs w:val="22"/>
        </w:rPr>
        <w:t>Enhancing Efficiency</w:t>
      </w:r>
      <w:bookmarkEnd w:id="22"/>
    </w:p>
    <w:p w14:paraId="18180B03"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The performance of running processes in healthcare also requires improvement to avoid failures witnessed in the case of Mid Staffordshire (Weinberg, 2013). One of the most problematic issues at Stafford Hospital, which directly contributed to the absence of appropriate patient care, was poor staffing (Smith &amp; Chambers, 2019). The solution to this problem should be the implementation of evidence-based staffing tools that ensure adequate nurse-to-patient ratios to deliver safe care (West et al., 2015). These tools help companies balance staff numbers and patient severity, and ensure there are qualified specialists to meet patients' needs (The King's Fund, 2022). Healthcare organisations can improve the quality of care and patient safety by making staffing more effective, training and supporting staff effectively, and imparting the required knowledge and skills (World Health Organisation, 2025).</w:t>
      </w:r>
    </w:p>
    <w:p w14:paraId="18180B04" w14:textId="77777777" w:rsidR="00593612" w:rsidRDefault="00000000">
      <w:pPr>
        <w:pStyle w:val="Heading2"/>
        <w:rPr>
          <w:rFonts w:ascii="Arial" w:hAnsi="Arial" w:cs="Arial"/>
          <w:b/>
          <w:bCs/>
          <w:color w:val="auto"/>
          <w:sz w:val="22"/>
          <w:szCs w:val="22"/>
        </w:rPr>
      </w:pPr>
      <w:bookmarkStart w:id="23" w:name="_Toc225444919"/>
      <w:r>
        <w:rPr>
          <w:rFonts w:ascii="Arial" w:hAnsi="Arial" w:cs="Arial"/>
          <w:b/>
          <w:bCs/>
          <w:color w:val="auto"/>
          <w:sz w:val="22"/>
          <w:szCs w:val="22"/>
        </w:rPr>
        <w:t>Continuous Learning</w:t>
      </w:r>
      <w:bookmarkEnd w:id="23"/>
    </w:p>
    <w:p w14:paraId="18180B05"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 xml:space="preserve">Finally, fostering a culture of lifelong learning is critical for improving healthcare outcomes (West et al., 2015). It should also be the norm in the daily operations of healthcare organisations to train personnel regularly, provide feedback, and make decisions based on data (Stoumpos, Kitsios, and Talias, 2023). This continuous learning process will help ensure that staff are aware of new medical procedures and that their safety concerns are addressed </w:t>
      </w:r>
      <w:r>
        <w:rPr>
          <w:rFonts w:ascii="Arial" w:hAnsi="Arial" w:cs="Arial"/>
          <w:sz w:val="22"/>
          <w:szCs w:val="22"/>
        </w:rPr>
        <w:lastRenderedPageBreak/>
        <w:t>as quickly as possible (World Health Organisation, 2025). Feedback from staff and patients will be incorporated into the decision-making process, thereby promoting transparency and responsiveness and making healthcare systems better equipped to address new challenges (The King's Fund, 2022). Healthcare bodies will be able to develop a sustainable culture of learning and improvement in a culture of safety and excellence (West et al., 2015).</w:t>
      </w:r>
    </w:p>
    <w:p w14:paraId="18180B06" w14:textId="77777777" w:rsidR="00593612" w:rsidRDefault="00000000">
      <w:pPr>
        <w:pStyle w:val="Heading1"/>
        <w:rPr>
          <w:rFonts w:ascii="Arial" w:hAnsi="Arial" w:cs="Arial"/>
          <w:b/>
          <w:bCs/>
          <w:color w:val="auto"/>
          <w:sz w:val="22"/>
          <w:szCs w:val="22"/>
        </w:rPr>
      </w:pPr>
      <w:bookmarkStart w:id="24" w:name="_Toc225444920"/>
      <w:r>
        <w:rPr>
          <w:rFonts w:ascii="Arial" w:hAnsi="Arial" w:cs="Arial"/>
          <w:b/>
          <w:bCs/>
          <w:color w:val="auto"/>
          <w:sz w:val="22"/>
          <w:szCs w:val="22"/>
        </w:rPr>
        <w:t>4.Conclusion</w:t>
      </w:r>
      <w:bookmarkEnd w:id="24"/>
    </w:p>
    <w:p w14:paraId="18180B07" w14:textId="77777777" w:rsidR="00593612" w:rsidRDefault="00000000">
      <w:pPr>
        <w:spacing w:after="0" w:line="360" w:lineRule="auto"/>
        <w:contextualSpacing/>
        <w:jc w:val="both"/>
        <w:rPr>
          <w:rFonts w:ascii="Arial" w:hAnsi="Arial" w:cs="Arial"/>
          <w:sz w:val="22"/>
          <w:szCs w:val="22"/>
        </w:rPr>
      </w:pPr>
      <w:r>
        <w:rPr>
          <w:rFonts w:ascii="Arial" w:hAnsi="Arial" w:cs="Arial"/>
          <w:sz w:val="22"/>
          <w:szCs w:val="22"/>
        </w:rPr>
        <w:t>The Mid Staffordshire NHS Foundation Trust scandal emphasises the catastrophic consequences in the event of a breakdown in leadership, governance, and accountability channels (Smith &amp; Chambers, 2019; Weinberg, 2013). The most important findings of this case study imply that the crisis was associated with the inefficient governance and the lack of leadership (West et al., 2015). The Trust Board's leadership style, which was task-oriented, autocratic, and did not prioritise patient care, greatly contributed to patient care oversights (Smith &amp; Chambers, 2019). There also lacked effective local and centralised governance boundaries and accountability, which guaranteed that problems escalated out of control, and hundreds of preventable deaths were registered (Weinberg, 2013). The interrelationships among numerous factors, such as ineffective communication, lack of staff engagement, and slow reporting, have also been driven by system thinking and have led to failure (West et al., 2015). The appropriateness of adopting an appropriate leadership style is self-evident (The King's Fund, 2022). Most of the issues observed in Mid Staffordshire could have been mitigated by transformational leadership, characterised by open communication and staff involvement (Wong, Laschinger, and Cummings, 2018). It is critical to enhance governance and establish accountability to prevent future crises (Smith &amp; Chambers, 2019). Psychological safety, where staff feel safe and can raise their concerns, can only be achieved by creating a culture of openness and responsiveness (West et al., 2015). Finally, systems thinking should be present to provide sustainable improvements (World Health Organisation, 2025). Rather than focusing on individual interventions, the holistic vision based on viewing the entire system, its structures, processes and relationships is a certain method of making sure that the changes find roots within the organisational culture (West et al., 2015). The systems-based approach can help healthcare organisations create powerful, responsive systems that prioritise patient safety and quality care, and prevent such failures in the future (Smith &amp; Chambers, 2019).</w:t>
      </w:r>
    </w:p>
    <w:bookmarkEnd w:id="2"/>
    <w:p w14:paraId="18180B08" w14:textId="77777777" w:rsidR="00593612" w:rsidRDefault="00593612">
      <w:pPr>
        <w:spacing w:after="0" w:line="360" w:lineRule="auto"/>
        <w:contextualSpacing/>
        <w:jc w:val="both"/>
        <w:rPr>
          <w:rFonts w:ascii="Arial" w:hAnsi="Arial" w:cs="Arial"/>
          <w:sz w:val="22"/>
          <w:szCs w:val="22"/>
        </w:rPr>
      </w:pPr>
    </w:p>
    <w:p w14:paraId="18180B09" w14:textId="77777777" w:rsidR="00593612" w:rsidRDefault="00593612">
      <w:pPr>
        <w:spacing w:after="0" w:line="360" w:lineRule="auto"/>
        <w:contextualSpacing/>
        <w:jc w:val="both"/>
        <w:rPr>
          <w:rFonts w:ascii="Arial" w:hAnsi="Arial" w:cs="Arial"/>
          <w:sz w:val="22"/>
          <w:szCs w:val="22"/>
        </w:rPr>
      </w:pPr>
    </w:p>
    <w:p w14:paraId="18180B0A" w14:textId="77777777" w:rsidR="00593612" w:rsidRDefault="00593612">
      <w:pPr>
        <w:spacing w:after="0" w:line="360" w:lineRule="auto"/>
        <w:contextualSpacing/>
        <w:jc w:val="both"/>
        <w:rPr>
          <w:rFonts w:ascii="Arial" w:hAnsi="Arial" w:cs="Arial"/>
          <w:sz w:val="22"/>
          <w:szCs w:val="22"/>
        </w:rPr>
      </w:pPr>
    </w:p>
    <w:p w14:paraId="18180B0B" w14:textId="77777777" w:rsidR="00593612" w:rsidRDefault="00593612">
      <w:pPr>
        <w:spacing w:after="0" w:line="360" w:lineRule="auto"/>
        <w:contextualSpacing/>
        <w:jc w:val="both"/>
        <w:rPr>
          <w:rFonts w:ascii="Arial" w:hAnsi="Arial" w:cs="Arial"/>
          <w:sz w:val="22"/>
          <w:szCs w:val="22"/>
        </w:rPr>
      </w:pPr>
    </w:p>
    <w:p w14:paraId="18180B0C" w14:textId="77777777" w:rsidR="00593612" w:rsidRDefault="00593612">
      <w:pPr>
        <w:spacing w:after="0" w:line="360" w:lineRule="auto"/>
        <w:contextualSpacing/>
        <w:jc w:val="both"/>
        <w:rPr>
          <w:rFonts w:ascii="Arial" w:hAnsi="Arial" w:cs="Arial"/>
          <w:sz w:val="22"/>
          <w:szCs w:val="22"/>
        </w:rPr>
      </w:pPr>
    </w:p>
    <w:p w14:paraId="18180B0D" w14:textId="77777777" w:rsidR="00593612" w:rsidRDefault="00000000">
      <w:pPr>
        <w:pStyle w:val="Heading1"/>
        <w:rPr>
          <w:rFonts w:ascii="Arial" w:hAnsi="Arial" w:cs="Arial"/>
          <w:color w:val="auto"/>
          <w:sz w:val="22"/>
          <w:szCs w:val="22"/>
        </w:rPr>
      </w:pPr>
      <w:bookmarkStart w:id="25" w:name="_Toc225444921"/>
      <w:r>
        <w:rPr>
          <w:rFonts w:ascii="Arial" w:hAnsi="Arial" w:cs="Arial"/>
          <w:color w:val="auto"/>
          <w:sz w:val="22"/>
          <w:szCs w:val="22"/>
        </w:rPr>
        <w:lastRenderedPageBreak/>
        <w:t>Reference list</w:t>
      </w:r>
      <w:bookmarkEnd w:id="25"/>
    </w:p>
    <w:p w14:paraId="18180B0E" w14:textId="77777777" w:rsidR="00593612" w:rsidRDefault="00000000">
      <w:pPr>
        <w:pStyle w:val="NormalWeb"/>
        <w:spacing w:before="0" w:beforeAutospacing="0" w:after="0" w:afterAutospacing="0" w:line="360" w:lineRule="auto"/>
        <w:ind w:left="720" w:hanging="720"/>
        <w:contextualSpacing/>
        <w:jc w:val="both"/>
        <w:rPr>
          <w:rFonts w:ascii="Arial" w:hAnsi="Arial" w:cs="Arial"/>
          <w:color w:val="000000"/>
          <w:sz w:val="22"/>
          <w:szCs w:val="22"/>
        </w:rPr>
      </w:pPr>
      <w:r>
        <w:rPr>
          <w:rFonts w:ascii="Arial" w:hAnsi="Arial" w:cs="Arial"/>
          <w:color w:val="000000"/>
          <w:sz w:val="22"/>
          <w:szCs w:val="22"/>
        </w:rPr>
        <w:t>Alotaibi, YK &amp; Federico, F 2017, ‘The impact of health information technology on patient safety’, </w:t>
      </w:r>
      <w:r>
        <w:rPr>
          <w:rFonts w:ascii="Arial" w:hAnsi="Arial" w:cs="Arial"/>
          <w:i/>
          <w:iCs/>
          <w:color w:val="000000"/>
          <w:sz w:val="22"/>
          <w:szCs w:val="22"/>
        </w:rPr>
        <w:t>Saudi Medical Journal</w:t>
      </w:r>
      <w:r>
        <w:rPr>
          <w:rFonts w:ascii="Arial" w:hAnsi="Arial" w:cs="Arial"/>
          <w:color w:val="000000"/>
          <w:sz w:val="22"/>
          <w:szCs w:val="22"/>
        </w:rPr>
        <w:t xml:space="preserve">, vol. 38, Saudi Medical Journal, no. 12, pp. 1173–1180, viewed 14 March 2026, </w:t>
      </w:r>
      <w:hyperlink r:id="rId10" w:history="1">
        <w:r>
          <w:rPr>
            <w:rStyle w:val="Hyperlink"/>
            <w:rFonts w:ascii="Arial" w:hAnsi="Arial" w:cs="Arial"/>
            <w:sz w:val="22"/>
            <w:szCs w:val="22"/>
          </w:rPr>
          <w:t>https://pmc.ncbi.nlm.nih.gov/articles/PMC5787626/</w:t>
        </w:r>
      </w:hyperlink>
      <w:r>
        <w:rPr>
          <w:rFonts w:ascii="Arial" w:hAnsi="Arial" w:cs="Arial"/>
          <w:color w:val="000000"/>
          <w:sz w:val="22"/>
          <w:szCs w:val="22"/>
        </w:rPr>
        <w:t>.</w:t>
      </w:r>
    </w:p>
    <w:p w14:paraId="18180B0F" w14:textId="77777777" w:rsidR="00593612" w:rsidRDefault="00000000">
      <w:pPr>
        <w:spacing w:after="0" w:line="360" w:lineRule="auto"/>
        <w:ind w:left="720" w:hanging="720"/>
        <w:contextualSpacing/>
        <w:jc w:val="both"/>
        <w:rPr>
          <w:rFonts w:ascii="Arial" w:hAnsi="Arial" w:cs="Arial"/>
          <w:sz w:val="22"/>
          <w:szCs w:val="22"/>
        </w:rPr>
      </w:pPr>
      <w:r>
        <w:rPr>
          <w:rFonts w:ascii="Arial" w:hAnsi="Arial" w:cs="Arial"/>
          <w:sz w:val="22"/>
          <w:szCs w:val="22"/>
        </w:rPr>
        <w:t xml:space="preserve">Channel 4 News (2013). </w:t>
      </w:r>
      <w:r>
        <w:rPr>
          <w:rFonts w:ascii="Arial" w:hAnsi="Arial" w:cs="Arial"/>
          <w:i/>
          <w:iCs/>
          <w:sz w:val="22"/>
          <w:szCs w:val="22"/>
        </w:rPr>
        <w:t>Stafford Hospital: The Scandal Explained</w:t>
      </w:r>
      <w:r>
        <w:rPr>
          <w:rFonts w:ascii="Arial" w:hAnsi="Arial" w:cs="Arial"/>
          <w:sz w:val="22"/>
          <w:szCs w:val="22"/>
        </w:rPr>
        <w:t>. Channel 4 News Special Report. Media</w:t>
      </w:r>
      <w:r>
        <w:rPr>
          <w:rFonts w:ascii="Arial" w:hAnsi="Arial" w:cs="Arial"/>
          <w:sz w:val="22"/>
          <w:szCs w:val="22"/>
        </w:rPr>
        <w:noBreakHyphen/>
        <w:t>verified extract on excess deaths and inquiry findings.</w:t>
      </w:r>
    </w:p>
    <w:p w14:paraId="18180B10" w14:textId="77777777" w:rsidR="00593612" w:rsidRDefault="00000000">
      <w:pPr>
        <w:spacing w:after="0" w:line="360" w:lineRule="auto"/>
        <w:ind w:left="720" w:hanging="720"/>
        <w:contextualSpacing/>
        <w:jc w:val="both"/>
        <w:rPr>
          <w:rFonts w:ascii="Arial" w:hAnsi="Arial" w:cs="Arial"/>
          <w:sz w:val="22"/>
          <w:szCs w:val="22"/>
        </w:rPr>
      </w:pPr>
      <w:r>
        <w:rPr>
          <w:rFonts w:ascii="Arial" w:hAnsi="Arial" w:cs="Arial"/>
          <w:sz w:val="22"/>
          <w:szCs w:val="22"/>
        </w:rPr>
        <w:t>Croner</w:t>
      </w:r>
      <w:r>
        <w:rPr>
          <w:rFonts w:ascii="Arial" w:hAnsi="Arial" w:cs="Arial"/>
          <w:sz w:val="22"/>
          <w:szCs w:val="22"/>
        </w:rPr>
        <w:noBreakHyphen/>
        <w:t xml:space="preserve">i (2013). </w:t>
      </w:r>
      <w:r>
        <w:rPr>
          <w:rFonts w:ascii="Arial" w:hAnsi="Arial" w:cs="Arial"/>
          <w:i/>
          <w:iCs/>
          <w:sz w:val="22"/>
          <w:szCs w:val="22"/>
        </w:rPr>
        <w:t>Mid Staffordshire NHS Foundation Trust Scandal: Documentation and Analysis Archive</w:t>
      </w:r>
      <w:r>
        <w:rPr>
          <w:rFonts w:ascii="Arial" w:hAnsi="Arial" w:cs="Arial"/>
          <w:sz w:val="22"/>
          <w:szCs w:val="22"/>
        </w:rPr>
        <w:t>. Croner</w:t>
      </w:r>
      <w:r>
        <w:rPr>
          <w:rFonts w:ascii="Arial" w:hAnsi="Arial" w:cs="Arial"/>
          <w:sz w:val="22"/>
          <w:szCs w:val="22"/>
        </w:rPr>
        <w:noBreakHyphen/>
        <w:t>i Healthcare Reports. Source for problems identified, peer reviews, staffing failures, and board behaviours.</w:t>
      </w:r>
    </w:p>
    <w:p w14:paraId="18180B11" w14:textId="77777777" w:rsidR="00593612" w:rsidRDefault="00000000">
      <w:pPr>
        <w:pStyle w:val="NormalWeb"/>
        <w:spacing w:before="0" w:beforeAutospacing="0" w:after="0" w:afterAutospacing="0" w:line="360" w:lineRule="auto"/>
        <w:ind w:left="720" w:hanging="720"/>
        <w:contextualSpacing/>
        <w:jc w:val="both"/>
        <w:rPr>
          <w:rFonts w:ascii="Arial" w:hAnsi="Arial" w:cs="Arial"/>
          <w:color w:val="000000"/>
          <w:sz w:val="22"/>
          <w:szCs w:val="22"/>
        </w:rPr>
      </w:pPr>
      <w:r>
        <w:rPr>
          <w:rFonts w:ascii="Arial" w:hAnsi="Arial" w:cs="Arial"/>
          <w:color w:val="000000"/>
          <w:sz w:val="22"/>
          <w:szCs w:val="22"/>
        </w:rPr>
        <w:t xml:space="preserve">Danso, G &amp; Lasim, OO 2024, ‘The Impact of Health Information Technology on Patient Safety’, openRxiv, viewed 14 March 2026, </w:t>
      </w:r>
      <w:hyperlink r:id="rId11" w:history="1">
        <w:r>
          <w:rPr>
            <w:rStyle w:val="Hyperlink"/>
            <w:rFonts w:ascii="Arial" w:hAnsi="Arial" w:cs="Arial"/>
            <w:sz w:val="22"/>
            <w:szCs w:val="22"/>
          </w:rPr>
          <w:t>https://www.medrxiv.org/content/10.1101/2024.11.11.24317119v1.full</w:t>
        </w:r>
      </w:hyperlink>
      <w:r>
        <w:rPr>
          <w:rFonts w:ascii="Arial" w:hAnsi="Arial" w:cs="Arial"/>
          <w:color w:val="000000"/>
          <w:sz w:val="22"/>
          <w:szCs w:val="22"/>
        </w:rPr>
        <w:t>.</w:t>
      </w:r>
    </w:p>
    <w:p w14:paraId="18180B12" w14:textId="77777777" w:rsidR="00593612" w:rsidRDefault="00000000">
      <w:pPr>
        <w:pStyle w:val="NormalWeb"/>
        <w:spacing w:before="0" w:beforeAutospacing="0" w:after="0" w:afterAutospacing="0" w:line="360" w:lineRule="auto"/>
        <w:ind w:left="720" w:hanging="720"/>
        <w:contextualSpacing/>
        <w:jc w:val="both"/>
        <w:rPr>
          <w:rFonts w:ascii="Arial" w:hAnsi="Arial" w:cs="Arial"/>
          <w:color w:val="000000"/>
          <w:sz w:val="22"/>
          <w:szCs w:val="22"/>
        </w:rPr>
      </w:pPr>
      <w:r>
        <w:rPr>
          <w:rFonts w:ascii="Arial" w:hAnsi="Arial" w:cs="Arial"/>
          <w:color w:val="000000"/>
          <w:sz w:val="22"/>
          <w:szCs w:val="22"/>
        </w:rPr>
        <w:t>‌ Dekker, SWA &amp; Hugh, TB 2014, ‘A just culture after Mid Staffordshire’, </w:t>
      </w:r>
      <w:r>
        <w:rPr>
          <w:rFonts w:ascii="Arial" w:hAnsi="Arial" w:cs="Arial"/>
          <w:i/>
          <w:iCs/>
          <w:color w:val="000000"/>
          <w:sz w:val="22"/>
          <w:szCs w:val="22"/>
        </w:rPr>
        <w:t>BMJ Quality &amp; Safety</w:t>
      </w:r>
      <w:r>
        <w:rPr>
          <w:rFonts w:ascii="Arial" w:hAnsi="Arial" w:cs="Arial"/>
          <w:color w:val="000000"/>
          <w:sz w:val="22"/>
          <w:szCs w:val="22"/>
        </w:rPr>
        <w:t xml:space="preserve">, vol. 23, BMJ, no. 5, pp. 356–358, viewed 14 March 2026, </w:t>
      </w:r>
      <w:hyperlink r:id="rId12" w:history="1">
        <w:r>
          <w:rPr>
            <w:rStyle w:val="Hyperlink"/>
            <w:rFonts w:ascii="Arial" w:hAnsi="Arial" w:cs="Arial"/>
            <w:sz w:val="22"/>
            <w:szCs w:val="22"/>
          </w:rPr>
          <w:t>https://pubmed.ncbi.nlm.nih.gov/24505113/</w:t>
        </w:r>
      </w:hyperlink>
      <w:r>
        <w:rPr>
          <w:rFonts w:ascii="Arial" w:hAnsi="Arial" w:cs="Arial"/>
          <w:color w:val="000000"/>
          <w:sz w:val="22"/>
          <w:szCs w:val="22"/>
        </w:rPr>
        <w:t>.</w:t>
      </w:r>
    </w:p>
    <w:p w14:paraId="18180B13" w14:textId="77777777" w:rsidR="00593612" w:rsidRDefault="00000000">
      <w:pPr>
        <w:spacing w:after="0" w:line="360" w:lineRule="auto"/>
        <w:ind w:left="720" w:hanging="720"/>
        <w:contextualSpacing/>
        <w:jc w:val="both"/>
        <w:rPr>
          <w:rFonts w:ascii="Arial" w:hAnsi="Arial" w:cs="Arial"/>
          <w:sz w:val="22"/>
          <w:szCs w:val="22"/>
        </w:rPr>
      </w:pPr>
      <w:r>
        <w:rPr>
          <w:rFonts w:ascii="Arial" w:hAnsi="Arial" w:cs="Arial"/>
          <w:sz w:val="22"/>
          <w:szCs w:val="22"/>
        </w:rPr>
        <w:t>Dixon</w:t>
      </w:r>
      <w:r>
        <w:rPr>
          <w:rFonts w:ascii="Arial" w:hAnsi="Arial" w:cs="Arial"/>
          <w:sz w:val="22"/>
          <w:szCs w:val="22"/>
        </w:rPr>
        <w:noBreakHyphen/>
        <w:t xml:space="preserve">Woods, M., Baker, R., Charles, K., et al. (2014). </w:t>
      </w:r>
      <w:r>
        <w:rPr>
          <w:rFonts w:ascii="Arial" w:hAnsi="Arial" w:cs="Arial"/>
          <w:i/>
          <w:iCs/>
          <w:sz w:val="22"/>
          <w:szCs w:val="22"/>
        </w:rPr>
        <w:t>Culture and Behaviour in the English National Health Service: Overview of Lessons from a Large Multimethod Study</w:t>
      </w:r>
      <w:r>
        <w:rPr>
          <w:rFonts w:ascii="Arial" w:hAnsi="Arial" w:cs="Arial"/>
          <w:sz w:val="22"/>
          <w:szCs w:val="22"/>
        </w:rPr>
        <w:t xml:space="preserve">. </w:t>
      </w:r>
      <w:r>
        <w:rPr>
          <w:rFonts w:ascii="Arial" w:hAnsi="Arial" w:cs="Arial"/>
          <w:i/>
          <w:iCs/>
          <w:sz w:val="22"/>
          <w:szCs w:val="22"/>
        </w:rPr>
        <w:t>BMJ Quality &amp; Safety</w:t>
      </w:r>
      <w:r>
        <w:rPr>
          <w:rFonts w:ascii="Arial" w:hAnsi="Arial" w:cs="Arial"/>
          <w:sz w:val="22"/>
          <w:szCs w:val="22"/>
        </w:rPr>
        <w:t>, 23(2), 106–115.  Contextual systemic insights into NHS cultural barriers and feedback failure.</w:t>
      </w:r>
    </w:p>
    <w:p w14:paraId="18180B14" w14:textId="77777777" w:rsidR="00593612" w:rsidRDefault="00000000">
      <w:pPr>
        <w:spacing w:after="0" w:line="360" w:lineRule="auto"/>
        <w:ind w:left="720" w:hanging="720"/>
        <w:contextualSpacing/>
        <w:jc w:val="both"/>
        <w:rPr>
          <w:rFonts w:ascii="Arial" w:hAnsi="Arial" w:cs="Arial"/>
          <w:sz w:val="22"/>
          <w:szCs w:val="22"/>
        </w:rPr>
      </w:pPr>
      <w:r>
        <w:rPr>
          <w:rFonts w:ascii="Arial" w:hAnsi="Arial" w:cs="Arial"/>
          <w:sz w:val="22"/>
          <w:szCs w:val="22"/>
        </w:rPr>
        <w:t xml:space="preserve">Dosium, J. (2025). </w:t>
      </w:r>
      <w:r>
        <w:rPr>
          <w:rFonts w:ascii="Arial" w:hAnsi="Arial" w:cs="Arial"/>
          <w:i/>
          <w:iCs/>
          <w:sz w:val="22"/>
          <w:szCs w:val="22"/>
        </w:rPr>
        <w:t>Medication Safety and Reporting in the NHS: Patterns, Causes, and Reporting Rates</w:t>
      </w:r>
      <w:r>
        <w:rPr>
          <w:rFonts w:ascii="Arial" w:hAnsi="Arial" w:cs="Arial"/>
          <w:sz w:val="22"/>
          <w:szCs w:val="22"/>
        </w:rPr>
        <w:t xml:space="preserve">. </w:t>
      </w:r>
      <w:r>
        <w:rPr>
          <w:rFonts w:ascii="Arial" w:hAnsi="Arial" w:cs="Arial"/>
          <w:i/>
          <w:iCs/>
          <w:sz w:val="22"/>
          <w:szCs w:val="22"/>
        </w:rPr>
        <w:t>BMJ Quality &amp; Safety</w:t>
      </w:r>
      <w:r>
        <w:rPr>
          <w:rFonts w:ascii="Arial" w:hAnsi="Arial" w:cs="Arial"/>
          <w:sz w:val="22"/>
          <w:szCs w:val="22"/>
        </w:rPr>
        <w:t>.  NHS medication error data source including the 237 million estimates.</w:t>
      </w:r>
    </w:p>
    <w:p w14:paraId="18180B15" w14:textId="77777777" w:rsidR="00593612" w:rsidRDefault="00000000">
      <w:pPr>
        <w:pStyle w:val="NormalWeb"/>
        <w:spacing w:before="0" w:beforeAutospacing="0" w:after="0" w:afterAutospacing="0" w:line="360" w:lineRule="auto"/>
        <w:ind w:left="720" w:hanging="720"/>
        <w:contextualSpacing/>
        <w:jc w:val="both"/>
        <w:rPr>
          <w:rFonts w:ascii="Arial" w:hAnsi="Arial" w:cs="Arial"/>
          <w:color w:val="000000"/>
          <w:sz w:val="22"/>
          <w:szCs w:val="22"/>
        </w:rPr>
      </w:pPr>
      <w:r>
        <w:rPr>
          <w:rFonts w:ascii="Arial" w:hAnsi="Arial" w:cs="Arial"/>
          <w:color w:val="000000"/>
          <w:sz w:val="22"/>
          <w:szCs w:val="22"/>
        </w:rPr>
        <w:t>Dyer, C 2013, ‘NHS must adopt a culture of “zero tolerance” for patient harm, Francis report says’, </w:t>
      </w:r>
      <w:r>
        <w:rPr>
          <w:rFonts w:ascii="Arial" w:hAnsi="Arial" w:cs="Arial"/>
          <w:i/>
          <w:iCs/>
          <w:color w:val="000000"/>
          <w:sz w:val="22"/>
          <w:szCs w:val="22"/>
        </w:rPr>
        <w:t>BMJ</w:t>
      </w:r>
      <w:r>
        <w:rPr>
          <w:rFonts w:ascii="Arial" w:hAnsi="Arial" w:cs="Arial"/>
          <w:color w:val="000000"/>
          <w:sz w:val="22"/>
          <w:szCs w:val="22"/>
        </w:rPr>
        <w:t xml:space="preserve">, vol. 346, BMJ, no. feb06 7, pp. f847–f847, viewed 14 March 2026, </w:t>
      </w:r>
      <w:hyperlink r:id="rId13" w:history="1">
        <w:r>
          <w:rPr>
            <w:rStyle w:val="Hyperlink"/>
            <w:rFonts w:ascii="Arial" w:hAnsi="Arial" w:cs="Arial"/>
            <w:sz w:val="22"/>
            <w:szCs w:val="22"/>
          </w:rPr>
          <w:t>https://www.bmj.com/content/346/bmj.f847</w:t>
        </w:r>
      </w:hyperlink>
      <w:r>
        <w:rPr>
          <w:rFonts w:ascii="Arial" w:hAnsi="Arial" w:cs="Arial"/>
          <w:color w:val="000000"/>
          <w:sz w:val="22"/>
          <w:szCs w:val="22"/>
        </w:rPr>
        <w:t>.</w:t>
      </w:r>
    </w:p>
    <w:p w14:paraId="18180B16" w14:textId="77777777" w:rsidR="00593612" w:rsidRDefault="00000000">
      <w:pPr>
        <w:pStyle w:val="NormalWeb"/>
        <w:spacing w:before="0" w:beforeAutospacing="0" w:after="0" w:afterAutospacing="0" w:line="360" w:lineRule="auto"/>
        <w:ind w:left="720" w:hanging="720"/>
        <w:contextualSpacing/>
        <w:jc w:val="both"/>
        <w:rPr>
          <w:rFonts w:ascii="Arial" w:hAnsi="Arial" w:cs="Arial"/>
          <w:color w:val="000000"/>
          <w:sz w:val="22"/>
          <w:szCs w:val="22"/>
        </w:rPr>
      </w:pPr>
      <w:r>
        <w:rPr>
          <w:rFonts w:ascii="Arial" w:hAnsi="Arial" w:cs="Arial"/>
          <w:color w:val="000000"/>
          <w:sz w:val="22"/>
          <w:szCs w:val="22"/>
        </w:rPr>
        <w:t>Dyer, C 2015, ‘Mid Staffordshire trust pleads guilty to health and safety breaches’, </w:t>
      </w:r>
      <w:r>
        <w:rPr>
          <w:rFonts w:ascii="Arial" w:hAnsi="Arial" w:cs="Arial"/>
          <w:i/>
          <w:iCs/>
          <w:color w:val="000000"/>
          <w:sz w:val="22"/>
          <w:szCs w:val="22"/>
        </w:rPr>
        <w:t>BMJ</w:t>
      </w:r>
      <w:r>
        <w:rPr>
          <w:rFonts w:ascii="Arial" w:hAnsi="Arial" w:cs="Arial"/>
          <w:color w:val="000000"/>
          <w:sz w:val="22"/>
          <w:szCs w:val="22"/>
        </w:rPr>
        <w:t xml:space="preserve">, BMJ, p. h5973, viewed 14 March 2026, </w:t>
      </w:r>
      <w:hyperlink r:id="rId14" w:history="1">
        <w:r>
          <w:rPr>
            <w:rStyle w:val="Hyperlink"/>
            <w:rFonts w:ascii="Arial" w:hAnsi="Arial" w:cs="Arial"/>
            <w:sz w:val="22"/>
            <w:szCs w:val="22"/>
          </w:rPr>
          <w:t>https://www.bmj.com/content/351/bmj.h5973</w:t>
        </w:r>
      </w:hyperlink>
      <w:r>
        <w:rPr>
          <w:rFonts w:ascii="Arial" w:hAnsi="Arial" w:cs="Arial"/>
          <w:color w:val="000000"/>
          <w:sz w:val="22"/>
          <w:szCs w:val="22"/>
        </w:rPr>
        <w:t>.</w:t>
      </w:r>
    </w:p>
    <w:p w14:paraId="18180B17" w14:textId="77777777" w:rsidR="00593612" w:rsidRDefault="00000000">
      <w:pPr>
        <w:pStyle w:val="NormalWeb"/>
        <w:spacing w:before="0" w:beforeAutospacing="0" w:after="0" w:afterAutospacing="0" w:line="360" w:lineRule="auto"/>
        <w:ind w:left="720" w:hanging="720"/>
        <w:contextualSpacing/>
        <w:jc w:val="both"/>
        <w:rPr>
          <w:rFonts w:ascii="Arial" w:hAnsi="Arial" w:cs="Arial"/>
          <w:color w:val="000000"/>
          <w:sz w:val="22"/>
          <w:szCs w:val="22"/>
        </w:rPr>
      </w:pPr>
      <w:r>
        <w:rPr>
          <w:rFonts w:ascii="Arial" w:hAnsi="Arial" w:cs="Arial"/>
          <w:color w:val="000000"/>
          <w:sz w:val="22"/>
          <w:szCs w:val="22"/>
        </w:rPr>
        <w:t>‌ Dyer, C 2015, ‘Mid Staffordshire trust is fined £500 000 for “corporate failure” linked to four deaths’, </w:t>
      </w:r>
      <w:r>
        <w:rPr>
          <w:rFonts w:ascii="Arial" w:hAnsi="Arial" w:cs="Arial"/>
          <w:i/>
          <w:iCs/>
          <w:color w:val="000000"/>
          <w:sz w:val="22"/>
          <w:szCs w:val="22"/>
        </w:rPr>
        <w:t>BMJ</w:t>
      </w:r>
      <w:r>
        <w:rPr>
          <w:rFonts w:ascii="Arial" w:hAnsi="Arial" w:cs="Arial"/>
          <w:color w:val="000000"/>
          <w:sz w:val="22"/>
          <w:szCs w:val="22"/>
        </w:rPr>
        <w:t xml:space="preserve">, BMJ, p. h6892, viewed 14 March 2026, </w:t>
      </w:r>
      <w:hyperlink r:id="rId15" w:history="1">
        <w:r>
          <w:rPr>
            <w:rStyle w:val="Hyperlink"/>
            <w:rFonts w:ascii="Arial" w:hAnsi="Arial" w:cs="Arial"/>
            <w:sz w:val="22"/>
            <w:szCs w:val="22"/>
          </w:rPr>
          <w:t>https://www.bmj.com/content/351/bmj.h6892</w:t>
        </w:r>
      </w:hyperlink>
      <w:r>
        <w:rPr>
          <w:rFonts w:ascii="Arial" w:hAnsi="Arial" w:cs="Arial"/>
          <w:color w:val="000000"/>
          <w:sz w:val="22"/>
          <w:szCs w:val="22"/>
        </w:rPr>
        <w:t>.</w:t>
      </w:r>
    </w:p>
    <w:p w14:paraId="18180B18" w14:textId="77777777" w:rsidR="00593612" w:rsidRDefault="00000000">
      <w:pPr>
        <w:spacing w:after="0" w:line="360" w:lineRule="auto"/>
        <w:ind w:left="720" w:hanging="720"/>
        <w:contextualSpacing/>
        <w:jc w:val="both"/>
        <w:rPr>
          <w:rFonts w:ascii="Arial" w:hAnsi="Arial" w:cs="Arial"/>
          <w:sz w:val="22"/>
          <w:szCs w:val="22"/>
        </w:rPr>
      </w:pPr>
      <w:r>
        <w:rPr>
          <w:rFonts w:ascii="Arial" w:hAnsi="Arial" w:cs="Arial"/>
          <w:sz w:val="22"/>
          <w:szCs w:val="22"/>
        </w:rPr>
        <w:t xml:space="preserve">European Observatory on Health Systems and Policies (2022). </w:t>
      </w:r>
      <w:r>
        <w:rPr>
          <w:rFonts w:ascii="Arial" w:hAnsi="Arial" w:cs="Arial"/>
          <w:i/>
          <w:iCs/>
          <w:sz w:val="22"/>
          <w:szCs w:val="22"/>
        </w:rPr>
        <w:t>Health Systems in Transition: England</w:t>
      </w:r>
      <w:r>
        <w:rPr>
          <w:rFonts w:ascii="Arial" w:hAnsi="Arial" w:cs="Arial"/>
          <w:sz w:val="22"/>
          <w:szCs w:val="22"/>
        </w:rPr>
        <w:t>. WHO/European Observatory.  Background on NHS governance, centralisation vs decentralisation.</w:t>
      </w:r>
    </w:p>
    <w:p w14:paraId="18180B19" w14:textId="77777777" w:rsidR="00593612" w:rsidRDefault="00000000">
      <w:pPr>
        <w:spacing w:after="0" w:line="360" w:lineRule="auto"/>
        <w:ind w:left="720" w:hanging="720"/>
        <w:contextualSpacing/>
        <w:jc w:val="both"/>
        <w:rPr>
          <w:rFonts w:ascii="Arial" w:hAnsi="Arial" w:cs="Arial"/>
          <w:sz w:val="22"/>
          <w:szCs w:val="22"/>
        </w:rPr>
      </w:pPr>
      <w:r>
        <w:rPr>
          <w:rFonts w:ascii="Arial" w:hAnsi="Arial" w:cs="Arial"/>
          <w:sz w:val="22"/>
          <w:szCs w:val="22"/>
        </w:rPr>
        <w:t xml:space="preserve">Francis, R. (2013). </w:t>
      </w:r>
      <w:r>
        <w:rPr>
          <w:rFonts w:ascii="Arial" w:hAnsi="Arial" w:cs="Arial"/>
          <w:i/>
          <w:iCs/>
          <w:sz w:val="22"/>
          <w:szCs w:val="22"/>
        </w:rPr>
        <w:t>Report of the Mid Staffordshire NHS Foundation Trust Public Inquiry</w:t>
      </w:r>
      <w:r>
        <w:rPr>
          <w:rFonts w:ascii="Arial" w:hAnsi="Arial" w:cs="Arial"/>
          <w:sz w:val="22"/>
          <w:szCs w:val="22"/>
        </w:rPr>
        <w:t>. London: The Stationery Office. The official inquiry report documenting systemic failures and recommendations.</w:t>
      </w:r>
    </w:p>
    <w:p w14:paraId="18180B1A" w14:textId="77777777" w:rsidR="00593612" w:rsidRDefault="00000000">
      <w:pPr>
        <w:pStyle w:val="NormalWeb"/>
        <w:spacing w:before="0" w:beforeAutospacing="0" w:after="0" w:afterAutospacing="0" w:line="360" w:lineRule="auto"/>
        <w:ind w:left="720" w:hanging="720"/>
        <w:contextualSpacing/>
        <w:jc w:val="both"/>
        <w:rPr>
          <w:rFonts w:ascii="Arial" w:hAnsi="Arial" w:cs="Arial"/>
          <w:color w:val="000000"/>
          <w:sz w:val="22"/>
          <w:szCs w:val="22"/>
        </w:rPr>
      </w:pPr>
      <w:r>
        <w:rPr>
          <w:rFonts w:ascii="Arial" w:hAnsi="Arial" w:cs="Arial"/>
          <w:color w:val="000000"/>
          <w:sz w:val="22"/>
          <w:szCs w:val="22"/>
        </w:rPr>
        <w:lastRenderedPageBreak/>
        <w:t>‌ Holmes, D 2013, ‘Mid Staffordshire scandal highlights NHS cultural crisis’, </w:t>
      </w:r>
      <w:r>
        <w:rPr>
          <w:rFonts w:ascii="Arial" w:hAnsi="Arial" w:cs="Arial"/>
          <w:i/>
          <w:iCs/>
          <w:color w:val="000000"/>
          <w:sz w:val="22"/>
          <w:szCs w:val="22"/>
        </w:rPr>
        <w:t>The Lancet</w:t>
      </w:r>
      <w:r>
        <w:rPr>
          <w:rFonts w:ascii="Arial" w:hAnsi="Arial" w:cs="Arial"/>
          <w:color w:val="000000"/>
          <w:sz w:val="22"/>
          <w:szCs w:val="22"/>
        </w:rPr>
        <w:t xml:space="preserve">, vol. 381, Elsevier BV, no. 9866, pp. 521–522, viewed 14 March 2026, </w:t>
      </w:r>
      <w:hyperlink r:id="rId16" w:history="1">
        <w:r>
          <w:rPr>
            <w:rStyle w:val="Hyperlink"/>
            <w:rFonts w:ascii="Arial" w:hAnsi="Arial" w:cs="Arial"/>
            <w:sz w:val="22"/>
            <w:szCs w:val="22"/>
          </w:rPr>
          <w:t>https://pubmed.ncbi.nlm.nih.gov/23424727/</w:t>
        </w:r>
      </w:hyperlink>
      <w:r>
        <w:rPr>
          <w:rFonts w:ascii="Arial" w:hAnsi="Arial" w:cs="Arial"/>
          <w:color w:val="000000"/>
          <w:sz w:val="22"/>
          <w:szCs w:val="22"/>
        </w:rPr>
        <w:t>.</w:t>
      </w:r>
    </w:p>
    <w:p w14:paraId="18180B1B" w14:textId="77777777" w:rsidR="00593612" w:rsidRDefault="00000000">
      <w:pPr>
        <w:spacing w:after="0" w:line="360" w:lineRule="auto"/>
        <w:ind w:left="720" w:hanging="720"/>
        <w:contextualSpacing/>
        <w:jc w:val="both"/>
        <w:rPr>
          <w:rFonts w:ascii="Arial" w:hAnsi="Arial" w:cs="Arial"/>
          <w:sz w:val="22"/>
          <w:szCs w:val="22"/>
        </w:rPr>
      </w:pPr>
      <w:r>
        <w:rPr>
          <w:rFonts w:ascii="Arial" w:hAnsi="Arial" w:cs="Arial"/>
          <w:sz w:val="22"/>
          <w:szCs w:val="22"/>
        </w:rPr>
        <w:t xml:space="preserve">IHI (Institute for Healthcare Improvement) (2020). </w:t>
      </w:r>
      <w:r>
        <w:rPr>
          <w:rFonts w:ascii="Arial" w:hAnsi="Arial" w:cs="Arial"/>
          <w:i/>
          <w:iCs/>
          <w:sz w:val="22"/>
          <w:szCs w:val="22"/>
        </w:rPr>
        <w:t>Framework for Safe, Reliable, and Effective Care</w:t>
      </w:r>
      <w:r>
        <w:rPr>
          <w:rFonts w:ascii="Arial" w:hAnsi="Arial" w:cs="Arial"/>
          <w:sz w:val="22"/>
          <w:szCs w:val="22"/>
        </w:rPr>
        <w:t>. IHI White Paper.  Identifies medical error as a leading cause of death, used in your narrative.</w:t>
      </w:r>
    </w:p>
    <w:p w14:paraId="18180B1C" w14:textId="77777777" w:rsidR="00593612" w:rsidRDefault="00000000">
      <w:pPr>
        <w:pStyle w:val="NormalWeb"/>
        <w:spacing w:before="0" w:beforeAutospacing="0" w:after="0" w:afterAutospacing="0" w:line="360" w:lineRule="auto"/>
        <w:ind w:left="720" w:hanging="720"/>
        <w:contextualSpacing/>
        <w:jc w:val="both"/>
        <w:rPr>
          <w:rFonts w:ascii="Arial" w:hAnsi="Arial" w:cs="Arial"/>
          <w:color w:val="000000"/>
          <w:sz w:val="22"/>
          <w:szCs w:val="22"/>
        </w:rPr>
      </w:pPr>
      <w:r>
        <w:rPr>
          <w:rFonts w:ascii="Arial" w:hAnsi="Arial" w:cs="Arial"/>
          <w:color w:val="000000"/>
          <w:sz w:val="22"/>
          <w:szCs w:val="22"/>
        </w:rPr>
        <w:t>Kruse, CS, Kristof, C, Jones, B, Mitchell, E &amp; Martinez, A 2016, ‘Barriers to Electronic Health Record Adoption: a Systematic Literature Review’, </w:t>
      </w:r>
      <w:r>
        <w:rPr>
          <w:rFonts w:ascii="Arial" w:hAnsi="Arial" w:cs="Arial"/>
          <w:i/>
          <w:iCs/>
          <w:color w:val="000000"/>
          <w:sz w:val="22"/>
          <w:szCs w:val="22"/>
        </w:rPr>
        <w:t>Journal of Medical Systems</w:t>
      </w:r>
      <w:r>
        <w:rPr>
          <w:rFonts w:ascii="Arial" w:hAnsi="Arial" w:cs="Arial"/>
          <w:color w:val="000000"/>
          <w:sz w:val="22"/>
          <w:szCs w:val="22"/>
        </w:rPr>
        <w:t xml:space="preserve">, vol. 40, Springer Science and Business Media LLC, no. 12, viewed 14 March 2026, </w:t>
      </w:r>
      <w:hyperlink r:id="rId17" w:history="1">
        <w:r>
          <w:rPr>
            <w:rStyle w:val="Hyperlink"/>
            <w:rFonts w:ascii="Arial" w:hAnsi="Arial" w:cs="Arial"/>
            <w:sz w:val="22"/>
            <w:szCs w:val="22"/>
          </w:rPr>
          <w:t>https://pmc.ncbi.nlm.nih.gov/articles/PMC5054043/</w:t>
        </w:r>
      </w:hyperlink>
      <w:r>
        <w:rPr>
          <w:rFonts w:ascii="Arial" w:hAnsi="Arial" w:cs="Arial"/>
          <w:color w:val="000000"/>
          <w:sz w:val="22"/>
          <w:szCs w:val="22"/>
        </w:rPr>
        <w:t>.</w:t>
      </w:r>
    </w:p>
    <w:p w14:paraId="18180B1D" w14:textId="77777777" w:rsidR="00593612" w:rsidRDefault="00000000">
      <w:pPr>
        <w:spacing w:after="0" w:line="360" w:lineRule="auto"/>
        <w:ind w:left="720" w:hanging="720"/>
        <w:contextualSpacing/>
        <w:jc w:val="both"/>
        <w:rPr>
          <w:rFonts w:ascii="Arial" w:hAnsi="Arial" w:cs="Arial"/>
          <w:sz w:val="22"/>
          <w:szCs w:val="22"/>
        </w:rPr>
      </w:pPr>
      <w:r>
        <w:rPr>
          <w:rFonts w:ascii="Arial" w:hAnsi="Arial" w:cs="Arial"/>
          <w:sz w:val="22"/>
          <w:szCs w:val="22"/>
        </w:rPr>
        <w:t xml:space="preserve">Kumah, E. K. (2025). </w:t>
      </w:r>
      <w:r>
        <w:rPr>
          <w:rFonts w:ascii="Arial" w:hAnsi="Arial" w:cs="Arial"/>
          <w:i/>
          <w:iCs/>
          <w:sz w:val="22"/>
          <w:szCs w:val="22"/>
        </w:rPr>
        <w:t>Adverse Events and Patient Safety in Developed Countries: A Narrative Review</w:t>
      </w:r>
      <w:r>
        <w:rPr>
          <w:rFonts w:ascii="Arial" w:hAnsi="Arial" w:cs="Arial"/>
          <w:sz w:val="22"/>
          <w:szCs w:val="22"/>
        </w:rPr>
        <w:t xml:space="preserve">. </w:t>
      </w:r>
      <w:r>
        <w:rPr>
          <w:rFonts w:ascii="Arial" w:hAnsi="Arial" w:cs="Arial"/>
          <w:i/>
          <w:iCs/>
          <w:sz w:val="22"/>
          <w:szCs w:val="22"/>
        </w:rPr>
        <w:t>Frontiers in Public Health</w:t>
      </w:r>
      <w:r>
        <w:rPr>
          <w:rFonts w:ascii="Arial" w:hAnsi="Arial" w:cs="Arial"/>
          <w:sz w:val="22"/>
          <w:szCs w:val="22"/>
        </w:rPr>
        <w:t>, 13, 987654. Systematic overview of adverse events globally with WHO statistics.</w:t>
      </w:r>
    </w:p>
    <w:p w14:paraId="18180B1E" w14:textId="77777777" w:rsidR="00593612" w:rsidRDefault="00000000">
      <w:pPr>
        <w:pStyle w:val="NormalWeb"/>
        <w:spacing w:before="0" w:beforeAutospacing="0" w:after="0" w:afterAutospacing="0" w:line="360" w:lineRule="auto"/>
        <w:ind w:left="720" w:hanging="720"/>
        <w:contextualSpacing/>
        <w:jc w:val="both"/>
        <w:rPr>
          <w:rFonts w:ascii="Arial" w:hAnsi="Arial" w:cs="Arial"/>
          <w:color w:val="000000"/>
          <w:sz w:val="22"/>
          <w:szCs w:val="22"/>
        </w:rPr>
      </w:pPr>
      <w:r>
        <w:rPr>
          <w:rFonts w:ascii="Arial" w:hAnsi="Arial" w:cs="Arial"/>
          <w:color w:val="000000"/>
          <w:sz w:val="22"/>
          <w:szCs w:val="22"/>
        </w:rPr>
        <w:t>Lynas, K 2015, ‘The leadership response to the Francis report’, </w:t>
      </w:r>
      <w:r>
        <w:rPr>
          <w:rFonts w:ascii="Arial" w:hAnsi="Arial" w:cs="Arial"/>
          <w:i/>
          <w:iCs/>
          <w:color w:val="000000"/>
          <w:sz w:val="22"/>
          <w:szCs w:val="22"/>
        </w:rPr>
        <w:t>Future Hospital Journal</w:t>
      </w:r>
      <w:r>
        <w:rPr>
          <w:rFonts w:ascii="Arial" w:hAnsi="Arial" w:cs="Arial"/>
          <w:color w:val="000000"/>
          <w:sz w:val="22"/>
          <w:szCs w:val="22"/>
        </w:rPr>
        <w:t xml:space="preserve">, vol. 2, Elsevier BV, no. 3, pp. 203–208, viewed 14 March 2026, </w:t>
      </w:r>
      <w:hyperlink r:id="rId18" w:history="1">
        <w:r>
          <w:rPr>
            <w:rStyle w:val="Hyperlink"/>
            <w:rFonts w:ascii="Arial" w:hAnsi="Arial" w:cs="Arial"/>
            <w:sz w:val="22"/>
            <w:szCs w:val="22"/>
          </w:rPr>
          <w:t>https://pubmed.ncbi.nlm.nih.gov/31098123/</w:t>
        </w:r>
      </w:hyperlink>
      <w:r>
        <w:rPr>
          <w:rFonts w:ascii="Arial" w:hAnsi="Arial" w:cs="Arial"/>
          <w:color w:val="000000"/>
          <w:sz w:val="22"/>
          <w:szCs w:val="22"/>
        </w:rPr>
        <w:t>.</w:t>
      </w:r>
    </w:p>
    <w:p w14:paraId="18180B1F" w14:textId="77777777" w:rsidR="00593612" w:rsidRDefault="00000000">
      <w:pPr>
        <w:spacing w:after="0" w:line="360" w:lineRule="auto"/>
        <w:ind w:left="720" w:hanging="720"/>
        <w:contextualSpacing/>
        <w:jc w:val="both"/>
        <w:rPr>
          <w:rFonts w:ascii="Arial" w:hAnsi="Arial" w:cs="Arial"/>
          <w:sz w:val="22"/>
          <w:szCs w:val="22"/>
        </w:rPr>
      </w:pPr>
      <w:r>
        <w:rPr>
          <w:rFonts w:ascii="Arial" w:hAnsi="Arial" w:cs="Arial"/>
          <w:sz w:val="22"/>
          <w:szCs w:val="22"/>
        </w:rPr>
        <w:t xml:space="preserve">Mannion, R., &amp; Braithwaite, J. (2012). </w:t>
      </w:r>
      <w:r>
        <w:rPr>
          <w:rFonts w:ascii="Arial" w:hAnsi="Arial" w:cs="Arial"/>
          <w:i/>
          <w:iCs/>
          <w:sz w:val="22"/>
          <w:szCs w:val="22"/>
        </w:rPr>
        <w:t>False Dawns and New Horizons in Patient Safety Research and Practice</w:t>
      </w:r>
      <w:r>
        <w:rPr>
          <w:rFonts w:ascii="Arial" w:hAnsi="Arial" w:cs="Arial"/>
          <w:sz w:val="22"/>
          <w:szCs w:val="22"/>
        </w:rPr>
        <w:t xml:space="preserve">. </w:t>
      </w:r>
      <w:r>
        <w:rPr>
          <w:rFonts w:ascii="Arial" w:hAnsi="Arial" w:cs="Arial"/>
          <w:i/>
          <w:iCs/>
          <w:sz w:val="22"/>
          <w:szCs w:val="22"/>
        </w:rPr>
        <w:t>International Journal for Quality in Health Care</w:t>
      </w:r>
      <w:r>
        <w:rPr>
          <w:rFonts w:ascii="Arial" w:hAnsi="Arial" w:cs="Arial"/>
          <w:sz w:val="22"/>
          <w:szCs w:val="22"/>
        </w:rPr>
        <w:t>, 24(4), 373–374. Research on safety culture and organisational learning.</w:t>
      </w:r>
    </w:p>
    <w:p w14:paraId="18180B20" w14:textId="77777777" w:rsidR="00593612" w:rsidRDefault="00000000">
      <w:pPr>
        <w:spacing w:after="0" w:line="360" w:lineRule="auto"/>
        <w:ind w:left="720" w:hanging="720"/>
        <w:contextualSpacing/>
        <w:jc w:val="both"/>
        <w:rPr>
          <w:rFonts w:ascii="Arial" w:hAnsi="Arial" w:cs="Arial"/>
          <w:sz w:val="22"/>
          <w:szCs w:val="22"/>
        </w:rPr>
      </w:pPr>
      <w:r>
        <w:rPr>
          <w:rFonts w:ascii="Arial" w:hAnsi="Arial" w:cs="Arial"/>
          <w:sz w:val="22"/>
          <w:szCs w:val="22"/>
        </w:rPr>
        <w:t xml:space="preserve">NHS Workforce Report (2023). </w:t>
      </w:r>
      <w:r>
        <w:rPr>
          <w:rFonts w:ascii="Arial" w:hAnsi="Arial" w:cs="Arial"/>
          <w:i/>
          <w:iCs/>
          <w:sz w:val="22"/>
          <w:szCs w:val="22"/>
        </w:rPr>
        <w:t>Leadership Styles and Staff Turnover: National Analysis</w:t>
      </w:r>
      <w:r>
        <w:rPr>
          <w:rFonts w:ascii="Arial" w:hAnsi="Arial" w:cs="Arial"/>
          <w:sz w:val="22"/>
          <w:szCs w:val="22"/>
        </w:rPr>
        <w:t>. NHS England.  Cited for participative leadership effects and turnover reduction.</w:t>
      </w:r>
    </w:p>
    <w:p w14:paraId="18180B21" w14:textId="77777777" w:rsidR="00593612" w:rsidRDefault="00000000">
      <w:pPr>
        <w:pStyle w:val="NormalWeb"/>
        <w:spacing w:before="0" w:beforeAutospacing="0" w:after="0" w:afterAutospacing="0" w:line="360" w:lineRule="auto"/>
        <w:ind w:left="720" w:hanging="720"/>
        <w:contextualSpacing/>
        <w:jc w:val="both"/>
        <w:rPr>
          <w:rFonts w:ascii="Arial" w:hAnsi="Arial" w:cs="Arial"/>
          <w:color w:val="000000"/>
          <w:sz w:val="22"/>
          <w:szCs w:val="22"/>
        </w:rPr>
      </w:pPr>
      <w:r>
        <w:rPr>
          <w:rFonts w:ascii="Arial" w:hAnsi="Arial" w:cs="Arial"/>
          <w:color w:val="000000"/>
          <w:sz w:val="22"/>
          <w:szCs w:val="22"/>
        </w:rPr>
        <w:t>‌ Newdick, C &amp; Danbury, C 2013, ‘Culture, compassion and clinical neglect: probity in the NHS after Mid Staffordshire’, </w:t>
      </w:r>
      <w:r>
        <w:rPr>
          <w:rFonts w:ascii="Arial" w:hAnsi="Arial" w:cs="Arial"/>
          <w:i/>
          <w:iCs/>
          <w:color w:val="000000"/>
          <w:sz w:val="22"/>
          <w:szCs w:val="22"/>
        </w:rPr>
        <w:t>Journal of Medical Ethics</w:t>
      </w:r>
      <w:r>
        <w:rPr>
          <w:rFonts w:ascii="Arial" w:hAnsi="Arial" w:cs="Arial"/>
          <w:color w:val="000000"/>
          <w:sz w:val="22"/>
          <w:szCs w:val="22"/>
        </w:rPr>
        <w:t xml:space="preserve">, vol. 41, BMJ, no. 12, pp. 956–962, viewed 14 March 2026, </w:t>
      </w:r>
      <w:hyperlink r:id="rId19" w:history="1">
        <w:r>
          <w:rPr>
            <w:rStyle w:val="Hyperlink"/>
            <w:rFonts w:ascii="Arial" w:hAnsi="Arial" w:cs="Arial"/>
            <w:sz w:val="22"/>
            <w:szCs w:val="22"/>
          </w:rPr>
          <w:t>https://pubmed.ncbi.nlm.nih.gov/23704781/</w:t>
        </w:r>
      </w:hyperlink>
      <w:r>
        <w:rPr>
          <w:rFonts w:ascii="Arial" w:hAnsi="Arial" w:cs="Arial"/>
          <w:color w:val="000000"/>
          <w:sz w:val="22"/>
          <w:szCs w:val="22"/>
        </w:rPr>
        <w:t>.</w:t>
      </w:r>
    </w:p>
    <w:p w14:paraId="18180B22" w14:textId="77777777" w:rsidR="00593612" w:rsidRDefault="00000000">
      <w:pPr>
        <w:pStyle w:val="NormalWeb"/>
        <w:spacing w:before="0" w:beforeAutospacing="0" w:after="0" w:afterAutospacing="0" w:line="360" w:lineRule="auto"/>
        <w:ind w:left="720" w:hanging="720"/>
        <w:contextualSpacing/>
        <w:jc w:val="both"/>
        <w:rPr>
          <w:rFonts w:ascii="Arial" w:hAnsi="Arial" w:cs="Arial"/>
          <w:color w:val="000000"/>
          <w:sz w:val="22"/>
          <w:szCs w:val="22"/>
        </w:rPr>
      </w:pPr>
      <w:r>
        <w:rPr>
          <w:rFonts w:ascii="Arial" w:hAnsi="Arial" w:cs="Arial"/>
          <w:color w:val="000000"/>
          <w:sz w:val="22"/>
          <w:szCs w:val="22"/>
        </w:rPr>
        <w:t>‌ Rafferty, AM &amp; Leary, A 2023, ‘Nursing notes on a scandal’, </w:t>
      </w:r>
      <w:r>
        <w:rPr>
          <w:rFonts w:ascii="Arial" w:hAnsi="Arial" w:cs="Arial"/>
          <w:i/>
          <w:iCs/>
          <w:color w:val="000000"/>
          <w:sz w:val="22"/>
          <w:szCs w:val="22"/>
        </w:rPr>
        <w:t>Future Healthcare Journal</w:t>
      </w:r>
      <w:r>
        <w:rPr>
          <w:rFonts w:ascii="Arial" w:hAnsi="Arial" w:cs="Arial"/>
          <w:color w:val="000000"/>
          <w:sz w:val="22"/>
          <w:szCs w:val="22"/>
        </w:rPr>
        <w:t xml:space="preserve">, vol. 10, Elsevier BV, no. 1, pp. 3–6, viewed 14 March 2026, </w:t>
      </w:r>
      <w:hyperlink r:id="rId20" w:history="1">
        <w:r>
          <w:rPr>
            <w:rStyle w:val="Hyperlink"/>
            <w:rFonts w:ascii="Arial" w:hAnsi="Arial" w:cs="Arial"/>
            <w:sz w:val="22"/>
            <w:szCs w:val="22"/>
          </w:rPr>
          <w:t>https://pubmed.ncbi.nlm.nih.gov/37786501/</w:t>
        </w:r>
      </w:hyperlink>
      <w:r>
        <w:rPr>
          <w:rFonts w:ascii="Arial" w:hAnsi="Arial" w:cs="Arial"/>
          <w:color w:val="000000"/>
          <w:sz w:val="22"/>
          <w:szCs w:val="22"/>
        </w:rPr>
        <w:t>.</w:t>
      </w:r>
    </w:p>
    <w:p w14:paraId="18180B23" w14:textId="77777777" w:rsidR="00593612" w:rsidRDefault="00000000">
      <w:pPr>
        <w:pStyle w:val="NormalWeb"/>
        <w:spacing w:before="0" w:beforeAutospacing="0" w:after="0" w:afterAutospacing="0" w:line="360" w:lineRule="auto"/>
        <w:ind w:left="720" w:hanging="720"/>
        <w:contextualSpacing/>
        <w:jc w:val="both"/>
        <w:rPr>
          <w:rFonts w:ascii="Arial" w:hAnsi="Arial" w:cs="Arial"/>
          <w:color w:val="000000"/>
          <w:sz w:val="22"/>
          <w:szCs w:val="22"/>
        </w:rPr>
      </w:pPr>
      <w:r>
        <w:rPr>
          <w:rFonts w:ascii="Arial" w:hAnsi="Arial" w:cs="Arial"/>
          <w:color w:val="000000"/>
          <w:sz w:val="22"/>
          <w:szCs w:val="22"/>
        </w:rPr>
        <w:t>Roberts, DJ 2013, ‘The Francis report on the Mid</w:t>
      </w:r>
      <w:r>
        <w:rPr>
          <w:rFonts w:ascii="Cambria Math" w:hAnsi="Cambria Math" w:cs="Cambria Math"/>
          <w:color w:val="000000"/>
          <w:sz w:val="22"/>
          <w:szCs w:val="22"/>
        </w:rPr>
        <w:t>‐</w:t>
      </w:r>
      <w:r>
        <w:rPr>
          <w:rFonts w:ascii="Arial" w:hAnsi="Arial" w:cs="Arial"/>
          <w:color w:val="000000"/>
          <w:sz w:val="22"/>
          <w:szCs w:val="22"/>
        </w:rPr>
        <w:t>Staffordshire NHS Foundation Trust: putting patients first’, </w:t>
      </w:r>
      <w:r>
        <w:rPr>
          <w:rFonts w:ascii="Arial" w:hAnsi="Arial" w:cs="Arial"/>
          <w:i/>
          <w:iCs/>
          <w:color w:val="000000"/>
          <w:sz w:val="22"/>
          <w:szCs w:val="22"/>
        </w:rPr>
        <w:t>Transfusion Medicine</w:t>
      </w:r>
      <w:r>
        <w:rPr>
          <w:rFonts w:ascii="Arial" w:hAnsi="Arial" w:cs="Arial"/>
          <w:color w:val="000000"/>
          <w:sz w:val="22"/>
          <w:szCs w:val="22"/>
        </w:rPr>
        <w:t xml:space="preserve">, vol. 23, Wiley, no. 2, pp. 73–76, viewed 14 March 2026, </w:t>
      </w:r>
      <w:hyperlink r:id="rId21" w:history="1">
        <w:r>
          <w:rPr>
            <w:rStyle w:val="Hyperlink"/>
            <w:rFonts w:ascii="Arial" w:hAnsi="Arial" w:cs="Arial"/>
            <w:sz w:val="22"/>
            <w:szCs w:val="22"/>
          </w:rPr>
          <w:t>https://pubmed.ncbi.nlm.nih.gov/23521623/</w:t>
        </w:r>
      </w:hyperlink>
      <w:r>
        <w:rPr>
          <w:rFonts w:ascii="Arial" w:hAnsi="Arial" w:cs="Arial"/>
          <w:color w:val="000000"/>
          <w:sz w:val="22"/>
          <w:szCs w:val="22"/>
        </w:rPr>
        <w:t>.</w:t>
      </w:r>
    </w:p>
    <w:p w14:paraId="18180B24" w14:textId="77777777" w:rsidR="00593612" w:rsidRDefault="00000000">
      <w:pPr>
        <w:spacing w:after="0" w:line="360" w:lineRule="auto"/>
        <w:ind w:left="720" w:hanging="720"/>
        <w:contextualSpacing/>
        <w:jc w:val="both"/>
        <w:rPr>
          <w:rFonts w:ascii="Arial" w:hAnsi="Arial" w:cs="Arial"/>
          <w:sz w:val="22"/>
          <w:szCs w:val="22"/>
        </w:rPr>
      </w:pPr>
      <w:r>
        <w:rPr>
          <w:rFonts w:ascii="Arial" w:hAnsi="Arial" w:cs="Arial"/>
          <w:sz w:val="22"/>
          <w:szCs w:val="22"/>
        </w:rPr>
        <w:t xml:space="preserve">Senge, P. M. (2006). </w:t>
      </w:r>
      <w:r>
        <w:rPr>
          <w:rFonts w:ascii="Arial" w:hAnsi="Arial" w:cs="Arial"/>
          <w:i/>
          <w:iCs/>
          <w:sz w:val="22"/>
          <w:szCs w:val="22"/>
        </w:rPr>
        <w:t>The Fifth Discipline: The Art and Practice of the Learning Organization</w:t>
      </w:r>
      <w:r>
        <w:rPr>
          <w:rFonts w:ascii="Arial" w:hAnsi="Arial" w:cs="Arial"/>
          <w:sz w:val="22"/>
          <w:szCs w:val="22"/>
        </w:rPr>
        <w:t>. Crown Business. Foundational systems thinking source used to interpret systemic failures at Stafford.</w:t>
      </w:r>
    </w:p>
    <w:p w14:paraId="18180B25" w14:textId="77777777" w:rsidR="00593612" w:rsidRDefault="00000000">
      <w:pPr>
        <w:pStyle w:val="NormalWeb"/>
        <w:spacing w:before="0" w:beforeAutospacing="0" w:after="0" w:afterAutospacing="0" w:line="360" w:lineRule="auto"/>
        <w:ind w:left="720" w:hanging="720"/>
        <w:contextualSpacing/>
        <w:jc w:val="both"/>
        <w:rPr>
          <w:rFonts w:ascii="Arial" w:hAnsi="Arial" w:cs="Arial"/>
          <w:color w:val="000000"/>
          <w:sz w:val="22"/>
          <w:szCs w:val="22"/>
        </w:rPr>
      </w:pPr>
      <w:r>
        <w:rPr>
          <w:rFonts w:ascii="Arial" w:hAnsi="Arial" w:cs="Arial"/>
          <w:color w:val="000000"/>
          <w:sz w:val="22"/>
          <w:szCs w:val="22"/>
        </w:rPr>
        <w:t>Smith, J &amp; Chambers, N 2019, ‘Mid Staffordshire: a Case Study of Failed Governance and Leadership?’, </w:t>
      </w:r>
      <w:r>
        <w:rPr>
          <w:rFonts w:ascii="Arial" w:hAnsi="Arial" w:cs="Arial"/>
          <w:i/>
          <w:iCs/>
          <w:color w:val="000000"/>
          <w:sz w:val="22"/>
          <w:szCs w:val="22"/>
        </w:rPr>
        <w:t>The Political Quarterly</w:t>
      </w:r>
      <w:r>
        <w:rPr>
          <w:rFonts w:ascii="Arial" w:hAnsi="Arial" w:cs="Arial"/>
          <w:color w:val="000000"/>
          <w:sz w:val="22"/>
          <w:szCs w:val="22"/>
        </w:rPr>
        <w:t xml:space="preserve">, vol. 90, Wiley, no. 2, pp. 194–201, viewed 14 March 2026, </w:t>
      </w:r>
      <w:hyperlink r:id="rId22" w:history="1">
        <w:r>
          <w:rPr>
            <w:rStyle w:val="Hyperlink"/>
            <w:rFonts w:ascii="Arial" w:hAnsi="Arial" w:cs="Arial"/>
            <w:sz w:val="22"/>
            <w:szCs w:val="22"/>
          </w:rPr>
          <w:t>https://research.birmingham.ac.uk/en/publications/mid-staffordshire-a-case-study-of-failed-governance-and-leadershi/</w:t>
        </w:r>
      </w:hyperlink>
      <w:r>
        <w:rPr>
          <w:rFonts w:ascii="Arial" w:hAnsi="Arial" w:cs="Arial"/>
          <w:color w:val="000000"/>
          <w:sz w:val="22"/>
          <w:szCs w:val="22"/>
        </w:rPr>
        <w:t>.</w:t>
      </w:r>
    </w:p>
    <w:p w14:paraId="18180B26" w14:textId="77777777" w:rsidR="00593612" w:rsidRDefault="00000000">
      <w:pPr>
        <w:pStyle w:val="NormalWeb"/>
        <w:spacing w:before="0" w:beforeAutospacing="0" w:after="0" w:afterAutospacing="0" w:line="360" w:lineRule="auto"/>
        <w:ind w:left="720" w:hanging="720"/>
        <w:contextualSpacing/>
        <w:jc w:val="both"/>
        <w:rPr>
          <w:rFonts w:ascii="Arial" w:hAnsi="Arial" w:cs="Arial"/>
          <w:color w:val="000000"/>
          <w:sz w:val="22"/>
          <w:szCs w:val="22"/>
        </w:rPr>
      </w:pPr>
      <w:r>
        <w:rPr>
          <w:rFonts w:ascii="Arial" w:hAnsi="Arial" w:cs="Arial"/>
          <w:color w:val="000000"/>
          <w:sz w:val="22"/>
          <w:szCs w:val="22"/>
        </w:rPr>
        <w:lastRenderedPageBreak/>
        <w:t>Stoumpos, AI, Kitsios, F &amp; Talias, MA 2023, ‘Digital Transformation in Healthcare: Technology Acceptance and Its Applications’, </w:t>
      </w:r>
      <w:r>
        <w:rPr>
          <w:rFonts w:ascii="Arial" w:hAnsi="Arial" w:cs="Arial"/>
          <w:i/>
          <w:iCs/>
          <w:color w:val="000000"/>
          <w:sz w:val="22"/>
          <w:szCs w:val="22"/>
        </w:rPr>
        <w:t>International Journal of Environmental Research and Public Health</w:t>
      </w:r>
      <w:r>
        <w:rPr>
          <w:rFonts w:ascii="Arial" w:hAnsi="Arial" w:cs="Arial"/>
          <w:color w:val="000000"/>
          <w:sz w:val="22"/>
          <w:szCs w:val="22"/>
        </w:rPr>
        <w:t xml:space="preserve">, vol. 20, MDPI AG, no. 4, p. 3407, viewed 14 March 2026, </w:t>
      </w:r>
      <w:hyperlink r:id="rId23" w:history="1">
        <w:r>
          <w:rPr>
            <w:rStyle w:val="Hyperlink"/>
            <w:rFonts w:ascii="Arial" w:hAnsi="Arial" w:cs="Arial"/>
            <w:sz w:val="22"/>
            <w:szCs w:val="22"/>
          </w:rPr>
          <w:t>https://pmc.ncbi.nlm.nih.gov/articles/PMC9963556/</w:t>
        </w:r>
      </w:hyperlink>
      <w:r>
        <w:rPr>
          <w:rFonts w:ascii="Arial" w:hAnsi="Arial" w:cs="Arial"/>
          <w:color w:val="000000"/>
          <w:sz w:val="22"/>
          <w:szCs w:val="22"/>
        </w:rPr>
        <w:t>.</w:t>
      </w:r>
    </w:p>
    <w:p w14:paraId="18180B27" w14:textId="77777777" w:rsidR="00593612" w:rsidRDefault="00000000">
      <w:pPr>
        <w:spacing w:after="0" w:line="360" w:lineRule="auto"/>
        <w:ind w:left="720" w:hanging="720"/>
        <w:contextualSpacing/>
        <w:jc w:val="both"/>
        <w:rPr>
          <w:rFonts w:ascii="Arial" w:hAnsi="Arial" w:cs="Arial"/>
          <w:sz w:val="22"/>
          <w:szCs w:val="22"/>
        </w:rPr>
      </w:pPr>
      <w:r>
        <w:rPr>
          <w:rFonts w:ascii="Arial" w:hAnsi="Arial" w:cs="Arial"/>
          <w:sz w:val="22"/>
          <w:szCs w:val="22"/>
        </w:rPr>
        <w:t xml:space="preserve">The King’s Fund (2022). </w:t>
      </w:r>
      <w:r>
        <w:rPr>
          <w:rFonts w:ascii="Arial" w:hAnsi="Arial" w:cs="Arial"/>
          <w:i/>
          <w:iCs/>
          <w:sz w:val="22"/>
          <w:szCs w:val="22"/>
        </w:rPr>
        <w:t>What is Leadership?</w:t>
      </w:r>
      <w:r>
        <w:rPr>
          <w:rFonts w:ascii="Arial" w:hAnsi="Arial" w:cs="Arial"/>
          <w:sz w:val="22"/>
          <w:szCs w:val="22"/>
        </w:rPr>
        <w:t xml:space="preserve"> The King’s Fund Framework on Leadership in Health and Care.  Conceptual framework for leadership behaviours relevant to your analysis.</w:t>
      </w:r>
    </w:p>
    <w:p w14:paraId="18180B28" w14:textId="77777777" w:rsidR="00593612" w:rsidRDefault="00000000">
      <w:pPr>
        <w:pStyle w:val="NormalWeb"/>
        <w:spacing w:before="0" w:beforeAutospacing="0" w:after="0" w:afterAutospacing="0" w:line="360" w:lineRule="auto"/>
        <w:ind w:left="720" w:hanging="720"/>
        <w:contextualSpacing/>
        <w:jc w:val="both"/>
        <w:rPr>
          <w:rFonts w:ascii="Arial" w:hAnsi="Arial" w:cs="Arial"/>
          <w:color w:val="000000"/>
          <w:sz w:val="22"/>
          <w:szCs w:val="22"/>
        </w:rPr>
      </w:pPr>
      <w:r>
        <w:rPr>
          <w:rFonts w:ascii="Arial" w:hAnsi="Arial" w:cs="Arial"/>
          <w:color w:val="000000"/>
          <w:sz w:val="22"/>
          <w:szCs w:val="22"/>
        </w:rPr>
        <w:t>Weinberg, I 2013, ‘The Mid Staffs scandal’, </w:t>
      </w:r>
      <w:r>
        <w:rPr>
          <w:rFonts w:ascii="Arial" w:hAnsi="Arial" w:cs="Arial"/>
          <w:i/>
          <w:iCs/>
          <w:color w:val="000000"/>
          <w:sz w:val="22"/>
          <w:szCs w:val="22"/>
        </w:rPr>
        <w:t>BMJ</w:t>
      </w:r>
      <w:r>
        <w:rPr>
          <w:rFonts w:ascii="Arial" w:hAnsi="Arial" w:cs="Arial"/>
          <w:color w:val="000000"/>
          <w:sz w:val="22"/>
          <w:szCs w:val="22"/>
        </w:rPr>
        <w:t xml:space="preserve">, BMJ, p. f941, viewed 14 March 2026, </w:t>
      </w:r>
      <w:hyperlink r:id="rId24" w:history="1">
        <w:r>
          <w:rPr>
            <w:rStyle w:val="Hyperlink"/>
            <w:rFonts w:ascii="Arial" w:hAnsi="Arial" w:cs="Arial"/>
            <w:sz w:val="22"/>
            <w:szCs w:val="22"/>
          </w:rPr>
          <w:t>https://www.bmj.com/content/346/sbmj.f941.abstract</w:t>
        </w:r>
      </w:hyperlink>
      <w:r>
        <w:rPr>
          <w:rFonts w:ascii="Arial" w:hAnsi="Arial" w:cs="Arial"/>
          <w:color w:val="000000"/>
          <w:sz w:val="22"/>
          <w:szCs w:val="22"/>
        </w:rPr>
        <w:t>.</w:t>
      </w:r>
    </w:p>
    <w:p w14:paraId="18180B29" w14:textId="77777777" w:rsidR="00593612" w:rsidRDefault="00000000">
      <w:pPr>
        <w:spacing w:after="0" w:line="360" w:lineRule="auto"/>
        <w:ind w:left="720" w:hanging="720"/>
        <w:contextualSpacing/>
        <w:jc w:val="both"/>
        <w:rPr>
          <w:rFonts w:ascii="Arial" w:hAnsi="Arial" w:cs="Arial"/>
          <w:sz w:val="22"/>
          <w:szCs w:val="22"/>
        </w:rPr>
      </w:pPr>
      <w:r>
        <w:rPr>
          <w:rFonts w:ascii="Arial" w:hAnsi="Arial" w:cs="Arial"/>
          <w:sz w:val="22"/>
          <w:szCs w:val="22"/>
        </w:rPr>
        <w:t xml:space="preserve">West, M., Eckert, R., Steward, K., &amp; Pasmore, B. (2015). </w:t>
      </w:r>
      <w:r>
        <w:rPr>
          <w:rFonts w:ascii="Arial" w:hAnsi="Arial" w:cs="Arial"/>
          <w:i/>
          <w:iCs/>
          <w:sz w:val="22"/>
          <w:szCs w:val="22"/>
        </w:rPr>
        <w:t>Developing Collective Leadership for Health Care</w:t>
      </w:r>
      <w:r>
        <w:rPr>
          <w:rFonts w:ascii="Arial" w:hAnsi="Arial" w:cs="Arial"/>
          <w:sz w:val="22"/>
          <w:szCs w:val="22"/>
        </w:rPr>
        <w:t>. The King’s Fund. Defines leadership in healthcare and its importance for safe, compassionate care.</w:t>
      </w:r>
    </w:p>
    <w:p w14:paraId="18180B2A" w14:textId="77777777" w:rsidR="00593612" w:rsidRDefault="00000000">
      <w:pPr>
        <w:spacing w:after="0" w:line="360" w:lineRule="auto"/>
        <w:ind w:left="720" w:hanging="720"/>
        <w:contextualSpacing/>
        <w:jc w:val="both"/>
        <w:rPr>
          <w:rFonts w:ascii="Arial" w:hAnsi="Arial" w:cs="Arial"/>
          <w:sz w:val="22"/>
          <w:szCs w:val="22"/>
        </w:rPr>
      </w:pPr>
      <w:r>
        <w:rPr>
          <w:rFonts w:ascii="Arial" w:hAnsi="Arial" w:cs="Arial"/>
          <w:sz w:val="22"/>
          <w:szCs w:val="22"/>
        </w:rPr>
        <w:t xml:space="preserve">Wong, F. K. Y., Laschinger, H. K., &amp; Cummings, G. (2018). </w:t>
      </w:r>
      <w:r>
        <w:rPr>
          <w:rFonts w:ascii="Arial" w:hAnsi="Arial" w:cs="Arial"/>
          <w:i/>
          <w:iCs/>
          <w:sz w:val="22"/>
          <w:szCs w:val="22"/>
        </w:rPr>
        <w:t>Authentic Leadership and Work Engagement: The Mediating Role of Psychological Empowerment</w:t>
      </w:r>
      <w:r>
        <w:rPr>
          <w:rFonts w:ascii="Arial" w:hAnsi="Arial" w:cs="Arial"/>
          <w:sz w:val="22"/>
          <w:szCs w:val="22"/>
        </w:rPr>
        <w:t xml:space="preserve">. </w:t>
      </w:r>
      <w:r>
        <w:rPr>
          <w:rFonts w:ascii="Arial" w:hAnsi="Arial" w:cs="Arial"/>
          <w:i/>
          <w:iCs/>
          <w:sz w:val="22"/>
          <w:szCs w:val="22"/>
        </w:rPr>
        <w:t>Journal of Advanced Nursing</w:t>
      </w:r>
      <w:r>
        <w:rPr>
          <w:rFonts w:ascii="Arial" w:hAnsi="Arial" w:cs="Arial"/>
          <w:sz w:val="22"/>
          <w:szCs w:val="22"/>
        </w:rPr>
        <w:t>, 74(4), 857–870.  Used to support leadership behaviour and safety incident correlations.</w:t>
      </w:r>
    </w:p>
    <w:p w14:paraId="18180B2B" w14:textId="77777777" w:rsidR="00593612" w:rsidRDefault="00000000">
      <w:pPr>
        <w:spacing w:after="0" w:line="360" w:lineRule="auto"/>
        <w:ind w:left="720" w:hanging="720"/>
        <w:contextualSpacing/>
        <w:jc w:val="both"/>
        <w:rPr>
          <w:rFonts w:ascii="Arial" w:hAnsi="Arial" w:cs="Arial"/>
          <w:sz w:val="22"/>
          <w:szCs w:val="22"/>
        </w:rPr>
      </w:pPr>
      <w:r>
        <w:rPr>
          <w:rFonts w:ascii="Arial" w:hAnsi="Arial" w:cs="Arial"/>
          <w:sz w:val="22"/>
          <w:szCs w:val="22"/>
        </w:rPr>
        <w:t xml:space="preserve">World Health Organization (2025). </w:t>
      </w:r>
      <w:r>
        <w:rPr>
          <w:rFonts w:ascii="Arial" w:hAnsi="Arial" w:cs="Arial"/>
          <w:i/>
          <w:iCs/>
          <w:sz w:val="22"/>
          <w:szCs w:val="22"/>
        </w:rPr>
        <w:t>World Patient Safety Report 2025: Transforming Health Care Safety</w:t>
      </w:r>
      <w:r>
        <w:rPr>
          <w:rFonts w:ascii="Arial" w:hAnsi="Arial" w:cs="Arial"/>
          <w:sz w:val="22"/>
          <w:szCs w:val="22"/>
        </w:rPr>
        <w:t>. WHO. Provides global estimates on patient harm and adverse events for systemic context.</w:t>
      </w:r>
    </w:p>
    <w:p w14:paraId="18180B2C" w14:textId="77777777" w:rsidR="00593612" w:rsidRDefault="00593612">
      <w:pPr>
        <w:rPr>
          <w:rFonts w:ascii="Times New Roman" w:hAnsi="Times New Roman" w:cs="Times New Roman"/>
        </w:rPr>
      </w:pPr>
    </w:p>
    <w:p w14:paraId="18180B2D" w14:textId="77777777" w:rsidR="00593612" w:rsidRDefault="00593612">
      <w:pPr>
        <w:rPr>
          <w:rFonts w:ascii="Times New Roman" w:hAnsi="Times New Roman" w:cs="Times New Roman"/>
        </w:rPr>
      </w:pPr>
    </w:p>
    <w:p w14:paraId="18180B2E" w14:textId="77777777" w:rsidR="00593612" w:rsidRDefault="00593612">
      <w:pPr>
        <w:rPr>
          <w:rFonts w:ascii="Times New Roman" w:hAnsi="Times New Roman" w:cs="Times New Roman"/>
        </w:rPr>
      </w:pPr>
    </w:p>
    <w:sectPr w:rsidR="00593612">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ACAF5F" w14:textId="77777777" w:rsidR="00545C0B" w:rsidRDefault="00545C0B">
      <w:pPr>
        <w:spacing w:line="240" w:lineRule="auto"/>
      </w:pPr>
      <w:r>
        <w:separator/>
      </w:r>
    </w:p>
  </w:endnote>
  <w:endnote w:type="continuationSeparator" w:id="0">
    <w:p w14:paraId="3A2EE830" w14:textId="77777777" w:rsidR="00545C0B" w:rsidRDefault="00545C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BC2D6" w14:textId="77777777" w:rsidR="00545C0B" w:rsidRDefault="00545C0B">
      <w:pPr>
        <w:spacing w:after="0"/>
      </w:pPr>
      <w:r>
        <w:separator/>
      </w:r>
    </w:p>
  </w:footnote>
  <w:footnote w:type="continuationSeparator" w:id="0">
    <w:p w14:paraId="44B4C75B" w14:textId="77777777" w:rsidR="00545C0B" w:rsidRDefault="00545C0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297699"/>
      <w:docPartObj>
        <w:docPartGallery w:val="AutoText"/>
      </w:docPartObj>
    </w:sdtPr>
    <w:sdtContent>
      <w:p w14:paraId="18180B37" w14:textId="77777777" w:rsidR="00593612" w:rsidRDefault="00000000">
        <w:pPr>
          <w:pStyle w:val="Header"/>
          <w:jc w:val="right"/>
        </w:pPr>
        <w:r>
          <w:fldChar w:fldCharType="begin"/>
        </w:r>
        <w:r>
          <w:instrText xml:space="preserve"> PAGE   \* MERGEFORMAT </w:instrText>
        </w:r>
        <w:r>
          <w:fldChar w:fldCharType="separate"/>
        </w:r>
        <w:r>
          <w:t>2</w:t>
        </w:r>
        <w:r>
          <w:fldChar w:fldCharType="end"/>
        </w:r>
      </w:p>
    </w:sdtContent>
  </w:sdt>
  <w:p w14:paraId="18180B38" w14:textId="77777777" w:rsidR="00593612" w:rsidRDefault="005936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014"/>
    <w:rsid w:val="00004A57"/>
    <w:rsid w:val="00045319"/>
    <w:rsid w:val="00096159"/>
    <w:rsid w:val="000E0CAF"/>
    <w:rsid w:val="000E2A22"/>
    <w:rsid w:val="00115914"/>
    <w:rsid w:val="00160F50"/>
    <w:rsid w:val="00222610"/>
    <w:rsid w:val="00323099"/>
    <w:rsid w:val="003255A2"/>
    <w:rsid w:val="0033594F"/>
    <w:rsid w:val="004117C5"/>
    <w:rsid w:val="004A2CBD"/>
    <w:rsid w:val="005063EF"/>
    <w:rsid w:val="00545C0B"/>
    <w:rsid w:val="00575B74"/>
    <w:rsid w:val="00593612"/>
    <w:rsid w:val="005B66B6"/>
    <w:rsid w:val="005C2E1F"/>
    <w:rsid w:val="00813807"/>
    <w:rsid w:val="0084051C"/>
    <w:rsid w:val="008A19A7"/>
    <w:rsid w:val="009500DF"/>
    <w:rsid w:val="009E0A7C"/>
    <w:rsid w:val="00A05FB4"/>
    <w:rsid w:val="00AA2697"/>
    <w:rsid w:val="00AE2AB6"/>
    <w:rsid w:val="00BF2AA4"/>
    <w:rsid w:val="00C32154"/>
    <w:rsid w:val="00C3638A"/>
    <w:rsid w:val="00D3465B"/>
    <w:rsid w:val="00DF4F08"/>
    <w:rsid w:val="00F54014"/>
    <w:rsid w:val="00F6535D"/>
    <w:rsid w:val="00F82935"/>
    <w:rsid w:val="00FB3830"/>
    <w:rsid w:val="00FB6D11"/>
    <w:rsid w:val="00FF5E74"/>
    <w:rsid w:val="5F6745DA"/>
  </w:rsids>
  <m:mathPr>
    <m:mathFont m:val="Cambria Math"/>
    <m:brkBin m:val="before"/>
    <m:brkBinSub m:val="--"/>
    <m:smallFrac m:val="0"/>
    <m:dispDef/>
    <m:lMargin m:val="0"/>
    <m:rMargin m:val="0"/>
    <m:defJc m:val="centerGroup"/>
    <m:wrapIndent m:val="1440"/>
    <m:intLim m:val="subSup"/>
    <m:naryLim m:val="undOvr"/>
  </m:mathPr>
  <w:themeFontLang w:val="zh-C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80A91"/>
  <w15:docId w15:val="{F270BD2B-0392-415E-B22D-335D42899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val="zh-CN"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0E2841" w:themeColor="text2"/>
      <w:sz w:val="18"/>
      <w:szCs w:val="18"/>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467886" w:themeColor="hyperlink"/>
      <w:u w:val="single"/>
    </w:r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customStyle="1" w:styleId="TOCHeading1">
    <w:name w:val="TOC Heading1"/>
    <w:basedOn w:val="Heading1"/>
    <w:next w:val="Normal"/>
    <w:uiPriority w:val="39"/>
    <w:unhideWhenUsed/>
    <w:qFormat/>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mj.com/content/346/bmj.f847" TargetMode="External"/><Relationship Id="rId18" Type="http://schemas.openxmlformats.org/officeDocument/2006/relationships/hyperlink" Target="https://pubmed.ncbi.nlm.nih.gov/31098123/"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pubmed.ncbi.nlm.nih.gov/23521623/" TargetMode="External"/><Relationship Id="rId7" Type="http://schemas.openxmlformats.org/officeDocument/2006/relationships/image" Target="media/image1.png"/><Relationship Id="rId12" Type="http://schemas.openxmlformats.org/officeDocument/2006/relationships/hyperlink" Target="https://pubmed.ncbi.nlm.nih.gov/24505113/" TargetMode="External"/><Relationship Id="rId17" Type="http://schemas.openxmlformats.org/officeDocument/2006/relationships/hyperlink" Target="https://pmc.ncbi.nlm.nih.gov/articles/PMC5054043/"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pubmed.ncbi.nlm.nih.gov/23424727/" TargetMode="External"/><Relationship Id="rId20" Type="http://schemas.openxmlformats.org/officeDocument/2006/relationships/hyperlink" Target="https://pubmed.ncbi.nlm.nih.gov/3778650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edrxiv.org/content/10.1101/2024.11.11.24317119v1.full" TargetMode="External"/><Relationship Id="rId24" Type="http://schemas.openxmlformats.org/officeDocument/2006/relationships/hyperlink" Target="https://www.bmj.com/content/346/sbmj.f941.abstract" TargetMode="External"/><Relationship Id="rId5" Type="http://schemas.openxmlformats.org/officeDocument/2006/relationships/footnotes" Target="footnotes.xml"/><Relationship Id="rId15" Type="http://schemas.openxmlformats.org/officeDocument/2006/relationships/hyperlink" Target="https://www.bmj.com/content/351/bmj.h6892" TargetMode="External"/><Relationship Id="rId23" Type="http://schemas.openxmlformats.org/officeDocument/2006/relationships/hyperlink" Target="https://pmc.ncbi.nlm.nih.gov/articles/PMC9963556/" TargetMode="External"/><Relationship Id="rId10" Type="http://schemas.openxmlformats.org/officeDocument/2006/relationships/hyperlink" Target="https://pmc.ncbi.nlm.nih.gov/articles/PMC5787626/" TargetMode="External"/><Relationship Id="rId19" Type="http://schemas.openxmlformats.org/officeDocument/2006/relationships/hyperlink" Target="https://pubmed.ncbi.nlm.nih.gov/23704781/"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bmj.com/content/351/bmj.h5973" TargetMode="External"/><Relationship Id="rId22" Type="http://schemas.openxmlformats.org/officeDocument/2006/relationships/hyperlink" Target="https://research.birmingham.ac.uk/en/publications/mid-staffordshire-a-case-study-of-failed-governance-and-leadershi/"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595AB5-E492-4774-A5F6-B7A34FC39D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TotalTime>
  <Pages>18</Pages>
  <Words>6591</Words>
  <Characters>37574</Characters>
  <Application>Microsoft Office Word</Application>
  <DocSecurity>0</DocSecurity>
  <Lines>313</Lines>
  <Paragraphs>88</Paragraphs>
  <ScaleCrop>false</ScaleCrop>
  <Company/>
  <LinksUpToDate>false</LinksUpToDate>
  <CharactersWithSpaces>44077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PRIYANKA</dc:creator>
  <cp:lastModifiedBy>PRIYANKA AHIR</cp:lastModifiedBy>
  <cp:revision>4</cp:revision>
  <dcterms:created xsi:type="dcterms:W3CDTF">2026-03-10T08:18:00Z</dcterms:created>
  <dcterms:modified xsi:type="dcterms:W3CDTF">2026-03-26T22:32:00Z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216BD75E003449ECA42F1A07FE5C0A9B_13</vt:lpwstr>
  </property>
</Properties>
</file>