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EC063C" w14:textId="77777777" w:rsidR="00733B71" w:rsidRPr="0015319F" w:rsidRDefault="00733B71" w:rsidP="00733B71">
      <w:pPr>
        <w:jc w:val="center"/>
        <w:rPr>
          <w:rFonts w:cs="Times New Roman"/>
        </w:rPr>
      </w:pPr>
      <w:r w:rsidRPr="0015319F">
        <w:rPr>
          <w:rFonts w:cs="Times New Roman"/>
          <w:noProof/>
          <w:lang w:eastAsia="en-GB"/>
        </w:rPr>
        <w:drawing>
          <wp:inline distT="0" distB="0" distL="0" distR="0" wp14:anchorId="3A347ACC" wp14:editId="0A57B7A8">
            <wp:extent cx="2867025" cy="1085850"/>
            <wp:effectExtent l="0" t="0" r="9525" b="0"/>
            <wp:docPr id="1" name="Picture 1" descr="University of Wales Trinity Saint David and Tata Steel - National Centre  for Universities &amp; Busin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and Tata Steel - National Centre  for Universities &amp; Business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7025" cy="108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B80123" w14:textId="77777777" w:rsidR="00733B71" w:rsidRPr="0015319F" w:rsidRDefault="00733B71" w:rsidP="00733B71">
      <w:pPr>
        <w:pStyle w:val="Title"/>
        <w:rPr>
          <w:rFonts w:cs="Times New Roman"/>
          <w:sz w:val="36"/>
        </w:rPr>
      </w:pPr>
      <w:r>
        <w:rPr>
          <w:rFonts w:cs="Times New Roman"/>
          <w:sz w:val="36"/>
        </w:rPr>
        <w:t xml:space="preserve">Module Code: </w:t>
      </w:r>
      <w:r w:rsidRPr="00626D03">
        <w:rPr>
          <w:rFonts w:cs="Times New Roman"/>
          <w:bCs/>
          <w:sz w:val="36"/>
        </w:rPr>
        <w:t>BMIH6001</w:t>
      </w:r>
    </w:p>
    <w:p w14:paraId="301097A6" w14:textId="77777777" w:rsidR="00733B71" w:rsidRDefault="00733B71" w:rsidP="00733B71">
      <w:pPr>
        <w:pStyle w:val="Title"/>
        <w:rPr>
          <w:rFonts w:cs="Times New Roman"/>
          <w:sz w:val="36"/>
        </w:rPr>
      </w:pPr>
      <w:r>
        <w:rPr>
          <w:rFonts w:cs="Times New Roman"/>
          <w:sz w:val="36"/>
        </w:rPr>
        <w:t xml:space="preserve">Module Name: </w:t>
      </w:r>
      <w:r w:rsidRPr="00626D03">
        <w:rPr>
          <w:rFonts w:cs="Times New Roman"/>
          <w:bCs/>
          <w:sz w:val="36"/>
        </w:rPr>
        <w:t>Contemporary Themes in the Hotel and Hospitality Sector</w:t>
      </w:r>
    </w:p>
    <w:p w14:paraId="07967F6B" w14:textId="77777777" w:rsidR="00733B71" w:rsidRPr="00626D03" w:rsidRDefault="00733B71" w:rsidP="00733B71"/>
    <w:p w14:paraId="33A2E39E" w14:textId="77777777" w:rsidR="00733B71" w:rsidRPr="0015319F" w:rsidRDefault="00733B71" w:rsidP="00733B71">
      <w:pPr>
        <w:pStyle w:val="Title"/>
        <w:rPr>
          <w:rFonts w:cs="Times New Roman"/>
          <w:sz w:val="36"/>
        </w:rPr>
      </w:pPr>
      <w:r w:rsidRPr="0015319F">
        <w:rPr>
          <w:rFonts w:cs="Times New Roman"/>
          <w:sz w:val="36"/>
        </w:rPr>
        <w:t xml:space="preserve">Assignment </w:t>
      </w:r>
      <w:r>
        <w:rPr>
          <w:rFonts w:cs="Times New Roman"/>
          <w:sz w:val="36"/>
        </w:rPr>
        <w:t>Two</w:t>
      </w:r>
      <w:r w:rsidRPr="0015319F">
        <w:rPr>
          <w:rFonts w:cs="Times New Roman"/>
          <w:sz w:val="36"/>
        </w:rPr>
        <w:t xml:space="preserve">: </w:t>
      </w:r>
      <w:r w:rsidRPr="00626D03">
        <w:rPr>
          <w:rFonts w:cs="Times New Roman"/>
          <w:bCs/>
          <w:sz w:val="36"/>
        </w:rPr>
        <w:t>Conference Presentation</w:t>
      </w:r>
      <w:r>
        <w:rPr>
          <w:rFonts w:cs="Times New Roman"/>
          <w:sz w:val="36"/>
        </w:rPr>
        <w:t xml:space="preserve"> </w:t>
      </w:r>
    </w:p>
    <w:p w14:paraId="0B0303A3" w14:textId="77777777" w:rsidR="00733B71" w:rsidRPr="00626D03" w:rsidRDefault="00733B71" w:rsidP="00733B71">
      <w:pPr>
        <w:pStyle w:val="Title"/>
        <w:rPr>
          <w:rFonts w:cs="Times New Roman"/>
          <w:b/>
          <w:bCs/>
          <w:sz w:val="36"/>
        </w:rPr>
      </w:pPr>
      <w:r w:rsidRPr="0015319F">
        <w:rPr>
          <w:rFonts w:cs="Times New Roman"/>
          <w:sz w:val="36"/>
        </w:rPr>
        <w:t xml:space="preserve">Theme: </w:t>
      </w:r>
      <w:r w:rsidRPr="00626D03">
        <w:rPr>
          <w:rFonts w:cs="Times New Roman"/>
          <w:bCs/>
          <w:sz w:val="36"/>
        </w:rPr>
        <w:t>Sustainability</w:t>
      </w:r>
    </w:p>
    <w:p w14:paraId="0DAF3286" w14:textId="77777777" w:rsidR="00733B71" w:rsidRPr="00626D03" w:rsidRDefault="00733B71" w:rsidP="00733B71"/>
    <w:p w14:paraId="1531FBE6" w14:textId="77777777" w:rsidR="00733B71" w:rsidRPr="00626D03" w:rsidRDefault="00733B71" w:rsidP="00733B71">
      <w:pPr>
        <w:jc w:val="center"/>
        <w:rPr>
          <w:rFonts w:cs="Times New Roman"/>
          <w:sz w:val="28"/>
          <w:szCs w:val="28"/>
        </w:rPr>
      </w:pPr>
      <w:r w:rsidRPr="00626D03">
        <w:rPr>
          <w:rFonts w:cs="Times New Roman"/>
          <w:b/>
          <w:bCs/>
          <w:sz w:val="28"/>
          <w:szCs w:val="28"/>
        </w:rPr>
        <w:t>Student Name</w:t>
      </w:r>
      <w:r w:rsidRPr="00626D03">
        <w:rPr>
          <w:rFonts w:cs="Times New Roman"/>
          <w:sz w:val="28"/>
          <w:szCs w:val="28"/>
        </w:rPr>
        <w:t>: Farzana Choudhury</w:t>
      </w:r>
    </w:p>
    <w:p w14:paraId="39996964" w14:textId="77777777" w:rsidR="00733B71" w:rsidRPr="00626D03" w:rsidRDefault="00733B71" w:rsidP="00733B71">
      <w:pPr>
        <w:jc w:val="center"/>
        <w:rPr>
          <w:rFonts w:cs="Times New Roman"/>
          <w:sz w:val="28"/>
          <w:szCs w:val="28"/>
        </w:rPr>
      </w:pPr>
      <w:r w:rsidRPr="00626D03">
        <w:rPr>
          <w:rFonts w:cs="Times New Roman"/>
          <w:b/>
          <w:bCs/>
          <w:sz w:val="28"/>
          <w:szCs w:val="28"/>
        </w:rPr>
        <w:t>Student ID</w:t>
      </w:r>
      <w:r w:rsidRPr="00626D03">
        <w:rPr>
          <w:rFonts w:cs="Times New Roman"/>
          <w:sz w:val="28"/>
          <w:szCs w:val="28"/>
        </w:rPr>
        <w:t xml:space="preserve">: </w:t>
      </w:r>
      <w:r w:rsidRPr="00706145">
        <w:rPr>
          <w:rFonts w:cs="Times New Roman"/>
          <w:sz w:val="28"/>
          <w:szCs w:val="28"/>
        </w:rPr>
        <w:t>2119795</w:t>
      </w:r>
    </w:p>
    <w:p w14:paraId="4D6CFC11" w14:textId="77777777" w:rsidR="00733B71" w:rsidRPr="00626D03" w:rsidRDefault="00733B71" w:rsidP="00733B71">
      <w:pPr>
        <w:jc w:val="center"/>
        <w:rPr>
          <w:rFonts w:cs="Times New Roman"/>
          <w:sz w:val="28"/>
          <w:szCs w:val="28"/>
        </w:rPr>
      </w:pPr>
      <w:r w:rsidRPr="00626D03">
        <w:rPr>
          <w:rFonts w:cs="Times New Roman"/>
          <w:b/>
          <w:bCs/>
          <w:sz w:val="28"/>
          <w:szCs w:val="28"/>
        </w:rPr>
        <w:t>Lecturer Name</w:t>
      </w:r>
      <w:r w:rsidRPr="00626D03">
        <w:rPr>
          <w:rFonts w:cs="Times New Roman"/>
          <w:sz w:val="28"/>
          <w:szCs w:val="28"/>
        </w:rPr>
        <w:t xml:space="preserve">: </w:t>
      </w:r>
      <w:r w:rsidRPr="00706145">
        <w:rPr>
          <w:rFonts w:cs="Times New Roman"/>
          <w:sz w:val="28"/>
          <w:szCs w:val="28"/>
        </w:rPr>
        <w:t xml:space="preserve">Dr Ernest </w:t>
      </w:r>
      <w:proofErr w:type="spellStart"/>
      <w:r w:rsidRPr="00706145">
        <w:rPr>
          <w:rFonts w:cs="Times New Roman"/>
          <w:sz w:val="28"/>
          <w:szCs w:val="28"/>
        </w:rPr>
        <w:t>Balutie</w:t>
      </w:r>
      <w:proofErr w:type="spellEnd"/>
      <w:r w:rsidRPr="00706145">
        <w:rPr>
          <w:rFonts w:cs="Times New Roman"/>
          <w:sz w:val="28"/>
          <w:szCs w:val="28"/>
        </w:rPr>
        <w:t xml:space="preserve"> </w:t>
      </w:r>
      <w:proofErr w:type="spellStart"/>
      <w:r w:rsidRPr="00706145">
        <w:rPr>
          <w:rFonts w:cs="Times New Roman"/>
          <w:sz w:val="28"/>
          <w:szCs w:val="28"/>
        </w:rPr>
        <w:t>Wavei</w:t>
      </w:r>
      <w:proofErr w:type="spellEnd"/>
    </w:p>
    <w:p w14:paraId="690EF0BD" w14:textId="77777777" w:rsidR="00733B71" w:rsidRDefault="00733B71" w:rsidP="00733B71">
      <w:pPr>
        <w:spacing w:line="259" w:lineRule="auto"/>
        <w:jc w:val="left"/>
        <w:rPr>
          <w:rFonts w:cs="Times New Roman"/>
        </w:rPr>
      </w:pPr>
      <w:r>
        <w:rPr>
          <w:rFonts w:cs="Times New Roman"/>
        </w:rPr>
        <w:br w:type="page"/>
      </w:r>
    </w:p>
    <w:p w14:paraId="7D367752" w14:textId="77777777" w:rsidR="00733B71" w:rsidRDefault="00733B71" w:rsidP="00733B71">
      <w:pPr>
        <w:jc w:val="center"/>
        <w:rPr>
          <w:rFonts w:cs="Times New Roman"/>
        </w:rPr>
      </w:pPr>
      <w:r>
        <w:rPr>
          <w:noProof/>
        </w:rPr>
        <w:lastRenderedPageBreak/>
        <w:drawing>
          <wp:inline distT="0" distB="0" distL="0" distR="0" wp14:anchorId="622D6FD0" wp14:editId="042758DB">
            <wp:extent cx="5943600" cy="3343275"/>
            <wp:effectExtent l="0" t="0" r="0" b="9525"/>
            <wp:docPr id="3180785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807856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C7DE0" w14:textId="77777777" w:rsidR="00733B71" w:rsidRDefault="00733B71" w:rsidP="00733B71">
      <w:pPr>
        <w:jc w:val="center"/>
        <w:rPr>
          <w:rFonts w:cs="Times New Roman"/>
        </w:rPr>
      </w:pPr>
      <w:r w:rsidRPr="002F1CA4">
        <w:rPr>
          <w:rFonts w:cs="Times New Roman"/>
          <w:noProof/>
        </w:rPr>
        <w:drawing>
          <wp:inline distT="0" distB="0" distL="0" distR="0" wp14:anchorId="74887850" wp14:editId="327C7C17">
            <wp:extent cx="5943600" cy="33426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5C23C" w14:textId="77777777" w:rsidR="00733B71" w:rsidRDefault="00733B71" w:rsidP="00733B71">
      <w:r w:rsidRPr="002F1CA4">
        <w:rPr>
          <w:noProof/>
        </w:rPr>
        <w:lastRenderedPageBreak/>
        <w:drawing>
          <wp:inline distT="0" distB="0" distL="0" distR="0" wp14:anchorId="6CB14EE7" wp14:editId="692CD7DF">
            <wp:extent cx="5943600" cy="33426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932B1" w14:textId="77777777" w:rsidR="00733B71" w:rsidRDefault="00733B71" w:rsidP="00733B71">
      <w:r w:rsidRPr="002F1CA4">
        <w:rPr>
          <w:noProof/>
        </w:rPr>
        <w:drawing>
          <wp:inline distT="0" distB="0" distL="0" distR="0" wp14:anchorId="78626BD6" wp14:editId="72CFEB2C">
            <wp:extent cx="5943600" cy="33426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A814D" w14:textId="77777777" w:rsidR="00733B71" w:rsidRDefault="00733B71" w:rsidP="00733B71">
      <w:r w:rsidRPr="002F1CA4">
        <w:rPr>
          <w:noProof/>
        </w:rPr>
        <w:lastRenderedPageBreak/>
        <w:drawing>
          <wp:inline distT="0" distB="0" distL="0" distR="0" wp14:anchorId="2D7DEFB2" wp14:editId="79DD614D">
            <wp:extent cx="5943600" cy="3342640"/>
            <wp:effectExtent l="0" t="0" r="0" b="0"/>
            <wp:docPr id="6" name="Picture 6" descr="A close-up of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-up of a scree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F3F03" w14:textId="77777777" w:rsidR="00733B71" w:rsidRDefault="00733B71" w:rsidP="00733B71">
      <w:r w:rsidRPr="002F1CA4">
        <w:rPr>
          <w:noProof/>
        </w:rPr>
        <w:drawing>
          <wp:inline distT="0" distB="0" distL="0" distR="0" wp14:anchorId="568B945D" wp14:editId="43C7A527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14057" w14:textId="77777777" w:rsidR="00733B71" w:rsidRDefault="00733B71" w:rsidP="00733B71">
      <w:r w:rsidRPr="00C55429">
        <w:rPr>
          <w:noProof/>
        </w:rPr>
        <w:lastRenderedPageBreak/>
        <w:drawing>
          <wp:inline distT="0" distB="0" distL="0" distR="0" wp14:anchorId="5D179C30" wp14:editId="05D5E5CB">
            <wp:extent cx="5943600" cy="3342640"/>
            <wp:effectExtent l="0" t="0" r="0" b="0"/>
            <wp:docPr id="12" name="Picture 12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diagram of a diagram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E12CF" w14:textId="77777777" w:rsidR="00733B71" w:rsidRDefault="00733B71" w:rsidP="00733B71">
      <w:r w:rsidRPr="002F1CA4">
        <w:rPr>
          <w:noProof/>
        </w:rPr>
        <w:drawing>
          <wp:inline distT="0" distB="0" distL="0" distR="0" wp14:anchorId="56325F65" wp14:editId="65827856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8E991" w14:textId="77777777" w:rsidR="00733B71" w:rsidRDefault="00733B71" w:rsidP="00733B71">
      <w:r w:rsidRPr="00C44ADB">
        <w:rPr>
          <w:noProof/>
        </w:rPr>
        <w:lastRenderedPageBreak/>
        <w:drawing>
          <wp:inline distT="0" distB="0" distL="0" distR="0" wp14:anchorId="4C85BB54" wp14:editId="4E2F7F2E">
            <wp:extent cx="5943600" cy="3343275"/>
            <wp:effectExtent l="0" t="0" r="0" b="9525"/>
            <wp:docPr id="10" name="Picture 10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close-up of a pap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5523B7" w14:textId="29463E6C" w:rsidR="00733B71" w:rsidRDefault="00733B71" w:rsidP="00733B71"/>
    <w:p w14:paraId="48D62979" w14:textId="77777777" w:rsidR="00733B71" w:rsidRDefault="00733B71" w:rsidP="00733B71">
      <w:pPr>
        <w:rPr>
          <w:b/>
          <w:bCs/>
          <w:sz w:val="32"/>
          <w:szCs w:val="32"/>
        </w:rPr>
      </w:pPr>
    </w:p>
    <w:p w14:paraId="715C0C50" w14:textId="77777777" w:rsidR="00733B71" w:rsidRDefault="00733B71" w:rsidP="00733B71">
      <w:pPr>
        <w:rPr>
          <w:b/>
          <w:bCs/>
          <w:sz w:val="32"/>
          <w:szCs w:val="32"/>
        </w:rPr>
      </w:pPr>
    </w:p>
    <w:p w14:paraId="134D5248" w14:textId="77777777" w:rsidR="00733B71" w:rsidRDefault="00733B71" w:rsidP="00733B71">
      <w:pPr>
        <w:rPr>
          <w:b/>
          <w:bCs/>
          <w:sz w:val="32"/>
          <w:szCs w:val="32"/>
        </w:rPr>
      </w:pPr>
    </w:p>
    <w:p w14:paraId="59C2EBCD" w14:textId="77777777" w:rsidR="00733B71" w:rsidRDefault="00733B71" w:rsidP="00733B71">
      <w:pPr>
        <w:rPr>
          <w:b/>
          <w:bCs/>
          <w:sz w:val="32"/>
          <w:szCs w:val="32"/>
        </w:rPr>
      </w:pPr>
    </w:p>
    <w:p w14:paraId="275924CA" w14:textId="77777777" w:rsidR="00733B71" w:rsidRDefault="00733B71" w:rsidP="00733B71">
      <w:pPr>
        <w:rPr>
          <w:b/>
          <w:bCs/>
          <w:sz w:val="32"/>
          <w:szCs w:val="32"/>
        </w:rPr>
      </w:pPr>
    </w:p>
    <w:p w14:paraId="6E1683F7" w14:textId="77777777" w:rsidR="00733B71" w:rsidRDefault="00733B71" w:rsidP="00733B71">
      <w:pPr>
        <w:rPr>
          <w:b/>
          <w:bCs/>
          <w:sz w:val="32"/>
          <w:szCs w:val="32"/>
        </w:rPr>
      </w:pPr>
    </w:p>
    <w:p w14:paraId="3487D0B1" w14:textId="77777777" w:rsidR="00733B71" w:rsidRDefault="00733B71" w:rsidP="00733B71">
      <w:pPr>
        <w:rPr>
          <w:b/>
          <w:bCs/>
          <w:sz w:val="32"/>
          <w:szCs w:val="32"/>
        </w:rPr>
      </w:pPr>
    </w:p>
    <w:p w14:paraId="0387AA1E" w14:textId="77777777" w:rsidR="00733B71" w:rsidRDefault="00733B71" w:rsidP="00733B71">
      <w:pPr>
        <w:rPr>
          <w:b/>
          <w:bCs/>
          <w:sz w:val="32"/>
          <w:szCs w:val="32"/>
        </w:rPr>
      </w:pPr>
    </w:p>
    <w:p w14:paraId="408AE708" w14:textId="77777777" w:rsidR="00733B71" w:rsidRDefault="00733B71" w:rsidP="00733B71">
      <w:pPr>
        <w:rPr>
          <w:b/>
          <w:bCs/>
          <w:sz w:val="32"/>
          <w:szCs w:val="32"/>
        </w:rPr>
      </w:pPr>
    </w:p>
    <w:p w14:paraId="17C2EAC5" w14:textId="77777777" w:rsidR="00733B71" w:rsidRDefault="00733B71" w:rsidP="00733B71">
      <w:pPr>
        <w:rPr>
          <w:b/>
          <w:bCs/>
          <w:sz w:val="32"/>
          <w:szCs w:val="32"/>
        </w:rPr>
      </w:pPr>
    </w:p>
    <w:p w14:paraId="6666324E" w14:textId="77777777" w:rsidR="00733B71" w:rsidRDefault="00733B71" w:rsidP="00733B71">
      <w:pPr>
        <w:rPr>
          <w:b/>
          <w:bCs/>
          <w:sz w:val="32"/>
          <w:szCs w:val="32"/>
        </w:rPr>
      </w:pPr>
    </w:p>
    <w:p w14:paraId="2147D443" w14:textId="0545EB72" w:rsidR="00733B71" w:rsidRPr="00706145" w:rsidRDefault="00733B71" w:rsidP="00733B71">
      <w:pPr>
        <w:rPr>
          <w:b/>
          <w:bCs/>
          <w:sz w:val="32"/>
          <w:szCs w:val="32"/>
        </w:rPr>
      </w:pPr>
      <w:r w:rsidRPr="00626D03">
        <w:rPr>
          <w:b/>
          <w:bCs/>
          <w:sz w:val="32"/>
          <w:szCs w:val="32"/>
        </w:rPr>
        <w:lastRenderedPageBreak/>
        <w:t xml:space="preserve">References: </w:t>
      </w:r>
    </w:p>
    <w:p w14:paraId="5BA6CB55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proofErr w:type="spellStart"/>
      <w:r w:rsidRPr="0015319F">
        <w:t>Alreahi</w:t>
      </w:r>
      <w:proofErr w:type="spellEnd"/>
      <w:r w:rsidRPr="0015319F">
        <w:t xml:space="preserve">, M., Bujdosó, Z., Dávid, L.D. and Gyenge, B. (2023). Green Supply Chain Management in Hotel Industry: A Systematic Review. </w:t>
      </w:r>
      <w:r w:rsidRPr="0015319F">
        <w:rPr>
          <w:i/>
          <w:iCs/>
        </w:rPr>
        <w:t>Sustainability</w:t>
      </w:r>
      <w:r w:rsidRPr="0015319F">
        <w:t xml:space="preserve">, 15(7), p.5622. </w:t>
      </w:r>
      <w:proofErr w:type="spellStart"/>
      <w:proofErr w:type="gramStart"/>
      <w:r w:rsidRPr="0015319F">
        <w:t>doi:https</w:t>
      </w:r>
      <w:proofErr w:type="spellEnd"/>
      <w:r w:rsidRPr="0015319F">
        <w:t>://doi.org/10.3390/su15075622</w:t>
      </w:r>
      <w:proofErr w:type="gramEnd"/>
      <w:r w:rsidRPr="0015319F">
        <w:t>.</w:t>
      </w:r>
    </w:p>
    <w:p w14:paraId="28D3502D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Bux, C. and </w:t>
      </w:r>
      <w:proofErr w:type="spellStart"/>
      <w:r w:rsidRPr="0015319F">
        <w:t>Amicarelli</w:t>
      </w:r>
      <w:proofErr w:type="spellEnd"/>
      <w:r w:rsidRPr="0015319F">
        <w:t xml:space="preserve">, V. (2022). Circular economy and sustainable strategies in the hospitality industry: Current trends and empirical implications. </w:t>
      </w:r>
      <w:r w:rsidRPr="0015319F">
        <w:rPr>
          <w:i/>
          <w:iCs/>
        </w:rPr>
        <w:t>Tourism and Hospitality Research</w:t>
      </w:r>
      <w:r w:rsidRPr="0015319F">
        <w:t xml:space="preserve">, p.146735842211195. </w:t>
      </w:r>
      <w:proofErr w:type="spellStart"/>
      <w:proofErr w:type="gramStart"/>
      <w:r w:rsidRPr="0015319F">
        <w:t>doi:https</w:t>
      </w:r>
      <w:proofErr w:type="spellEnd"/>
      <w:r w:rsidRPr="0015319F">
        <w:t>://doi.org/10.1177/14673584221119581</w:t>
      </w:r>
      <w:proofErr w:type="gramEnd"/>
      <w:r w:rsidRPr="0015319F">
        <w:t>.</w:t>
      </w:r>
    </w:p>
    <w:p w14:paraId="4DB78F16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proofErr w:type="spellStart"/>
      <w:r w:rsidRPr="0015319F">
        <w:t>Cerchione</w:t>
      </w:r>
      <w:proofErr w:type="spellEnd"/>
      <w:r w:rsidRPr="0015319F">
        <w:t xml:space="preserve">, R. and Bansal, H. (2019). Measuring the Impact of Sustainability Policy and Practices in Tourism and Hospitality Industry. </w:t>
      </w:r>
      <w:r w:rsidRPr="0015319F">
        <w:rPr>
          <w:i/>
          <w:iCs/>
        </w:rPr>
        <w:t>Business Strategy and the Environment</w:t>
      </w:r>
      <w:r w:rsidRPr="0015319F">
        <w:t>, 29(3).</w:t>
      </w:r>
    </w:p>
    <w:p w14:paraId="15F91670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Dael, R.J. and Saab, R.A. (2023). Green Practices in The Hotel Industry: Proposed Implications to The Environmentally Appropriate Programs. </w:t>
      </w:r>
      <w:r w:rsidRPr="0015319F">
        <w:rPr>
          <w:i/>
          <w:iCs/>
        </w:rPr>
        <w:t>British Journal of Multidisciplinary and Advanced Studies</w:t>
      </w:r>
      <w:r w:rsidRPr="0015319F">
        <w:t xml:space="preserve">, 4(3), pp.14–34. </w:t>
      </w:r>
      <w:proofErr w:type="spellStart"/>
      <w:proofErr w:type="gramStart"/>
      <w:r w:rsidRPr="0015319F">
        <w:t>doi:https</w:t>
      </w:r>
      <w:proofErr w:type="spellEnd"/>
      <w:r w:rsidRPr="0015319F">
        <w:t>://doi.org/10.37745/bjmas.2022.0195</w:t>
      </w:r>
      <w:proofErr w:type="gramEnd"/>
      <w:r w:rsidRPr="0015319F">
        <w:t>.</w:t>
      </w:r>
    </w:p>
    <w:p w14:paraId="0FDE7931" w14:textId="77777777" w:rsidR="00733B71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Deloitte (2023). </w:t>
      </w:r>
      <w:r w:rsidRPr="0015319F">
        <w:rPr>
          <w:i/>
          <w:iCs/>
        </w:rPr>
        <w:t>Sustainability in the hospitality industry | Deloitte UK</w:t>
      </w:r>
      <w:r w:rsidRPr="0015319F">
        <w:t>. [online] www.deloitte.com. Available at: https://www.deloitte.com/uk/en/Industries/consumer/blogs/sustainability-in-the-hospitality-industry.html [Accessed 1</w:t>
      </w:r>
      <w:r>
        <w:t>9</w:t>
      </w:r>
      <w:r w:rsidRPr="0015319F">
        <w:t xml:space="preserve"> Oct. 2024].</w:t>
      </w:r>
    </w:p>
    <w:p w14:paraId="64DC109C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proofErr w:type="spellStart"/>
      <w:r w:rsidRPr="0015319F">
        <w:t>Floričić</w:t>
      </w:r>
      <w:proofErr w:type="spellEnd"/>
      <w:r w:rsidRPr="0015319F">
        <w:t xml:space="preserve">, T. (2020). Sustainable Solutions in the Hospitality Industry and Competitiveness Context of ‘Green Hotels’. </w:t>
      </w:r>
      <w:r w:rsidRPr="0015319F">
        <w:rPr>
          <w:i/>
          <w:iCs/>
        </w:rPr>
        <w:t>Civil Engineering Journal</w:t>
      </w:r>
      <w:r w:rsidRPr="0015319F">
        <w:t xml:space="preserve">, 6(6), pp.1104–1113. </w:t>
      </w:r>
      <w:proofErr w:type="spellStart"/>
      <w:proofErr w:type="gramStart"/>
      <w:r w:rsidRPr="0015319F">
        <w:t>doi:https</w:t>
      </w:r>
      <w:proofErr w:type="spellEnd"/>
      <w:r w:rsidRPr="0015319F">
        <w:t>://doi.org/10.28991/cej-2020-03091532</w:t>
      </w:r>
      <w:proofErr w:type="gramEnd"/>
      <w:r w:rsidRPr="0015319F">
        <w:t>.</w:t>
      </w:r>
    </w:p>
    <w:p w14:paraId="69761945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Fonseca, A.P. and Carnicelli, S. (2021). Corporate Social Responsibility and Sustainability in a Hospitality Family Business. </w:t>
      </w:r>
      <w:r w:rsidRPr="0015319F">
        <w:rPr>
          <w:i/>
          <w:iCs/>
        </w:rPr>
        <w:t>Sustainability</w:t>
      </w:r>
      <w:r w:rsidRPr="0015319F">
        <w:t xml:space="preserve">, 13(13), p.7091. </w:t>
      </w:r>
      <w:proofErr w:type="spellStart"/>
      <w:proofErr w:type="gramStart"/>
      <w:r w:rsidRPr="0015319F">
        <w:t>doi:https</w:t>
      </w:r>
      <w:proofErr w:type="spellEnd"/>
      <w:r w:rsidRPr="0015319F">
        <w:t>://doi.org/10.3390/su13137091</w:t>
      </w:r>
      <w:proofErr w:type="gramEnd"/>
      <w:r w:rsidRPr="0015319F">
        <w:t>.</w:t>
      </w:r>
    </w:p>
    <w:p w14:paraId="72B45BC8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Ford, R.C. and Sturman, M.C. (2020). </w:t>
      </w:r>
      <w:r w:rsidRPr="0015319F">
        <w:rPr>
          <w:i/>
          <w:iCs/>
        </w:rPr>
        <w:t xml:space="preserve">Managing hospitality </w:t>
      </w:r>
      <w:proofErr w:type="gramStart"/>
      <w:r w:rsidRPr="0015319F">
        <w:rPr>
          <w:i/>
          <w:iCs/>
        </w:rPr>
        <w:t>organizations :</w:t>
      </w:r>
      <w:proofErr w:type="gramEnd"/>
      <w:r w:rsidRPr="0015319F">
        <w:rPr>
          <w:i/>
          <w:iCs/>
        </w:rPr>
        <w:t xml:space="preserve"> achieving excellence in the guest experience</w:t>
      </w:r>
      <w:r w:rsidRPr="0015319F">
        <w:t>. 2nd ed. Thousand Oaks, California: Sage Publications, Inc.</w:t>
      </w:r>
    </w:p>
    <w:p w14:paraId="0C320132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lastRenderedPageBreak/>
        <w:t xml:space="preserve">Franzoni, S., Sarwar, H. and Ishaq, M.I. (2021). The Mediating Role of HRM in the Relationship between CSR and Performance in the Hospitality Industry. </w:t>
      </w:r>
      <w:r w:rsidRPr="0015319F">
        <w:rPr>
          <w:i/>
          <w:iCs/>
        </w:rPr>
        <w:t>Sustainability</w:t>
      </w:r>
      <w:r w:rsidRPr="0015319F">
        <w:t xml:space="preserve">, 13(24), p.13699. </w:t>
      </w:r>
      <w:proofErr w:type="spellStart"/>
      <w:proofErr w:type="gramStart"/>
      <w:r w:rsidRPr="0015319F">
        <w:t>doi:https</w:t>
      </w:r>
      <w:proofErr w:type="spellEnd"/>
      <w:r w:rsidRPr="0015319F">
        <w:t>://doi.org/10.3390/su132413699</w:t>
      </w:r>
      <w:proofErr w:type="gramEnd"/>
      <w:r w:rsidRPr="0015319F">
        <w:t>.</w:t>
      </w:r>
    </w:p>
    <w:p w14:paraId="75648040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Ioannidis, A., Chalvatzis, K.J., </w:t>
      </w:r>
      <w:proofErr w:type="spellStart"/>
      <w:r w:rsidRPr="0015319F">
        <w:t>Leonidou</w:t>
      </w:r>
      <w:proofErr w:type="spellEnd"/>
      <w:r w:rsidRPr="0015319F">
        <w:t xml:space="preserve">, L.C. and Feng, Z. (2021). Applying the reduce, reuse, and recycle principle in the hospitality sector: Its antecedents and performance implications. </w:t>
      </w:r>
      <w:r w:rsidRPr="0015319F">
        <w:rPr>
          <w:i/>
          <w:iCs/>
        </w:rPr>
        <w:t>Business Strategy and the Environment</w:t>
      </w:r>
      <w:r w:rsidRPr="0015319F">
        <w:t xml:space="preserve">, 30(7). </w:t>
      </w:r>
      <w:proofErr w:type="spellStart"/>
      <w:proofErr w:type="gramStart"/>
      <w:r w:rsidRPr="0015319F">
        <w:t>doi:https</w:t>
      </w:r>
      <w:proofErr w:type="spellEnd"/>
      <w:r w:rsidRPr="0015319F">
        <w:t>://doi.org/10.1002/bse.2809</w:t>
      </w:r>
      <w:proofErr w:type="gramEnd"/>
      <w:r w:rsidRPr="0015319F">
        <w:t>.</w:t>
      </w:r>
    </w:p>
    <w:p w14:paraId="2B991415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Legrand, W., Sloan, P. and Chen, J.S. (2022). </w:t>
      </w:r>
      <w:r w:rsidRPr="0015319F">
        <w:rPr>
          <w:i/>
          <w:iCs/>
        </w:rPr>
        <w:t xml:space="preserve">Sustainability in the hospitality </w:t>
      </w:r>
      <w:proofErr w:type="gramStart"/>
      <w:r w:rsidRPr="0015319F">
        <w:rPr>
          <w:i/>
          <w:iCs/>
        </w:rPr>
        <w:t>industry :</w:t>
      </w:r>
      <w:proofErr w:type="gramEnd"/>
      <w:r w:rsidRPr="0015319F">
        <w:rPr>
          <w:i/>
          <w:iCs/>
        </w:rPr>
        <w:t xml:space="preserve"> principles of sustainable operations</w:t>
      </w:r>
      <w:r w:rsidRPr="0015319F">
        <w:t>. 3rd ed. Abingdon, Oxon: Routledge.</w:t>
      </w:r>
    </w:p>
    <w:p w14:paraId="2AA434C9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Mckinsey.com (2024). </w:t>
      </w:r>
      <w:r w:rsidRPr="0015319F">
        <w:rPr>
          <w:i/>
          <w:iCs/>
        </w:rPr>
        <w:t>Sustainability matters. Together we’ll make it real.</w:t>
      </w:r>
      <w:r w:rsidRPr="0015319F">
        <w:t xml:space="preserve"> [online] McKinsey &amp; Company. Available at: https://www.mckinsey.com/capabilities/sustainability/how-we-help-clients?cid=susti24-pse-ggl-mbm-m01-susti24-nsa-oth&amp;gad_source=1&amp;gclid=Cj0KCQjwsc24BhDPARIsAFXqAB2vFOesjHhYKN2xUDB-WmEbJJidkkXctBa0OWHWPQxT6AK_osW1NpEaAnDOEALw_wcB [Accessed 19 Oct. 2024].</w:t>
      </w:r>
    </w:p>
    <w:p w14:paraId="7889BD9C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Olaleye, B.R., Abdurrashid, I. and </w:t>
      </w:r>
      <w:proofErr w:type="spellStart"/>
      <w:r w:rsidRPr="0015319F">
        <w:t>Hrouga</w:t>
      </w:r>
      <w:proofErr w:type="spellEnd"/>
      <w:r w:rsidRPr="0015319F">
        <w:t xml:space="preserve">, M. (2023). Organizational sustainability and TQM practices in hospitality industry: employee-employer perception. </w:t>
      </w:r>
      <w:r w:rsidRPr="0015319F">
        <w:rPr>
          <w:i/>
          <w:iCs/>
        </w:rPr>
        <w:t xml:space="preserve">The </w:t>
      </w:r>
      <w:proofErr w:type="spellStart"/>
      <w:r w:rsidRPr="0015319F">
        <w:rPr>
          <w:i/>
          <w:iCs/>
        </w:rPr>
        <w:t>Tqm</w:t>
      </w:r>
      <w:proofErr w:type="spellEnd"/>
      <w:r w:rsidRPr="0015319F">
        <w:rPr>
          <w:i/>
          <w:iCs/>
        </w:rPr>
        <w:t xml:space="preserve"> Journal</w:t>
      </w:r>
      <w:r w:rsidRPr="0015319F">
        <w:t xml:space="preserve">. </w:t>
      </w:r>
      <w:proofErr w:type="spellStart"/>
      <w:proofErr w:type="gramStart"/>
      <w:r w:rsidRPr="0015319F">
        <w:t>doi:https</w:t>
      </w:r>
      <w:proofErr w:type="spellEnd"/>
      <w:r w:rsidRPr="0015319F">
        <w:t>://doi.org/10.1108/tqm-10-2022-0306</w:t>
      </w:r>
      <w:proofErr w:type="gramEnd"/>
      <w:r w:rsidRPr="0015319F">
        <w:t>.</w:t>
      </w:r>
    </w:p>
    <w:p w14:paraId="573C0B86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Tansel, T. (2021). Analysing Waste Management and Recycling Practices for the Hotel Industry. </w:t>
      </w:r>
      <w:r w:rsidRPr="0015319F">
        <w:rPr>
          <w:i/>
          <w:iCs/>
        </w:rPr>
        <w:t>Journal of Environmental Management and Tourism</w:t>
      </w:r>
      <w:r w:rsidRPr="0015319F">
        <w:t xml:space="preserve">, 12(2), p.382. </w:t>
      </w:r>
      <w:proofErr w:type="spellStart"/>
      <w:proofErr w:type="gramStart"/>
      <w:r w:rsidRPr="0015319F">
        <w:t>doi:https</w:t>
      </w:r>
      <w:proofErr w:type="spellEnd"/>
      <w:r w:rsidRPr="0015319F">
        <w:t>://doi.org/10.14505//jemt.v12.2(50).07</w:t>
      </w:r>
      <w:proofErr w:type="gramEnd"/>
      <w:r w:rsidRPr="0015319F">
        <w:t>.</w:t>
      </w:r>
    </w:p>
    <w:p w14:paraId="3592E547" w14:textId="77777777" w:rsidR="00733B71" w:rsidRPr="0015319F" w:rsidRDefault="00733B71" w:rsidP="00733B71">
      <w:pPr>
        <w:pStyle w:val="NormalWeb"/>
        <w:spacing w:before="0" w:beforeAutospacing="0" w:after="240" w:afterAutospacing="0" w:line="360" w:lineRule="auto"/>
        <w:jc w:val="both"/>
      </w:pPr>
      <w:r w:rsidRPr="0015319F">
        <w:t xml:space="preserve">UKhospitality.org.uk (2024). </w:t>
      </w:r>
      <w:r w:rsidRPr="0015319F">
        <w:rPr>
          <w:i/>
          <w:iCs/>
        </w:rPr>
        <w:t>Sustainability guide</w:t>
      </w:r>
      <w:r w:rsidRPr="0015319F">
        <w:t xml:space="preserve">. [online] </w:t>
      </w:r>
      <w:proofErr w:type="spellStart"/>
      <w:r w:rsidRPr="0015319F">
        <w:t>UKHospitality</w:t>
      </w:r>
      <w:proofErr w:type="spellEnd"/>
      <w:r w:rsidRPr="0015319F">
        <w:t>. Available at: https://www.ukhospitality.org.uk/work/sustainability-guide/ [Accessed 19 Oct. 2024].</w:t>
      </w:r>
    </w:p>
    <w:p w14:paraId="0E6D8ACD" w14:textId="5F72A736" w:rsidR="00947490" w:rsidRDefault="00733B71" w:rsidP="00733B71">
      <w:r w:rsidRPr="0015319F">
        <w:t xml:space="preserve">Uyar, A., </w:t>
      </w:r>
      <w:proofErr w:type="spellStart"/>
      <w:r w:rsidRPr="0015319F">
        <w:t>Koseoglu</w:t>
      </w:r>
      <w:proofErr w:type="spellEnd"/>
      <w:r w:rsidRPr="0015319F">
        <w:t xml:space="preserve">, M.A., Kılıç, M. and Mehraliyev, F. (2020). Thematic structure of sustainability reports of the hospitality and tourism sector: A periodical, regional, and format-based analysis. </w:t>
      </w:r>
      <w:r w:rsidRPr="0015319F">
        <w:rPr>
          <w:i/>
          <w:iCs/>
        </w:rPr>
        <w:t>Current Issues in Tourism</w:t>
      </w:r>
      <w:r w:rsidRPr="0015319F">
        <w:t xml:space="preserve">, 24(18), pp.2602–2627. </w:t>
      </w:r>
      <w:proofErr w:type="spellStart"/>
      <w:proofErr w:type="gramStart"/>
      <w:r w:rsidRPr="0015319F">
        <w:t>doi:https</w:t>
      </w:r>
      <w:proofErr w:type="spellEnd"/>
      <w:r w:rsidRPr="0015319F">
        <w:t>://doi.org/10.1080/13683500.2020.1847050</w:t>
      </w:r>
      <w:proofErr w:type="gramEnd"/>
    </w:p>
    <w:p w14:paraId="3A661D0B" w14:textId="77777777" w:rsidR="00733B71" w:rsidRDefault="00733B71" w:rsidP="00733B71"/>
    <w:sectPr w:rsidR="00733B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B71"/>
    <w:rsid w:val="00733B71"/>
    <w:rsid w:val="00764551"/>
    <w:rsid w:val="008C2372"/>
    <w:rsid w:val="00947490"/>
    <w:rsid w:val="00AE11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AD504"/>
  <w15:chartTrackingRefBased/>
  <w15:docId w15:val="{27816CCA-8E33-47C8-B3D6-90D9F9A36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3B71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33B71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3B71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3B71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3B71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3B71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3B71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3B71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3B71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3B71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B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3B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3B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3B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3B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3B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3B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3B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3B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3B71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33B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3B71"/>
    <w:pPr>
      <w:numPr>
        <w:ilvl w:val="1"/>
      </w:numPr>
      <w:spacing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33B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3B71"/>
    <w:pPr>
      <w:spacing w:before="160" w:line="259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33B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3B71"/>
    <w:pPr>
      <w:spacing w:line="259" w:lineRule="auto"/>
      <w:ind w:left="720"/>
      <w:contextualSpacing/>
      <w:jc w:val="left"/>
    </w:pPr>
    <w:rPr>
      <w:rFonts w:asciiTheme="minorHAnsi" w:hAnsiTheme="minorHAnsi"/>
      <w:kern w:val="2"/>
      <w:sz w:val="2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33B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3B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3B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3B7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33B71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sv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590</Words>
  <Characters>3369</Characters>
  <Application>Microsoft Office Word</Application>
  <DocSecurity>0</DocSecurity>
  <Lines>28</Lines>
  <Paragraphs>7</Paragraphs>
  <ScaleCrop>false</ScaleCrop>
  <Company/>
  <LinksUpToDate>false</LinksUpToDate>
  <CharactersWithSpaces>3952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Mahima Choudhury</dc:creator>
  <cp:keywords/>
  <dc:description/>
  <cp:lastModifiedBy>447305776028</cp:lastModifiedBy>
  <cp:revision>1</cp:revision>
  <dcterms:created xsi:type="dcterms:W3CDTF">2024-11-06T22:28:00Z</dcterms:created>
  <dcterms:modified xsi:type="dcterms:W3CDTF">2024-11-06T22:35:00Z</dcterms:modified>
</cp:coreProperties>
</file>