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7765E"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5E54E6DD"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7A2989A5"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26926538" w14:textId="77777777" w:rsidR="0050507E" w:rsidRDefault="0050507E" w:rsidP="009A7B05">
      <w:pPr>
        <w:spacing w:after="0"/>
        <w:contextualSpacing/>
        <w:jc w:val="center"/>
        <w:rPr>
          <w:rStyle w:val="full"/>
          <w:rFonts w:ascii="Times New Roman" w:hAnsi="Times New Roman" w:cs="Times New Roman"/>
          <w:b/>
          <w:color w:val="000000"/>
          <w:sz w:val="24"/>
          <w:szCs w:val="24"/>
        </w:rPr>
      </w:pPr>
    </w:p>
    <w:p w14:paraId="5941ECEF" w14:textId="77777777" w:rsidR="009A7B05" w:rsidRPr="009A7B05" w:rsidRDefault="009A7B05" w:rsidP="009A7B05">
      <w:pPr>
        <w:spacing w:after="0"/>
        <w:contextualSpacing/>
        <w:jc w:val="center"/>
        <w:rPr>
          <w:rStyle w:val="full"/>
          <w:rFonts w:ascii="Times New Roman" w:hAnsi="Times New Roman" w:cs="Times New Roman"/>
          <w:b/>
          <w:color w:val="000000"/>
          <w:sz w:val="24"/>
          <w:szCs w:val="24"/>
        </w:rPr>
      </w:pPr>
    </w:p>
    <w:p w14:paraId="512B73A0"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0AFFA30F"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0C1F3970" w14:textId="77777777" w:rsidR="0050507E" w:rsidRPr="009A7B05" w:rsidRDefault="0050507E" w:rsidP="009A7B05">
      <w:pPr>
        <w:spacing w:after="0"/>
        <w:contextualSpacing/>
        <w:jc w:val="center"/>
        <w:rPr>
          <w:rStyle w:val="full"/>
          <w:rFonts w:ascii="Times New Roman" w:hAnsi="Times New Roman" w:cs="Times New Roman"/>
          <w:b/>
          <w:color w:val="000000"/>
          <w:sz w:val="24"/>
          <w:szCs w:val="24"/>
        </w:rPr>
      </w:pPr>
    </w:p>
    <w:p w14:paraId="24EB4000" w14:textId="77777777" w:rsidR="0050507E" w:rsidRPr="009A7B05" w:rsidRDefault="003270F8" w:rsidP="009A7B05">
      <w:pPr>
        <w:spacing w:after="0"/>
        <w:contextualSpacing/>
        <w:jc w:val="center"/>
        <w:rPr>
          <w:rStyle w:val="full"/>
          <w:rFonts w:ascii="Times New Roman" w:hAnsi="Times New Roman" w:cs="Times New Roman"/>
          <w:b/>
          <w:color w:val="000000"/>
          <w:sz w:val="24"/>
          <w:szCs w:val="24"/>
        </w:rPr>
      </w:pPr>
      <w:r w:rsidRPr="009A7B05">
        <w:rPr>
          <w:rStyle w:val="full"/>
          <w:rFonts w:ascii="Times New Roman" w:hAnsi="Times New Roman" w:cs="Times New Roman"/>
          <w:b/>
          <w:color w:val="000000"/>
          <w:sz w:val="24"/>
          <w:szCs w:val="24"/>
        </w:rPr>
        <w:t>Community Engagement</w:t>
      </w:r>
      <w:r w:rsidR="001B78EA" w:rsidRPr="009A7B05">
        <w:rPr>
          <w:rStyle w:val="full"/>
          <w:rFonts w:ascii="Times New Roman" w:hAnsi="Times New Roman" w:cs="Times New Roman"/>
          <w:b/>
          <w:color w:val="000000"/>
          <w:sz w:val="24"/>
          <w:szCs w:val="24"/>
        </w:rPr>
        <w:t xml:space="preserve"> of Brent Council </w:t>
      </w:r>
    </w:p>
    <w:p w14:paraId="70031052" w14:textId="37185A85" w:rsidR="0050507E" w:rsidRPr="009A7B05" w:rsidRDefault="003270F8" w:rsidP="009A7B05">
      <w:pPr>
        <w:spacing w:after="0"/>
        <w:contextualSpacing/>
        <w:jc w:val="center"/>
        <w:rPr>
          <w:rStyle w:val="full"/>
          <w:rFonts w:ascii="Times New Roman" w:hAnsi="Times New Roman" w:cs="Times New Roman"/>
          <w:color w:val="000000"/>
          <w:sz w:val="24"/>
          <w:szCs w:val="24"/>
        </w:rPr>
      </w:pPr>
      <w:r w:rsidRPr="009A7B05">
        <w:rPr>
          <w:rStyle w:val="full"/>
          <w:rFonts w:ascii="Times New Roman" w:hAnsi="Times New Roman" w:cs="Times New Roman"/>
          <w:color w:val="000000"/>
          <w:sz w:val="24"/>
          <w:szCs w:val="24"/>
        </w:rPr>
        <w:t>Student ID:</w:t>
      </w:r>
      <w:r w:rsidR="00B919BE">
        <w:rPr>
          <w:rStyle w:val="full"/>
          <w:rFonts w:ascii="Times New Roman" w:hAnsi="Times New Roman" w:cs="Times New Roman"/>
          <w:color w:val="000000"/>
          <w:sz w:val="24"/>
          <w:szCs w:val="24"/>
        </w:rPr>
        <w:t xml:space="preserve">  2217144</w:t>
      </w:r>
    </w:p>
    <w:p w14:paraId="40960F34" w14:textId="1EA6D226" w:rsidR="0050507E" w:rsidRPr="009A7B05" w:rsidRDefault="003270F8" w:rsidP="009A7B05">
      <w:pPr>
        <w:spacing w:after="0"/>
        <w:contextualSpacing/>
        <w:jc w:val="center"/>
        <w:rPr>
          <w:rStyle w:val="full"/>
          <w:rFonts w:ascii="Times New Roman" w:hAnsi="Times New Roman" w:cs="Times New Roman"/>
          <w:color w:val="000000"/>
          <w:sz w:val="24"/>
          <w:szCs w:val="24"/>
        </w:rPr>
      </w:pPr>
      <w:r w:rsidRPr="009A7B05">
        <w:rPr>
          <w:rStyle w:val="full"/>
          <w:rFonts w:ascii="Times New Roman" w:hAnsi="Times New Roman" w:cs="Times New Roman"/>
          <w:color w:val="000000"/>
          <w:sz w:val="24"/>
          <w:szCs w:val="24"/>
        </w:rPr>
        <w:t>Tutor’s Name:</w:t>
      </w:r>
      <w:r w:rsidR="00B919BE">
        <w:rPr>
          <w:rStyle w:val="full"/>
          <w:rFonts w:ascii="Times New Roman" w:hAnsi="Times New Roman" w:cs="Times New Roman"/>
          <w:color w:val="000000"/>
          <w:sz w:val="24"/>
          <w:szCs w:val="24"/>
        </w:rPr>
        <w:t xml:space="preserve"> Nadeem Mirza </w:t>
      </w:r>
    </w:p>
    <w:p w14:paraId="57D209A4" w14:textId="049F0316" w:rsidR="0050507E" w:rsidRPr="009A7B05" w:rsidRDefault="003270F8" w:rsidP="009A7B05">
      <w:pPr>
        <w:spacing w:after="0"/>
        <w:contextualSpacing/>
        <w:jc w:val="center"/>
        <w:rPr>
          <w:rStyle w:val="full"/>
          <w:rFonts w:ascii="Times New Roman" w:hAnsi="Times New Roman" w:cs="Times New Roman"/>
          <w:color w:val="000000"/>
          <w:sz w:val="24"/>
          <w:szCs w:val="24"/>
        </w:rPr>
      </w:pPr>
      <w:r w:rsidRPr="009A7B05">
        <w:rPr>
          <w:rStyle w:val="full"/>
          <w:rFonts w:ascii="Times New Roman" w:hAnsi="Times New Roman" w:cs="Times New Roman"/>
          <w:color w:val="000000"/>
          <w:sz w:val="24"/>
          <w:szCs w:val="24"/>
        </w:rPr>
        <w:t>Due Date:</w:t>
      </w:r>
      <w:r w:rsidR="00B919BE">
        <w:rPr>
          <w:rStyle w:val="full"/>
          <w:rFonts w:ascii="Times New Roman" w:hAnsi="Times New Roman" w:cs="Times New Roman"/>
          <w:color w:val="000000"/>
          <w:sz w:val="24"/>
          <w:szCs w:val="24"/>
        </w:rPr>
        <w:t xml:space="preserve"> 08/04/2023</w:t>
      </w:r>
    </w:p>
    <w:p w14:paraId="2FC8CAEC"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451D7A41"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16E7E423"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5927C1FE"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54A1EB7"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7892C78"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147BD735"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DFBB709"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CA9C99B"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48A82A88"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76747A8B"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D8E3036"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02DC826E" w14:textId="77777777" w:rsidR="0050507E" w:rsidRDefault="0050507E" w:rsidP="009A7B05">
      <w:pPr>
        <w:spacing w:after="0"/>
        <w:contextualSpacing/>
        <w:jc w:val="center"/>
        <w:rPr>
          <w:rFonts w:ascii="Times New Roman" w:hAnsi="Times New Roman" w:cs="Times New Roman"/>
          <w:color w:val="000000"/>
          <w:sz w:val="24"/>
          <w:szCs w:val="24"/>
        </w:rPr>
      </w:pPr>
    </w:p>
    <w:p w14:paraId="60845E58" w14:textId="77777777" w:rsidR="009A7B05" w:rsidRPr="009A7B05" w:rsidRDefault="009A7B05" w:rsidP="009A7B05">
      <w:pPr>
        <w:spacing w:after="0"/>
        <w:contextualSpacing/>
        <w:jc w:val="center"/>
        <w:rPr>
          <w:rFonts w:ascii="Times New Roman" w:hAnsi="Times New Roman" w:cs="Times New Roman"/>
          <w:color w:val="000000"/>
          <w:sz w:val="24"/>
          <w:szCs w:val="24"/>
        </w:rPr>
      </w:pPr>
    </w:p>
    <w:p w14:paraId="51245280"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797DE4FE" w14:textId="77777777" w:rsidR="0050507E" w:rsidRPr="009A7B05" w:rsidRDefault="0050507E" w:rsidP="009A7B05">
      <w:pPr>
        <w:spacing w:after="0"/>
        <w:contextualSpacing/>
        <w:rPr>
          <w:rFonts w:ascii="Times New Roman" w:hAnsi="Times New Roman" w:cs="Times New Roman"/>
          <w:color w:val="000000"/>
          <w:sz w:val="24"/>
          <w:szCs w:val="24"/>
        </w:rPr>
      </w:pPr>
    </w:p>
    <w:p w14:paraId="6DC6E513" w14:textId="77777777" w:rsidR="0050507E" w:rsidRPr="009A7B05" w:rsidRDefault="0050507E" w:rsidP="009A7B05">
      <w:pPr>
        <w:spacing w:after="0"/>
        <w:contextualSpacing/>
        <w:rPr>
          <w:rFonts w:ascii="Times New Roman" w:hAnsi="Times New Roman" w:cs="Times New Roman"/>
          <w:color w:val="000000"/>
          <w:sz w:val="24"/>
          <w:szCs w:val="24"/>
        </w:rPr>
      </w:pPr>
    </w:p>
    <w:p w14:paraId="024EED09" w14:textId="77777777" w:rsidR="009A7B05" w:rsidRPr="009A7B05" w:rsidRDefault="009A7B05" w:rsidP="009A7B05">
      <w:pPr>
        <w:spacing w:after="0"/>
        <w:contextualSpacing/>
        <w:rPr>
          <w:rFonts w:ascii="Times New Roman" w:hAnsi="Times New Roman" w:cs="Times New Roman"/>
          <w:color w:val="000000"/>
          <w:sz w:val="24"/>
          <w:szCs w:val="24"/>
        </w:rPr>
      </w:pPr>
    </w:p>
    <w:sdt>
      <w:sdtPr>
        <w:rPr>
          <w:rFonts w:ascii="Times New Roman" w:eastAsia="Calibri" w:hAnsi="Times New Roman" w:cs="Times New Roman"/>
          <w:color w:val="auto"/>
          <w:sz w:val="24"/>
          <w:szCs w:val="24"/>
        </w:rPr>
        <w:id w:val="7282486"/>
        <w:docPartObj>
          <w:docPartGallery w:val="Table of Contents"/>
          <w:docPartUnique/>
        </w:docPartObj>
      </w:sdtPr>
      <w:sdtContent>
        <w:p w14:paraId="28E831BC" w14:textId="77777777" w:rsidR="003D4107" w:rsidRPr="009A7B05" w:rsidRDefault="003D4107" w:rsidP="009A7B05">
          <w:pPr>
            <w:pStyle w:val="TOCHeading"/>
            <w:spacing w:before="0" w:line="360" w:lineRule="auto"/>
            <w:contextualSpacing/>
            <w:rPr>
              <w:rFonts w:ascii="Times New Roman" w:hAnsi="Times New Roman" w:cs="Times New Roman"/>
              <w:sz w:val="24"/>
              <w:szCs w:val="24"/>
            </w:rPr>
          </w:pPr>
          <w:r w:rsidRPr="009A7B05">
            <w:rPr>
              <w:rFonts w:ascii="Times New Roman" w:hAnsi="Times New Roman" w:cs="Times New Roman"/>
              <w:b/>
              <w:color w:val="000000" w:themeColor="text1"/>
              <w:sz w:val="24"/>
              <w:szCs w:val="24"/>
            </w:rPr>
            <w:t>Table of Contents</w:t>
          </w:r>
        </w:p>
        <w:p w14:paraId="6EC8CD5E" w14:textId="77777777" w:rsidR="003D4107" w:rsidRPr="009A7B05" w:rsidRDefault="00D516E9" w:rsidP="009A7B05">
          <w:pPr>
            <w:pStyle w:val="TOC1"/>
            <w:tabs>
              <w:tab w:val="right" w:leader="dot" w:pos="9350"/>
            </w:tabs>
            <w:spacing w:after="0"/>
            <w:contextualSpacing/>
            <w:rPr>
              <w:rFonts w:ascii="Times New Roman" w:eastAsiaTheme="minorEastAsia" w:hAnsi="Times New Roman" w:cs="Times New Roman"/>
              <w:noProof/>
              <w:sz w:val="24"/>
              <w:szCs w:val="24"/>
            </w:rPr>
          </w:pPr>
          <w:r w:rsidRPr="009A7B05">
            <w:rPr>
              <w:rFonts w:ascii="Times New Roman" w:hAnsi="Times New Roman" w:cs="Times New Roman"/>
              <w:sz w:val="24"/>
              <w:szCs w:val="24"/>
            </w:rPr>
            <w:fldChar w:fldCharType="begin"/>
          </w:r>
          <w:r w:rsidR="003D4107" w:rsidRPr="009A7B05">
            <w:rPr>
              <w:rFonts w:ascii="Times New Roman" w:hAnsi="Times New Roman" w:cs="Times New Roman"/>
              <w:sz w:val="24"/>
              <w:szCs w:val="24"/>
            </w:rPr>
            <w:instrText xml:space="preserve"> TOC \o "1-3" \h \z \u </w:instrText>
          </w:r>
          <w:r w:rsidRPr="009A7B05">
            <w:rPr>
              <w:rFonts w:ascii="Times New Roman" w:hAnsi="Times New Roman" w:cs="Times New Roman"/>
              <w:sz w:val="24"/>
              <w:szCs w:val="24"/>
            </w:rPr>
            <w:fldChar w:fldCharType="separate"/>
          </w:r>
          <w:hyperlink w:anchor="_Toc129339846" w:history="1">
            <w:r w:rsidR="003D4107" w:rsidRPr="009A7B05">
              <w:rPr>
                <w:rStyle w:val="Hyperlink"/>
                <w:rFonts w:ascii="Times New Roman" w:hAnsi="Times New Roman" w:cs="Times New Roman"/>
                <w:noProof/>
                <w:sz w:val="24"/>
                <w:szCs w:val="24"/>
              </w:rPr>
              <w:t>Introduction</w:t>
            </w:r>
            <w:r w:rsidR="003D4107" w:rsidRPr="009A7B05">
              <w:rPr>
                <w:rFonts w:ascii="Times New Roman" w:hAnsi="Times New Roman" w:cs="Times New Roman"/>
                <w:noProof/>
                <w:webHidden/>
                <w:sz w:val="24"/>
                <w:szCs w:val="24"/>
              </w:rPr>
              <w:tab/>
            </w:r>
            <w:r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_Toc129339846 \h </w:instrText>
            </w:r>
            <w:r w:rsidRPr="009A7B05">
              <w:rPr>
                <w:rFonts w:ascii="Times New Roman" w:hAnsi="Times New Roman" w:cs="Times New Roman"/>
                <w:noProof/>
                <w:webHidden/>
                <w:sz w:val="24"/>
                <w:szCs w:val="24"/>
              </w:rPr>
            </w:r>
            <w:r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2</w:t>
            </w:r>
            <w:r w:rsidRPr="009A7B05">
              <w:rPr>
                <w:rFonts w:ascii="Times New Roman" w:hAnsi="Times New Roman" w:cs="Times New Roman"/>
                <w:noProof/>
                <w:webHidden/>
                <w:sz w:val="24"/>
                <w:szCs w:val="24"/>
              </w:rPr>
              <w:fldChar w:fldCharType="end"/>
            </w:r>
          </w:hyperlink>
        </w:p>
        <w:p w14:paraId="287B7859"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47" w:history="1">
            <w:r w:rsidR="003D4107" w:rsidRPr="009A7B05">
              <w:rPr>
                <w:rStyle w:val="Hyperlink"/>
                <w:rFonts w:ascii="Times New Roman" w:hAnsi="Times New Roman" w:cs="Times New Roman"/>
                <w:noProof/>
                <w:sz w:val="24"/>
                <w:szCs w:val="24"/>
              </w:rPr>
              <w:t xml:space="preserve">Overview of Brent </w:t>
            </w:r>
            <w:r w:rsidR="003D4107" w:rsidRPr="009A7B05">
              <w:rPr>
                <w:rStyle w:val="Hyperlink"/>
                <w:rFonts w:ascii="Times New Roman" w:hAnsi="Times New Roman" w:cs="Times New Roman"/>
                <w:noProof/>
                <w:sz w:val="24"/>
                <w:szCs w:val="24"/>
                <w:u w:val="none"/>
              </w:rPr>
              <w:t>Council</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_Toc129339847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3</w:t>
            </w:r>
            <w:r w:rsidR="00D516E9" w:rsidRPr="009A7B05">
              <w:rPr>
                <w:rFonts w:ascii="Times New Roman" w:hAnsi="Times New Roman" w:cs="Times New Roman"/>
                <w:noProof/>
                <w:webHidden/>
                <w:sz w:val="24"/>
                <w:szCs w:val="24"/>
              </w:rPr>
              <w:fldChar w:fldCharType="end"/>
            </w:r>
          </w:hyperlink>
        </w:p>
        <w:p w14:paraId="23C4C912"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48" w:history="1">
            <w:r w:rsidR="003D4107" w:rsidRPr="009A7B05">
              <w:rPr>
                <w:rStyle w:val="Hyperlink"/>
                <w:rFonts w:ascii="Times New Roman" w:hAnsi="Times New Roman" w:cs="Times New Roman"/>
                <w:noProof/>
                <w:sz w:val="24"/>
                <w:szCs w:val="24"/>
              </w:rPr>
              <w:t>Community Engagement Principles, Standards, Consultation Methods, Stakeholders’ Participation, Empowerment and Feedback and if Brent Council Support them, why and what are the Impacts</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_Toc129339848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3</w:t>
            </w:r>
            <w:r w:rsidR="00D516E9" w:rsidRPr="009A7B05">
              <w:rPr>
                <w:rFonts w:ascii="Times New Roman" w:hAnsi="Times New Roman" w:cs="Times New Roman"/>
                <w:noProof/>
                <w:webHidden/>
                <w:sz w:val="24"/>
                <w:szCs w:val="24"/>
              </w:rPr>
              <w:fldChar w:fldCharType="end"/>
            </w:r>
          </w:hyperlink>
        </w:p>
        <w:p w14:paraId="4F62901B"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49" w:history="1">
            <w:r w:rsidR="003D4107" w:rsidRPr="009A7B05">
              <w:rPr>
                <w:rStyle w:val="Hyperlink"/>
                <w:rFonts w:ascii="Times New Roman" w:hAnsi="Times New Roman" w:cs="Times New Roman"/>
                <w:noProof/>
                <w:sz w:val="24"/>
                <w:szCs w:val="24"/>
              </w:rPr>
              <w:t>Key Stakeholder in the    Brent Council, the Suitable Ways to Engage them, and why the Method is Considered the best for the Different Categories of Stakeholders</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_Toc129339849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4</w:t>
            </w:r>
            <w:r w:rsidR="00D516E9" w:rsidRPr="009A7B05">
              <w:rPr>
                <w:rFonts w:ascii="Times New Roman" w:hAnsi="Times New Roman" w:cs="Times New Roman"/>
                <w:noProof/>
                <w:webHidden/>
                <w:sz w:val="24"/>
                <w:szCs w:val="24"/>
              </w:rPr>
              <w:fldChar w:fldCharType="end"/>
            </w:r>
          </w:hyperlink>
        </w:p>
        <w:p w14:paraId="133F2A1D"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50" w:history="1">
            <w:r w:rsidR="003D4107" w:rsidRPr="009A7B05">
              <w:rPr>
                <w:rStyle w:val="Hyperlink"/>
                <w:rFonts w:ascii="Times New Roman" w:hAnsi="Times New Roman" w:cs="Times New Roman"/>
                <w:noProof/>
                <w:sz w:val="24"/>
                <w:szCs w:val="24"/>
              </w:rPr>
              <w:t>Stakeholders’ Participation, Collaboration, Diversity, and Inclusion in Brent Council</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_Toc129339850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6</w:t>
            </w:r>
            <w:r w:rsidR="00D516E9" w:rsidRPr="009A7B05">
              <w:rPr>
                <w:rFonts w:ascii="Times New Roman" w:hAnsi="Times New Roman" w:cs="Times New Roman"/>
                <w:noProof/>
                <w:webHidden/>
                <w:sz w:val="24"/>
                <w:szCs w:val="24"/>
              </w:rPr>
              <w:fldChar w:fldCharType="end"/>
            </w:r>
          </w:hyperlink>
        </w:p>
        <w:p w14:paraId="793F46E4"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51" w:history="1">
            <w:r w:rsidR="003D4107" w:rsidRPr="009A7B05">
              <w:rPr>
                <w:rStyle w:val="Hyperlink"/>
                <w:rFonts w:ascii="Times New Roman" w:hAnsi="Times New Roman" w:cs="Times New Roman"/>
                <w:noProof/>
                <w:sz w:val="24"/>
                <w:szCs w:val="24"/>
              </w:rPr>
              <w:t>Conclusion</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_Toc129339851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6</w:t>
            </w:r>
            <w:r w:rsidR="00D516E9" w:rsidRPr="009A7B05">
              <w:rPr>
                <w:rFonts w:ascii="Times New Roman" w:hAnsi="Times New Roman" w:cs="Times New Roman"/>
                <w:noProof/>
                <w:webHidden/>
                <w:sz w:val="24"/>
                <w:szCs w:val="24"/>
              </w:rPr>
              <w:fldChar w:fldCharType="end"/>
            </w:r>
          </w:hyperlink>
        </w:p>
        <w:p w14:paraId="0B8F870D" w14:textId="77777777" w:rsidR="003D4107" w:rsidRPr="009A7B05" w:rsidRDefault="00000000" w:rsidP="009A7B05">
          <w:pPr>
            <w:pStyle w:val="TOC1"/>
            <w:tabs>
              <w:tab w:val="right" w:leader="dot" w:pos="9350"/>
            </w:tabs>
            <w:spacing w:after="0"/>
            <w:contextualSpacing/>
            <w:rPr>
              <w:rFonts w:ascii="Times New Roman" w:eastAsiaTheme="minorEastAsia" w:hAnsi="Times New Roman" w:cs="Times New Roman"/>
              <w:noProof/>
              <w:sz w:val="24"/>
              <w:szCs w:val="24"/>
            </w:rPr>
          </w:pPr>
          <w:hyperlink w:anchor="_Toc129339852" w:history="1">
            <w:r w:rsidR="003D4107" w:rsidRPr="009A7B05">
              <w:rPr>
                <w:rStyle w:val="Hyperlink"/>
                <w:rFonts w:ascii="Times New Roman" w:hAnsi="Times New Roman" w:cs="Times New Roman"/>
                <w:noProof/>
                <w:sz w:val="24"/>
                <w:szCs w:val="24"/>
              </w:rPr>
              <w:t>References</w:t>
            </w:r>
            <w:r w:rsidR="003D4107" w:rsidRPr="009A7B05">
              <w:rPr>
                <w:rFonts w:ascii="Times New Roman" w:hAnsi="Times New Roman" w:cs="Times New Roman"/>
                <w:noProof/>
                <w:webHidden/>
                <w:sz w:val="24"/>
                <w:szCs w:val="24"/>
              </w:rPr>
              <w:tab/>
            </w:r>
            <w:r w:rsidR="00D516E9" w:rsidRPr="009A7B05">
              <w:rPr>
                <w:rFonts w:ascii="Times New Roman" w:hAnsi="Times New Roman" w:cs="Times New Roman"/>
                <w:noProof/>
                <w:webHidden/>
                <w:sz w:val="24"/>
                <w:szCs w:val="24"/>
              </w:rPr>
              <w:fldChar w:fldCharType="begin"/>
            </w:r>
            <w:r w:rsidR="003D4107" w:rsidRPr="009A7B05">
              <w:rPr>
                <w:rFonts w:ascii="Times New Roman" w:hAnsi="Times New Roman" w:cs="Times New Roman"/>
                <w:noProof/>
                <w:webHidden/>
                <w:sz w:val="24"/>
                <w:szCs w:val="24"/>
              </w:rPr>
              <w:instrText xml:space="preserve"> PAGEREF _Toc129339852 \h </w:instrText>
            </w:r>
            <w:r w:rsidR="00D516E9" w:rsidRPr="009A7B05">
              <w:rPr>
                <w:rFonts w:ascii="Times New Roman" w:hAnsi="Times New Roman" w:cs="Times New Roman"/>
                <w:noProof/>
                <w:webHidden/>
                <w:sz w:val="24"/>
                <w:szCs w:val="24"/>
              </w:rPr>
            </w:r>
            <w:r w:rsidR="00D516E9" w:rsidRPr="009A7B05">
              <w:rPr>
                <w:rFonts w:ascii="Times New Roman" w:hAnsi="Times New Roman" w:cs="Times New Roman"/>
                <w:noProof/>
                <w:webHidden/>
                <w:sz w:val="24"/>
                <w:szCs w:val="24"/>
              </w:rPr>
              <w:fldChar w:fldCharType="separate"/>
            </w:r>
            <w:r w:rsidR="003D4107" w:rsidRPr="009A7B05">
              <w:rPr>
                <w:rFonts w:ascii="Times New Roman" w:hAnsi="Times New Roman" w:cs="Times New Roman"/>
                <w:noProof/>
                <w:webHidden/>
                <w:sz w:val="24"/>
                <w:szCs w:val="24"/>
              </w:rPr>
              <w:t>7</w:t>
            </w:r>
            <w:r w:rsidR="00D516E9" w:rsidRPr="009A7B05">
              <w:rPr>
                <w:rFonts w:ascii="Times New Roman" w:hAnsi="Times New Roman" w:cs="Times New Roman"/>
                <w:noProof/>
                <w:webHidden/>
                <w:sz w:val="24"/>
                <w:szCs w:val="24"/>
              </w:rPr>
              <w:fldChar w:fldCharType="end"/>
            </w:r>
          </w:hyperlink>
        </w:p>
        <w:p w14:paraId="1C3CB8B2" w14:textId="77777777" w:rsidR="003D4107" w:rsidRPr="009A7B05" w:rsidRDefault="00D516E9" w:rsidP="009A7B05">
          <w:pPr>
            <w:spacing w:after="0"/>
            <w:contextualSpacing/>
            <w:rPr>
              <w:rFonts w:ascii="Times New Roman" w:hAnsi="Times New Roman" w:cs="Times New Roman"/>
              <w:sz w:val="24"/>
              <w:szCs w:val="24"/>
            </w:rPr>
          </w:pPr>
          <w:r w:rsidRPr="009A7B05">
            <w:rPr>
              <w:rFonts w:ascii="Times New Roman" w:hAnsi="Times New Roman" w:cs="Times New Roman"/>
              <w:sz w:val="24"/>
              <w:szCs w:val="24"/>
            </w:rPr>
            <w:fldChar w:fldCharType="end"/>
          </w:r>
        </w:p>
      </w:sdtContent>
    </w:sdt>
    <w:p w14:paraId="60863644" w14:textId="77777777" w:rsidR="003D4107" w:rsidRPr="009A7B05" w:rsidRDefault="003D4107" w:rsidP="009A7B05">
      <w:pPr>
        <w:spacing w:after="0"/>
        <w:contextualSpacing/>
        <w:rPr>
          <w:rFonts w:ascii="Times New Roman" w:hAnsi="Times New Roman" w:cs="Times New Roman"/>
          <w:color w:val="000000"/>
          <w:sz w:val="24"/>
          <w:szCs w:val="24"/>
        </w:rPr>
      </w:pPr>
    </w:p>
    <w:p w14:paraId="17DCB1FC"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08A4DDE0"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37E09F3C"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3F4997DD"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0553D5AD"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7C38FFE5"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31BE0148" w14:textId="77777777" w:rsidR="0050507E" w:rsidRPr="009A7B05" w:rsidRDefault="0050507E" w:rsidP="009A7B05">
      <w:pPr>
        <w:spacing w:after="0"/>
        <w:contextualSpacing/>
        <w:jc w:val="center"/>
        <w:rPr>
          <w:rFonts w:ascii="Times New Roman" w:hAnsi="Times New Roman" w:cs="Times New Roman"/>
          <w:color w:val="000000"/>
          <w:sz w:val="24"/>
          <w:szCs w:val="24"/>
        </w:rPr>
      </w:pPr>
    </w:p>
    <w:p w14:paraId="61440231" w14:textId="77777777" w:rsidR="009A7B05" w:rsidRDefault="009A7B05" w:rsidP="009A7B05">
      <w:pPr>
        <w:tabs>
          <w:tab w:val="left" w:pos="1944"/>
        </w:tabs>
        <w:spacing w:after="0"/>
        <w:contextualSpacing/>
        <w:rPr>
          <w:rFonts w:ascii="Times New Roman" w:hAnsi="Times New Roman" w:cs="Times New Roman"/>
          <w:color w:val="000000"/>
          <w:sz w:val="24"/>
          <w:szCs w:val="24"/>
        </w:rPr>
      </w:pPr>
      <w:r>
        <w:rPr>
          <w:rFonts w:ascii="Times New Roman" w:hAnsi="Times New Roman" w:cs="Times New Roman"/>
          <w:color w:val="000000"/>
          <w:sz w:val="24"/>
          <w:szCs w:val="24"/>
        </w:rPr>
        <w:tab/>
      </w:r>
    </w:p>
    <w:p w14:paraId="0915063E" w14:textId="77777777" w:rsidR="009A7B05" w:rsidRPr="009A7B05" w:rsidRDefault="009A7B05" w:rsidP="009A7B05">
      <w:pPr>
        <w:tabs>
          <w:tab w:val="left" w:pos="1944"/>
        </w:tabs>
        <w:spacing w:after="0"/>
        <w:contextualSpacing/>
        <w:rPr>
          <w:rFonts w:ascii="Times New Roman" w:hAnsi="Times New Roman" w:cs="Times New Roman"/>
          <w:color w:val="000000"/>
          <w:sz w:val="24"/>
          <w:szCs w:val="24"/>
        </w:rPr>
      </w:pPr>
    </w:p>
    <w:p w14:paraId="069D3658" w14:textId="77777777" w:rsidR="00C3141B" w:rsidRPr="009A7B05" w:rsidRDefault="00C3141B" w:rsidP="009A7B05">
      <w:pPr>
        <w:pStyle w:val="NormalWeb"/>
        <w:shd w:val="clear" w:color="auto" w:fill="FFFFFF"/>
        <w:spacing w:before="0" w:beforeAutospacing="0" w:after="0" w:afterAutospacing="0" w:line="360" w:lineRule="auto"/>
        <w:contextualSpacing/>
        <w:rPr>
          <w:color w:val="000000"/>
        </w:rPr>
      </w:pPr>
    </w:p>
    <w:p w14:paraId="583A7BD3" w14:textId="77777777" w:rsidR="00C3141B" w:rsidRPr="009A7B05" w:rsidRDefault="00C3141B" w:rsidP="009A7B05">
      <w:pPr>
        <w:pStyle w:val="NormalWeb"/>
        <w:shd w:val="clear" w:color="auto" w:fill="FFFFFF"/>
        <w:spacing w:before="0" w:beforeAutospacing="0" w:after="0" w:afterAutospacing="0" w:line="360" w:lineRule="auto"/>
        <w:contextualSpacing/>
        <w:rPr>
          <w:color w:val="000000"/>
        </w:rPr>
      </w:pPr>
      <w:r w:rsidRPr="009A7B05">
        <w:rPr>
          <w:color w:val="000000"/>
        </w:rPr>
        <w:t>‌</w:t>
      </w:r>
    </w:p>
    <w:p w14:paraId="56AD2DC9" w14:textId="77777777" w:rsidR="00863748" w:rsidRPr="009A7B05" w:rsidRDefault="00863748" w:rsidP="009A7B05">
      <w:pPr>
        <w:pStyle w:val="NormalWeb"/>
        <w:shd w:val="clear" w:color="auto" w:fill="FFFFFF"/>
        <w:spacing w:before="0" w:beforeAutospacing="0" w:after="0" w:afterAutospacing="0" w:line="360" w:lineRule="auto"/>
        <w:contextualSpacing/>
        <w:rPr>
          <w:color w:val="000000"/>
        </w:rPr>
      </w:pPr>
    </w:p>
    <w:p w14:paraId="4CC25395" w14:textId="77777777" w:rsidR="009A7B05" w:rsidRPr="009A7B05" w:rsidRDefault="009A7B05" w:rsidP="009A7B05">
      <w:pPr>
        <w:pStyle w:val="NormalWeb"/>
        <w:shd w:val="clear" w:color="auto" w:fill="FFFFFF"/>
        <w:spacing w:before="0" w:beforeAutospacing="0" w:after="0" w:afterAutospacing="0" w:line="360" w:lineRule="auto"/>
        <w:contextualSpacing/>
        <w:rPr>
          <w:color w:val="000000"/>
        </w:rPr>
      </w:pPr>
    </w:p>
    <w:p w14:paraId="560D539E" w14:textId="77777777" w:rsidR="009A7B05" w:rsidRPr="009A7B05" w:rsidRDefault="009A7B05" w:rsidP="009A7B05">
      <w:pPr>
        <w:pStyle w:val="NormalWeb"/>
        <w:shd w:val="clear" w:color="auto" w:fill="FFFFFF"/>
        <w:spacing w:before="0" w:beforeAutospacing="0" w:after="0" w:afterAutospacing="0" w:line="360" w:lineRule="auto"/>
        <w:contextualSpacing/>
        <w:rPr>
          <w:color w:val="000000"/>
        </w:rPr>
      </w:pPr>
    </w:p>
    <w:p w14:paraId="584DC218" w14:textId="77777777" w:rsidR="0050507E" w:rsidRPr="009A7B05" w:rsidRDefault="0050507E" w:rsidP="009A7B05">
      <w:pPr>
        <w:pStyle w:val="NormalWeb"/>
        <w:shd w:val="clear" w:color="auto" w:fill="FFFFFF"/>
        <w:spacing w:before="0" w:beforeAutospacing="0" w:after="0" w:afterAutospacing="0" w:line="360" w:lineRule="auto"/>
        <w:contextualSpacing/>
        <w:rPr>
          <w:color w:val="000000"/>
        </w:rPr>
      </w:pPr>
    </w:p>
    <w:p w14:paraId="3A1BE990" w14:textId="77777777" w:rsidR="003144FC" w:rsidRPr="009A7B05" w:rsidRDefault="003144FC" w:rsidP="009A7B05">
      <w:pPr>
        <w:pStyle w:val="NormalWeb"/>
        <w:shd w:val="clear" w:color="auto" w:fill="FFFFFF"/>
        <w:spacing w:before="0" w:beforeAutospacing="0" w:after="0" w:afterAutospacing="0" w:line="360" w:lineRule="auto"/>
        <w:contextualSpacing/>
        <w:rPr>
          <w:color w:val="000000"/>
        </w:rPr>
      </w:pPr>
    </w:p>
    <w:p w14:paraId="5BDC00CB" w14:textId="77777777" w:rsidR="0050507E" w:rsidRPr="00026FB7" w:rsidRDefault="00026FB7" w:rsidP="00026FB7">
      <w:pPr>
        <w:pStyle w:val="Heading1"/>
        <w:spacing w:before="120" w:line="240" w:lineRule="auto"/>
        <w:rPr>
          <w:rFonts w:ascii="Times New Roman" w:hAnsi="Times New Roman" w:cs="Times New Roman"/>
          <w:b/>
          <w:bCs/>
          <w:color w:val="auto"/>
          <w:sz w:val="24"/>
          <w:szCs w:val="24"/>
        </w:rPr>
      </w:pPr>
      <w:r w:rsidRPr="00026FB7">
        <w:rPr>
          <w:rFonts w:ascii="Times New Roman" w:hAnsi="Times New Roman" w:cs="Times New Roman"/>
          <w:b/>
          <w:bCs/>
          <w:color w:val="auto"/>
          <w:sz w:val="24"/>
          <w:szCs w:val="24"/>
        </w:rPr>
        <w:lastRenderedPageBreak/>
        <w:t>Social issues in Brent Council and the procedures for stakeholders’ consultation, communication and strategic implementation of feedback</w:t>
      </w:r>
    </w:p>
    <w:p w14:paraId="22175087" w14:textId="77777777" w:rsidR="00D31F8D" w:rsidRPr="00026FB7" w:rsidRDefault="00D31F8D" w:rsidP="00026FB7">
      <w:pPr>
        <w:ind w:firstLine="720"/>
        <w:jc w:val="both"/>
        <w:rPr>
          <w:rFonts w:ascii="Times New Roman" w:hAnsi="Times New Roman" w:cs="Times New Roman"/>
          <w:sz w:val="24"/>
          <w:szCs w:val="24"/>
        </w:rPr>
      </w:pPr>
      <w:r w:rsidRPr="00026FB7">
        <w:rPr>
          <w:rFonts w:ascii="Times New Roman" w:hAnsi="Times New Roman" w:cs="Times New Roman"/>
          <w:sz w:val="24"/>
          <w:szCs w:val="24"/>
        </w:rPr>
        <w:t>Community involvement is the process of establishing and maintaining connections between people, groups, and communities in order to solve certain objectives and issues (</w:t>
      </w:r>
      <w:proofErr w:type="spellStart"/>
      <w:r w:rsidRPr="00026FB7">
        <w:rPr>
          <w:rFonts w:ascii="Times New Roman" w:hAnsi="Times New Roman" w:cs="Times New Roman"/>
          <w:sz w:val="24"/>
          <w:szCs w:val="24"/>
        </w:rPr>
        <w:t>jrray</w:t>
      </w:r>
      <w:proofErr w:type="spellEnd"/>
      <w:r w:rsidRPr="00026FB7">
        <w:rPr>
          <w:rFonts w:ascii="Times New Roman" w:hAnsi="Times New Roman" w:cs="Times New Roman"/>
          <w:sz w:val="24"/>
          <w:szCs w:val="24"/>
        </w:rPr>
        <w:t xml:space="preserve">, 2017). The stakeholders work together to promote community development, social transformation, and intergroup understanding via active engagement, communication, and cooperation. Community involvement includes outreach, education, advocacy, and community </w:t>
      </w:r>
      <w:r w:rsidR="00C2024B" w:rsidRPr="00026FB7">
        <w:rPr>
          <w:rFonts w:ascii="Times New Roman" w:hAnsi="Times New Roman" w:cs="Times New Roman"/>
          <w:sz w:val="24"/>
          <w:szCs w:val="24"/>
        </w:rPr>
        <w:t>organization</w:t>
      </w:r>
      <w:r w:rsidRPr="00026FB7">
        <w:rPr>
          <w:rFonts w:ascii="Times New Roman" w:hAnsi="Times New Roman" w:cs="Times New Roman"/>
          <w:sz w:val="24"/>
          <w:szCs w:val="24"/>
        </w:rPr>
        <w:t xml:space="preserve"> (</w:t>
      </w:r>
      <w:proofErr w:type="spellStart"/>
      <w:r w:rsidRPr="00026FB7">
        <w:rPr>
          <w:rFonts w:ascii="Times New Roman" w:hAnsi="Times New Roman" w:cs="Times New Roman"/>
          <w:sz w:val="24"/>
          <w:szCs w:val="24"/>
        </w:rPr>
        <w:t>SustaiNet</w:t>
      </w:r>
      <w:proofErr w:type="spellEnd"/>
      <w:r w:rsidRPr="00026FB7">
        <w:rPr>
          <w:rFonts w:ascii="Times New Roman" w:hAnsi="Times New Roman" w:cs="Times New Roman"/>
          <w:sz w:val="24"/>
          <w:szCs w:val="24"/>
        </w:rPr>
        <w:t xml:space="preserve">, 2019). To engage and include community people in decision-making processes, a wide range of activities, including such community meetings, seminars, surveys, focus group discussions, and interactions on social media, may be used (Hussey, 2021). Community involvement aims to enable local groups to </w:t>
      </w:r>
      <w:r w:rsidR="00C2024B" w:rsidRPr="00026FB7">
        <w:rPr>
          <w:rFonts w:ascii="Times New Roman" w:hAnsi="Times New Roman" w:cs="Times New Roman"/>
          <w:sz w:val="24"/>
          <w:szCs w:val="24"/>
        </w:rPr>
        <w:t>recognize</w:t>
      </w:r>
      <w:r w:rsidRPr="00026FB7">
        <w:rPr>
          <w:rFonts w:ascii="Times New Roman" w:hAnsi="Times New Roman" w:cs="Times New Roman"/>
          <w:sz w:val="24"/>
          <w:szCs w:val="24"/>
        </w:rPr>
        <w:t xml:space="preserve"> and address their requirements and goals, foster trust, and advance long-lasting change. It can aid people and </w:t>
      </w:r>
      <w:r w:rsidR="00C2024B" w:rsidRPr="00026FB7">
        <w:rPr>
          <w:rFonts w:ascii="Times New Roman" w:hAnsi="Times New Roman" w:cs="Times New Roman"/>
          <w:sz w:val="24"/>
          <w:szCs w:val="24"/>
        </w:rPr>
        <w:t>organizations</w:t>
      </w:r>
      <w:r w:rsidRPr="00026FB7">
        <w:rPr>
          <w:rFonts w:ascii="Times New Roman" w:hAnsi="Times New Roman" w:cs="Times New Roman"/>
          <w:sz w:val="24"/>
          <w:szCs w:val="24"/>
        </w:rPr>
        <w:t xml:space="preserve"> in better comprehending the distinctive cultural, political, and economic circumstances of the populations they represent and in cooperating to achieve common objectives. Continuous dedication, tolerance, and sensitivity to other viewpoints and experiences are necessary for effective community participation (Hussey, 2021). In order to guarantee meaningful participation and fruitful results, it also necessitates thorough preparation, assessment, and adaption of methods and approaches.</w:t>
      </w:r>
    </w:p>
    <w:p w14:paraId="73790A48" w14:textId="77777777" w:rsidR="00D32F38" w:rsidRPr="00026FB7" w:rsidRDefault="00D32F38" w:rsidP="00026FB7">
      <w:pPr>
        <w:ind w:firstLine="720"/>
        <w:jc w:val="both"/>
        <w:rPr>
          <w:rFonts w:ascii="Times New Roman" w:hAnsi="Times New Roman" w:cs="Times New Roman"/>
          <w:sz w:val="24"/>
          <w:szCs w:val="24"/>
        </w:rPr>
      </w:pPr>
      <w:r w:rsidRPr="00026FB7">
        <w:rPr>
          <w:rFonts w:ascii="Times New Roman" w:hAnsi="Times New Roman" w:cs="Times New Roman"/>
          <w:sz w:val="24"/>
          <w:szCs w:val="24"/>
        </w:rPr>
        <w:t xml:space="preserve">The municipal administration in North West London is called Brent Council (Brent Council, 2023). It is in charge of offering several public services to a Brent Borough's citizens and companies. The council provides services to up to 330,000 varied residents. The council is in charge of providing services such housing, garbage management, planning, education, transportation, recreational facilities, </w:t>
      </w:r>
      <w:r w:rsidR="00C2024B" w:rsidRPr="00026FB7">
        <w:rPr>
          <w:rFonts w:ascii="Times New Roman" w:hAnsi="Times New Roman" w:cs="Times New Roman"/>
          <w:sz w:val="24"/>
          <w:szCs w:val="24"/>
        </w:rPr>
        <w:t>and other</w:t>
      </w:r>
      <w:r w:rsidRPr="00026FB7">
        <w:rPr>
          <w:rFonts w:ascii="Times New Roman" w:hAnsi="Times New Roman" w:cs="Times New Roman"/>
          <w:sz w:val="24"/>
          <w:szCs w:val="24"/>
        </w:rPr>
        <w:t xml:space="preserve"> social services. The Council collaborates with </w:t>
      </w:r>
      <w:r w:rsidR="00C2024B" w:rsidRPr="00026FB7">
        <w:rPr>
          <w:rFonts w:ascii="Times New Roman" w:hAnsi="Times New Roman" w:cs="Times New Roman"/>
          <w:sz w:val="24"/>
          <w:szCs w:val="24"/>
        </w:rPr>
        <w:t>neighborhood</w:t>
      </w:r>
      <w:r w:rsidRPr="00026FB7">
        <w:rPr>
          <w:rFonts w:ascii="Times New Roman" w:hAnsi="Times New Roman" w:cs="Times New Roman"/>
          <w:sz w:val="24"/>
          <w:szCs w:val="24"/>
        </w:rPr>
        <w:t xml:space="preserve"> administrations, the police, and a number of community </w:t>
      </w:r>
      <w:r w:rsidR="00C2024B" w:rsidRPr="00026FB7">
        <w:rPr>
          <w:rFonts w:ascii="Times New Roman" w:hAnsi="Times New Roman" w:cs="Times New Roman"/>
          <w:sz w:val="24"/>
          <w:szCs w:val="24"/>
        </w:rPr>
        <w:t>organizations</w:t>
      </w:r>
      <w:r w:rsidRPr="00026FB7">
        <w:rPr>
          <w:rFonts w:ascii="Times New Roman" w:hAnsi="Times New Roman" w:cs="Times New Roman"/>
          <w:sz w:val="24"/>
          <w:szCs w:val="24"/>
        </w:rPr>
        <w:t xml:space="preserve"> to enhance people' quality of life through fostering economic development and growth (Brent Council, 2023). Up to 63 elected </w:t>
      </w:r>
      <w:r w:rsidR="00C2024B" w:rsidRPr="00026FB7">
        <w:rPr>
          <w:rFonts w:ascii="Times New Roman" w:hAnsi="Times New Roman" w:cs="Times New Roman"/>
          <w:sz w:val="24"/>
          <w:szCs w:val="24"/>
        </w:rPr>
        <w:t>councilors</w:t>
      </w:r>
      <w:r w:rsidRPr="00026FB7">
        <w:rPr>
          <w:rFonts w:ascii="Times New Roman" w:hAnsi="Times New Roman" w:cs="Times New Roman"/>
          <w:sz w:val="24"/>
          <w:szCs w:val="24"/>
        </w:rPr>
        <w:t xml:space="preserve"> who are in charge of making choices for the </w:t>
      </w:r>
      <w:r w:rsidR="00C2024B" w:rsidRPr="00026FB7">
        <w:rPr>
          <w:rFonts w:ascii="Times New Roman" w:hAnsi="Times New Roman" w:cs="Times New Roman"/>
          <w:sz w:val="24"/>
          <w:szCs w:val="24"/>
        </w:rPr>
        <w:t>neighborhood</w:t>
      </w:r>
      <w:r w:rsidRPr="00026FB7">
        <w:rPr>
          <w:rFonts w:ascii="Times New Roman" w:hAnsi="Times New Roman" w:cs="Times New Roman"/>
          <w:sz w:val="24"/>
          <w:szCs w:val="24"/>
        </w:rPr>
        <w:t xml:space="preserve"> make up Brent Council. The Mayor of Brent is the ceremonial leader of the borough and is chosen by the council members to lead the Brent council. To guarantee that all citizens have equal access to amenities and opportunities, Brent Council has made a commitment to promoting equality, inclusiveness, and diversity (Brent Council, 2023). The council is dedicated to combating climate change and putting into action a number of programs that lessen carbon footprints and support sustainable </w:t>
      </w:r>
      <w:r w:rsidR="00C2024B" w:rsidRPr="00026FB7">
        <w:rPr>
          <w:rFonts w:ascii="Times New Roman" w:hAnsi="Times New Roman" w:cs="Times New Roman"/>
          <w:sz w:val="24"/>
          <w:szCs w:val="24"/>
        </w:rPr>
        <w:t>practices</w:t>
      </w:r>
      <w:r w:rsidRPr="00026FB7">
        <w:rPr>
          <w:rFonts w:ascii="Times New Roman" w:hAnsi="Times New Roman" w:cs="Times New Roman"/>
          <w:sz w:val="24"/>
          <w:szCs w:val="24"/>
        </w:rPr>
        <w:t>.</w:t>
      </w:r>
    </w:p>
    <w:p w14:paraId="058C51B0"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lastRenderedPageBreak/>
        <w:t>Being involved in the community helps to build and sustain a strong community, hence it is crucial (</w:t>
      </w:r>
      <w:proofErr w:type="spellStart"/>
      <w:r w:rsidRPr="00026FB7">
        <w:rPr>
          <w:rFonts w:ascii="Times New Roman" w:eastAsia="Times New Roman" w:hAnsi="Times New Roman" w:cs="Times New Roman"/>
          <w:color w:val="000000"/>
          <w:sz w:val="24"/>
          <w:szCs w:val="24"/>
        </w:rPr>
        <w:t>jrray</w:t>
      </w:r>
      <w:proofErr w:type="spellEnd"/>
      <w:r w:rsidRPr="00026FB7">
        <w:rPr>
          <w:rFonts w:ascii="Times New Roman" w:eastAsia="Times New Roman" w:hAnsi="Times New Roman" w:cs="Times New Roman"/>
          <w:color w:val="000000"/>
          <w:sz w:val="24"/>
          <w:szCs w:val="24"/>
        </w:rPr>
        <w:t xml:space="preserve">, 2017). Engaging stakeholders, hearing feedback, and giving people the power to engage in decision-making procedures and how Brent Council promotes the activities are all components of effective community engagement initiatives. It is discussed how Brent Council promotes the </w:t>
      </w:r>
      <w:r w:rsidR="00C2024B" w:rsidRPr="00026FB7">
        <w:rPr>
          <w:rFonts w:ascii="Times New Roman" w:eastAsia="Times New Roman" w:hAnsi="Times New Roman" w:cs="Times New Roman"/>
          <w:color w:val="000000"/>
          <w:sz w:val="24"/>
          <w:szCs w:val="24"/>
        </w:rPr>
        <w:t>practices</w:t>
      </w:r>
      <w:r w:rsidRPr="00026FB7">
        <w:rPr>
          <w:rFonts w:ascii="Times New Roman" w:eastAsia="Times New Roman" w:hAnsi="Times New Roman" w:cs="Times New Roman"/>
          <w:color w:val="000000"/>
          <w:sz w:val="24"/>
          <w:szCs w:val="24"/>
        </w:rPr>
        <w:t xml:space="preserve"> and outcomes of community involvement, stakeholder participation, consultative techniques, empowerment, and feedback (Boaz et al., 2018).</w:t>
      </w:r>
    </w:p>
    <w:p w14:paraId="73268535"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The creation of community outreach strategies is guided by the principles of community involvement. The guidelines consist of: Communication with constituents about decision-making processes and the outcomes is provided via transparency (Virani, 2020).</w:t>
      </w:r>
      <w:r w:rsidRPr="00026FB7">
        <w:rPr>
          <w:rFonts w:ascii="Times New Roman" w:hAnsi="Times New Roman" w:cs="Times New Roman"/>
          <w:sz w:val="24"/>
          <w:szCs w:val="24"/>
        </w:rPr>
        <w:t xml:space="preserve"> </w:t>
      </w:r>
      <w:r w:rsidRPr="00026FB7">
        <w:rPr>
          <w:rFonts w:ascii="Times New Roman" w:eastAsia="Times New Roman" w:hAnsi="Times New Roman" w:cs="Times New Roman"/>
          <w:color w:val="000000"/>
          <w:sz w:val="24"/>
          <w:szCs w:val="24"/>
        </w:rPr>
        <w:t>Accessibility guarantees that everyone in the community has an equal chance to take part in the engagement process. Diversity in the community is addressed through inclusivity, which makes sure that all viewpoints are taken into account (Watt, 2014).</w:t>
      </w:r>
    </w:p>
    <w:p w14:paraId="27D12BE8"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Practices for community interaction are governed by standards. Standards serve as guidance for carrying out engagement activities and getting the results you want. These guidelines guarantee that stakeholders are involved meaningfully in all phases of the process, from decision-making through implementation and assessment (Brent Council, 2023). Accessibility makes ensuring that all stakeholders, including those with impairments, language hurdles, or other problems, may partic</w:t>
      </w:r>
      <w:r w:rsidR="00A52ADC" w:rsidRPr="00026FB7">
        <w:rPr>
          <w:rFonts w:ascii="Times New Roman" w:eastAsia="Times New Roman" w:hAnsi="Times New Roman" w:cs="Times New Roman"/>
          <w:color w:val="000000"/>
          <w:sz w:val="24"/>
          <w:szCs w:val="24"/>
        </w:rPr>
        <w:t>ipate in engagement activities.</w:t>
      </w:r>
    </w:p>
    <w:p w14:paraId="1E8E1B41"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 xml:space="preserve">The tactics employed to include stakeholders in the </w:t>
      </w:r>
      <w:r w:rsidR="00C2024B" w:rsidRPr="00026FB7">
        <w:rPr>
          <w:rFonts w:ascii="Times New Roman" w:eastAsia="Times New Roman" w:hAnsi="Times New Roman" w:cs="Times New Roman"/>
          <w:color w:val="000000"/>
          <w:sz w:val="24"/>
          <w:szCs w:val="24"/>
        </w:rPr>
        <w:t>judgment</w:t>
      </w:r>
      <w:r w:rsidRPr="00026FB7">
        <w:rPr>
          <w:rFonts w:ascii="Times New Roman" w:eastAsia="Times New Roman" w:hAnsi="Times New Roman" w:cs="Times New Roman"/>
          <w:color w:val="000000"/>
          <w:sz w:val="24"/>
          <w:szCs w:val="24"/>
        </w:rPr>
        <w:t xml:space="preserve"> process include consultation approaches. Among these techniques are open forums where interested parties can voice their concerns and ask questions regarding the decision-making procedure.</w:t>
      </w:r>
      <w:r w:rsidRPr="00026FB7">
        <w:rPr>
          <w:rFonts w:ascii="Times New Roman" w:hAnsi="Times New Roman" w:cs="Times New Roman"/>
          <w:sz w:val="24"/>
          <w:szCs w:val="24"/>
        </w:rPr>
        <w:t xml:space="preserve"> </w:t>
      </w:r>
      <w:r w:rsidRPr="00026FB7">
        <w:rPr>
          <w:rFonts w:ascii="Times New Roman" w:eastAsia="Times New Roman" w:hAnsi="Times New Roman" w:cs="Times New Roman"/>
          <w:color w:val="000000"/>
          <w:sz w:val="24"/>
          <w:szCs w:val="24"/>
        </w:rPr>
        <w:t>Surveys collect opinions from interested parties on certain subjects (</w:t>
      </w:r>
      <w:proofErr w:type="spellStart"/>
      <w:r w:rsidRPr="00026FB7">
        <w:rPr>
          <w:rFonts w:ascii="Times New Roman" w:eastAsia="Times New Roman" w:hAnsi="Times New Roman" w:cs="Times New Roman"/>
          <w:color w:val="000000"/>
          <w:sz w:val="24"/>
          <w:szCs w:val="24"/>
        </w:rPr>
        <w:t>Manikam</w:t>
      </w:r>
      <w:proofErr w:type="spellEnd"/>
      <w:r w:rsidRPr="00026FB7">
        <w:rPr>
          <w:rFonts w:ascii="Times New Roman" w:eastAsia="Times New Roman" w:hAnsi="Times New Roman" w:cs="Times New Roman"/>
          <w:color w:val="000000"/>
          <w:sz w:val="24"/>
          <w:szCs w:val="24"/>
        </w:rPr>
        <w:t xml:space="preserve"> et al., 2021). Focus groups provide participants the chance to thoroughly explore a particular problem.</w:t>
      </w:r>
    </w:p>
    <w:p w14:paraId="4CB85A63"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 xml:space="preserve">Stakeholder participation is defined as the active participation of </w:t>
      </w:r>
      <w:r w:rsidR="00C2024B" w:rsidRPr="00026FB7">
        <w:rPr>
          <w:rFonts w:ascii="Times New Roman" w:eastAsia="Times New Roman" w:hAnsi="Times New Roman" w:cs="Times New Roman"/>
          <w:color w:val="000000"/>
          <w:sz w:val="24"/>
          <w:szCs w:val="24"/>
        </w:rPr>
        <w:t>organizations</w:t>
      </w:r>
      <w:r w:rsidRPr="00026FB7">
        <w:rPr>
          <w:rFonts w:ascii="Times New Roman" w:eastAsia="Times New Roman" w:hAnsi="Times New Roman" w:cs="Times New Roman"/>
          <w:color w:val="000000"/>
          <w:sz w:val="24"/>
          <w:szCs w:val="24"/>
        </w:rPr>
        <w:t xml:space="preserve"> and individuals of the community in the decision-making process. Community groups that include community </w:t>
      </w:r>
      <w:r w:rsidR="00C2024B" w:rsidRPr="00026FB7">
        <w:rPr>
          <w:rFonts w:ascii="Times New Roman" w:eastAsia="Times New Roman" w:hAnsi="Times New Roman" w:cs="Times New Roman"/>
          <w:color w:val="000000"/>
          <w:sz w:val="24"/>
          <w:szCs w:val="24"/>
        </w:rPr>
        <w:t>organizations</w:t>
      </w:r>
      <w:r w:rsidRPr="00026FB7">
        <w:rPr>
          <w:rFonts w:ascii="Times New Roman" w:eastAsia="Times New Roman" w:hAnsi="Times New Roman" w:cs="Times New Roman"/>
          <w:color w:val="000000"/>
          <w:sz w:val="24"/>
          <w:szCs w:val="24"/>
        </w:rPr>
        <w:t xml:space="preserve"> in the decision-making procedure and provide a variety of opinions and skills are included (Organizing Engagement, 2019).</w:t>
      </w:r>
    </w:p>
    <w:p w14:paraId="577076A2"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 xml:space="preserve">Giving stakeholders </w:t>
      </w:r>
      <w:r w:rsidR="00026FB7" w:rsidRPr="00026FB7">
        <w:rPr>
          <w:rFonts w:ascii="Times New Roman" w:eastAsia="Times New Roman" w:hAnsi="Times New Roman" w:cs="Times New Roman"/>
          <w:color w:val="000000"/>
          <w:sz w:val="24"/>
          <w:szCs w:val="24"/>
        </w:rPr>
        <w:t>the resources and tools,</w:t>
      </w:r>
      <w:r w:rsidRPr="00026FB7">
        <w:rPr>
          <w:rFonts w:ascii="Times New Roman" w:eastAsia="Times New Roman" w:hAnsi="Times New Roman" w:cs="Times New Roman"/>
          <w:color w:val="000000"/>
          <w:sz w:val="24"/>
          <w:szCs w:val="24"/>
        </w:rPr>
        <w:t xml:space="preserve"> they need to engage in decision-making successfully is empowerment. It entails: Developing stakeholders' capacities by giving them </w:t>
      </w:r>
      <w:r w:rsidRPr="00026FB7">
        <w:rPr>
          <w:rFonts w:ascii="Times New Roman" w:eastAsia="Times New Roman" w:hAnsi="Times New Roman" w:cs="Times New Roman"/>
          <w:color w:val="000000"/>
          <w:sz w:val="24"/>
          <w:szCs w:val="24"/>
        </w:rPr>
        <w:lastRenderedPageBreak/>
        <w:t>chances to increase their knowledge and expertise so they can contribute successfully to the engagement process (Organizing Engagement, 2019).</w:t>
      </w:r>
      <w:r w:rsidRPr="00026FB7">
        <w:rPr>
          <w:rFonts w:ascii="Times New Roman" w:hAnsi="Times New Roman" w:cs="Times New Roman"/>
          <w:sz w:val="24"/>
          <w:szCs w:val="24"/>
        </w:rPr>
        <w:t xml:space="preserve"> </w:t>
      </w:r>
      <w:r w:rsidRPr="00026FB7">
        <w:rPr>
          <w:rFonts w:ascii="Times New Roman" w:eastAsia="Times New Roman" w:hAnsi="Times New Roman" w:cs="Times New Roman"/>
          <w:color w:val="000000"/>
          <w:sz w:val="24"/>
          <w:szCs w:val="24"/>
        </w:rPr>
        <w:t>Resources are made available so that stakeholders may engage in the process successfully. These resources include data, money, and assistance.</w:t>
      </w:r>
    </w:p>
    <w:p w14:paraId="1084098F" w14:textId="77777777" w:rsidR="00CF70EC" w:rsidRPr="00026FB7" w:rsidRDefault="00CF70EC" w:rsidP="00026FB7">
      <w:pPr>
        <w:ind w:firstLine="720"/>
        <w:jc w:val="both"/>
        <w:rPr>
          <w:rFonts w:ascii="Times New Roman" w:eastAsia="Times New Roman" w:hAnsi="Times New Roman" w:cs="Times New Roman"/>
          <w:color w:val="000000"/>
          <w:sz w:val="24"/>
          <w:szCs w:val="24"/>
        </w:rPr>
      </w:pPr>
      <w:r w:rsidRPr="00026FB7">
        <w:rPr>
          <w:rFonts w:ascii="Times New Roman" w:eastAsia="Times New Roman" w:hAnsi="Times New Roman" w:cs="Times New Roman"/>
          <w:color w:val="000000"/>
          <w:sz w:val="24"/>
          <w:szCs w:val="24"/>
        </w:rPr>
        <w:t xml:space="preserve">Feedback is crucial to community participation because it includes: Addressing problems and adjusting plans in response to stakeholder feedback. </w:t>
      </w:r>
      <w:r w:rsidR="00C2024B" w:rsidRPr="00026FB7">
        <w:rPr>
          <w:rFonts w:ascii="Times New Roman" w:eastAsia="Times New Roman" w:hAnsi="Times New Roman" w:cs="Times New Roman"/>
          <w:color w:val="000000"/>
          <w:sz w:val="24"/>
          <w:szCs w:val="24"/>
        </w:rPr>
        <w:t>Assessing</w:t>
      </w:r>
      <w:r w:rsidRPr="00026FB7">
        <w:rPr>
          <w:rFonts w:ascii="Times New Roman" w:eastAsia="Times New Roman" w:hAnsi="Times New Roman" w:cs="Times New Roman"/>
          <w:color w:val="000000"/>
          <w:sz w:val="24"/>
          <w:szCs w:val="24"/>
        </w:rPr>
        <w:t xml:space="preserve"> community engagement techniques' success and using the results to enhance engagement efforts going forward</w:t>
      </w:r>
      <w:r w:rsidR="00C2024B" w:rsidRPr="00026FB7">
        <w:rPr>
          <w:rFonts w:ascii="Times New Roman" w:eastAsia="Times New Roman" w:hAnsi="Times New Roman" w:cs="Times New Roman"/>
          <w:color w:val="000000"/>
          <w:sz w:val="24"/>
          <w:szCs w:val="24"/>
        </w:rPr>
        <w:t xml:space="preserve"> is crucial</w:t>
      </w:r>
      <w:r w:rsidRPr="00026FB7">
        <w:rPr>
          <w:rFonts w:ascii="Times New Roman" w:eastAsia="Times New Roman" w:hAnsi="Times New Roman" w:cs="Times New Roman"/>
          <w:color w:val="000000"/>
          <w:sz w:val="24"/>
          <w:szCs w:val="24"/>
        </w:rPr>
        <w:t xml:space="preserve"> (Virani, 2020). Brent Council is dedicated to community involvement standards, methods of stakeholder interaction, and ideals.</w:t>
      </w:r>
    </w:p>
    <w:p w14:paraId="346F6B39" w14:textId="77777777" w:rsidR="00941ACD" w:rsidRPr="00026FB7" w:rsidRDefault="00941ACD" w:rsidP="00026FB7">
      <w:pPr>
        <w:ind w:firstLine="720"/>
        <w:jc w:val="both"/>
        <w:rPr>
          <w:rFonts w:ascii="Times New Roman" w:hAnsi="Times New Roman" w:cs="Times New Roman"/>
          <w:color w:val="000000"/>
          <w:sz w:val="24"/>
          <w:szCs w:val="24"/>
        </w:rPr>
      </w:pPr>
      <w:r w:rsidRPr="00026FB7">
        <w:rPr>
          <w:rFonts w:ascii="Times New Roman" w:hAnsi="Times New Roman" w:cs="Times New Roman"/>
          <w:color w:val="000000"/>
          <w:sz w:val="24"/>
          <w:szCs w:val="24"/>
        </w:rPr>
        <w:t>Engaging with key stakeholders is crucial to ensuring that the authority's policies and choices reflect the needs and expectations for</w:t>
      </w:r>
      <w:r w:rsidR="0032590B" w:rsidRPr="00026FB7">
        <w:rPr>
          <w:rFonts w:ascii="Times New Roman" w:hAnsi="Times New Roman" w:cs="Times New Roman"/>
          <w:color w:val="000000"/>
          <w:sz w:val="24"/>
          <w:szCs w:val="24"/>
        </w:rPr>
        <w:t> the</w:t>
      </w:r>
      <w:r w:rsidRPr="00026FB7">
        <w:rPr>
          <w:rFonts w:ascii="Times New Roman" w:hAnsi="Times New Roman" w:cs="Times New Roman"/>
          <w:color w:val="000000"/>
          <w:sz w:val="24"/>
          <w:szCs w:val="24"/>
        </w:rPr>
        <w:t xml:space="preserve"> community (Willett and </w:t>
      </w:r>
      <w:proofErr w:type="spellStart"/>
      <w:r w:rsidRPr="00026FB7">
        <w:rPr>
          <w:rFonts w:ascii="Times New Roman" w:hAnsi="Times New Roman" w:cs="Times New Roman"/>
          <w:color w:val="000000"/>
          <w:sz w:val="24"/>
          <w:szCs w:val="24"/>
        </w:rPr>
        <w:t>Cruxon</w:t>
      </w:r>
      <w:proofErr w:type="spellEnd"/>
      <w:r w:rsidRPr="00026FB7">
        <w:rPr>
          <w:rFonts w:ascii="Times New Roman" w:hAnsi="Times New Roman" w:cs="Times New Roman"/>
          <w:color w:val="000000"/>
          <w:sz w:val="24"/>
          <w:szCs w:val="24"/>
        </w:rPr>
        <w:t>, 2018). Brent Council is home to many important stakeholders, and there are effective ways to include them. The approaches are also considered to be the best for various stakeholder types.</w:t>
      </w:r>
    </w:p>
    <w:p w14:paraId="31712CFE" w14:textId="77777777" w:rsidR="00941ACD" w:rsidRPr="00026FB7" w:rsidRDefault="00941ACD" w:rsidP="00026FB7">
      <w:pPr>
        <w:ind w:firstLine="720"/>
        <w:jc w:val="both"/>
        <w:rPr>
          <w:rFonts w:ascii="Times New Roman" w:hAnsi="Times New Roman" w:cs="Times New Roman"/>
          <w:color w:val="000000"/>
          <w:sz w:val="24"/>
          <w:szCs w:val="24"/>
        </w:rPr>
      </w:pPr>
      <w:r w:rsidRPr="00026FB7">
        <w:rPr>
          <w:rFonts w:ascii="Times New Roman" w:hAnsi="Times New Roman" w:cs="Times New Roman"/>
          <w:color w:val="000000"/>
          <w:sz w:val="24"/>
          <w:szCs w:val="24"/>
        </w:rPr>
        <w:t xml:space="preserve">The principal parties involved in Brent Council are: The citizens of Brent are regarded as the council's major stakeholders (Granicus, 2017). The council's choices and policies have an immediate effect on the individuals. The </w:t>
      </w:r>
      <w:r w:rsidR="0032590B" w:rsidRPr="00026FB7">
        <w:rPr>
          <w:rFonts w:ascii="Times New Roman" w:hAnsi="Times New Roman" w:cs="Times New Roman"/>
          <w:color w:val="000000"/>
          <w:sz w:val="24"/>
          <w:szCs w:val="24"/>
        </w:rPr>
        <w:t>council's services and program</w:t>
      </w:r>
      <w:r w:rsidRPr="00026FB7">
        <w:rPr>
          <w:rFonts w:ascii="Times New Roman" w:hAnsi="Times New Roman" w:cs="Times New Roman"/>
          <w:color w:val="000000"/>
          <w:sz w:val="24"/>
          <w:szCs w:val="24"/>
        </w:rPr>
        <w:t>s are shaped in large part by the thoughts and feedback received. Companies in the community have a significant role in Brent council.</w:t>
      </w:r>
      <w:r w:rsidRPr="00026FB7">
        <w:rPr>
          <w:rFonts w:ascii="Times New Roman" w:hAnsi="Times New Roman" w:cs="Times New Roman"/>
          <w:sz w:val="24"/>
          <w:szCs w:val="24"/>
        </w:rPr>
        <w:t xml:space="preserve"> </w:t>
      </w:r>
      <w:r w:rsidRPr="00026FB7">
        <w:rPr>
          <w:rFonts w:ascii="Times New Roman" w:hAnsi="Times New Roman" w:cs="Times New Roman"/>
          <w:color w:val="000000"/>
          <w:sz w:val="24"/>
          <w:szCs w:val="24"/>
        </w:rPr>
        <w:t>They provide job possibilities, contribute to the local economy, and collaborate with the council on a number of projects. Brent Council's involvement activities with the community heavily include community groups (Hendricks, 2022). Community members are given a forum to express their grievances and make recommendations on how the council might enhance services. The following essential stakeholders can be effectively involved: Conducting resident surveys to interact with locals (Community Tool Box, 2018). With the polls, the council obtains insightful input on its programs, initiatives, and policies. Internet surveys are frequently practical since they can easily reach a larger audience, whereas paper surveys are only given to certain places (Hendricks, 2022).</w:t>
      </w:r>
      <w:r w:rsidRPr="00026FB7">
        <w:rPr>
          <w:rFonts w:ascii="Times New Roman" w:hAnsi="Times New Roman" w:cs="Times New Roman"/>
          <w:sz w:val="24"/>
          <w:szCs w:val="24"/>
        </w:rPr>
        <w:t xml:space="preserve"> </w:t>
      </w:r>
      <w:r w:rsidRPr="00026FB7">
        <w:rPr>
          <w:rFonts w:ascii="Times New Roman" w:hAnsi="Times New Roman" w:cs="Times New Roman"/>
          <w:color w:val="000000"/>
          <w:sz w:val="24"/>
          <w:szCs w:val="24"/>
        </w:rPr>
        <w:t xml:space="preserve">Local companies get the chance to network and talk about problems that concern them at the Business Forum. In order to determine where help is required and to get comments on the economic development strategy, the council uses forums. Residents can express their issues and ask the council questions at community meetings (Granicus, 2017). Depending on which option is more convenient for the inhabitants, these meetings can either be in-person or </w:t>
      </w:r>
      <w:r w:rsidRPr="00026FB7">
        <w:rPr>
          <w:rFonts w:ascii="Times New Roman" w:hAnsi="Times New Roman" w:cs="Times New Roman"/>
          <w:color w:val="000000"/>
          <w:sz w:val="24"/>
          <w:szCs w:val="24"/>
        </w:rPr>
        <w:lastRenderedPageBreak/>
        <w:t>online. Constituents have the chance to discuss concerns with their representatives at elected member surgery. These are open to locals and are held both in person and online. Based on a number of factors, the approaches are regarded as the best.</w:t>
      </w:r>
      <w:r w:rsidRPr="00026FB7">
        <w:rPr>
          <w:rFonts w:ascii="Times New Roman" w:hAnsi="Times New Roman" w:cs="Times New Roman"/>
          <w:sz w:val="24"/>
          <w:szCs w:val="24"/>
        </w:rPr>
        <w:t xml:space="preserve"> </w:t>
      </w:r>
      <w:r w:rsidRPr="00026FB7">
        <w:rPr>
          <w:rFonts w:ascii="Times New Roman" w:hAnsi="Times New Roman" w:cs="Times New Roman"/>
          <w:color w:val="000000"/>
          <w:sz w:val="24"/>
          <w:szCs w:val="24"/>
        </w:rPr>
        <w:t xml:space="preserve">The greatest way to interact with citizens is through resident surveys, which enable the council to collect opinions on a big scale (Willett and </w:t>
      </w:r>
      <w:proofErr w:type="spellStart"/>
      <w:r w:rsidRPr="00026FB7">
        <w:rPr>
          <w:rFonts w:ascii="Times New Roman" w:hAnsi="Times New Roman" w:cs="Times New Roman"/>
          <w:color w:val="000000"/>
          <w:sz w:val="24"/>
          <w:szCs w:val="24"/>
        </w:rPr>
        <w:t>Cruxon</w:t>
      </w:r>
      <w:proofErr w:type="spellEnd"/>
      <w:r w:rsidRPr="00026FB7">
        <w:rPr>
          <w:rFonts w:ascii="Times New Roman" w:hAnsi="Times New Roman" w:cs="Times New Roman"/>
          <w:color w:val="000000"/>
          <w:sz w:val="24"/>
          <w:szCs w:val="24"/>
        </w:rPr>
        <w:t xml:space="preserve">, 2018). The greatest way to interact with </w:t>
      </w:r>
      <w:r w:rsidR="00C2024B" w:rsidRPr="00026FB7">
        <w:rPr>
          <w:rFonts w:ascii="Times New Roman" w:hAnsi="Times New Roman" w:cs="Times New Roman"/>
          <w:color w:val="000000"/>
          <w:sz w:val="24"/>
          <w:szCs w:val="24"/>
        </w:rPr>
        <w:t>neighborhood</w:t>
      </w:r>
      <w:r w:rsidRPr="00026FB7">
        <w:rPr>
          <w:rFonts w:ascii="Times New Roman" w:hAnsi="Times New Roman" w:cs="Times New Roman"/>
          <w:color w:val="000000"/>
          <w:sz w:val="24"/>
          <w:szCs w:val="24"/>
        </w:rPr>
        <w:t xml:space="preserve"> companies is through business forums, which provide the council a chance to learn about their needs and worries. The finest forums for involving the populace are community meetings since they provide citizens a chance to address the council directly. The greatest way to engage people is through elected member surgeries, which enable open dialogue between locals and the representatives (Hart and </w:t>
      </w:r>
      <w:proofErr w:type="spellStart"/>
      <w:r w:rsidRPr="00026FB7">
        <w:rPr>
          <w:rFonts w:ascii="Times New Roman" w:hAnsi="Times New Roman" w:cs="Times New Roman"/>
          <w:color w:val="000000"/>
          <w:sz w:val="24"/>
          <w:szCs w:val="24"/>
        </w:rPr>
        <w:t>Northmore</w:t>
      </w:r>
      <w:proofErr w:type="spellEnd"/>
      <w:r w:rsidRPr="00026FB7">
        <w:rPr>
          <w:rFonts w:ascii="Times New Roman" w:hAnsi="Times New Roman" w:cs="Times New Roman"/>
          <w:color w:val="000000"/>
          <w:sz w:val="24"/>
          <w:szCs w:val="24"/>
        </w:rPr>
        <w:t>, 2010). It is appropriate for locals who want to discuss specific issues and worries with their officials.</w:t>
      </w:r>
    </w:p>
    <w:p w14:paraId="5DD7EA75" w14:textId="77777777" w:rsidR="00F2250A" w:rsidRPr="00026FB7" w:rsidRDefault="00941ACD" w:rsidP="00026FB7">
      <w:pPr>
        <w:ind w:firstLine="720"/>
        <w:jc w:val="both"/>
        <w:rPr>
          <w:rFonts w:ascii="Times New Roman" w:hAnsi="Times New Roman" w:cs="Times New Roman"/>
          <w:color w:val="000000"/>
          <w:sz w:val="24"/>
          <w:szCs w:val="24"/>
        </w:rPr>
      </w:pPr>
      <w:r w:rsidRPr="00026FB7">
        <w:rPr>
          <w:rFonts w:ascii="Times New Roman" w:hAnsi="Times New Roman" w:cs="Times New Roman"/>
          <w:color w:val="000000"/>
          <w:sz w:val="24"/>
          <w:szCs w:val="24"/>
        </w:rPr>
        <w:t xml:space="preserve">In recent times, Brent Council has worked to encourage stakeholders' involvement in its management and decision-making processes (Hayes and </w:t>
      </w:r>
      <w:proofErr w:type="spellStart"/>
      <w:r w:rsidRPr="00026FB7">
        <w:rPr>
          <w:rFonts w:ascii="Times New Roman" w:hAnsi="Times New Roman" w:cs="Times New Roman"/>
          <w:color w:val="000000"/>
          <w:sz w:val="24"/>
          <w:szCs w:val="24"/>
        </w:rPr>
        <w:t>Bulat</w:t>
      </w:r>
      <w:proofErr w:type="spellEnd"/>
      <w:r w:rsidRPr="00026FB7">
        <w:rPr>
          <w:rFonts w:ascii="Times New Roman" w:hAnsi="Times New Roman" w:cs="Times New Roman"/>
          <w:color w:val="000000"/>
          <w:sz w:val="24"/>
          <w:szCs w:val="24"/>
        </w:rPr>
        <w:t xml:space="preserve">, 2017). The council has tackled some of the key topics in various ways, including: Stakeholder Participation, in which the council has put in place a number of steps to guarantee that stakeholders may express their ideas during its decision-making processes. Residents' opinions are gathered through social media platforms, community activities, and public dialogues (Hart and </w:t>
      </w:r>
      <w:proofErr w:type="spellStart"/>
      <w:r w:rsidRPr="00026FB7">
        <w:rPr>
          <w:rFonts w:ascii="Times New Roman" w:hAnsi="Times New Roman" w:cs="Times New Roman"/>
          <w:color w:val="000000"/>
          <w:sz w:val="24"/>
          <w:szCs w:val="24"/>
        </w:rPr>
        <w:t>Northmore</w:t>
      </w:r>
      <w:proofErr w:type="spellEnd"/>
      <w:r w:rsidRPr="00026FB7">
        <w:rPr>
          <w:rFonts w:ascii="Times New Roman" w:hAnsi="Times New Roman" w:cs="Times New Roman"/>
          <w:color w:val="000000"/>
          <w:sz w:val="24"/>
          <w:szCs w:val="24"/>
        </w:rPr>
        <w:t xml:space="preserve">, 2010). To make sure that client concerns are taken into account, the council makes sure they collaborate with </w:t>
      </w:r>
      <w:r w:rsidR="00C2024B" w:rsidRPr="00026FB7">
        <w:rPr>
          <w:rFonts w:ascii="Times New Roman" w:hAnsi="Times New Roman" w:cs="Times New Roman"/>
          <w:color w:val="000000"/>
          <w:sz w:val="24"/>
          <w:szCs w:val="24"/>
        </w:rPr>
        <w:t>neighborhood</w:t>
      </w:r>
      <w:r w:rsidRPr="00026FB7">
        <w:rPr>
          <w:rFonts w:ascii="Times New Roman" w:hAnsi="Times New Roman" w:cs="Times New Roman"/>
          <w:color w:val="000000"/>
          <w:sz w:val="24"/>
          <w:szCs w:val="24"/>
        </w:rPr>
        <w:t xml:space="preserve"> business associations, religious </w:t>
      </w:r>
      <w:r w:rsidR="00C2024B" w:rsidRPr="00026FB7">
        <w:rPr>
          <w:rFonts w:ascii="Times New Roman" w:hAnsi="Times New Roman" w:cs="Times New Roman"/>
          <w:color w:val="000000"/>
          <w:sz w:val="24"/>
          <w:szCs w:val="24"/>
        </w:rPr>
        <w:t>organizations</w:t>
      </w:r>
      <w:r w:rsidRPr="00026FB7">
        <w:rPr>
          <w:rFonts w:ascii="Times New Roman" w:hAnsi="Times New Roman" w:cs="Times New Roman"/>
          <w:color w:val="000000"/>
          <w:sz w:val="24"/>
          <w:szCs w:val="24"/>
        </w:rPr>
        <w:t>, and community groups.</w:t>
      </w:r>
      <w:r w:rsidRPr="00026FB7">
        <w:rPr>
          <w:rFonts w:ascii="Times New Roman" w:hAnsi="Times New Roman" w:cs="Times New Roman"/>
          <w:sz w:val="24"/>
          <w:szCs w:val="24"/>
        </w:rPr>
        <w:t xml:space="preserve"> </w:t>
      </w:r>
      <w:r w:rsidRPr="00026FB7">
        <w:rPr>
          <w:rFonts w:ascii="Times New Roman" w:hAnsi="Times New Roman" w:cs="Times New Roman"/>
          <w:color w:val="000000"/>
          <w:sz w:val="24"/>
          <w:szCs w:val="24"/>
        </w:rPr>
        <w:t xml:space="preserve">The council </w:t>
      </w:r>
      <w:r w:rsidR="0032590B" w:rsidRPr="00026FB7">
        <w:rPr>
          <w:rFonts w:ascii="Times New Roman" w:hAnsi="Times New Roman" w:cs="Times New Roman"/>
          <w:color w:val="000000"/>
          <w:sz w:val="24"/>
          <w:szCs w:val="24"/>
        </w:rPr>
        <w:t>recognizes</w:t>
      </w:r>
      <w:r w:rsidRPr="00026FB7">
        <w:rPr>
          <w:rFonts w:ascii="Times New Roman" w:hAnsi="Times New Roman" w:cs="Times New Roman"/>
          <w:color w:val="000000"/>
          <w:sz w:val="24"/>
          <w:szCs w:val="24"/>
        </w:rPr>
        <w:t xml:space="preserve"> the value of cooperation by collaborating closely with the other local authorities, governmental institutions, and community </w:t>
      </w:r>
      <w:r w:rsidR="00C2024B" w:rsidRPr="00026FB7">
        <w:rPr>
          <w:rFonts w:ascii="Times New Roman" w:hAnsi="Times New Roman" w:cs="Times New Roman"/>
          <w:color w:val="000000"/>
          <w:sz w:val="24"/>
          <w:szCs w:val="24"/>
        </w:rPr>
        <w:t>organizations</w:t>
      </w:r>
      <w:r w:rsidRPr="00026FB7">
        <w:rPr>
          <w:rFonts w:ascii="Times New Roman" w:hAnsi="Times New Roman" w:cs="Times New Roman"/>
          <w:color w:val="000000"/>
          <w:sz w:val="24"/>
          <w:szCs w:val="24"/>
        </w:rPr>
        <w:t xml:space="preserve"> to provide people with outcomes (Nahar et al., 2020). The council has made a commitment to promoting diversity and inclusion in all of its areas of operation. The council hires a diverse workforce and offers its employees equal chances. In order to celebrate diversity and advance many cultures and customs, the council collaborates with </w:t>
      </w:r>
      <w:r w:rsidR="00C2024B" w:rsidRPr="00026FB7">
        <w:rPr>
          <w:rFonts w:ascii="Times New Roman" w:hAnsi="Times New Roman" w:cs="Times New Roman"/>
          <w:color w:val="000000"/>
          <w:sz w:val="24"/>
          <w:szCs w:val="24"/>
        </w:rPr>
        <w:t>neighborhood</w:t>
      </w:r>
      <w:r w:rsidRPr="00026FB7">
        <w:rPr>
          <w:rFonts w:ascii="Times New Roman" w:hAnsi="Times New Roman" w:cs="Times New Roman"/>
          <w:color w:val="000000"/>
          <w:sz w:val="24"/>
          <w:szCs w:val="24"/>
        </w:rPr>
        <w:t xml:space="preserve"> community </w:t>
      </w:r>
      <w:r w:rsidR="00C2024B" w:rsidRPr="00026FB7">
        <w:rPr>
          <w:rFonts w:ascii="Times New Roman" w:hAnsi="Times New Roman" w:cs="Times New Roman"/>
          <w:color w:val="000000"/>
          <w:sz w:val="24"/>
          <w:szCs w:val="24"/>
        </w:rPr>
        <w:t>organizations</w:t>
      </w:r>
      <w:r w:rsidRPr="00026FB7">
        <w:rPr>
          <w:rFonts w:ascii="Times New Roman" w:hAnsi="Times New Roman" w:cs="Times New Roman"/>
          <w:color w:val="000000"/>
          <w:sz w:val="24"/>
          <w:szCs w:val="24"/>
        </w:rPr>
        <w:t>. The council implements a number of initiatives to encourage social inclusion and lessen inequality in the borough (Nahar et al., 2020).</w:t>
      </w:r>
      <w:r w:rsidRPr="00026FB7">
        <w:rPr>
          <w:rFonts w:ascii="Times New Roman" w:hAnsi="Times New Roman" w:cs="Times New Roman"/>
          <w:sz w:val="24"/>
          <w:szCs w:val="24"/>
        </w:rPr>
        <w:t xml:space="preserve"> </w:t>
      </w:r>
      <w:r w:rsidRPr="00026FB7">
        <w:rPr>
          <w:rFonts w:ascii="Times New Roman" w:hAnsi="Times New Roman" w:cs="Times New Roman"/>
          <w:color w:val="000000"/>
          <w:sz w:val="24"/>
          <w:szCs w:val="24"/>
        </w:rPr>
        <w:t xml:space="preserve">The council has improved accessibility by pledging to make all of its inhabitants, including those with disabilities, able to use its services and facilities. In order to make sure that its facilities and services are accessible and meet the requirements of individuals with disabilities, the council collaborates with disability groups and </w:t>
      </w:r>
      <w:r w:rsidR="00C2024B" w:rsidRPr="00026FB7">
        <w:rPr>
          <w:rFonts w:ascii="Times New Roman" w:hAnsi="Times New Roman" w:cs="Times New Roman"/>
          <w:color w:val="000000"/>
          <w:sz w:val="24"/>
          <w:szCs w:val="24"/>
        </w:rPr>
        <w:t>organizations</w:t>
      </w:r>
      <w:r w:rsidRPr="00026FB7">
        <w:rPr>
          <w:rFonts w:ascii="Times New Roman" w:hAnsi="Times New Roman" w:cs="Times New Roman"/>
          <w:color w:val="000000"/>
          <w:sz w:val="24"/>
          <w:szCs w:val="24"/>
        </w:rPr>
        <w:t xml:space="preserve">. Brent Council displays dedication to fostering cooperation, inclusivity, diversity, and stakeholder engagement in its operations (Hayes and </w:t>
      </w:r>
      <w:proofErr w:type="spellStart"/>
      <w:r w:rsidRPr="00026FB7">
        <w:rPr>
          <w:rFonts w:ascii="Times New Roman" w:hAnsi="Times New Roman" w:cs="Times New Roman"/>
          <w:color w:val="000000"/>
          <w:sz w:val="24"/>
          <w:szCs w:val="24"/>
        </w:rPr>
        <w:t>Bulat</w:t>
      </w:r>
      <w:proofErr w:type="spellEnd"/>
      <w:r w:rsidRPr="00026FB7">
        <w:rPr>
          <w:rFonts w:ascii="Times New Roman" w:hAnsi="Times New Roman" w:cs="Times New Roman"/>
          <w:color w:val="000000"/>
          <w:sz w:val="24"/>
          <w:szCs w:val="24"/>
        </w:rPr>
        <w:t xml:space="preserve">, </w:t>
      </w:r>
      <w:r w:rsidRPr="00026FB7">
        <w:rPr>
          <w:rFonts w:ascii="Times New Roman" w:hAnsi="Times New Roman" w:cs="Times New Roman"/>
          <w:color w:val="000000"/>
          <w:sz w:val="24"/>
          <w:szCs w:val="24"/>
        </w:rPr>
        <w:lastRenderedPageBreak/>
        <w:t>2017). The council takes action to support the development of a welcoming and just community for all borough inhabitants.</w:t>
      </w:r>
      <w:r w:rsidR="00F635CE" w:rsidRPr="00026FB7">
        <w:rPr>
          <w:rFonts w:ascii="Times New Roman" w:hAnsi="Times New Roman" w:cs="Times New Roman"/>
          <w:color w:val="000000"/>
          <w:sz w:val="24"/>
          <w:szCs w:val="24"/>
        </w:rPr>
        <w:t xml:space="preserve"> </w:t>
      </w:r>
    </w:p>
    <w:p w14:paraId="3F4A70B5" w14:textId="77777777" w:rsidR="00F635CE" w:rsidRPr="00026FB7" w:rsidRDefault="003270F8" w:rsidP="00026FB7">
      <w:pPr>
        <w:ind w:firstLine="720"/>
        <w:jc w:val="both"/>
        <w:rPr>
          <w:rFonts w:ascii="Times New Roman" w:hAnsi="Times New Roman" w:cs="Times New Roman"/>
          <w:color w:val="000000"/>
          <w:sz w:val="24"/>
          <w:szCs w:val="24"/>
        </w:rPr>
      </w:pPr>
      <w:r w:rsidRPr="00026FB7">
        <w:rPr>
          <w:rFonts w:ascii="Times New Roman" w:hAnsi="Times New Roman" w:cs="Times New Roman"/>
          <w:color w:val="000000"/>
          <w:sz w:val="24"/>
          <w:szCs w:val="24"/>
        </w:rPr>
        <w:t xml:space="preserve">In summary, </w:t>
      </w:r>
      <w:r w:rsidR="00F635CE" w:rsidRPr="00026FB7">
        <w:rPr>
          <w:rFonts w:ascii="Times New Roman" w:hAnsi="Times New Roman" w:cs="Times New Roman"/>
          <w:color w:val="000000"/>
          <w:sz w:val="24"/>
          <w:szCs w:val="24"/>
        </w:rPr>
        <w:t xml:space="preserve">The Brent Council has put a lot of work towards fostering inclusion and diversity in the borough as well as encouraging community involvement. The council has made sure that the locals' ideas and concerns are addressed and handled through public consultations, civic engagement activities, and partnership with </w:t>
      </w:r>
      <w:r w:rsidR="003767B7" w:rsidRPr="00026FB7">
        <w:rPr>
          <w:rFonts w:ascii="Times New Roman" w:hAnsi="Times New Roman" w:cs="Times New Roman"/>
          <w:color w:val="000000"/>
          <w:sz w:val="24"/>
          <w:szCs w:val="24"/>
        </w:rPr>
        <w:t>neighborhood</w:t>
      </w:r>
      <w:r w:rsidR="00F635CE" w:rsidRPr="00026FB7">
        <w:rPr>
          <w:rFonts w:ascii="Times New Roman" w:hAnsi="Times New Roman" w:cs="Times New Roman"/>
          <w:color w:val="000000"/>
          <w:sz w:val="24"/>
          <w:szCs w:val="24"/>
        </w:rPr>
        <w:t xml:space="preserve"> community groups. Services are now more easily available to residents with disabilities because to the council's dedication to accessibility, equal opportunity, and social inclusion. As it </w:t>
      </w:r>
      <w:r w:rsidR="003767B7" w:rsidRPr="00026FB7">
        <w:rPr>
          <w:rFonts w:ascii="Times New Roman" w:hAnsi="Times New Roman" w:cs="Times New Roman"/>
          <w:color w:val="000000"/>
          <w:sz w:val="24"/>
          <w:szCs w:val="24"/>
        </w:rPr>
        <w:t>emphasizes</w:t>
      </w:r>
      <w:r w:rsidR="00F635CE" w:rsidRPr="00026FB7">
        <w:rPr>
          <w:rFonts w:ascii="Times New Roman" w:hAnsi="Times New Roman" w:cs="Times New Roman"/>
          <w:color w:val="000000"/>
          <w:sz w:val="24"/>
          <w:szCs w:val="24"/>
        </w:rPr>
        <w:t xml:space="preserve"> the value of creating solid connections with local communities and promoting a culture of cooperation and inclusion, Brent Council's strategy to community engagement serves as a model for other local governments and government </w:t>
      </w:r>
      <w:r w:rsidR="003767B7" w:rsidRPr="00026FB7">
        <w:rPr>
          <w:rFonts w:ascii="Times New Roman" w:hAnsi="Times New Roman" w:cs="Times New Roman"/>
          <w:color w:val="000000"/>
          <w:sz w:val="24"/>
          <w:szCs w:val="24"/>
        </w:rPr>
        <w:t>organizations</w:t>
      </w:r>
      <w:r w:rsidR="00F635CE" w:rsidRPr="00026FB7">
        <w:rPr>
          <w:rFonts w:ascii="Times New Roman" w:hAnsi="Times New Roman" w:cs="Times New Roman"/>
          <w:color w:val="000000"/>
          <w:sz w:val="24"/>
          <w:szCs w:val="24"/>
        </w:rPr>
        <w:t>.</w:t>
      </w:r>
      <w:r w:rsidR="00F635CE" w:rsidRPr="00026FB7">
        <w:rPr>
          <w:rFonts w:ascii="Times New Roman" w:hAnsi="Times New Roman" w:cs="Times New Roman"/>
          <w:sz w:val="24"/>
          <w:szCs w:val="24"/>
        </w:rPr>
        <w:t xml:space="preserve"> </w:t>
      </w:r>
      <w:r w:rsidR="00F635CE" w:rsidRPr="00026FB7">
        <w:rPr>
          <w:rFonts w:ascii="Times New Roman" w:hAnsi="Times New Roman" w:cs="Times New Roman"/>
          <w:color w:val="000000"/>
          <w:sz w:val="24"/>
          <w:szCs w:val="24"/>
        </w:rPr>
        <w:t>Promoting stakeholder involvement, diversity, and inclusion aids in building a just and prosperous community for all Brent citizens. Brent Council has engaged important stakeholders to deliver good operations and make informed choices. The Brent Council may collect useful input and foster connections with its stakeholders by using appropriate engagement techniques. It's crucial to effectively connect with various stakeholder groups through a variety of ways.</w:t>
      </w:r>
    </w:p>
    <w:p w14:paraId="25D2A04E" w14:textId="77777777" w:rsidR="00A52ADC" w:rsidRDefault="00A52ADC" w:rsidP="009A7B05">
      <w:pPr>
        <w:pStyle w:val="NormalWeb"/>
        <w:spacing w:before="0" w:beforeAutospacing="0" w:after="0" w:afterAutospacing="0" w:line="360" w:lineRule="auto"/>
        <w:contextualSpacing/>
        <w:rPr>
          <w:color w:val="000000"/>
        </w:rPr>
      </w:pPr>
    </w:p>
    <w:p w14:paraId="1C5C8DEE" w14:textId="77777777" w:rsidR="00A52ADC" w:rsidRDefault="00A52ADC" w:rsidP="009A7B05">
      <w:pPr>
        <w:pStyle w:val="NormalWeb"/>
        <w:spacing w:before="0" w:beforeAutospacing="0" w:after="0" w:afterAutospacing="0" w:line="360" w:lineRule="auto"/>
        <w:contextualSpacing/>
        <w:rPr>
          <w:color w:val="000000"/>
        </w:rPr>
      </w:pPr>
    </w:p>
    <w:p w14:paraId="25BDA2C7" w14:textId="77777777" w:rsidR="00A52ADC" w:rsidRDefault="00A52ADC" w:rsidP="009A7B05">
      <w:pPr>
        <w:pStyle w:val="NormalWeb"/>
        <w:spacing w:before="0" w:beforeAutospacing="0" w:after="0" w:afterAutospacing="0" w:line="360" w:lineRule="auto"/>
        <w:contextualSpacing/>
        <w:rPr>
          <w:color w:val="000000"/>
        </w:rPr>
      </w:pPr>
    </w:p>
    <w:p w14:paraId="771A726C" w14:textId="77777777" w:rsidR="00A52ADC" w:rsidRDefault="00A52ADC" w:rsidP="009A7B05">
      <w:pPr>
        <w:pStyle w:val="NormalWeb"/>
        <w:spacing w:before="0" w:beforeAutospacing="0" w:after="0" w:afterAutospacing="0" w:line="360" w:lineRule="auto"/>
        <w:contextualSpacing/>
        <w:rPr>
          <w:color w:val="000000"/>
        </w:rPr>
      </w:pPr>
    </w:p>
    <w:p w14:paraId="4CA49A09" w14:textId="77777777" w:rsidR="00A52ADC" w:rsidRDefault="00A52ADC" w:rsidP="009A7B05">
      <w:pPr>
        <w:pStyle w:val="NormalWeb"/>
        <w:spacing w:before="0" w:beforeAutospacing="0" w:after="0" w:afterAutospacing="0" w:line="360" w:lineRule="auto"/>
        <w:contextualSpacing/>
        <w:rPr>
          <w:color w:val="000000"/>
        </w:rPr>
      </w:pPr>
    </w:p>
    <w:p w14:paraId="61B62E66" w14:textId="77777777" w:rsidR="00A52ADC" w:rsidRDefault="00A52ADC" w:rsidP="009A7B05">
      <w:pPr>
        <w:pStyle w:val="NormalWeb"/>
        <w:spacing w:before="0" w:beforeAutospacing="0" w:after="0" w:afterAutospacing="0" w:line="360" w:lineRule="auto"/>
        <w:contextualSpacing/>
        <w:rPr>
          <w:color w:val="000000"/>
        </w:rPr>
      </w:pPr>
    </w:p>
    <w:p w14:paraId="251EE4CF" w14:textId="77777777" w:rsidR="00A52ADC" w:rsidRDefault="00A52ADC" w:rsidP="009A7B05">
      <w:pPr>
        <w:pStyle w:val="NormalWeb"/>
        <w:spacing w:before="0" w:beforeAutospacing="0" w:after="0" w:afterAutospacing="0" w:line="360" w:lineRule="auto"/>
        <w:contextualSpacing/>
        <w:rPr>
          <w:color w:val="000000"/>
        </w:rPr>
      </w:pPr>
    </w:p>
    <w:p w14:paraId="2D3CA64D" w14:textId="77777777" w:rsidR="00886828" w:rsidRDefault="00886828" w:rsidP="009A7B05">
      <w:pPr>
        <w:pStyle w:val="NormalWeb"/>
        <w:spacing w:before="0" w:beforeAutospacing="0" w:after="0" w:afterAutospacing="0" w:line="360" w:lineRule="auto"/>
        <w:contextualSpacing/>
        <w:rPr>
          <w:color w:val="000000"/>
        </w:rPr>
      </w:pPr>
    </w:p>
    <w:p w14:paraId="0AC4AE4B" w14:textId="77777777" w:rsidR="00A52ADC" w:rsidRPr="009A7B05" w:rsidRDefault="00A52ADC" w:rsidP="009A7B05">
      <w:pPr>
        <w:pStyle w:val="NormalWeb"/>
        <w:spacing w:before="0" w:beforeAutospacing="0" w:after="0" w:afterAutospacing="0" w:line="360" w:lineRule="auto"/>
        <w:contextualSpacing/>
        <w:rPr>
          <w:color w:val="000000"/>
        </w:rPr>
      </w:pPr>
    </w:p>
    <w:p w14:paraId="365F3050" w14:textId="77777777" w:rsidR="00026FB7" w:rsidRDefault="00026FB7">
      <w:pPr>
        <w:rPr>
          <w:rFonts w:ascii="Times New Roman" w:eastAsia="SimSun" w:hAnsi="Times New Roman" w:cs="Times New Roman"/>
          <w:b/>
          <w:color w:val="000000"/>
          <w:sz w:val="24"/>
          <w:szCs w:val="24"/>
        </w:rPr>
      </w:pPr>
      <w:bookmarkStart w:id="0" w:name="_Toc129285773"/>
      <w:bookmarkStart w:id="1" w:name="_Toc129339852"/>
      <w:r>
        <w:rPr>
          <w:rFonts w:ascii="Times New Roman" w:hAnsi="Times New Roman" w:cs="Times New Roman"/>
          <w:b/>
          <w:color w:val="000000"/>
          <w:sz w:val="24"/>
          <w:szCs w:val="24"/>
        </w:rPr>
        <w:br w:type="page"/>
      </w:r>
    </w:p>
    <w:p w14:paraId="7CCD4852" w14:textId="77777777" w:rsidR="001C1187" w:rsidRPr="00026FB7" w:rsidRDefault="003270F8" w:rsidP="00026FB7">
      <w:pPr>
        <w:pStyle w:val="Heading1"/>
        <w:spacing w:before="120" w:line="240" w:lineRule="auto"/>
        <w:rPr>
          <w:rFonts w:ascii="Times New Roman" w:hAnsi="Times New Roman" w:cs="Times New Roman"/>
          <w:b/>
          <w:bCs/>
          <w:color w:val="auto"/>
          <w:sz w:val="24"/>
          <w:szCs w:val="24"/>
        </w:rPr>
      </w:pPr>
      <w:r w:rsidRPr="00026FB7">
        <w:rPr>
          <w:rFonts w:ascii="Times New Roman" w:hAnsi="Times New Roman" w:cs="Times New Roman"/>
          <w:b/>
          <w:bCs/>
          <w:color w:val="auto"/>
          <w:sz w:val="24"/>
          <w:szCs w:val="24"/>
        </w:rPr>
        <w:lastRenderedPageBreak/>
        <w:t>References</w:t>
      </w:r>
      <w:bookmarkEnd w:id="0"/>
      <w:bookmarkEnd w:id="1"/>
    </w:p>
    <w:p w14:paraId="6A5C7B21"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Boaz, A., </w:t>
      </w:r>
      <w:proofErr w:type="spellStart"/>
      <w:r w:rsidRPr="00026FB7">
        <w:rPr>
          <w:rFonts w:ascii="Times New Roman" w:hAnsi="Times New Roman" w:cs="Times New Roman"/>
          <w:sz w:val="24"/>
          <w:szCs w:val="24"/>
        </w:rPr>
        <w:t>Hanney</w:t>
      </w:r>
      <w:proofErr w:type="spellEnd"/>
      <w:r w:rsidRPr="00026FB7">
        <w:rPr>
          <w:rFonts w:ascii="Times New Roman" w:hAnsi="Times New Roman" w:cs="Times New Roman"/>
          <w:sz w:val="24"/>
          <w:szCs w:val="24"/>
        </w:rPr>
        <w:t xml:space="preserve">, S., Borst, R., O’Shea, A. and </w:t>
      </w:r>
      <w:proofErr w:type="spellStart"/>
      <w:r w:rsidRPr="00026FB7">
        <w:rPr>
          <w:rFonts w:ascii="Times New Roman" w:hAnsi="Times New Roman" w:cs="Times New Roman"/>
          <w:sz w:val="24"/>
          <w:szCs w:val="24"/>
        </w:rPr>
        <w:t>Kok</w:t>
      </w:r>
      <w:proofErr w:type="spellEnd"/>
      <w:r w:rsidRPr="00026FB7">
        <w:rPr>
          <w:rFonts w:ascii="Times New Roman" w:hAnsi="Times New Roman" w:cs="Times New Roman"/>
          <w:sz w:val="24"/>
          <w:szCs w:val="24"/>
        </w:rPr>
        <w:t xml:space="preserve">, M. (2018). How to engage stakeholders in research: design principles to support improvement. Health Research Policy and Systems, 16(1).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://doi.org/10.1186/s12961-018-0337-6</w:t>
      </w:r>
      <w:proofErr w:type="gramEnd"/>
      <w:r w:rsidRPr="00026FB7">
        <w:rPr>
          <w:rFonts w:ascii="Times New Roman" w:hAnsi="Times New Roman" w:cs="Times New Roman"/>
          <w:sz w:val="24"/>
          <w:szCs w:val="24"/>
        </w:rPr>
        <w:t>.</w:t>
      </w:r>
    </w:p>
    <w:p w14:paraId="78EC9F3D"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Brent Council. (2023). Community meetings and forums | Brent Council. [online] Available at: https://www.brent.gov.uk/neighbourhoods-and-communities/have-your-say/brent-connects-user-forums [Accessed 10 Mar. 2023].</w:t>
      </w:r>
    </w:p>
    <w:p w14:paraId="28A5E9D6"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Brent Council. (2023). Have your say | Brent Council. [online] Available at: https://www.brent.gov.uk/neighbourhoods-and-communities/have-your-say [Accessed 10 Mar. 2023].</w:t>
      </w:r>
    </w:p>
    <w:p w14:paraId="00088832"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‌Community Tool Box (2018). Chapter 3. Assessing Community Needs and Resources | Section 1. Developing a Plan for Assessing Local Needs and Resources | Main Section | Community Tool Box. [online] Ku.edu. Available at: </w:t>
      </w:r>
      <w:hyperlink r:id="rId8" w:history="1">
        <w:r w:rsidRPr="00026FB7">
          <w:rPr>
            <w:rStyle w:val="Hyperlink"/>
            <w:rFonts w:ascii="Times New Roman" w:hAnsi="Times New Roman" w:cs="Times New Roman"/>
            <w:color w:val="auto"/>
            <w:sz w:val="24"/>
            <w:szCs w:val="24"/>
            <w:u w:val="none"/>
          </w:rPr>
          <w:t>https://ctb.ku.edu/en/table-of-contents/assessment/assessing-community-needs-and-resources/develop-a-plan/main</w:t>
        </w:r>
      </w:hyperlink>
      <w:r w:rsidRPr="00026FB7">
        <w:rPr>
          <w:rFonts w:ascii="Times New Roman" w:hAnsi="Times New Roman" w:cs="Times New Roman"/>
          <w:sz w:val="24"/>
          <w:szCs w:val="24"/>
        </w:rPr>
        <w:t>.</w:t>
      </w:r>
    </w:p>
    <w:p w14:paraId="625D8449"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Granicus. (2017). 5 Reasons Why Community Engagement Matters. [online] Available at: </w:t>
      </w:r>
      <w:hyperlink r:id="rId9" w:history="1">
        <w:r w:rsidRPr="00026FB7">
          <w:rPr>
            <w:rStyle w:val="Hyperlink"/>
            <w:rFonts w:ascii="Times New Roman" w:hAnsi="Times New Roman" w:cs="Times New Roman"/>
            <w:color w:val="auto"/>
            <w:sz w:val="24"/>
            <w:szCs w:val="24"/>
            <w:u w:val="none"/>
          </w:rPr>
          <w:t>https://granicus.com/blog/5-reasons-why-community-engagement-matters/</w:t>
        </w:r>
      </w:hyperlink>
      <w:r w:rsidRPr="00026FB7">
        <w:rPr>
          <w:rFonts w:ascii="Times New Roman" w:hAnsi="Times New Roman" w:cs="Times New Roman"/>
          <w:sz w:val="24"/>
          <w:szCs w:val="24"/>
        </w:rPr>
        <w:t>.</w:t>
      </w:r>
    </w:p>
    <w:p w14:paraId="38A8BF1C"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Hart, A. and </w:t>
      </w:r>
      <w:proofErr w:type="spellStart"/>
      <w:r w:rsidRPr="00026FB7">
        <w:rPr>
          <w:rFonts w:ascii="Times New Roman" w:hAnsi="Times New Roman" w:cs="Times New Roman"/>
          <w:sz w:val="24"/>
          <w:szCs w:val="24"/>
        </w:rPr>
        <w:t>Northmore</w:t>
      </w:r>
      <w:proofErr w:type="spellEnd"/>
      <w:r w:rsidRPr="00026FB7">
        <w:rPr>
          <w:rFonts w:ascii="Times New Roman" w:hAnsi="Times New Roman" w:cs="Times New Roman"/>
          <w:sz w:val="24"/>
          <w:szCs w:val="24"/>
        </w:rPr>
        <w:t xml:space="preserve">, S. (2010). Auditing and Evaluating University-Community Engagement: Lessons from a UK Case Study. Higher Education Quarterly, 65(1), pp.34–58.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://doi.org/10.1111/j.1468-2273.2010.00466.x</w:t>
      </w:r>
      <w:proofErr w:type="gramEnd"/>
      <w:r w:rsidRPr="00026FB7">
        <w:rPr>
          <w:rFonts w:ascii="Times New Roman" w:hAnsi="Times New Roman" w:cs="Times New Roman"/>
          <w:sz w:val="24"/>
          <w:szCs w:val="24"/>
        </w:rPr>
        <w:t>.</w:t>
      </w:r>
    </w:p>
    <w:p w14:paraId="3CB86D70"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Hayes, A.M. and </w:t>
      </w:r>
      <w:proofErr w:type="spellStart"/>
      <w:r w:rsidRPr="00026FB7">
        <w:rPr>
          <w:rFonts w:ascii="Times New Roman" w:hAnsi="Times New Roman" w:cs="Times New Roman"/>
          <w:sz w:val="24"/>
          <w:szCs w:val="24"/>
        </w:rPr>
        <w:t>Bulat</w:t>
      </w:r>
      <w:proofErr w:type="spellEnd"/>
      <w:r w:rsidRPr="00026FB7">
        <w:rPr>
          <w:rFonts w:ascii="Times New Roman" w:hAnsi="Times New Roman" w:cs="Times New Roman"/>
          <w:sz w:val="24"/>
          <w:szCs w:val="24"/>
        </w:rPr>
        <w:t xml:space="preserve">, J. (2017). Disabilities Inclusive Education Systems and Policies Guide for Low- and Middle-Income Countries. [online] PubMed. Research Triangle Park (NC): RTI Press. Available at: </w:t>
      </w:r>
      <w:hyperlink r:id="rId10" w:history="1">
        <w:r w:rsidRPr="00026FB7">
          <w:rPr>
            <w:rStyle w:val="Hyperlink"/>
            <w:rFonts w:ascii="Times New Roman" w:hAnsi="Times New Roman" w:cs="Times New Roman"/>
            <w:color w:val="auto"/>
            <w:sz w:val="24"/>
            <w:szCs w:val="24"/>
            <w:u w:val="none"/>
          </w:rPr>
          <w:t>https://www.ncbi.nlm.nih.gov/books/NBK554622/</w:t>
        </w:r>
      </w:hyperlink>
      <w:r w:rsidRPr="00026FB7">
        <w:rPr>
          <w:rFonts w:ascii="Times New Roman" w:hAnsi="Times New Roman" w:cs="Times New Roman"/>
          <w:sz w:val="24"/>
          <w:szCs w:val="24"/>
        </w:rPr>
        <w:t>.</w:t>
      </w:r>
    </w:p>
    <w:p w14:paraId="0A4B3A7B"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Hendricks, A. (2022). Strategies for Successful Community Engagement in Government. [online] Simply Stakeholders. Available at: https://simplystakeholders.com/community-engagement-strategies-government/ [Accessed 10 Mar. 2023].</w:t>
      </w:r>
    </w:p>
    <w:p w14:paraId="030F3D88"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Hussey, S. (2021). Why is Community Engagement Important? [online] Granicus. Available at: </w:t>
      </w:r>
      <w:hyperlink r:id="rId11" w:history="1">
        <w:r w:rsidRPr="00026FB7">
          <w:rPr>
            <w:rStyle w:val="Hyperlink"/>
            <w:rFonts w:ascii="Times New Roman" w:hAnsi="Times New Roman" w:cs="Times New Roman"/>
            <w:color w:val="auto"/>
            <w:sz w:val="24"/>
            <w:szCs w:val="24"/>
            <w:u w:val="none"/>
          </w:rPr>
          <w:t>https://granicus.com/blog/why-is-community-engagement-important/</w:t>
        </w:r>
      </w:hyperlink>
      <w:r w:rsidRPr="00026FB7">
        <w:rPr>
          <w:rFonts w:ascii="Times New Roman" w:hAnsi="Times New Roman" w:cs="Times New Roman"/>
          <w:sz w:val="24"/>
          <w:szCs w:val="24"/>
        </w:rPr>
        <w:t>.</w:t>
      </w:r>
    </w:p>
    <w:p w14:paraId="7AB82A66"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w:t>
      </w:r>
      <w:proofErr w:type="spellStart"/>
      <w:r>
        <w:rPr>
          <w:rFonts w:ascii="Times New Roman" w:hAnsi="Times New Roman" w:cs="Times New Roman"/>
          <w:sz w:val="24"/>
          <w:szCs w:val="24"/>
        </w:rPr>
        <w:t>J</w:t>
      </w:r>
      <w:r w:rsidRPr="00026FB7">
        <w:rPr>
          <w:rFonts w:ascii="Times New Roman" w:hAnsi="Times New Roman" w:cs="Times New Roman"/>
          <w:sz w:val="24"/>
          <w:szCs w:val="24"/>
        </w:rPr>
        <w:t>rray</w:t>
      </w:r>
      <w:proofErr w:type="spellEnd"/>
      <w:r w:rsidRPr="00026FB7">
        <w:rPr>
          <w:rFonts w:ascii="Times New Roman" w:hAnsi="Times New Roman" w:cs="Times New Roman"/>
          <w:sz w:val="24"/>
          <w:szCs w:val="24"/>
        </w:rPr>
        <w:t xml:space="preserve"> (2017). Types of Community Engagement. [online] Student Life. Available at: </w:t>
      </w:r>
      <w:hyperlink r:id="rId12" w:history="1">
        <w:r w:rsidRPr="00026FB7">
          <w:rPr>
            <w:rStyle w:val="Hyperlink"/>
            <w:rFonts w:ascii="Times New Roman" w:hAnsi="Times New Roman" w:cs="Times New Roman"/>
            <w:color w:val="auto"/>
            <w:sz w:val="24"/>
            <w:szCs w:val="24"/>
            <w:u w:val="none"/>
          </w:rPr>
          <w:t>https://students.morris.umn.edu/community-engagement/types-community-engagement</w:t>
        </w:r>
      </w:hyperlink>
      <w:r w:rsidRPr="00026FB7">
        <w:rPr>
          <w:rFonts w:ascii="Times New Roman" w:hAnsi="Times New Roman" w:cs="Times New Roman"/>
          <w:sz w:val="24"/>
          <w:szCs w:val="24"/>
        </w:rPr>
        <w:t>.</w:t>
      </w:r>
    </w:p>
    <w:p w14:paraId="063F7A68"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proofErr w:type="spellStart"/>
      <w:r w:rsidRPr="00026FB7">
        <w:rPr>
          <w:rFonts w:ascii="Times New Roman" w:hAnsi="Times New Roman" w:cs="Times New Roman"/>
          <w:sz w:val="24"/>
          <w:szCs w:val="24"/>
        </w:rPr>
        <w:t>Manikam</w:t>
      </w:r>
      <w:proofErr w:type="spellEnd"/>
      <w:r w:rsidRPr="00026FB7">
        <w:rPr>
          <w:rFonts w:ascii="Times New Roman" w:hAnsi="Times New Roman" w:cs="Times New Roman"/>
          <w:sz w:val="24"/>
          <w:szCs w:val="24"/>
        </w:rPr>
        <w:t xml:space="preserve">, L., </w:t>
      </w:r>
      <w:proofErr w:type="spellStart"/>
      <w:r w:rsidRPr="00026FB7">
        <w:rPr>
          <w:rFonts w:ascii="Times New Roman" w:hAnsi="Times New Roman" w:cs="Times New Roman"/>
          <w:sz w:val="24"/>
          <w:szCs w:val="24"/>
        </w:rPr>
        <w:t>Allaham</w:t>
      </w:r>
      <w:proofErr w:type="spellEnd"/>
      <w:r w:rsidRPr="00026FB7">
        <w:rPr>
          <w:rFonts w:ascii="Times New Roman" w:hAnsi="Times New Roman" w:cs="Times New Roman"/>
          <w:sz w:val="24"/>
          <w:szCs w:val="24"/>
        </w:rPr>
        <w:t xml:space="preserve">, S., </w:t>
      </w:r>
      <w:proofErr w:type="spellStart"/>
      <w:r w:rsidRPr="00026FB7">
        <w:rPr>
          <w:rFonts w:ascii="Times New Roman" w:hAnsi="Times New Roman" w:cs="Times New Roman"/>
          <w:sz w:val="24"/>
          <w:szCs w:val="24"/>
        </w:rPr>
        <w:t>Zakieh</w:t>
      </w:r>
      <w:proofErr w:type="spellEnd"/>
      <w:r w:rsidRPr="00026FB7">
        <w:rPr>
          <w:rFonts w:ascii="Times New Roman" w:hAnsi="Times New Roman" w:cs="Times New Roman"/>
          <w:sz w:val="24"/>
          <w:szCs w:val="24"/>
        </w:rPr>
        <w:t xml:space="preserve">, O., </w:t>
      </w:r>
      <w:proofErr w:type="spellStart"/>
      <w:r w:rsidRPr="00026FB7">
        <w:rPr>
          <w:rFonts w:ascii="Times New Roman" w:hAnsi="Times New Roman" w:cs="Times New Roman"/>
          <w:sz w:val="24"/>
          <w:szCs w:val="24"/>
        </w:rPr>
        <w:t>Bou</w:t>
      </w:r>
      <w:proofErr w:type="spellEnd"/>
      <w:r w:rsidRPr="00026FB7">
        <w:rPr>
          <w:rFonts w:ascii="Times New Roman" w:hAnsi="Times New Roman" w:cs="Times New Roman"/>
          <w:sz w:val="24"/>
          <w:szCs w:val="24"/>
        </w:rPr>
        <w:t xml:space="preserve"> Karim, Y., </w:t>
      </w:r>
      <w:proofErr w:type="spellStart"/>
      <w:r w:rsidRPr="00026FB7">
        <w:rPr>
          <w:rFonts w:ascii="Times New Roman" w:hAnsi="Times New Roman" w:cs="Times New Roman"/>
          <w:sz w:val="24"/>
          <w:szCs w:val="24"/>
        </w:rPr>
        <w:t>Demel</w:t>
      </w:r>
      <w:proofErr w:type="spellEnd"/>
      <w:r w:rsidRPr="00026FB7">
        <w:rPr>
          <w:rFonts w:ascii="Times New Roman" w:hAnsi="Times New Roman" w:cs="Times New Roman"/>
          <w:sz w:val="24"/>
          <w:szCs w:val="24"/>
        </w:rPr>
        <w:t xml:space="preserve">, I., Ali, S., Wilson, E., Oulton, K., Morris, C., Tann, C., </w:t>
      </w:r>
      <w:proofErr w:type="spellStart"/>
      <w:r w:rsidRPr="00026FB7">
        <w:rPr>
          <w:rFonts w:ascii="Times New Roman" w:hAnsi="Times New Roman" w:cs="Times New Roman"/>
          <w:sz w:val="24"/>
          <w:szCs w:val="24"/>
        </w:rPr>
        <w:t>Kuper</w:t>
      </w:r>
      <w:proofErr w:type="spellEnd"/>
      <w:r w:rsidRPr="00026FB7">
        <w:rPr>
          <w:rFonts w:ascii="Times New Roman" w:hAnsi="Times New Roman" w:cs="Times New Roman"/>
          <w:sz w:val="24"/>
          <w:szCs w:val="24"/>
        </w:rPr>
        <w:t xml:space="preserve">, H., </w:t>
      </w:r>
      <w:proofErr w:type="spellStart"/>
      <w:r w:rsidRPr="00026FB7">
        <w:rPr>
          <w:rFonts w:ascii="Times New Roman" w:hAnsi="Times New Roman" w:cs="Times New Roman"/>
          <w:sz w:val="24"/>
          <w:szCs w:val="24"/>
        </w:rPr>
        <w:t>Batura</w:t>
      </w:r>
      <w:proofErr w:type="spellEnd"/>
      <w:r w:rsidRPr="00026FB7">
        <w:rPr>
          <w:rFonts w:ascii="Times New Roman" w:hAnsi="Times New Roman" w:cs="Times New Roman"/>
          <w:sz w:val="24"/>
          <w:szCs w:val="24"/>
        </w:rPr>
        <w:t xml:space="preserve">, N., Llewellyn, C., Hayward, A., Gilmour, J., </w:t>
      </w:r>
      <w:r w:rsidRPr="00026FB7">
        <w:rPr>
          <w:rFonts w:ascii="Times New Roman" w:hAnsi="Times New Roman" w:cs="Times New Roman"/>
          <w:sz w:val="24"/>
          <w:szCs w:val="24"/>
        </w:rPr>
        <w:lastRenderedPageBreak/>
        <w:t xml:space="preserve">Webb Martin, K., Irish, C., Edwards, C., </w:t>
      </w:r>
      <w:proofErr w:type="spellStart"/>
      <w:r w:rsidRPr="00026FB7">
        <w:rPr>
          <w:rFonts w:ascii="Times New Roman" w:hAnsi="Times New Roman" w:cs="Times New Roman"/>
          <w:sz w:val="24"/>
          <w:szCs w:val="24"/>
        </w:rPr>
        <w:t>Lakhanpaul</w:t>
      </w:r>
      <w:proofErr w:type="spellEnd"/>
      <w:r w:rsidRPr="00026FB7">
        <w:rPr>
          <w:rFonts w:ascii="Times New Roman" w:hAnsi="Times New Roman" w:cs="Times New Roman"/>
          <w:sz w:val="24"/>
          <w:szCs w:val="24"/>
        </w:rPr>
        <w:t xml:space="preserve">, M. and </w:t>
      </w:r>
      <w:proofErr w:type="spellStart"/>
      <w:r w:rsidRPr="00026FB7">
        <w:rPr>
          <w:rFonts w:ascii="Times New Roman" w:hAnsi="Times New Roman" w:cs="Times New Roman"/>
          <w:sz w:val="24"/>
          <w:szCs w:val="24"/>
        </w:rPr>
        <w:t>Heys</w:t>
      </w:r>
      <w:proofErr w:type="spellEnd"/>
      <w:r w:rsidRPr="00026FB7">
        <w:rPr>
          <w:rFonts w:ascii="Times New Roman" w:hAnsi="Times New Roman" w:cs="Times New Roman"/>
          <w:sz w:val="24"/>
          <w:szCs w:val="24"/>
        </w:rPr>
        <w:t xml:space="preserve">, M. (2021). Online community engagement in response to COVID‐19 pandemic. Health Expectations, 24(2), pp.728–730.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://doi.org/10.1111/hex.13194</w:t>
      </w:r>
      <w:proofErr w:type="gramEnd"/>
      <w:r w:rsidRPr="00026FB7">
        <w:rPr>
          <w:rFonts w:ascii="Times New Roman" w:hAnsi="Times New Roman" w:cs="Times New Roman"/>
          <w:sz w:val="24"/>
          <w:szCs w:val="24"/>
        </w:rPr>
        <w:t>.</w:t>
      </w:r>
    </w:p>
    <w:p w14:paraId="4C4788D3"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Nahar, P., van </w:t>
      </w:r>
      <w:proofErr w:type="spellStart"/>
      <w:r w:rsidRPr="00026FB7">
        <w:rPr>
          <w:rFonts w:ascii="Times New Roman" w:hAnsi="Times New Roman" w:cs="Times New Roman"/>
          <w:sz w:val="24"/>
          <w:szCs w:val="24"/>
        </w:rPr>
        <w:t>Marwijk</w:t>
      </w:r>
      <w:proofErr w:type="spellEnd"/>
      <w:r w:rsidRPr="00026FB7">
        <w:rPr>
          <w:rFonts w:ascii="Times New Roman" w:hAnsi="Times New Roman" w:cs="Times New Roman"/>
          <w:sz w:val="24"/>
          <w:szCs w:val="24"/>
        </w:rPr>
        <w:t xml:space="preserve">, H., Gibson, L., </w:t>
      </w:r>
      <w:proofErr w:type="spellStart"/>
      <w:r w:rsidRPr="00026FB7">
        <w:rPr>
          <w:rFonts w:ascii="Times New Roman" w:hAnsi="Times New Roman" w:cs="Times New Roman"/>
          <w:sz w:val="24"/>
          <w:szCs w:val="24"/>
        </w:rPr>
        <w:t>Musinguzi</w:t>
      </w:r>
      <w:proofErr w:type="spellEnd"/>
      <w:r w:rsidRPr="00026FB7">
        <w:rPr>
          <w:rFonts w:ascii="Times New Roman" w:hAnsi="Times New Roman" w:cs="Times New Roman"/>
          <w:sz w:val="24"/>
          <w:szCs w:val="24"/>
        </w:rPr>
        <w:t xml:space="preserve">, G., </w:t>
      </w:r>
      <w:proofErr w:type="spellStart"/>
      <w:r w:rsidRPr="00026FB7">
        <w:rPr>
          <w:rFonts w:ascii="Times New Roman" w:hAnsi="Times New Roman" w:cs="Times New Roman"/>
          <w:sz w:val="24"/>
          <w:szCs w:val="24"/>
        </w:rPr>
        <w:t>Anthierens</w:t>
      </w:r>
      <w:proofErr w:type="spellEnd"/>
      <w:r w:rsidRPr="00026FB7">
        <w:rPr>
          <w:rFonts w:ascii="Times New Roman" w:hAnsi="Times New Roman" w:cs="Times New Roman"/>
          <w:sz w:val="24"/>
          <w:szCs w:val="24"/>
        </w:rPr>
        <w:t xml:space="preserve">, S., Ford, E., </w:t>
      </w:r>
      <w:proofErr w:type="spellStart"/>
      <w:r w:rsidRPr="00026FB7">
        <w:rPr>
          <w:rFonts w:ascii="Times New Roman" w:hAnsi="Times New Roman" w:cs="Times New Roman"/>
          <w:sz w:val="24"/>
          <w:szCs w:val="24"/>
        </w:rPr>
        <w:t>Bremner</w:t>
      </w:r>
      <w:proofErr w:type="spellEnd"/>
      <w:r w:rsidRPr="00026FB7">
        <w:rPr>
          <w:rFonts w:ascii="Times New Roman" w:hAnsi="Times New Roman" w:cs="Times New Roman"/>
          <w:sz w:val="24"/>
          <w:szCs w:val="24"/>
        </w:rPr>
        <w:t xml:space="preserve">, S.A., Bowyer, M., Le </w:t>
      </w:r>
      <w:proofErr w:type="spellStart"/>
      <w:r w:rsidRPr="00026FB7">
        <w:rPr>
          <w:rFonts w:ascii="Times New Roman" w:hAnsi="Times New Roman" w:cs="Times New Roman"/>
          <w:sz w:val="24"/>
          <w:szCs w:val="24"/>
        </w:rPr>
        <w:t>Reste</w:t>
      </w:r>
      <w:proofErr w:type="spellEnd"/>
      <w:r w:rsidRPr="00026FB7">
        <w:rPr>
          <w:rFonts w:ascii="Times New Roman" w:hAnsi="Times New Roman" w:cs="Times New Roman"/>
          <w:sz w:val="24"/>
          <w:szCs w:val="24"/>
        </w:rPr>
        <w:t xml:space="preserve">, J.Y., </w:t>
      </w:r>
      <w:proofErr w:type="spellStart"/>
      <w:r w:rsidRPr="00026FB7">
        <w:rPr>
          <w:rFonts w:ascii="Times New Roman" w:hAnsi="Times New Roman" w:cs="Times New Roman"/>
          <w:sz w:val="24"/>
          <w:szCs w:val="24"/>
        </w:rPr>
        <w:t>Sodi</w:t>
      </w:r>
      <w:proofErr w:type="spellEnd"/>
      <w:r w:rsidRPr="00026FB7">
        <w:rPr>
          <w:rFonts w:ascii="Times New Roman" w:hAnsi="Times New Roman" w:cs="Times New Roman"/>
          <w:sz w:val="24"/>
          <w:szCs w:val="24"/>
        </w:rPr>
        <w:t xml:space="preserve">, T. and </w:t>
      </w:r>
      <w:proofErr w:type="spellStart"/>
      <w:r w:rsidRPr="00026FB7">
        <w:rPr>
          <w:rFonts w:ascii="Times New Roman" w:hAnsi="Times New Roman" w:cs="Times New Roman"/>
          <w:sz w:val="24"/>
          <w:szCs w:val="24"/>
        </w:rPr>
        <w:t>Bastiaens</w:t>
      </w:r>
      <w:proofErr w:type="spellEnd"/>
      <w:r w:rsidRPr="00026FB7">
        <w:rPr>
          <w:rFonts w:ascii="Times New Roman" w:hAnsi="Times New Roman" w:cs="Times New Roman"/>
          <w:sz w:val="24"/>
          <w:szCs w:val="24"/>
        </w:rPr>
        <w:t xml:space="preserve">, H. (2020). A protocol paper: community engagement interventions for cardiovascular disease prevention in socially disadvantaged populations in the UK: an implementation research study. Global Health Research and Policy, [online] 5, p.12.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://doi.org/10.1186/s41256-020-0131-1</w:t>
      </w:r>
      <w:proofErr w:type="gramEnd"/>
      <w:r w:rsidRPr="00026FB7">
        <w:rPr>
          <w:rFonts w:ascii="Times New Roman" w:hAnsi="Times New Roman" w:cs="Times New Roman"/>
          <w:sz w:val="24"/>
          <w:szCs w:val="24"/>
        </w:rPr>
        <w:t>.</w:t>
      </w:r>
    </w:p>
    <w:p w14:paraId="6F58E476"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Organizing Engagement. (2019). Quality Assurance Standard for Community and Stakeholder Engagement. [online] Available at: </w:t>
      </w:r>
      <w:hyperlink r:id="rId13" w:history="1">
        <w:r w:rsidRPr="00026FB7">
          <w:rPr>
            <w:rStyle w:val="Hyperlink"/>
            <w:rFonts w:ascii="Times New Roman" w:hAnsi="Times New Roman" w:cs="Times New Roman"/>
            <w:color w:val="auto"/>
            <w:sz w:val="24"/>
            <w:szCs w:val="24"/>
            <w:u w:val="none"/>
          </w:rPr>
          <w:t>https://organizingengagement.org/models/quality-assurance-standard-for-community-and-stakeholder-engagement/</w:t>
        </w:r>
      </w:hyperlink>
      <w:r w:rsidRPr="00026FB7">
        <w:rPr>
          <w:rFonts w:ascii="Times New Roman" w:hAnsi="Times New Roman" w:cs="Times New Roman"/>
          <w:sz w:val="24"/>
          <w:szCs w:val="24"/>
        </w:rPr>
        <w:t>.</w:t>
      </w:r>
    </w:p>
    <w:p w14:paraId="40416C97"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proofErr w:type="spellStart"/>
      <w:r w:rsidRPr="00026FB7">
        <w:rPr>
          <w:rFonts w:ascii="Times New Roman" w:hAnsi="Times New Roman" w:cs="Times New Roman"/>
          <w:sz w:val="24"/>
          <w:szCs w:val="24"/>
        </w:rPr>
        <w:t>SustaiNet</w:t>
      </w:r>
      <w:proofErr w:type="spellEnd"/>
      <w:r w:rsidRPr="00026FB7">
        <w:rPr>
          <w:rFonts w:ascii="Times New Roman" w:hAnsi="Times New Roman" w:cs="Times New Roman"/>
          <w:sz w:val="24"/>
          <w:szCs w:val="24"/>
        </w:rPr>
        <w:t xml:space="preserve">. (2019). How to Encourage Stakeholder Participation - </w:t>
      </w:r>
      <w:proofErr w:type="spellStart"/>
      <w:r w:rsidRPr="00026FB7">
        <w:rPr>
          <w:rFonts w:ascii="Times New Roman" w:hAnsi="Times New Roman" w:cs="Times New Roman"/>
          <w:sz w:val="24"/>
          <w:szCs w:val="24"/>
        </w:rPr>
        <w:t>SustaiNet</w:t>
      </w:r>
      <w:proofErr w:type="spellEnd"/>
      <w:r w:rsidRPr="00026FB7">
        <w:rPr>
          <w:rFonts w:ascii="Times New Roman" w:hAnsi="Times New Roman" w:cs="Times New Roman"/>
          <w:sz w:val="24"/>
          <w:szCs w:val="24"/>
        </w:rPr>
        <w:t xml:space="preserve"> Software. [online] Available at: </w:t>
      </w:r>
      <w:hyperlink r:id="rId14" w:history="1">
        <w:r w:rsidRPr="00026FB7">
          <w:rPr>
            <w:rStyle w:val="Hyperlink"/>
            <w:rFonts w:ascii="Times New Roman" w:hAnsi="Times New Roman" w:cs="Times New Roman"/>
            <w:color w:val="auto"/>
            <w:sz w:val="24"/>
            <w:szCs w:val="24"/>
            <w:u w:val="none"/>
          </w:rPr>
          <w:t>https://sustainet.com/how-to-encourage-stakeholder-participation/</w:t>
        </w:r>
      </w:hyperlink>
      <w:r w:rsidRPr="00026FB7">
        <w:rPr>
          <w:rFonts w:ascii="Times New Roman" w:hAnsi="Times New Roman" w:cs="Times New Roman"/>
          <w:sz w:val="24"/>
          <w:szCs w:val="24"/>
        </w:rPr>
        <w:t>.</w:t>
      </w:r>
    </w:p>
    <w:p w14:paraId="28EFC216"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Virani, T.E. (2020). Micro-community engagement and area-based regeneration in east London: The case of </w:t>
      </w:r>
      <w:proofErr w:type="spellStart"/>
      <w:r w:rsidRPr="00026FB7">
        <w:rPr>
          <w:rFonts w:ascii="Times New Roman" w:hAnsi="Times New Roman" w:cs="Times New Roman"/>
          <w:sz w:val="24"/>
          <w:szCs w:val="24"/>
        </w:rPr>
        <w:t>Chrisp</w:t>
      </w:r>
      <w:proofErr w:type="spellEnd"/>
      <w:r w:rsidRPr="00026FB7">
        <w:rPr>
          <w:rFonts w:ascii="Times New Roman" w:hAnsi="Times New Roman" w:cs="Times New Roman"/>
          <w:sz w:val="24"/>
          <w:szCs w:val="24"/>
        </w:rPr>
        <w:t xml:space="preserve"> Street Market. City, Culture and Society, p.100345.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://doi.org/10.1016/j.ccs.2020.100345</w:t>
      </w:r>
      <w:proofErr w:type="gramEnd"/>
      <w:r w:rsidRPr="00026FB7">
        <w:rPr>
          <w:rFonts w:ascii="Times New Roman" w:hAnsi="Times New Roman" w:cs="Times New Roman"/>
          <w:sz w:val="24"/>
          <w:szCs w:val="24"/>
        </w:rPr>
        <w:t>.</w:t>
      </w:r>
    </w:p>
    <w:p w14:paraId="10F588AE"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Watt, A. (2014). Stakeholder Management – Project Management. [online] Opentextbc.ca. Available at: </w:t>
      </w:r>
      <w:hyperlink r:id="rId15" w:history="1">
        <w:r w:rsidRPr="00026FB7">
          <w:rPr>
            <w:rStyle w:val="Hyperlink"/>
            <w:rFonts w:ascii="Times New Roman" w:hAnsi="Times New Roman" w:cs="Times New Roman"/>
            <w:color w:val="auto"/>
            <w:sz w:val="24"/>
            <w:szCs w:val="24"/>
            <w:u w:val="none"/>
          </w:rPr>
          <w:t>https://opentextbc.ca/projectmanagement/chapter/chapter-5-project-stakeholders-project-management/</w:t>
        </w:r>
      </w:hyperlink>
      <w:r w:rsidRPr="00026FB7">
        <w:rPr>
          <w:rFonts w:ascii="Times New Roman" w:hAnsi="Times New Roman" w:cs="Times New Roman"/>
          <w:sz w:val="24"/>
          <w:szCs w:val="24"/>
        </w:rPr>
        <w:t>.</w:t>
      </w:r>
    </w:p>
    <w:p w14:paraId="36894803" w14:textId="77777777" w:rsidR="00026FB7" w:rsidRPr="00026FB7" w:rsidRDefault="00026FB7" w:rsidP="00026FB7">
      <w:pPr>
        <w:pStyle w:val="NoSpacing"/>
        <w:spacing w:line="360" w:lineRule="auto"/>
        <w:ind w:left="720" w:hanging="720"/>
        <w:rPr>
          <w:rFonts w:ascii="Times New Roman" w:hAnsi="Times New Roman" w:cs="Times New Roman"/>
          <w:sz w:val="24"/>
          <w:szCs w:val="24"/>
        </w:rPr>
      </w:pPr>
      <w:r w:rsidRPr="00026FB7">
        <w:rPr>
          <w:rFonts w:ascii="Times New Roman" w:hAnsi="Times New Roman" w:cs="Times New Roman"/>
          <w:sz w:val="24"/>
          <w:szCs w:val="24"/>
        </w:rPr>
        <w:t xml:space="preserve">Willett, J. and </w:t>
      </w:r>
      <w:proofErr w:type="spellStart"/>
      <w:r w:rsidRPr="00026FB7">
        <w:rPr>
          <w:rFonts w:ascii="Times New Roman" w:hAnsi="Times New Roman" w:cs="Times New Roman"/>
          <w:sz w:val="24"/>
          <w:szCs w:val="24"/>
        </w:rPr>
        <w:t>Cruxon</w:t>
      </w:r>
      <w:proofErr w:type="spellEnd"/>
      <w:r w:rsidRPr="00026FB7">
        <w:rPr>
          <w:rFonts w:ascii="Times New Roman" w:hAnsi="Times New Roman" w:cs="Times New Roman"/>
          <w:sz w:val="24"/>
          <w:szCs w:val="24"/>
        </w:rPr>
        <w:t xml:space="preserve">, J. (2018). Towards a participatory representative democracy? UK Parish councils and community engagement. British Politics, 14(3), pp.311–327. </w:t>
      </w:r>
      <w:proofErr w:type="spellStart"/>
      <w:proofErr w:type="gramStart"/>
      <w:r w:rsidRPr="00026FB7">
        <w:rPr>
          <w:rFonts w:ascii="Times New Roman" w:hAnsi="Times New Roman" w:cs="Times New Roman"/>
          <w:sz w:val="24"/>
          <w:szCs w:val="24"/>
        </w:rPr>
        <w:t>doi:https</w:t>
      </w:r>
      <w:proofErr w:type="spellEnd"/>
      <w:r w:rsidRPr="00026FB7">
        <w:rPr>
          <w:rFonts w:ascii="Times New Roman" w:hAnsi="Times New Roman" w:cs="Times New Roman"/>
          <w:sz w:val="24"/>
          <w:szCs w:val="24"/>
        </w:rPr>
        <w:t>://doi.org/10.1057/s41293-018-00090-4</w:t>
      </w:r>
      <w:proofErr w:type="gramEnd"/>
      <w:r w:rsidRPr="00026FB7">
        <w:rPr>
          <w:rFonts w:ascii="Times New Roman" w:hAnsi="Times New Roman" w:cs="Times New Roman"/>
          <w:sz w:val="24"/>
          <w:szCs w:val="24"/>
        </w:rPr>
        <w:t>.</w:t>
      </w:r>
    </w:p>
    <w:sectPr w:rsidR="00026FB7" w:rsidRPr="00026FB7" w:rsidSect="0050507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ADE15" w14:textId="77777777" w:rsidR="00DA5CC1" w:rsidRDefault="00DA5CC1" w:rsidP="0050507E">
      <w:pPr>
        <w:spacing w:after="0" w:line="240" w:lineRule="auto"/>
      </w:pPr>
      <w:r>
        <w:separator/>
      </w:r>
    </w:p>
  </w:endnote>
  <w:endnote w:type="continuationSeparator" w:id="0">
    <w:p w14:paraId="56956856" w14:textId="77777777" w:rsidR="00DA5CC1" w:rsidRDefault="00DA5CC1" w:rsidP="0050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6C9D6" w14:textId="77777777" w:rsidR="00DA5CC1" w:rsidRDefault="00DA5CC1" w:rsidP="0050507E">
      <w:pPr>
        <w:spacing w:after="0" w:line="240" w:lineRule="auto"/>
      </w:pPr>
      <w:r>
        <w:separator/>
      </w:r>
    </w:p>
  </w:footnote>
  <w:footnote w:type="continuationSeparator" w:id="0">
    <w:p w14:paraId="7B9572B6" w14:textId="77777777" w:rsidR="00DA5CC1" w:rsidRDefault="00DA5CC1" w:rsidP="00505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590B" w14:textId="77777777" w:rsidR="0050507E" w:rsidRPr="00026FB7" w:rsidRDefault="00D516E9">
    <w:pPr>
      <w:pStyle w:val="Header"/>
      <w:jc w:val="right"/>
      <w:rPr>
        <w:rFonts w:ascii="Times New Roman" w:hAnsi="Times New Roman" w:cs="Times New Roman"/>
        <w:sz w:val="24"/>
        <w:szCs w:val="24"/>
      </w:rPr>
    </w:pPr>
    <w:r w:rsidRPr="00026FB7">
      <w:rPr>
        <w:rFonts w:ascii="Times New Roman" w:hAnsi="Times New Roman" w:cs="Times New Roman"/>
        <w:sz w:val="24"/>
        <w:szCs w:val="24"/>
      </w:rPr>
      <w:fldChar w:fldCharType="begin"/>
    </w:r>
    <w:r w:rsidR="003270F8" w:rsidRPr="00026FB7">
      <w:rPr>
        <w:rFonts w:ascii="Times New Roman" w:hAnsi="Times New Roman" w:cs="Times New Roman"/>
        <w:sz w:val="24"/>
        <w:szCs w:val="24"/>
      </w:rPr>
      <w:instrText xml:space="preserve"> PAGE   \* MERGEFORMAT </w:instrText>
    </w:r>
    <w:r w:rsidRPr="00026FB7">
      <w:rPr>
        <w:rFonts w:ascii="Times New Roman" w:hAnsi="Times New Roman" w:cs="Times New Roman"/>
        <w:sz w:val="24"/>
        <w:szCs w:val="24"/>
      </w:rPr>
      <w:fldChar w:fldCharType="separate"/>
    </w:r>
    <w:r w:rsidR="00B4602A" w:rsidRPr="00026FB7">
      <w:rPr>
        <w:rFonts w:ascii="Times New Roman" w:hAnsi="Times New Roman" w:cs="Times New Roman"/>
        <w:noProof/>
        <w:sz w:val="24"/>
        <w:szCs w:val="24"/>
      </w:rPr>
      <w:t>4</w:t>
    </w:r>
    <w:r w:rsidRPr="00026FB7">
      <w:rPr>
        <w:rFonts w:ascii="Times New Roman" w:hAnsi="Times New Roman" w:cs="Times New Roman"/>
        <w:sz w:val="24"/>
        <w:szCs w:val="24"/>
      </w:rPr>
      <w:fldChar w:fldCharType="end"/>
    </w:r>
  </w:p>
  <w:p w14:paraId="1910D8E2" w14:textId="77777777" w:rsidR="0050507E" w:rsidRDefault="00505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A78A9E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300EE12A"/>
    <w:lvl w:ilvl="0">
      <w:start w:val="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13D04EF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F21CE0F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multilevel"/>
    <w:tmpl w:val="08086E6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7FEAC5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60A40A8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multilevel"/>
    <w:tmpl w:val="22E6541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7D8AA67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1B68E86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B"/>
    <w:multiLevelType w:val="multilevel"/>
    <w:tmpl w:val="F5A4445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2AB4970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D"/>
    <w:multiLevelType w:val="multilevel"/>
    <w:tmpl w:val="E6D63EFC"/>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2A1E328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DD8A9FE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10"/>
    <w:multiLevelType w:val="multilevel"/>
    <w:tmpl w:val="D2A6B27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6CE33D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2"/>
    <w:multiLevelType w:val="multilevel"/>
    <w:tmpl w:val="B544956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8" w15:restartNumberingAfterBreak="0">
    <w:nsid w:val="00000013"/>
    <w:multiLevelType w:val="multilevel"/>
    <w:tmpl w:val="D73EF53A"/>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14"/>
    <w:multiLevelType w:val="multilevel"/>
    <w:tmpl w:val="C2A49BC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625E3E3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 w15:restartNumberingAfterBreak="0">
    <w:nsid w:val="00000016"/>
    <w:multiLevelType w:val="multilevel"/>
    <w:tmpl w:val="47864DF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21F61E6E"/>
    <w:multiLevelType w:val="multilevel"/>
    <w:tmpl w:val="518E1E7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3" w15:restartNumberingAfterBreak="0">
    <w:nsid w:val="5F9E7727"/>
    <w:multiLevelType w:val="multilevel"/>
    <w:tmpl w:val="B5449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FB49F6"/>
    <w:multiLevelType w:val="multilevel"/>
    <w:tmpl w:val="625E3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0160513">
    <w:abstractNumId w:val="11"/>
  </w:num>
  <w:num w:numId="2" w16cid:durableId="174273876">
    <w:abstractNumId w:val="5"/>
  </w:num>
  <w:num w:numId="3" w16cid:durableId="2080979477">
    <w:abstractNumId w:val="13"/>
  </w:num>
  <w:num w:numId="4" w16cid:durableId="720519709">
    <w:abstractNumId w:val="7"/>
  </w:num>
  <w:num w:numId="5" w16cid:durableId="1565599823">
    <w:abstractNumId w:val="2"/>
  </w:num>
  <w:num w:numId="6" w16cid:durableId="1299610496">
    <w:abstractNumId w:val="10"/>
  </w:num>
  <w:num w:numId="7" w16cid:durableId="1811626507">
    <w:abstractNumId w:val="8"/>
  </w:num>
  <w:num w:numId="8" w16cid:durableId="817652400">
    <w:abstractNumId w:val="14"/>
  </w:num>
  <w:num w:numId="9" w16cid:durableId="495221280">
    <w:abstractNumId w:val="1"/>
  </w:num>
  <w:num w:numId="10" w16cid:durableId="1136411408">
    <w:abstractNumId w:val="12"/>
  </w:num>
  <w:num w:numId="11" w16cid:durableId="208224627">
    <w:abstractNumId w:val="18"/>
  </w:num>
  <w:num w:numId="12" w16cid:durableId="1197624778">
    <w:abstractNumId w:val="19"/>
  </w:num>
  <w:num w:numId="13" w16cid:durableId="46414553">
    <w:abstractNumId w:val="22"/>
  </w:num>
  <w:num w:numId="14" w16cid:durableId="1452284020">
    <w:abstractNumId w:val="21"/>
  </w:num>
  <w:num w:numId="15" w16cid:durableId="1471827371">
    <w:abstractNumId w:val="4"/>
  </w:num>
  <w:num w:numId="16" w16cid:durableId="761027669">
    <w:abstractNumId w:val="16"/>
  </w:num>
  <w:num w:numId="17" w16cid:durableId="646979240">
    <w:abstractNumId w:val="9"/>
  </w:num>
  <w:num w:numId="18" w16cid:durableId="935939521">
    <w:abstractNumId w:val="0"/>
  </w:num>
  <w:num w:numId="19" w16cid:durableId="2072381334">
    <w:abstractNumId w:val="6"/>
  </w:num>
  <w:num w:numId="20" w16cid:durableId="1840080348">
    <w:abstractNumId w:val="3"/>
  </w:num>
  <w:num w:numId="21" w16cid:durableId="1887253151">
    <w:abstractNumId w:val="15"/>
  </w:num>
  <w:num w:numId="22" w16cid:durableId="1798254613">
    <w:abstractNumId w:val="17"/>
  </w:num>
  <w:num w:numId="23" w16cid:durableId="1569731496">
    <w:abstractNumId w:val="20"/>
  </w:num>
  <w:num w:numId="24" w16cid:durableId="953950461">
    <w:abstractNumId w:val="23"/>
  </w:num>
  <w:num w:numId="25" w16cid:durableId="12977603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07E"/>
    <w:rsid w:val="00026FB7"/>
    <w:rsid w:val="00032ECF"/>
    <w:rsid w:val="00053ECD"/>
    <w:rsid w:val="0008407E"/>
    <w:rsid w:val="000A1CC2"/>
    <w:rsid w:val="000C50DE"/>
    <w:rsid w:val="000D043B"/>
    <w:rsid w:val="0017412E"/>
    <w:rsid w:val="00181402"/>
    <w:rsid w:val="00191CB1"/>
    <w:rsid w:val="001A7FDE"/>
    <w:rsid w:val="001B78EA"/>
    <w:rsid w:val="001C010A"/>
    <w:rsid w:val="001C1187"/>
    <w:rsid w:val="001D1725"/>
    <w:rsid w:val="001E1AB8"/>
    <w:rsid w:val="00242607"/>
    <w:rsid w:val="002A2664"/>
    <w:rsid w:val="002A54F9"/>
    <w:rsid w:val="002C476F"/>
    <w:rsid w:val="002D5FAC"/>
    <w:rsid w:val="00300C17"/>
    <w:rsid w:val="003144FC"/>
    <w:rsid w:val="0032590B"/>
    <w:rsid w:val="003270F8"/>
    <w:rsid w:val="00340931"/>
    <w:rsid w:val="00342E4B"/>
    <w:rsid w:val="00347364"/>
    <w:rsid w:val="003767B7"/>
    <w:rsid w:val="003B1118"/>
    <w:rsid w:val="003D4107"/>
    <w:rsid w:val="00402A55"/>
    <w:rsid w:val="00436259"/>
    <w:rsid w:val="00452902"/>
    <w:rsid w:val="0049381D"/>
    <w:rsid w:val="004A0DCE"/>
    <w:rsid w:val="004C1FB7"/>
    <w:rsid w:val="004C5FB0"/>
    <w:rsid w:val="004D14FF"/>
    <w:rsid w:val="004F3F5F"/>
    <w:rsid w:val="0050507E"/>
    <w:rsid w:val="00511CA5"/>
    <w:rsid w:val="00550E31"/>
    <w:rsid w:val="00571D5D"/>
    <w:rsid w:val="0057585D"/>
    <w:rsid w:val="005A4BF6"/>
    <w:rsid w:val="005B44E8"/>
    <w:rsid w:val="005D589D"/>
    <w:rsid w:val="0060213B"/>
    <w:rsid w:val="00632750"/>
    <w:rsid w:val="00667BFE"/>
    <w:rsid w:val="00682481"/>
    <w:rsid w:val="00695E2B"/>
    <w:rsid w:val="006A1B47"/>
    <w:rsid w:val="006D01F6"/>
    <w:rsid w:val="006E7829"/>
    <w:rsid w:val="00734933"/>
    <w:rsid w:val="0078248B"/>
    <w:rsid w:val="00791E41"/>
    <w:rsid w:val="007B0DD3"/>
    <w:rsid w:val="007C5C27"/>
    <w:rsid w:val="008548BA"/>
    <w:rsid w:val="00863748"/>
    <w:rsid w:val="0086613F"/>
    <w:rsid w:val="008777D8"/>
    <w:rsid w:val="00886828"/>
    <w:rsid w:val="008A4F1C"/>
    <w:rsid w:val="008C1EA1"/>
    <w:rsid w:val="008F7D48"/>
    <w:rsid w:val="00906F06"/>
    <w:rsid w:val="00941ACD"/>
    <w:rsid w:val="00990977"/>
    <w:rsid w:val="009A7B05"/>
    <w:rsid w:val="009B57B4"/>
    <w:rsid w:val="009F3E03"/>
    <w:rsid w:val="00A31E3D"/>
    <w:rsid w:val="00A50943"/>
    <w:rsid w:val="00A52ADC"/>
    <w:rsid w:val="00A7018C"/>
    <w:rsid w:val="00AA6761"/>
    <w:rsid w:val="00AB275C"/>
    <w:rsid w:val="00AD5BE1"/>
    <w:rsid w:val="00B37119"/>
    <w:rsid w:val="00B4003B"/>
    <w:rsid w:val="00B4602A"/>
    <w:rsid w:val="00B82A94"/>
    <w:rsid w:val="00B919BE"/>
    <w:rsid w:val="00BE36C4"/>
    <w:rsid w:val="00C03C33"/>
    <w:rsid w:val="00C2024B"/>
    <w:rsid w:val="00C24BEB"/>
    <w:rsid w:val="00C3141B"/>
    <w:rsid w:val="00C33979"/>
    <w:rsid w:val="00C46EF8"/>
    <w:rsid w:val="00C91013"/>
    <w:rsid w:val="00CA1C21"/>
    <w:rsid w:val="00CD1849"/>
    <w:rsid w:val="00CD296D"/>
    <w:rsid w:val="00CF70EC"/>
    <w:rsid w:val="00D31F8D"/>
    <w:rsid w:val="00D32F38"/>
    <w:rsid w:val="00D516E9"/>
    <w:rsid w:val="00D944F8"/>
    <w:rsid w:val="00DA5CC1"/>
    <w:rsid w:val="00DD3FE1"/>
    <w:rsid w:val="00DF0C6C"/>
    <w:rsid w:val="00E20719"/>
    <w:rsid w:val="00E345F0"/>
    <w:rsid w:val="00E75F76"/>
    <w:rsid w:val="00E860E4"/>
    <w:rsid w:val="00E955C9"/>
    <w:rsid w:val="00F2250A"/>
    <w:rsid w:val="00F635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19955"/>
  <w15:docId w15:val="{D94E8AD0-9B63-436C-9CD4-8C4EFC31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07E"/>
  </w:style>
  <w:style w:type="paragraph" w:styleId="Heading1">
    <w:name w:val="heading 1"/>
    <w:basedOn w:val="Normal"/>
    <w:next w:val="Normal"/>
    <w:link w:val="Heading1Char"/>
    <w:uiPriority w:val="9"/>
    <w:qFormat/>
    <w:rsid w:val="0050507E"/>
    <w:pPr>
      <w:keepNext/>
      <w:keepLines/>
      <w:spacing w:before="240" w:after="0"/>
      <w:outlineLvl w:val="0"/>
    </w:pPr>
    <w:rPr>
      <w:rFonts w:ascii="Cambria" w:eastAsia="SimSun"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ll">
    <w:name w:val="full"/>
    <w:basedOn w:val="DefaultParagraphFont"/>
    <w:rsid w:val="0050507E"/>
  </w:style>
  <w:style w:type="paragraph" w:styleId="Header">
    <w:name w:val="header"/>
    <w:basedOn w:val="Normal"/>
    <w:link w:val="HeaderChar"/>
    <w:uiPriority w:val="99"/>
    <w:rsid w:val="00505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07E"/>
  </w:style>
  <w:style w:type="paragraph" w:styleId="Footer">
    <w:name w:val="footer"/>
    <w:basedOn w:val="Normal"/>
    <w:link w:val="FooterChar"/>
    <w:uiPriority w:val="99"/>
    <w:rsid w:val="00505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07E"/>
  </w:style>
  <w:style w:type="paragraph" w:styleId="NormalWeb">
    <w:name w:val="Normal (Web)"/>
    <w:basedOn w:val="Normal"/>
    <w:uiPriority w:val="99"/>
    <w:rsid w:val="005050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0507E"/>
    <w:rPr>
      <w:rFonts w:ascii="Cambria" w:eastAsia="SimSun" w:hAnsi="Cambria" w:cs="SimSun"/>
      <w:color w:val="365F91"/>
      <w:sz w:val="32"/>
      <w:szCs w:val="32"/>
    </w:rPr>
  </w:style>
  <w:style w:type="paragraph" w:styleId="TOCHeading">
    <w:name w:val="TOC Heading"/>
    <w:basedOn w:val="Heading1"/>
    <w:next w:val="Normal"/>
    <w:uiPriority w:val="39"/>
    <w:qFormat/>
    <w:rsid w:val="0050507E"/>
    <w:pPr>
      <w:spacing w:line="259" w:lineRule="auto"/>
      <w:outlineLvl w:val="9"/>
    </w:pPr>
  </w:style>
  <w:style w:type="paragraph" w:styleId="TOC1">
    <w:name w:val="toc 1"/>
    <w:basedOn w:val="Normal"/>
    <w:next w:val="Normal"/>
    <w:uiPriority w:val="39"/>
    <w:rsid w:val="0050507E"/>
    <w:pPr>
      <w:spacing w:after="100"/>
    </w:pPr>
  </w:style>
  <w:style w:type="character" w:styleId="Hyperlink">
    <w:name w:val="Hyperlink"/>
    <w:basedOn w:val="DefaultParagraphFont"/>
    <w:uiPriority w:val="99"/>
    <w:rsid w:val="0050507E"/>
    <w:rPr>
      <w:color w:val="0000FF"/>
      <w:u w:val="single"/>
    </w:rPr>
  </w:style>
  <w:style w:type="paragraph" w:styleId="BalloonText">
    <w:name w:val="Balloon Text"/>
    <w:basedOn w:val="Normal"/>
    <w:link w:val="BalloonTextChar"/>
    <w:uiPriority w:val="99"/>
    <w:semiHidden/>
    <w:unhideWhenUsed/>
    <w:rsid w:val="003D4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107"/>
    <w:rPr>
      <w:rFonts w:ascii="Tahoma" w:hAnsi="Tahoma" w:cs="Tahoma"/>
      <w:sz w:val="16"/>
      <w:szCs w:val="16"/>
    </w:rPr>
  </w:style>
  <w:style w:type="paragraph" w:styleId="NoSpacing">
    <w:name w:val="No Spacing"/>
    <w:uiPriority w:val="1"/>
    <w:qFormat/>
    <w:rsid w:val="00026F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6285">
      <w:bodyDiv w:val="1"/>
      <w:marLeft w:val="0"/>
      <w:marRight w:val="0"/>
      <w:marTop w:val="0"/>
      <w:marBottom w:val="0"/>
      <w:divBdr>
        <w:top w:val="none" w:sz="0" w:space="0" w:color="auto"/>
        <w:left w:val="none" w:sz="0" w:space="0" w:color="auto"/>
        <w:bottom w:val="none" w:sz="0" w:space="0" w:color="auto"/>
        <w:right w:val="none" w:sz="0" w:space="0" w:color="auto"/>
      </w:divBdr>
      <w:divsChild>
        <w:div w:id="726535756">
          <w:marLeft w:val="0"/>
          <w:marRight w:val="0"/>
          <w:marTop w:val="0"/>
          <w:marBottom w:val="0"/>
          <w:divBdr>
            <w:top w:val="none" w:sz="0" w:space="0" w:color="auto"/>
            <w:left w:val="none" w:sz="0" w:space="0" w:color="auto"/>
            <w:bottom w:val="none" w:sz="0" w:space="0" w:color="auto"/>
            <w:right w:val="none" w:sz="0" w:space="0" w:color="auto"/>
          </w:divBdr>
        </w:div>
      </w:divsChild>
    </w:div>
    <w:div w:id="162596807">
      <w:bodyDiv w:val="1"/>
      <w:marLeft w:val="0"/>
      <w:marRight w:val="0"/>
      <w:marTop w:val="0"/>
      <w:marBottom w:val="0"/>
      <w:divBdr>
        <w:top w:val="none" w:sz="0" w:space="0" w:color="auto"/>
        <w:left w:val="none" w:sz="0" w:space="0" w:color="auto"/>
        <w:bottom w:val="none" w:sz="0" w:space="0" w:color="auto"/>
        <w:right w:val="none" w:sz="0" w:space="0" w:color="auto"/>
      </w:divBdr>
      <w:divsChild>
        <w:div w:id="1473251125">
          <w:marLeft w:val="0"/>
          <w:marRight w:val="0"/>
          <w:marTop w:val="0"/>
          <w:marBottom w:val="0"/>
          <w:divBdr>
            <w:top w:val="none" w:sz="0" w:space="0" w:color="auto"/>
            <w:left w:val="none" w:sz="0" w:space="0" w:color="auto"/>
            <w:bottom w:val="none" w:sz="0" w:space="0" w:color="auto"/>
            <w:right w:val="none" w:sz="0" w:space="0" w:color="auto"/>
          </w:divBdr>
        </w:div>
      </w:divsChild>
    </w:div>
    <w:div w:id="218980071">
      <w:bodyDiv w:val="1"/>
      <w:marLeft w:val="0"/>
      <w:marRight w:val="0"/>
      <w:marTop w:val="0"/>
      <w:marBottom w:val="0"/>
      <w:divBdr>
        <w:top w:val="none" w:sz="0" w:space="0" w:color="auto"/>
        <w:left w:val="none" w:sz="0" w:space="0" w:color="auto"/>
        <w:bottom w:val="none" w:sz="0" w:space="0" w:color="auto"/>
        <w:right w:val="none" w:sz="0" w:space="0" w:color="auto"/>
      </w:divBdr>
      <w:divsChild>
        <w:div w:id="903494877">
          <w:marLeft w:val="0"/>
          <w:marRight w:val="0"/>
          <w:marTop w:val="0"/>
          <w:marBottom w:val="0"/>
          <w:divBdr>
            <w:top w:val="none" w:sz="0" w:space="0" w:color="auto"/>
            <w:left w:val="none" w:sz="0" w:space="0" w:color="auto"/>
            <w:bottom w:val="none" w:sz="0" w:space="0" w:color="auto"/>
            <w:right w:val="none" w:sz="0" w:space="0" w:color="auto"/>
          </w:divBdr>
        </w:div>
      </w:divsChild>
    </w:div>
    <w:div w:id="361132775">
      <w:bodyDiv w:val="1"/>
      <w:marLeft w:val="0"/>
      <w:marRight w:val="0"/>
      <w:marTop w:val="0"/>
      <w:marBottom w:val="0"/>
      <w:divBdr>
        <w:top w:val="none" w:sz="0" w:space="0" w:color="auto"/>
        <w:left w:val="none" w:sz="0" w:space="0" w:color="auto"/>
        <w:bottom w:val="none" w:sz="0" w:space="0" w:color="auto"/>
        <w:right w:val="none" w:sz="0" w:space="0" w:color="auto"/>
      </w:divBdr>
      <w:divsChild>
        <w:div w:id="130945112">
          <w:marLeft w:val="0"/>
          <w:marRight w:val="0"/>
          <w:marTop w:val="0"/>
          <w:marBottom w:val="0"/>
          <w:divBdr>
            <w:top w:val="none" w:sz="0" w:space="0" w:color="auto"/>
            <w:left w:val="none" w:sz="0" w:space="0" w:color="auto"/>
            <w:bottom w:val="none" w:sz="0" w:space="0" w:color="auto"/>
            <w:right w:val="none" w:sz="0" w:space="0" w:color="auto"/>
          </w:divBdr>
        </w:div>
      </w:divsChild>
    </w:div>
    <w:div w:id="555316679">
      <w:bodyDiv w:val="1"/>
      <w:marLeft w:val="0"/>
      <w:marRight w:val="0"/>
      <w:marTop w:val="0"/>
      <w:marBottom w:val="0"/>
      <w:divBdr>
        <w:top w:val="none" w:sz="0" w:space="0" w:color="auto"/>
        <w:left w:val="none" w:sz="0" w:space="0" w:color="auto"/>
        <w:bottom w:val="none" w:sz="0" w:space="0" w:color="auto"/>
        <w:right w:val="none" w:sz="0" w:space="0" w:color="auto"/>
      </w:divBdr>
      <w:divsChild>
        <w:div w:id="1957521072">
          <w:marLeft w:val="0"/>
          <w:marRight w:val="0"/>
          <w:marTop w:val="0"/>
          <w:marBottom w:val="0"/>
          <w:divBdr>
            <w:top w:val="none" w:sz="0" w:space="0" w:color="auto"/>
            <w:left w:val="none" w:sz="0" w:space="0" w:color="auto"/>
            <w:bottom w:val="none" w:sz="0" w:space="0" w:color="auto"/>
            <w:right w:val="none" w:sz="0" w:space="0" w:color="auto"/>
          </w:divBdr>
        </w:div>
      </w:divsChild>
    </w:div>
    <w:div w:id="584069532">
      <w:bodyDiv w:val="1"/>
      <w:marLeft w:val="0"/>
      <w:marRight w:val="0"/>
      <w:marTop w:val="0"/>
      <w:marBottom w:val="0"/>
      <w:divBdr>
        <w:top w:val="none" w:sz="0" w:space="0" w:color="auto"/>
        <w:left w:val="none" w:sz="0" w:space="0" w:color="auto"/>
        <w:bottom w:val="none" w:sz="0" w:space="0" w:color="auto"/>
        <w:right w:val="none" w:sz="0" w:space="0" w:color="auto"/>
      </w:divBdr>
      <w:divsChild>
        <w:div w:id="305286177">
          <w:marLeft w:val="0"/>
          <w:marRight w:val="0"/>
          <w:marTop w:val="0"/>
          <w:marBottom w:val="0"/>
          <w:divBdr>
            <w:top w:val="none" w:sz="0" w:space="0" w:color="auto"/>
            <w:left w:val="none" w:sz="0" w:space="0" w:color="auto"/>
            <w:bottom w:val="none" w:sz="0" w:space="0" w:color="auto"/>
            <w:right w:val="none" w:sz="0" w:space="0" w:color="auto"/>
          </w:divBdr>
        </w:div>
      </w:divsChild>
    </w:div>
    <w:div w:id="612131006">
      <w:bodyDiv w:val="1"/>
      <w:marLeft w:val="0"/>
      <w:marRight w:val="0"/>
      <w:marTop w:val="0"/>
      <w:marBottom w:val="0"/>
      <w:divBdr>
        <w:top w:val="none" w:sz="0" w:space="0" w:color="auto"/>
        <w:left w:val="none" w:sz="0" w:space="0" w:color="auto"/>
        <w:bottom w:val="none" w:sz="0" w:space="0" w:color="auto"/>
        <w:right w:val="none" w:sz="0" w:space="0" w:color="auto"/>
      </w:divBdr>
      <w:divsChild>
        <w:div w:id="1294598508">
          <w:marLeft w:val="0"/>
          <w:marRight w:val="0"/>
          <w:marTop w:val="0"/>
          <w:marBottom w:val="0"/>
          <w:divBdr>
            <w:top w:val="none" w:sz="0" w:space="0" w:color="auto"/>
            <w:left w:val="none" w:sz="0" w:space="0" w:color="auto"/>
            <w:bottom w:val="none" w:sz="0" w:space="0" w:color="auto"/>
            <w:right w:val="none" w:sz="0" w:space="0" w:color="auto"/>
          </w:divBdr>
        </w:div>
      </w:divsChild>
    </w:div>
    <w:div w:id="637491673">
      <w:bodyDiv w:val="1"/>
      <w:marLeft w:val="0"/>
      <w:marRight w:val="0"/>
      <w:marTop w:val="0"/>
      <w:marBottom w:val="0"/>
      <w:divBdr>
        <w:top w:val="none" w:sz="0" w:space="0" w:color="auto"/>
        <w:left w:val="none" w:sz="0" w:space="0" w:color="auto"/>
        <w:bottom w:val="none" w:sz="0" w:space="0" w:color="auto"/>
        <w:right w:val="none" w:sz="0" w:space="0" w:color="auto"/>
      </w:divBdr>
      <w:divsChild>
        <w:div w:id="140194483">
          <w:marLeft w:val="240"/>
          <w:marRight w:val="0"/>
          <w:marTop w:val="0"/>
          <w:marBottom w:val="240"/>
          <w:divBdr>
            <w:top w:val="none" w:sz="0" w:space="0" w:color="auto"/>
            <w:left w:val="none" w:sz="0" w:space="0" w:color="auto"/>
            <w:bottom w:val="none" w:sz="0" w:space="0" w:color="auto"/>
            <w:right w:val="none" w:sz="0" w:space="0" w:color="auto"/>
          </w:divBdr>
        </w:div>
      </w:divsChild>
    </w:div>
    <w:div w:id="928196337">
      <w:bodyDiv w:val="1"/>
      <w:marLeft w:val="0"/>
      <w:marRight w:val="0"/>
      <w:marTop w:val="0"/>
      <w:marBottom w:val="0"/>
      <w:divBdr>
        <w:top w:val="none" w:sz="0" w:space="0" w:color="auto"/>
        <w:left w:val="none" w:sz="0" w:space="0" w:color="auto"/>
        <w:bottom w:val="none" w:sz="0" w:space="0" w:color="auto"/>
        <w:right w:val="none" w:sz="0" w:space="0" w:color="auto"/>
      </w:divBdr>
      <w:divsChild>
        <w:div w:id="411321724">
          <w:marLeft w:val="0"/>
          <w:marRight w:val="0"/>
          <w:marTop w:val="0"/>
          <w:marBottom w:val="0"/>
          <w:divBdr>
            <w:top w:val="none" w:sz="0" w:space="0" w:color="auto"/>
            <w:left w:val="none" w:sz="0" w:space="0" w:color="auto"/>
            <w:bottom w:val="none" w:sz="0" w:space="0" w:color="auto"/>
            <w:right w:val="none" w:sz="0" w:space="0" w:color="auto"/>
          </w:divBdr>
        </w:div>
      </w:divsChild>
    </w:div>
    <w:div w:id="989872539">
      <w:bodyDiv w:val="1"/>
      <w:marLeft w:val="0"/>
      <w:marRight w:val="0"/>
      <w:marTop w:val="0"/>
      <w:marBottom w:val="0"/>
      <w:divBdr>
        <w:top w:val="none" w:sz="0" w:space="0" w:color="auto"/>
        <w:left w:val="none" w:sz="0" w:space="0" w:color="auto"/>
        <w:bottom w:val="none" w:sz="0" w:space="0" w:color="auto"/>
        <w:right w:val="none" w:sz="0" w:space="0" w:color="auto"/>
      </w:divBdr>
      <w:divsChild>
        <w:div w:id="1652178916">
          <w:marLeft w:val="0"/>
          <w:marRight w:val="0"/>
          <w:marTop w:val="0"/>
          <w:marBottom w:val="0"/>
          <w:divBdr>
            <w:top w:val="none" w:sz="0" w:space="0" w:color="auto"/>
            <w:left w:val="none" w:sz="0" w:space="0" w:color="auto"/>
            <w:bottom w:val="none" w:sz="0" w:space="0" w:color="auto"/>
            <w:right w:val="none" w:sz="0" w:space="0" w:color="auto"/>
          </w:divBdr>
        </w:div>
      </w:divsChild>
    </w:div>
    <w:div w:id="1241982232">
      <w:bodyDiv w:val="1"/>
      <w:marLeft w:val="0"/>
      <w:marRight w:val="0"/>
      <w:marTop w:val="0"/>
      <w:marBottom w:val="0"/>
      <w:divBdr>
        <w:top w:val="none" w:sz="0" w:space="0" w:color="auto"/>
        <w:left w:val="none" w:sz="0" w:space="0" w:color="auto"/>
        <w:bottom w:val="none" w:sz="0" w:space="0" w:color="auto"/>
        <w:right w:val="none" w:sz="0" w:space="0" w:color="auto"/>
      </w:divBdr>
      <w:divsChild>
        <w:div w:id="1048408778">
          <w:marLeft w:val="0"/>
          <w:marRight w:val="0"/>
          <w:marTop w:val="0"/>
          <w:marBottom w:val="0"/>
          <w:divBdr>
            <w:top w:val="none" w:sz="0" w:space="0" w:color="auto"/>
            <w:left w:val="none" w:sz="0" w:space="0" w:color="auto"/>
            <w:bottom w:val="none" w:sz="0" w:space="0" w:color="auto"/>
            <w:right w:val="none" w:sz="0" w:space="0" w:color="auto"/>
          </w:divBdr>
        </w:div>
      </w:divsChild>
    </w:div>
    <w:div w:id="1249848194">
      <w:bodyDiv w:val="1"/>
      <w:marLeft w:val="0"/>
      <w:marRight w:val="0"/>
      <w:marTop w:val="0"/>
      <w:marBottom w:val="0"/>
      <w:divBdr>
        <w:top w:val="none" w:sz="0" w:space="0" w:color="auto"/>
        <w:left w:val="none" w:sz="0" w:space="0" w:color="auto"/>
        <w:bottom w:val="none" w:sz="0" w:space="0" w:color="auto"/>
        <w:right w:val="none" w:sz="0" w:space="0" w:color="auto"/>
      </w:divBdr>
      <w:divsChild>
        <w:div w:id="90972167">
          <w:marLeft w:val="0"/>
          <w:marRight w:val="0"/>
          <w:marTop w:val="0"/>
          <w:marBottom w:val="0"/>
          <w:divBdr>
            <w:top w:val="none" w:sz="0" w:space="0" w:color="auto"/>
            <w:left w:val="none" w:sz="0" w:space="0" w:color="auto"/>
            <w:bottom w:val="none" w:sz="0" w:space="0" w:color="auto"/>
            <w:right w:val="none" w:sz="0" w:space="0" w:color="auto"/>
          </w:divBdr>
        </w:div>
      </w:divsChild>
    </w:div>
    <w:div w:id="1295528568">
      <w:bodyDiv w:val="1"/>
      <w:marLeft w:val="0"/>
      <w:marRight w:val="0"/>
      <w:marTop w:val="0"/>
      <w:marBottom w:val="0"/>
      <w:divBdr>
        <w:top w:val="none" w:sz="0" w:space="0" w:color="auto"/>
        <w:left w:val="none" w:sz="0" w:space="0" w:color="auto"/>
        <w:bottom w:val="none" w:sz="0" w:space="0" w:color="auto"/>
        <w:right w:val="none" w:sz="0" w:space="0" w:color="auto"/>
      </w:divBdr>
      <w:divsChild>
        <w:div w:id="262998689">
          <w:marLeft w:val="0"/>
          <w:marRight w:val="0"/>
          <w:marTop w:val="0"/>
          <w:marBottom w:val="0"/>
          <w:divBdr>
            <w:top w:val="none" w:sz="0" w:space="0" w:color="auto"/>
            <w:left w:val="none" w:sz="0" w:space="0" w:color="auto"/>
            <w:bottom w:val="none" w:sz="0" w:space="0" w:color="auto"/>
            <w:right w:val="none" w:sz="0" w:space="0" w:color="auto"/>
          </w:divBdr>
        </w:div>
      </w:divsChild>
    </w:div>
    <w:div w:id="1445231939">
      <w:bodyDiv w:val="1"/>
      <w:marLeft w:val="0"/>
      <w:marRight w:val="0"/>
      <w:marTop w:val="0"/>
      <w:marBottom w:val="0"/>
      <w:divBdr>
        <w:top w:val="none" w:sz="0" w:space="0" w:color="auto"/>
        <w:left w:val="none" w:sz="0" w:space="0" w:color="auto"/>
        <w:bottom w:val="none" w:sz="0" w:space="0" w:color="auto"/>
        <w:right w:val="none" w:sz="0" w:space="0" w:color="auto"/>
      </w:divBdr>
      <w:divsChild>
        <w:div w:id="916673267">
          <w:marLeft w:val="0"/>
          <w:marRight w:val="0"/>
          <w:marTop w:val="0"/>
          <w:marBottom w:val="0"/>
          <w:divBdr>
            <w:top w:val="none" w:sz="0" w:space="0" w:color="auto"/>
            <w:left w:val="none" w:sz="0" w:space="0" w:color="auto"/>
            <w:bottom w:val="none" w:sz="0" w:space="0" w:color="auto"/>
            <w:right w:val="none" w:sz="0" w:space="0" w:color="auto"/>
          </w:divBdr>
        </w:div>
      </w:divsChild>
    </w:div>
    <w:div w:id="1471509701">
      <w:bodyDiv w:val="1"/>
      <w:marLeft w:val="0"/>
      <w:marRight w:val="0"/>
      <w:marTop w:val="0"/>
      <w:marBottom w:val="0"/>
      <w:divBdr>
        <w:top w:val="none" w:sz="0" w:space="0" w:color="auto"/>
        <w:left w:val="none" w:sz="0" w:space="0" w:color="auto"/>
        <w:bottom w:val="none" w:sz="0" w:space="0" w:color="auto"/>
        <w:right w:val="none" w:sz="0" w:space="0" w:color="auto"/>
      </w:divBdr>
      <w:divsChild>
        <w:div w:id="1954483987">
          <w:marLeft w:val="0"/>
          <w:marRight w:val="0"/>
          <w:marTop w:val="0"/>
          <w:marBottom w:val="0"/>
          <w:divBdr>
            <w:top w:val="none" w:sz="0" w:space="0" w:color="auto"/>
            <w:left w:val="none" w:sz="0" w:space="0" w:color="auto"/>
            <w:bottom w:val="none" w:sz="0" w:space="0" w:color="auto"/>
            <w:right w:val="none" w:sz="0" w:space="0" w:color="auto"/>
          </w:divBdr>
        </w:div>
      </w:divsChild>
    </w:div>
    <w:div w:id="1584223141">
      <w:bodyDiv w:val="1"/>
      <w:marLeft w:val="0"/>
      <w:marRight w:val="0"/>
      <w:marTop w:val="0"/>
      <w:marBottom w:val="0"/>
      <w:divBdr>
        <w:top w:val="none" w:sz="0" w:space="0" w:color="auto"/>
        <w:left w:val="none" w:sz="0" w:space="0" w:color="auto"/>
        <w:bottom w:val="none" w:sz="0" w:space="0" w:color="auto"/>
        <w:right w:val="none" w:sz="0" w:space="0" w:color="auto"/>
      </w:divBdr>
      <w:divsChild>
        <w:div w:id="243882123">
          <w:marLeft w:val="0"/>
          <w:marRight w:val="0"/>
          <w:marTop w:val="0"/>
          <w:marBottom w:val="0"/>
          <w:divBdr>
            <w:top w:val="none" w:sz="0" w:space="0" w:color="auto"/>
            <w:left w:val="none" w:sz="0" w:space="0" w:color="auto"/>
            <w:bottom w:val="none" w:sz="0" w:space="0" w:color="auto"/>
            <w:right w:val="none" w:sz="0" w:space="0" w:color="auto"/>
          </w:divBdr>
        </w:div>
      </w:divsChild>
    </w:div>
    <w:div w:id="1685789835">
      <w:bodyDiv w:val="1"/>
      <w:marLeft w:val="0"/>
      <w:marRight w:val="0"/>
      <w:marTop w:val="0"/>
      <w:marBottom w:val="0"/>
      <w:divBdr>
        <w:top w:val="none" w:sz="0" w:space="0" w:color="auto"/>
        <w:left w:val="none" w:sz="0" w:space="0" w:color="auto"/>
        <w:bottom w:val="none" w:sz="0" w:space="0" w:color="auto"/>
        <w:right w:val="none" w:sz="0" w:space="0" w:color="auto"/>
      </w:divBdr>
      <w:divsChild>
        <w:div w:id="88889653">
          <w:marLeft w:val="0"/>
          <w:marRight w:val="0"/>
          <w:marTop w:val="0"/>
          <w:marBottom w:val="0"/>
          <w:divBdr>
            <w:top w:val="none" w:sz="0" w:space="0" w:color="auto"/>
            <w:left w:val="none" w:sz="0" w:space="0" w:color="auto"/>
            <w:bottom w:val="none" w:sz="0" w:space="0" w:color="auto"/>
            <w:right w:val="none" w:sz="0" w:space="0" w:color="auto"/>
          </w:divBdr>
        </w:div>
      </w:divsChild>
    </w:div>
    <w:div w:id="1758750596">
      <w:bodyDiv w:val="1"/>
      <w:marLeft w:val="0"/>
      <w:marRight w:val="0"/>
      <w:marTop w:val="0"/>
      <w:marBottom w:val="0"/>
      <w:divBdr>
        <w:top w:val="none" w:sz="0" w:space="0" w:color="auto"/>
        <w:left w:val="none" w:sz="0" w:space="0" w:color="auto"/>
        <w:bottom w:val="none" w:sz="0" w:space="0" w:color="auto"/>
        <w:right w:val="none" w:sz="0" w:space="0" w:color="auto"/>
      </w:divBdr>
      <w:divsChild>
        <w:div w:id="1680541532">
          <w:marLeft w:val="240"/>
          <w:marRight w:val="0"/>
          <w:marTop w:val="0"/>
          <w:marBottom w:val="240"/>
          <w:divBdr>
            <w:top w:val="none" w:sz="0" w:space="0" w:color="auto"/>
            <w:left w:val="none" w:sz="0" w:space="0" w:color="auto"/>
            <w:bottom w:val="none" w:sz="0" w:space="0" w:color="auto"/>
            <w:right w:val="none" w:sz="0" w:space="0" w:color="auto"/>
          </w:divBdr>
        </w:div>
      </w:divsChild>
    </w:div>
    <w:div w:id="2095933674">
      <w:bodyDiv w:val="1"/>
      <w:marLeft w:val="0"/>
      <w:marRight w:val="0"/>
      <w:marTop w:val="0"/>
      <w:marBottom w:val="0"/>
      <w:divBdr>
        <w:top w:val="none" w:sz="0" w:space="0" w:color="auto"/>
        <w:left w:val="none" w:sz="0" w:space="0" w:color="auto"/>
        <w:bottom w:val="none" w:sz="0" w:space="0" w:color="auto"/>
        <w:right w:val="none" w:sz="0" w:space="0" w:color="auto"/>
      </w:divBdr>
      <w:divsChild>
        <w:div w:id="170223460">
          <w:marLeft w:val="0"/>
          <w:marRight w:val="0"/>
          <w:marTop w:val="0"/>
          <w:marBottom w:val="0"/>
          <w:divBdr>
            <w:top w:val="none" w:sz="0" w:space="0" w:color="auto"/>
            <w:left w:val="none" w:sz="0" w:space="0" w:color="auto"/>
            <w:bottom w:val="none" w:sz="0" w:space="0" w:color="auto"/>
            <w:right w:val="none" w:sz="0" w:space="0" w:color="auto"/>
          </w:divBdr>
        </w:div>
      </w:divsChild>
    </w:div>
    <w:div w:id="2132505424">
      <w:bodyDiv w:val="1"/>
      <w:marLeft w:val="0"/>
      <w:marRight w:val="0"/>
      <w:marTop w:val="0"/>
      <w:marBottom w:val="0"/>
      <w:divBdr>
        <w:top w:val="none" w:sz="0" w:space="0" w:color="auto"/>
        <w:left w:val="none" w:sz="0" w:space="0" w:color="auto"/>
        <w:bottom w:val="none" w:sz="0" w:space="0" w:color="auto"/>
        <w:right w:val="none" w:sz="0" w:space="0" w:color="auto"/>
      </w:divBdr>
      <w:divsChild>
        <w:div w:id="6589967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tb.ku.edu/en/table-of-contents/assessment/assessing-community-needs-and-resources/develop-a-plan/main" TargetMode="External"/><Relationship Id="rId13" Type="http://schemas.openxmlformats.org/officeDocument/2006/relationships/hyperlink" Target="https://organizingengagement.org/models/quality-assurance-standard-for-community-and-stakeholder-engage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ents.morris.umn.edu/community-engagement/types-community-eng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nicus.com/blog/why-is-community-engagement-important/" TargetMode="External"/><Relationship Id="rId5" Type="http://schemas.openxmlformats.org/officeDocument/2006/relationships/webSettings" Target="webSettings.xml"/><Relationship Id="rId15" Type="http://schemas.openxmlformats.org/officeDocument/2006/relationships/hyperlink" Target="https://opentextbc.ca/projectmanagement/chapter/chapter-5-project-stakeholders-project-management/" TargetMode="External"/><Relationship Id="rId10" Type="http://schemas.openxmlformats.org/officeDocument/2006/relationships/hyperlink" Target="https://www.ncbi.nlm.nih.gov/books/NBK554622/" TargetMode="External"/><Relationship Id="rId4" Type="http://schemas.openxmlformats.org/officeDocument/2006/relationships/settings" Target="settings.xml"/><Relationship Id="rId9" Type="http://schemas.openxmlformats.org/officeDocument/2006/relationships/hyperlink" Target="https://granicus.com/blog/5-reasons-why-community-engagement-matters/" TargetMode="External"/><Relationship Id="rId14" Type="http://schemas.openxmlformats.org/officeDocument/2006/relationships/hyperlink" Target="https://sustainet.com/how-to-encourage-stakeholder-particip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33CA3-F647-4316-8DA3-30D66E5F6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2693</Words>
  <Characters>15351</Characters>
  <Application>Microsoft Office Word</Application>
  <DocSecurity>0</DocSecurity>
  <Lines>127</Lines>
  <Paragraphs>36</Paragraphs>
  <ScaleCrop>false</ScaleCrop>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Alexandra Ilie</cp:lastModifiedBy>
  <cp:revision>3</cp:revision>
  <dcterms:created xsi:type="dcterms:W3CDTF">2023-03-14T07:20:00Z</dcterms:created>
  <dcterms:modified xsi:type="dcterms:W3CDTF">2023-03-30T21:10:00Z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4d0c8f7c83504531acda81751e3c7da1</vt:lpwstr>
  </property>
</Properties>
</file>