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8C0B5" w14:textId="77777777" w:rsidR="00170039" w:rsidRDefault="00170039" w:rsidP="0017003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LCBB6001</w:t>
      </w:r>
    </w:p>
    <w:p w14:paraId="2795D791" w14:textId="77777777" w:rsidR="00170039" w:rsidRDefault="00170039" w:rsidP="0017003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International Business Communications</w:t>
      </w:r>
    </w:p>
    <w:p w14:paraId="3A7B9A29" w14:textId="77777777" w:rsidR="00170039" w:rsidRDefault="00170039" w:rsidP="0017003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Component 1 </w:t>
      </w:r>
    </w:p>
    <w:p w14:paraId="32D5F17C" w14:textId="77777777" w:rsidR="00170039" w:rsidRDefault="00170039" w:rsidP="00170039">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Coursework: Essay</w:t>
      </w:r>
    </w:p>
    <w:p w14:paraId="549DECAD" w14:textId="77777777" w:rsidR="00170039" w:rsidRDefault="00170039" w:rsidP="0017003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and ID: Laura-</w:t>
      </w:r>
      <w:proofErr w:type="spellStart"/>
      <w:r>
        <w:rPr>
          <w:rFonts w:ascii="Times New Roman" w:eastAsia="Times New Roman" w:hAnsi="Times New Roman" w:cs="Times New Roman"/>
          <w:b/>
          <w:sz w:val="32"/>
          <w:szCs w:val="32"/>
        </w:rPr>
        <w:t>Andreea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Doru</w:t>
      </w:r>
      <w:proofErr w:type="spellEnd"/>
      <w:r>
        <w:rPr>
          <w:rFonts w:ascii="Times New Roman" w:eastAsia="Times New Roman" w:hAnsi="Times New Roman" w:cs="Times New Roman"/>
          <w:b/>
          <w:sz w:val="32"/>
          <w:szCs w:val="32"/>
        </w:rPr>
        <w:t xml:space="preserve"> (2125338)</w:t>
      </w:r>
    </w:p>
    <w:p w14:paraId="498D7F64" w14:textId="77777777" w:rsidR="00170039" w:rsidRDefault="00170039" w:rsidP="0017003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Laila </w:t>
      </w:r>
      <w:proofErr w:type="spellStart"/>
      <w:r>
        <w:rPr>
          <w:rFonts w:ascii="Times New Roman" w:eastAsia="Times New Roman" w:hAnsi="Times New Roman" w:cs="Times New Roman"/>
          <w:b/>
          <w:sz w:val="32"/>
          <w:szCs w:val="32"/>
        </w:rPr>
        <w:t>Maazouz</w:t>
      </w:r>
      <w:proofErr w:type="spellEnd"/>
    </w:p>
    <w:p w14:paraId="545CF14C" w14:textId="77777777" w:rsidR="00170039" w:rsidRDefault="00170039" w:rsidP="00170039">
      <w:pPr>
        <w:spacing w:after="80"/>
        <w:jc w:val="center"/>
        <w:rPr>
          <w:rFonts w:ascii="Times New Roman" w:eastAsia="Times New Roman" w:hAnsi="Times New Roman" w:cs="Times New Roman"/>
          <w:sz w:val="32"/>
          <w:szCs w:val="32"/>
        </w:rPr>
      </w:pPr>
      <w:r>
        <w:br w:type="page"/>
      </w:r>
    </w:p>
    <w:p w14:paraId="0CA1E5E0" w14:textId="77777777" w:rsidR="00170039" w:rsidRDefault="00170039" w:rsidP="00170039">
      <w:pPr>
        <w:spacing w:after="8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Table of contents</w:t>
      </w:r>
    </w:p>
    <w:p w14:paraId="39FC801E" w14:textId="77777777" w:rsidR="00170039" w:rsidRDefault="00170039" w:rsidP="00170039">
      <w:pPr>
        <w:pStyle w:val="Heading2"/>
        <w:keepNext w:val="0"/>
        <w:keepLines w:val="0"/>
        <w:spacing w:after="80"/>
        <w:rPr>
          <w:sz w:val="34"/>
          <w:szCs w:val="34"/>
        </w:rPr>
      </w:pPr>
      <w:bookmarkStart w:id="0" w:name="_heading=h.gjdgxs" w:colFirst="0" w:colLast="0"/>
      <w:bookmarkEnd w:id="0"/>
    </w:p>
    <w:sdt>
      <w:sdtPr>
        <w:id w:val="1120034083"/>
        <w:docPartObj>
          <w:docPartGallery w:val="Table of Contents"/>
          <w:docPartUnique/>
        </w:docPartObj>
      </w:sdtPr>
      <w:sdtContent>
        <w:p w14:paraId="26CBCC27" w14:textId="77777777" w:rsidR="00170039" w:rsidRDefault="00170039" w:rsidP="00170039">
          <w:pPr>
            <w:widowControl w:val="0"/>
            <w:tabs>
              <w:tab w:val="right" w:pos="12000"/>
            </w:tabs>
            <w:spacing w:before="60" w:line="240" w:lineRule="auto"/>
            <w:ind w:left="360"/>
            <w:jc w:val="both"/>
            <w:rPr>
              <w:rFonts w:ascii="Times New Roman" w:eastAsia="Times New Roman" w:hAnsi="Times New Roman" w:cs="Times New Roman"/>
              <w:color w:val="000000"/>
            </w:rPr>
          </w:pPr>
          <w:r>
            <w:fldChar w:fldCharType="begin"/>
          </w:r>
          <w:r>
            <w:instrText xml:space="preserve"> TOC \h \u \z \t "Heading 1,1,Heading 2,2,Heading 3,3,Heading 4,4,Heading 5,5,Heading 6,6,"</w:instrText>
          </w:r>
          <w:r>
            <w:fldChar w:fldCharType="separate"/>
          </w:r>
          <w:hyperlink w:anchor="_heading=h.1fob9te">
            <w:r>
              <w:rPr>
                <w:rFonts w:ascii="Times New Roman" w:eastAsia="Times New Roman" w:hAnsi="Times New Roman" w:cs="Times New Roman"/>
                <w:color w:val="000000"/>
              </w:rPr>
              <w:t>I. Introduction</w:t>
            </w:r>
            <w:r>
              <w:rPr>
                <w:rFonts w:ascii="Times New Roman" w:eastAsia="Times New Roman" w:hAnsi="Times New Roman" w:cs="Times New Roman"/>
                <w:color w:val="000000"/>
              </w:rPr>
              <w:tab/>
              <w:t>3</w:t>
            </w:r>
          </w:hyperlink>
        </w:p>
        <w:p w14:paraId="7363B20E" w14:textId="77777777" w:rsidR="00170039" w:rsidRDefault="00170039" w:rsidP="00170039">
          <w:pPr>
            <w:widowControl w:val="0"/>
            <w:tabs>
              <w:tab w:val="right" w:pos="12000"/>
            </w:tabs>
            <w:spacing w:before="60" w:line="240" w:lineRule="auto"/>
            <w:ind w:left="360"/>
            <w:jc w:val="both"/>
            <w:rPr>
              <w:rFonts w:ascii="Times New Roman" w:eastAsia="Times New Roman" w:hAnsi="Times New Roman" w:cs="Times New Roman"/>
              <w:color w:val="000000"/>
            </w:rPr>
          </w:pPr>
          <w:hyperlink w:anchor="_heading=h.3znysh7">
            <w:r>
              <w:rPr>
                <w:rFonts w:ascii="Times New Roman" w:eastAsia="Times New Roman" w:hAnsi="Times New Roman" w:cs="Times New Roman"/>
                <w:color w:val="000000"/>
              </w:rPr>
              <w:t>II. Introduction to Pret A Manger</w:t>
            </w:r>
            <w:r>
              <w:rPr>
                <w:rFonts w:ascii="Times New Roman" w:eastAsia="Times New Roman" w:hAnsi="Times New Roman" w:cs="Times New Roman"/>
                <w:color w:val="000000"/>
              </w:rPr>
              <w:tab/>
              <w:t>4</w:t>
            </w:r>
          </w:hyperlink>
        </w:p>
        <w:p w14:paraId="52B2C4A3" w14:textId="77777777" w:rsidR="00170039" w:rsidRDefault="00170039" w:rsidP="00170039">
          <w:pPr>
            <w:widowControl w:val="0"/>
            <w:tabs>
              <w:tab w:val="right" w:pos="12000"/>
            </w:tabs>
            <w:spacing w:before="60" w:line="240" w:lineRule="auto"/>
            <w:ind w:left="360"/>
            <w:jc w:val="both"/>
            <w:rPr>
              <w:rFonts w:ascii="Times New Roman" w:eastAsia="Times New Roman" w:hAnsi="Times New Roman" w:cs="Times New Roman"/>
              <w:color w:val="000000"/>
            </w:rPr>
          </w:pPr>
          <w:hyperlink w:anchor="_heading=h.2et92p0">
            <w:r>
              <w:rPr>
                <w:rFonts w:ascii="Times New Roman" w:eastAsia="Times New Roman" w:hAnsi="Times New Roman" w:cs="Times New Roman"/>
                <w:color w:val="000000"/>
              </w:rPr>
              <w:t>III. Evaluation of EU Countries for Expansion</w:t>
            </w:r>
            <w:r>
              <w:rPr>
                <w:rFonts w:ascii="Times New Roman" w:eastAsia="Times New Roman" w:hAnsi="Times New Roman" w:cs="Times New Roman"/>
                <w:color w:val="000000"/>
              </w:rPr>
              <w:tab/>
              <w:t>4</w:t>
            </w:r>
          </w:hyperlink>
        </w:p>
        <w:p w14:paraId="2F2E7D4E" w14:textId="77777777" w:rsidR="00170039" w:rsidRDefault="00170039" w:rsidP="00170039">
          <w:pPr>
            <w:widowControl w:val="0"/>
            <w:tabs>
              <w:tab w:val="right" w:pos="12000"/>
            </w:tabs>
            <w:spacing w:before="60" w:line="240" w:lineRule="auto"/>
            <w:ind w:left="720"/>
            <w:jc w:val="both"/>
            <w:rPr>
              <w:rFonts w:ascii="Times New Roman" w:eastAsia="Times New Roman" w:hAnsi="Times New Roman" w:cs="Times New Roman"/>
              <w:color w:val="000000"/>
            </w:rPr>
          </w:pPr>
          <w:hyperlink w:anchor="_heading=h.tyjcwt">
            <w:r>
              <w:rPr>
                <w:rFonts w:ascii="Times New Roman" w:eastAsia="Times New Roman" w:hAnsi="Times New Roman" w:cs="Times New Roman"/>
                <w:color w:val="000000"/>
              </w:rPr>
              <w:t>1. Evaluation of Poland</w:t>
            </w:r>
            <w:r>
              <w:rPr>
                <w:rFonts w:ascii="Times New Roman" w:eastAsia="Times New Roman" w:hAnsi="Times New Roman" w:cs="Times New Roman"/>
                <w:color w:val="000000"/>
              </w:rPr>
              <w:tab/>
              <w:t>4</w:t>
            </w:r>
          </w:hyperlink>
        </w:p>
        <w:p w14:paraId="2589D5E1" w14:textId="77777777" w:rsidR="00170039" w:rsidRDefault="00170039" w:rsidP="00170039">
          <w:pPr>
            <w:widowControl w:val="0"/>
            <w:tabs>
              <w:tab w:val="right" w:pos="12000"/>
            </w:tabs>
            <w:spacing w:before="60" w:line="240" w:lineRule="auto"/>
            <w:ind w:left="360"/>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Cultural Differences Analysis</w:t>
            </w:r>
            <w:r>
              <w:rPr>
                <w:rFonts w:ascii="Times New Roman" w:eastAsia="Times New Roman" w:hAnsi="Times New Roman" w:cs="Times New Roman"/>
                <w:color w:val="000000"/>
                <w:sz w:val="24"/>
                <w:szCs w:val="24"/>
              </w:rPr>
              <w:tab/>
              <w:t>6</w:t>
            </w:r>
          </w:hyperlink>
        </w:p>
        <w:p w14:paraId="33DEE996" w14:textId="77777777" w:rsidR="00170039" w:rsidRDefault="00170039" w:rsidP="00170039">
          <w:pPr>
            <w:widowControl w:val="0"/>
            <w:tabs>
              <w:tab w:val="right" w:pos="12000"/>
            </w:tabs>
            <w:spacing w:before="60" w:line="240" w:lineRule="auto"/>
            <w:ind w:left="720"/>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2. Evaluation of Another EU Country: Czech Republic</w:t>
            </w:r>
            <w:r>
              <w:rPr>
                <w:rFonts w:ascii="Times New Roman" w:eastAsia="Times New Roman" w:hAnsi="Times New Roman" w:cs="Times New Roman"/>
                <w:color w:val="000000"/>
                <w:sz w:val="24"/>
                <w:szCs w:val="24"/>
              </w:rPr>
              <w:tab/>
              <w:t>7</w:t>
            </w:r>
          </w:hyperlink>
        </w:p>
        <w:p w14:paraId="09B3F8F6" w14:textId="77777777" w:rsidR="00170039" w:rsidRDefault="00170039" w:rsidP="00170039">
          <w:pPr>
            <w:widowControl w:val="0"/>
            <w:tabs>
              <w:tab w:val="right" w:pos="12000"/>
            </w:tabs>
            <w:spacing w:before="60" w:line="240" w:lineRule="auto"/>
            <w:ind w:left="360"/>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IV. Recommendations</w:t>
            </w:r>
            <w:r>
              <w:rPr>
                <w:rFonts w:ascii="Times New Roman" w:eastAsia="Times New Roman" w:hAnsi="Times New Roman" w:cs="Times New Roman"/>
                <w:color w:val="000000"/>
                <w:sz w:val="24"/>
                <w:szCs w:val="24"/>
              </w:rPr>
              <w:tab/>
              <w:t>10</w:t>
            </w:r>
          </w:hyperlink>
        </w:p>
        <w:p w14:paraId="5862A432" w14:textId="77777777" w:rsidR="00170039" w:rsidRDefault="00170039" w:rsidP="00170039">
          <w:pPr>
            <w:widowControl w:val="0"/>
            <w:tabs>
              <w:tab w:val="right" w:pos="12000"/>
            </w:tabs>
            <w:spacing w:before="60" w:line="240" w:lineRule="auto"/>
            <w:ind w:left="360"/>
            <w:jc w:val="both"/>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Recommended Country for Expansion</w:t>
            </w:r>
            <w:r>
              <w:rPr>
                <w:rFonts w:ascii="Times New Roman" w:eastAsia="Times New Roman" w:hAnsi="Times New Roman" w:cs="Times New Roman"/>
                <w:color w:val="000000"/>
                <w:sz w:val="24"/>
                <w:szCs w:val="24"/>
              </w:rPr>
              <w:tab/>
              <w:t>10</w:t>
            </w:r>
          </w:hyperlink>
        </w:p>
        <w:p w14:paraId="5B420028" w14:textId="77777777" w:rsidR="00170039" w:rsidRDefault="00170039" w:rsidP="00170039">
          <w:pPr>
            <w:widowControl w:val="0"/>
            <w:tabs>
              <w:tab w:val="right" w:pos="12000"/>
            </w:tabs>
            <w:spacing w:before="60" w:line="240" w:lineRule="auto"/>
            <w:jc w:val="both"/>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V. Conclusion</w:t>
            </w:r>
            <w:r>
              <w:rPr>
                <w:rFonts w:ascii="Times New Roman" w:eastAsia="Times New Roman" w:hAnsi="Times New Roman" w:cs="Times New Roman"/>
                <w:color w:val="000000"/>
                <w:sz w:val="24"/>
                <w:szCs w:val="24"/>
              </w:rPr>
              <w:tab/>
              <w:t>11</w:t>
            </w:r>
          </w:hyperlink>
        </w:p>
        <w:p w14:paraId="0E0CF140" w14:textId="77777777" w:rsidR="00170039" w:rsidRDefault="00170039" w:rsidP="00170039">
          <w:pPr>
            <w:widowControl w:val="0"/>
            <w:tabs>
              <w:tab w:val="right" w:pos="12000"/>
            </w:tabs>
            <w:spacing w:before="60" w:line="240" w:lineRule="auto"/>
            <w:jc w:val="both"/>
            <w:rPr>
              <w:rFonts w:ascii="Times New Roman" w:eastAsia="Times New Roman" w:hAnsi="Times New Roman" w:cs="Times New Roman"/>
              <w:b/>
              <w:color w:val="000000"/>
            </w:rPr>
          </w:pPr>
          <w:hyperlink w:anchor="_heading=h.3rdcrjn">
            <w:r>
              <w:rPr>
                <w:rFonts w:ascii="Times New Roman" w:eastAsia="Times New Roman" w:hAnsi="Times New Roman" w:cs="Times New Roman"/>
                <w:color w:val="000000"/>
                <w:sz w:val="24"/>
                <w:szCs w:val="24"/>
              </w:rPr>
              <w:t>Reference:</w:t>
            </w:r>
          </w:hyperlink>
          <w:hyperlink w:anchor="_heading=h.3rdcrjn">
            <w:r>
              <w:rPr>
                <w:rFonts w:ascii="Times New Roman" w:eastAsia="Times New Roman" w:hAnsi="Times New Roman" w:cs="Times New Roman"/>
                <w:b/>
                <w:color w:val="000000"/>
              </w:rPr>
              <w:tab/>
              <w:t>12</w:t>
            </w:r>
          </w:hyperlink>
          <w:r>
            <w:fldChar w:fldCharType="end"/>
          </w:r>
        </w:p>
      </w:sdtContent>
    </w:sdt>
    <w:p w14:paraId="218FDB40" w14:textId="77777777" w:rsidR="00170039" w:rsidRDefault="00170039" w:rsidP="00170039">
      <w:pPr>
        <w:pStyle w:val="Heading2"/>
        <w:keepNext w:val="0"/>
        <w:keepLines w:val="0"/>
        <w:spacing w:after="80"/>
        <w:rPr>
          <w:sz w:val="34"/>
          <w:szCs w:val="34"/>
        </w:rPr>
      </w:pPr>
      <w:bookmarkStart w:id="1" w:name="_heading=h.30j0zll" w:colFirst="0" w:colLast="0"/>
      <w:bookmarkEnd w:id="1"/>
      <w:r>
        <w:br w:type="page"/>
      </w:r>
    </w:p>
    <w:p w14:paraId="26DAE62A" w14:textId="77777777" w:rsidR="00170039" w:rsidRDefault="00170039" w:rsidP="00170039">
      <w:pPr>
        <w:pStyle w:val="Heading3"/>
        <w:keepNext w:val="0"/>
        <w:keepLines w:val="0"/>
        <w:spacing w:before="280"/>
        <w:rPr>
          <w:color w:val="000000"/>
        </w:rPr>
      </w:pPr>
      <w:bookmarkStart w:id="2" w:name="_heading=h.1fob9te" w:colFirst="0" w:colLast="0"/>
      <w:bookmarkEnd w:id="2"/>
      <w:r>
        <w:rPr>
          <w:color w:val="000000"/>
        </w:rPr>
        <w:lastRenderedPageBreak/>
        <w:t>I. Introduction</w:t>
      </w:r>
    </w:p>
    <w:p w14:paraId="36BCB0C6" w14:textId="77777777" w:rsidR="00170039" w:rsidRDefault="00170039" w:rsidP="001700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Overview of British Business Communications </w:t>
      </w:r>
    </w:p>
    <w:p w14:paraId="7FD67BC2"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an essential part of the global business as it helps the organisation to maintain and develop a stronger relationship with the customers, employees, partners, and various other stakeholders. It also gives the opportunity to achieve the long-term goals with improved efficiency and help to build a supportive environment that fosters innovation and growth within the organisation. Various ways how effective communication can benefit global businesses are;</w:t>
      </w:r>
      <w:r>
        <w:rPr>
          <w:rFonts w:ascii="Times New Roman" w:eastAsia="Times New Roman" w:hAnsi="Times New Roman" w:cs="Times New Roman"/>
          <w:b/>
          <w:sz w:val="24"/>
          <w:szCs w:val="24"/>
        </w:rPr>
        <w:t xml:space="preserve"> Building relationships</w:t>
      </w:r>
      <w:r>
        <w:rPr>
          <w:rFonts w:ascii="Times New Roman" w:eastAsia="Times New Roman" w:hAnsi="Times New Roman" w:cs="Times New Roman"/>
          <w:sz w:val="24"/>
          <w:szCs w:val="24"/>
        </w:rPr>
        <w:t>, businesses that have a good communication with the international customer and the local customer have a stronger customer retention rate in the market. Good communication is also the key for the managers to build stronger relationships with staff and other stakeholders within the organisation such as the customers and the partners, moreover, poor communication can hamper the brand reputation of the organisation and increase the customer attrition rate (</w:t>
      </w:r>
      <w:proofErr w:type="spellStart"/>
      <w:r>
        <w:rPr>
          <w:rFonts w:ascii="Times New Roman" w:eastAsia="Times New Roman" w:hAnsi="Times New Roman" w:cs="Times New Roman"/>
          <w:color w:val="222222"/>
          <w:sz w:val="24"/>
          <w:szCs w:val="24"/>
          <w:highlight w:val="white"/>
        </w:rPr>
        <w:t>Kalogiannidis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Managing the Global workforce,</w:t>
      </w:r>
      <w:r>
        <w:rPr>
          <w:rFonts w:ascii="Times New Roman" w:eastAsia="Times New Roman" w:hAnsi="Times New Roman" w:cs="Times New Roman"/>
          <w:sz w:val="24"/>
          <w:szCs w:val="24"/>
        </w:rPr>
        <w:t xml:space="preserve"> effective communication can help organisations to make sure that all the departments from various cultures are well connected with each other and aligned with the organisation’s value regardless of what culture they belong to. This can significantly boost the inclination of teams in the same direction with the company's goal and objective. </w:t>
      </w:r>
    </w:p>
    <w:p w14:paraId="6256CDE4"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style of British business communication is </w:t>
      </w:r>
      <w:r>
        <w:rPr>
          <w:rFonts w:ascii="Times New Roman" w:eastAsia="Times New Roman" w:hAnsi="Times New Roman" w:cs="Times New Roman"/>
          <w:b/>
          <w:sz w:val="24"/>
          <w:szCs w:val="24"/>
        </w:rPr>
        <w:t>Directness,</w:t>
      </w:r>
      <w:r>
        <w:rPr>
          <w:rFonts w:ascii="Times New Roman" w:eastAsia="Times New Roman" w:hAnsi="Times New Roman" w:cs="Times New Roman"/>
          <w:sz w:val="24"/>
          <w:szCs w:val="24"/>
        </w:rPr>
        <w:t xml:space="preserve"> British business's professionals stress over the clarity and straightforward talks however, they also emphasise over fostering politeness. </w:t>
      </w:r>
      <w:r>
        <w:rPr>
          <w:rFonts w:ascii="Times New Roman" w:eastAsia="Times New Roman" w:hAnsi="Times New Roman" w:cs="Times New Roman"/>
          <w:b/>
          <w:sz w:val="24"/>
          <w:szCs w:val="24"/>
        </w:rPr>
        <w:t>Active listening with the stakeholders,</w:t>
      </w:r>
      <w:r>
        <w:rPr>
          <w:rFonts w:ascii="Times New Roman" w:eastAsia="Times New Roman" w:hAnsi="Times New Roman" w:cs="Times New Roman"/>
          <w:sz w:val="24"/>
          <w:szCs w:val="24"/>
        </w:rPr>
        <w:t xml:space="preserve"> British people implement active listening skills within the business talks. This factor helps the professional to understand others' perspectives properly and to show signs of respect. Clear communication, British people like to keep the communication short, simple, and focused over clarity. They also use repetitions to make sure the communication is clear. </w:t>
      </w:r>
      <w:r>
        <w:rPr>
          <w:rFonts w:ascii="Times New Roman" w:eastAsia="Times New Roman" w:hAnsi="Times New Roman" w:cs="Times New Roman"/>
          <w:b/>
          <w:sz w:val="24"/>
          <w:szCs w:val="24"/>
        </w:rPr>
        <w:t>Humour,</w:t>
      </w:r>
      <w:r>
        <w:rPr>
          <w:rFonts w:ascii="Times New Roman" w:eastAsia="Times New Roman" w:hAnsi="Times New Roman" w:cs="Times New Roman"/>
          <w:sz w:val="24"/>
          <w:szCs w:val="24"/>
        </w:rPr>
        <w:t xml:space="preserve"> humour is a noticeable part in the style of British culture and communication (</w:t>
      </w:r>
      <w:r>
        <w:rPr>
          <w:rFonts w:ascii="Times New Roman" w:eastAsia="Times New Roman" w:hAnsi="Times New Roman" w:cs="Times New Roman"/>
          <w:color w:val="222222"/>
          <w:sz w:val="24"/>
          <w:szCs w:val="24"/>
          <w:highlight w:val="white"/>
        </w:rPr>
        <w:t xml:space="preserve">Ponton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It also helps to make communication lighter and more direct and pointed. Humour can also help to build a supportive, informal environmental organisation which can significantly improve the employee retention rate. </w:t>
      </w:r>
    </w:p>
    <w:p w14:paraId="37258CF4"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international ambition of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is to become a well-recognised brand across the world. that is focused on building partnerships and franchisees to expand in new markets and offer organic coffee and freshly prepared food to every customer.</w:t>
      </w:r>
    </w:p>
    <w:p w14:paraId="369D4069" w14:textId="77777777" w:rsidR="00170039" w:rsidRDefault="00170039" w:rsidP="00170039">
      <w:pPr>
        <w:pStyle w:val="Heading3"/>
        <w:keepNext w:val="0"/>
        <w:keepLines w:val="0"/>
        <w:spacing w:before="280"/>
        <w:rPr>
          <w:color w:val="000000"/>
        </w:rPr>
      </w:pPr>
      <w:bookmarkStart w:id="3" w:name="_heading=h.3znysh7" w:colFirst="0" w:colLast="0"/>
      <w:bookmarkEnd w:id="3"/>
      <w:r>
        <w:rPr>
          <w:color w:val="000000"/>
        </w:rPr>
        <w:t xml:space="preserve">II. Introduction to </w:t>
      </w:r>
      <w:proofErr w:type="spellStart"/>
      <w:r>
        <w:rPr>
          <w:color w:val="000000"/>
        </w:rPr>
        <w:t>Pret</w:t>
      </w:r>
      <w:proofErr w:type="spellEnd"/>
      <w:r>
        <w:rPr>
          <w:color w:val="000000"/>
        </w:rPr>
        <w:t xml:space="preserve"> </w:t>
      </w:r>
      <w:proofErr w:type="gramStart"/>
      <w:r>
        <w:rPr>
          <w:color w:val="000000"/>
        </w:rPr>
        <w:t>A</w:t>
      </w:r>
      <w:proofErr w:type="gramEnd"/>
      <w:r>
        <w:rPr>
          <w:color w:val="000000"/>
        </w:rPr>
        <w:t xml:space="preserve"> Manger </w:t>
      </w:r>
    </w:p>
    <w:p w14:paraId="49BCD8D5" w14:textId="77777777" w:rsidR="00170039" w:rsidRDefault="00170039" w:rsidP="001700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Company Background</w:t>
      </w:r>
    </w:p>
    <w:p w14:paraId="6CD7314D" w14:textId="77777777" w:rsidR="00170039" w:rsidRDefault="00170039" w:rsidP="00170039">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is a company that serves freshly made food and organic coffee and to bring wellbeing in the society. To exemplify,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makes handmade freshly prepared food in the kitchen of the shop for the day and if nobody buys the food on that day, they donate that unsold food to the charity so that people who cannot afford the food do not sleep in hunger.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serve also claims that the coffee they came from is 100% organic. The history of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has several key incidents starting with Jeffrey Hyman starting the first shop in the year 1983 in Hampstead, London on the </w:t>
      </w:r>
      <w:proofErr w:type="spellStart"/>
      <w:r>
        <w:rPr>
          <w:rFonts w:ascii="Times New Roman" w:eastAsia="Times New Roman" w:hAnsi="Times New Roman" w:cs="Times New Roman"/>
          <w:sz w:val="24"/>
          <w:szCs w:val="24"/>
        </w:rPr>
        <w:t>october</w:t>
      </w:r>
      <w:proofErr w:type="spellEnd"/>
      <w:r>
        <w:rPr>
          <w:rFonts w:ascii="Times New Roman" w:eastAsia="Times New Roman" w:hAnsi="Times New Roman" w:cs="Times New Roman"/>
          <w:sz w:val="24"/>
          <w:szCs w:val="24"/>
        </w:rPr>
        <w:t xml:space="preserve"> 21 (</w:t>
      </w:r>
      <w:r>
        <w:rPr>
          <w:rFonts w:ascii="Times New Roman" w:eastAsia="Times New Roman" w:hAnsi="Times New Roman" w:cs="Times New Roman"/>
          <w:color w:val="222222"/>
          <w:sz w:val="24"/>
          <w:szCs w:val="24"/>
          <w:highlight w:val="white"/>
        </w:rPr>
        <w:t>Kumar, 2021)</w:t>
      </w:r>
      <w:r>
        <w:rPr>
          <w:rFonts w:ascii="Times New Roman" w:eastAsia="Times New Roman" w:hAnsi="Times New Roman" w:cs="Times New Roman"/>
          <w:sz w:val="24"/>
          <w:szCs w:val="24"/>
        </w:rPr>
        <w:t xml:space="preserve">. The name of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originated from a French term prêt à manger that means ready to eat. In the year 1985 the share of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liquefied and two university friends named Sinclair Beecham and Julian Metcalfe brought the visual banding and the name of the Pret. in the year 1986 they reopened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on the Victoria street and in 2000 the first branch of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started at new </w:t>
      </w:r>
      <w:proofErr w:type="spellStart"/>
      <w:r>
        <w:rPr>
          <w:rFonts w:ascii="Times New Roman" w:eastAsia="Times New Roman" w:hAnsi="Times New Roman" w:cs="Times New Roman"/>
          <w:sz w:val="24"/>
          <w:szCs w:val="24"/>
        </w:rPr>
        <w:t>york</w:t>
      </w:r>
      <w:proofErr w:type="spellEnd"/>
      <w:r>
        <w:rPr>
          <w:rFonts w:ascii="Times New Roman" w:eastAsia="Times New Roman" w:hAnsi="Times New Roman" w:cs="Times New Roman"/>
          <w:sz w:val="24"/>
          <w:szCs w:val="24"/>
        </w:rPr>
        <w:t xml:space="preserve"> (weird, 2024). Most significantly the brand brought its rival brand in Chain Eat in 2019 and they are planning to transform some stores into veggie </w:t>
      </w:r>
      <w:proofErr w:type="spellStart"/>
      <w:r>
        <w:rPr>
          <w:rFonts w:ascii="Times New Roman" w:eastAsia="Times New Roman" w:hAnsi="Times New Roman" w:cs="Times New Roman"/>
          <w:sz w:val="24"/>
          <w:szCs w:val="24"/>
        </w:rPr>
        <w:t>Prets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is a well-known brand in the UK for offering organic coffee and freshly prepared food. Some strategies that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has undertaken to expand globally are growing</w:t>
      </w:r>
      <w:r>
        <w:rPr>
          <w:rFonts w:ascii="Times New Roman" w:eastAsia="Times New Roman" w:hAnsi="Times New Roman" w:cs="Times New Roman"/>
          <w:sz w:val="24"/>
          <w:szCs w:val="24"/>
          <w:highlight w:val="white"/>
        </w:rPr>
        <w:t xml:space="preserve"> franchisees, opening new stores to new markets, and increasing US footprint. </w:t>
      </w:r>
    </w:p>
    <w:p w14:paraId="168B5395" w14:textId="77777777" w:rsidR="00170039" w:rsidRDefault="00170039" w:rsidP="00170039">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1C92588C" wp14:editId="355BA703">
            <wp:extent cx="3167063" cy="2193121"/>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b="17195"/>
                    <a:stretch>
                      <a:fillRect/>
                    </a:stretch>
                  </pic:blipFill>
                  <pic:spPr>
                    <a:xfrm>
                      <a:off x="0" y="0"/>
                      <a:ext cx="3167063" cy="2193121"/>
                    </a:xfrm>
                    <a:prstGeom prst="rect">
                      <a:avLst/>
                    </a:prstGeom>
                    <a:ln w="25400">
                      <a:solidFill>
                        <a:srgbClr val="000000"/>
                      </a:solidFill>
                      <a:prstDash val="solid"/>
                    </a:ln>
                  </pic:spPr>
                </pic:pic>
              </a:graphicData>
            </a:graphic>
          </wp:inline>
        </w:drawing>
      </w:r>
    </w:p>
    <w:p w14:paraId="7A12314D" w14:textId="77777777" w:rsidR="00170039" w:rsidRDefault="00170039" w:rsidP="00170039">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Figure: Revenues of </w:t>
      </w:r>
      <w:proofErr w:type="spellStart"/>
      <w:r>
        <w:rPr>
          <w:rFonts w:ascii="Times New Roman" w:eastAsia="Times New Roman" w:hAnsi="Times New Roman" w:cs="Times New Roman"/>
          <w:sz w:val="24"/>
          <w:szCs w:val="24"/>
          <w:highlight w:val="white"/>
        </w:rPr>
        <w:t>Pret</w:t>
      </w:r>
      <w:proofErr w:type="spell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A</w:t>
      </w:r>
      <w:proofErr w:type="gramEnd"/>
      <w:r>
        <w:rPr>
          <w:rFonts w:ascii="Times New Roman" w:eastAsia="Times New Roman" w:hAnsi="Times New Roman" w:cs="Times New Roman"/>
          <w:sz w:val="24"/>
          <w:szCs w:val="24"/>
          <w:highlight w:val="white"/>
        </w:rPr>
        <w:t xml:space="preserve"> Manger</w:t>
      </w:r>
    </w:p>
    <w:p w14:paraId="26FA3D54" w14:textId="77777777" w:rsidR="00170039" w:rsidRDefault="00170039" w:rsidP="00170039">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(CSG, 2017)</w:t>
      </w:r>
    </w:p>
    <w:p w14:paraId="690F77C9" w14:textId="77777777" w:rsidR="00170039" w:rsidRDefault="00170039" w:rsidP="00170039">
      <w:pPr>
        <w:pStyle w:val="Heading3"/>
        <w:keepNext w:val="0"/>
        <w:keepLines w:val="0"/>
        <w:spacing w:before="280"/>
        <w:rPr>
          <w:color w:val="000000"/>
        </w:rPr>
      </w:pPr>
      <w:bookmarkStart w:id="4" w:name="_heading=h.2et92p0" w:colFirst="0" w:colLast="0"/>
      <w:bookmarkEnd w:id="4"/>
      <w:r>
        <w:rPr>
          <w:color w:val="000000"/>
        </w:rPr>
        <w:t>III. Evaluation of EU Countries for Expansion</w:t>
      </w:r>
    </w:p>
    <w:p w14:paraId="117343AC" w14:textId="77777777" w:rsidR="00170039" w:rsidRDefault="00170039" w:rsidP="00170039">
      <w:pPr>
        <w:pStyle w:val="Heading4"/>
        <w:keepNext w:val="0"/>
        <w:keepLines w:val="0"/>
        <w:spacing w:before="240" w:after="40" w:line="360" w:lineRule="auto"/>
        <w:jc w:val="both"/>
        <w:rPr>
          <w:rFonts w:ascii="Times New Roman" w:eastAsia="Times New Roman" w:hAnsi="Times New Roman" w:cs="Times New Roman"/>
          <w:b/>
        </w:rPr>
      </w:pPr>
      <w:bookmarkStart w:id="5" w:name="_heading=h.tyjcwt" w:colFirst="0" w:colLast="0"/>
      <w:bookmarkEnd w:id="5"/>
      <w:r>
        <w:rPr>
          <w:rFonts w:ascii="Times New Roman" w:eastAsia="Times New Roman" w:hAnsi="Times New Roman" w:cs="Times New Roman"/>
          <w:b/>
          <w:color w:val="000000"/>
        </w:rPr>
        <w:t>1. Evaluation of Poland</w:t>
      </w:r>
    </w:p>
    <w:p w14:paraId="0DF7D54F"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evaluation of Poland</w:t>
      </w:r>
    </w:p>
    <w:p w14:paraId="77BEF789"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Poland holds the sixth place when it comes to economy and Poland also has the largest area in central and eastern Europe. A study conducted in the year 2022 estimated that the GDP of Poland would be at 688 billion dollars and the GDP per capita would be around 18269 dollars (World Bank Group, 2022). It is higher than the global average of 10,589 dollars. Poland has a well diverse economy and it showed stability in the time of economic downfall including the financial crisis of 2008 and in the endemic period of 2022. Noticeably Poland's GDP only showed a decrease of just 2.7% during the pandemic period which is the lowest decline compared to all other European Countries. This decline was recovered with a growth rate of 6.9% and in the year 2022 the GDP of Poland grew at a rate of 5.6% however, this growth rate got slow by just 0.2% because of the war of Ukraine and Russia and because of the increasing prices in the market. </w:t>
      </w:r>
    </w:p>
    <w:p w14:paraId="742B39AE"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contexts and cultural profiles.</w:t>
      </w:r>
    </w:p>
    <w:p w14:paraId="3950AC3E"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noticeable features of Polish culture are </w:t>
      </w:r>
      <w:r>
        <w:rPr>
          <w:rFonts w:ascii="Times New Roman" w:eastAsia="Times New Roman" w:hAnsi="Times New Roman" w:cs="Times New Roman"/>
          <w:b/>
          <w:sz w:val="24"/>
          <w:szCs w:val="24"/>
        </w:rPr>
        <w:t>Collectivism,</w:t>
      </w:r>
      <w:r>
        <w:rPr>
          <w:rFonts w:ascii="Times New Roman" w:eastAsia="Times New Roman" w:hAnsi="Times New Roman" w:cs="Times New Roman"/>
          <w:sz w:val="24"/>
          <w:szCs w:val="24"/>
        </w:rPr>
        <w:t xml:space="preserve"> Polish people value the idea of community rather than individualism. The family is an important part of Polish culture. </w:t>
      </w:r>
      <w:r>
        <w:rPr>
          <w:rFonts w:ascii="Times New Roman" w:eastAsia="Times New Roman" w:hAnsi="Times New Roman" w:cs="Times New Roman"/>
          <w:b/>
          <w:sz w:val="24"/>
          <w:szCs w:val="24"/>
        </w:rPr>
        <w:t>Straightforwardness,</w:t>
      </w:r>
      <w:r>
        <w:rPr>
          <w:rFonts w:ascii="Times New Roman" w:eastAsia="Times New Roman" w:hAnsi="Times New Roman" w:cs="Times New Roman"/>
          <w:sz w:val="24"/>
          <w:szCs w:val="24"/>
        </w:rPr>
        <w:t xml:space="preserve"> polish people have a tendency of talking directly and prefer to talk to the point. </w:t>
      </w:r>
      <w:r>
        <w:rPr>
          <w:rFonts w:ascii="Times New Roman" w:eastAsia="Times New Roman" w:hAnsi="Times New Roman" w:cs="Times New Roman"/>
          <w:b/>
          <w:sz w:val="24"/>
          <w:szCs w:val="24"/>
        </w:rPr>
        <w:t>Religion,</w:t>
      </w:r>
      <w:r>
        <w:rPr>
          <w:rFonts w:ascii="Times New Roman" w:eastAsia="Times New Roman" w:hAnsi="Times New Roman" w:cs="Times New Roman"/>
          <w:sz w:val="24"/>
          <w:szCs w:val="24"/>
        </w:rPr>
        <w:t xml:space="preserve"> Poland has always been a Catholic majority and religion is one of the important parts of Polish people's life. </w:t>
      </w:r>
      <w:r>
        <w:rPr>
          <w:rFonts w:ascii="Times New Roman" w:eastAsia="Times New Roman" w:hAnsi="Times New Roman" w:cs="Times New Roman"/>
          <w:b/>
          <w:sz w:val="24"/>
          <w:szCs w:val="24"/>
        </w:rPr>
        <w:t>Geographically,</w:t>
      </w:r>
      <w:r>
        <w:rPr>
          <w:rFonts w:ascii="Times New Roman" w:eastAsia="Times New Roman" w:hAnsi="Times New Roman" w:cs="Times New Roman"/>
          <w:sz w:val="24"/>
          <w:szCs w:val="24"/>
        </w:rPr>
        <w:t xml:space="preserve"> Poland has unique cultures that separate them from other European regions.</w:t>
      </w:r>
    </w:p>
    <w:p w14:paraId="66EC8CE1"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Language considerations and potential risks.</w:t>
      </w:r>
    </w:p>
    <w:p w14:paraId="1BE58316"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Polish population is 38 million people and only around 14 million can communicate in English (</w:t>
      </w:r>
      <w:proofErr w:type="spellStart"/>
      <w:r>
        <w:rPr>
          <w:rFonts w:ascii="Times New Roman" w:eastAsia="Times New Roman" w:hAnsi="Times New Roman" w:cs="Times New Roman"/>
          <w:sz w:val="24"/>
          <w:szCs w:val="24"/>
        </w:rPr>
        <w:t>Polishshirtstore</w:t>
      </w:r>
      <w:proofErr w:type="spellEnd"/>
      <w:r>
        <w:rPr>
          <w:rFonts w:ascii="Times New Roman" w:eastAsia="Times New Roman" w:hAnsi="Times New Roman" w:cs="Times New Roman"/>
          <w:sz w:val="24"/>
          <w:szCs w:val="24"/>
        </w:rPr>
        <w:t xml:space="preserve">, 2024). Needs to prepare for some language barriers and particularly to deal with the Polish government. </w:t>
      </w:r>
      <w:r>
        <w:rPr>
          <w:rFonts w:ascii="Times New Roman" w:eastAsia="Times New Roman" w:hAnsi="Times New Roman" w:cs="Times New Roman"/>
          <w:b/>
          <w:sz w:val="24"/>
          <w:szCs w:val="24"/>
        </w:rPr>
        <w:t>Generational,</w:t>
      </w:r>
      <w:r>
        <w:rPr>
          <w:rFonts w:ascii="Times New Roman" w:eastAsia="Times New Roman" w:hAnsi="Times New Roman" w:cs="Times New Roman"/>
          <w:sz w:val="24"/>
          <w:szCs w:val="24"/>
        </w:rPr>
        <w:t xml:space="preserve"> the older generation who were taught Russian in the early </w:t>
      </w:r>
      <w:r>
        <w:rPr>
          <w:rFonts w:ascii="Times New Roman" w:eastAsia="Times New Roman" w:hAnsi="Times New Roman" w:cs="Times New Roman"/>
          <w:sz w:val="24"/>
          <w:szCs w:val="24"/>
        </w:rPr>
        <w:lastRenderedPageBreak/>
        <w:t>days under the Soviet rule over Poland and may be reluctant to learn English (</w:t>
      </w:r>
      <w:proofErr w:type="spellStart"/>
      <w:r>
        <w:rPr>
          <w:rFonts w:ascii="Times New Roman" w:eastAsia="Times New Roman" w:hAnsi="Times New Roman" w:cs="Times New Roman"/>
          <w:color w:val="222222"/>
          <w:sz w:val="24"/>
          <w:szCs w:val="24"/>
          <w:highlight w:val="white"/>
        </w:rPr>
        <w:t>Klimova</w:t>
      </w:r>
      <w:proofErr w:type="spell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Business communication,</w:t>
      </w:r>
      <w:r>
        <w:rPr>
          <w:rFonts w:ascii="Times New Roman" w:eastAsia="Times New Roman" w:hAnsi="Times New Roman" w:cs="Times New Roman"/>
          <w:sz w:val="24"/>
          <w:szCs w:val="24"/>
        </w:rPr>
        <w:t xml:space="preserve"> the Polish government has made it mandatory to communicate by the Polish language even though it is a multinational business and prefers to communicate in English. </w:t>
      </w:r>
      <w:r>
        <w:rPr>
          <w:rFonts w:ascii="Times New Roman" w:eastAsia="Times New Roman" w:hAnsi="Times New Roman" w:cs="Times New Roman"/>
          <w:b/>
          <w:sz w:val="24"/>
          <w:szCs w:val="24"/>
        </w:rPr>
        <w:t xml:space="preserve">Customer trust, </w:t>
      </w:r>
      <w:r>
        <w:rPr>
          <w:rFonts w:ascii="Times New Roman" w:eastAsia="Times New Roman" w:hAnsi="Times New Roman" w:cs="Times New Roman"/>
          <w:sz w:val="24"/>
          <w:szCs w:val="24"/>
        </w:rPr>
        <w:t>some of the customers may be reluctant to communicate in English and prefer the Polish language which can be created in various issues within the management, the local employees, and the local customer (</w:t>
      </w:r>
      <w:r>
        <w:rPr>
          <w:rFonts w:ascii="Times New Roman" w:eastAsia="Times New Roman" w:hAnsi="Times New Roman" w:cs="Times New Roman"/>
          <w:color w:val="222222"/>
          <w:sz w:val="24"/>
          <w:szCs w:val="24"/>
          <w:highlight w:val="white"/>
        </w:rPr>
        <w:t xml:space="preserve">Aslam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w:t>
      </w:r>
    </w:p>
    <w:p w14:paraId="4EE29352"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Labour market and workforce diversity.</w:t>
      </w:r>
    </w:p>
    <w:p w14:paraId="653A90B2"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labour market in Poland is quite strong and it has low unemployment and a higher wage. </w:t>
      </w:r>
      <w:r>
        <w:rPr>
          <w:rFonts w:ascii="Times New Roman" w:eastAsia="Times New Roman" w:hAnsi="Times New Roman" w:cs="Times New Roman"/>
          <w:b/>
          <w:sz w:val="24"/>
          <w:szCs w:val="24"/>
        </w:rPr>
        <w:t>Unemployment</w:t>
      </w:r>
      <w:r>
        <w:rPr>
          <w:rFonts w:ascii="Times New Roman" w:eastAsia="Times New Roman" w:hAnsi="Times New Roman" w:cs="Times New Roman"/>
          <w:sz w:val="24"/>
          <w:szCs w:val="24"/>
        </w:rPr>
        <w:t>, in the year 2023 the unemployment rate in Poland was around 2.8% and it is the third lowest unemployment rate in the European Union after the Czech Republic and Malta (</w:t>
      </w:r>
      <w:proofErr w:type="spellStart"/>
      <w:r>
        <w:rPr>
          <w:rFonts w:ascii="Times New Roman" w:eastAsia="Times New Roman" w:hAnsi="Times New Roman" w:cs="Times New Roman"/>
          <w:color w:val="222222"/>
          <w:sz w:val="24"/>
          <w:szCs w:val="24"/>
          <w:highlight w:val="white"/>
        </w:rPr>
        <w:t>Kozicki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Gornikiewicz</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Wages,</w:t>
      </w:r>
      <w:r>
        <w:rPr>
          <w:rFonts w:ascii="Times New Roman" w:eastAsia="Times New Roman" w:hAnsi="Times New Roman" w:cs="Times New Roman"/>
          <w:sz w:val="24"/>
          <w:szCs w:val="24"/>
        </w:rPr>
        <w:t xml:space="preserve"> average salary and veg have grown slowly and continuously; it has increased with 9.6% in December 2023. However, higher inflation hit the labour market of Poland and the overall growth of the year 2023 was around 1.1%. </w:t>
      </w:r>
      <w:r>
        <w:rPr>
          <w:rFonts w:ascii="Times New Roman" w:eastAsia="Times New Roman" w:hAnsi="Times New Roman" w:cs="Times New Roman"/>
          <w:b/>
          <w:sz w:val="24"/>
          <w:szCs w:val="24"/>
        </w:rPr>
        <w:t xml:space="preserve">Employment rate, </w:t>
      </w:r>
      <w:r>
        <w:rPr>
          <w:rFonts w:ascii="Times New Roman" w:eastAsia="Times New Roman" w:hAnsi="Times New Roman" w:cs="Times New Roman"/>
          <w:sz w:val="24"/>
          <w:szCs w:val="24"/>
        </w:rPr>
        <w:t>the employment rate of Poland has increased regularly and continuously from the year 2002 75.4% in the year 2021. Also, the participation of aged people in the labour force has also increased from the 1990s.</w:t>
      </w:r>
    </w:p>
    <w:p w14:paraId="12CDE9B0" w14:textId="77777777" w:rsidR="00170039" w:rsidRDefault="00170039" w:rsidP="001700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22E1C1" wp14:editId="0D3B5D6B">
            <wp:extent cx="5943600" cy="345757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b="16166"/>
                    <a:stretch>
                      <a:fillRect/>
                    </a:stretch>
                  </pic:blipFill>
                  <pic:spPr>
                    <a:xfrm>
                      <a:off x="0" y="0"/>
                      <a:ext cx="5943600" cy="3457575"/>
                    </a:xfrm>
                    <a:prstGeom prst="rect">
                      <a:avLst/>
                    </a:prstGeom>
                    <a:ln w="25400">
                      <a:solidFill>
                        <a:srgbClr val="000000"/>
                      </a:solidFill>
                      <a:prstDash val="solid"/>
                    </a:ln>
                  </pic:spPr>
                </pic:pic>
              </a:graphicData>
            </a:graphic>
          </wp:inline>
        </w:drawing>
      </w:r>
    </w:p>
    <w:p w14:paraId="008AC36F" w14:textId="77777777" w:rsidR="00170039" w:rsidRDefault="00170039" w:rsidP="001700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Figure: Labour Market</w:t>
      </w:r>
    </w:p>
    <w:p w14:paraId="6678192B" w14:textId="77777777" w:rsidR="00170039" w:rsidRDefault="00170039" w:rsidP="001700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(Eurostat, 2021)</w:t>
      </w:r>
    </w:p>
    <w:p w14:paraId="286A6808" w14:textId="77777777" w:rsidR="00170039" w:rsidRDefault="00170039" w:rsidP="00170039">
      <w:pPr>
        <w:pStyle w:val="Heading3"/>
      </w:pPr>
      <w:bookmarkStart w:id="6" w:name="_heading=h.3dy6vkm" w:colFirst="0" w:colLast="0"/>
      <w:bookmarkEnd w:id="6"/>
      <w:r>
        <w:t>Cultural Differences Analysis</w:t>
      </w:r>
    </w:p>
    <w:p w14:paraId="1525BEF2"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Application of Hofstede’s cultural dimensions.</w:t>
      </w:r>
    </w:p>
    <w:p w14:paraId="641AFAB1"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14:anchorId="397B7D1B" wp14:editId="517B473B">
            <wp:extent cx="5943600" cy="23622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943600" cy="2362200"/>
                    </a:xfrm>
                    <a:prstGeom prst="rect">
                      <a:avLst/>
                    </a:prstGeom>
                    <a:ln/>
                  </pic:spPr>
                </pic:pic>
              </a:graphicData>
            </a:graphic>
          </wp:inline>
        </w:drawing>
      </w:r>
    </w:p>
    <w:p w14:paraId="7A103BA7" w14:textId="77777777" w:rsidR="00170039" w:rsidRDefault="00170039" w:rsidP="001700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w:t>
      </w:r>
    </w:p>
    <w:p w14:paraId="5BCD7053" w14:textId="77777777" w:rsidR="00170039" w:rsidRDefault="00170039" w:rsidP="001700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(The culture factor, 2024)</w:t>
      </w:r>
    </w:p>
    <w:p w14:paraId="735B0753"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Poland has a score of 68 in the power distance which represents that Poland has a society which means that people accept hierarchy order and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needs to adapt to this practice and shape their culture according to this society. Poland has scored 47 in individualism which represents that Poland has a moderate rate in individualism (The culture factor, 2024). Poland scored 64 when it comes to motivation towards achievements and success. It can help to better understand the society and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needs to introduce your sister to the employees so that they work efficiently. Poland scored 93 in avoidance of uncertainty which represents that Poland has a strong belief system and is reluctant to change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needed to adapt to this culture. In the long-term orientation domain Poland scored 49 which means it does not have a strong preference in long term orientation activity. In the indulgence domain Poland score 29 and train need to add up to this practice.</w:t>
      </w:r>
    </w:p>
    <w:p w14:paraId="0634FFEE"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Analysis of Polish business culture and practices</w:t>
      </w:r>
    </w:p>
    <w:p w14:paraId="3A4AFBD8"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Polish business culture has some noticeable characteristics such as formality, hierarchy, and the emphasis over the need of building relationships. </w:t>
      </w:r>
      <w:r>
        <w:rPr>
          <w:rFonts w:ascii="Times New Roman" w:eastAsia="Times New Roman" w:hAnsi="Times New Roman" w:cs="Times New Roman"/>
          <w:b/>
          <w:sz w:val="24"/>
          <w:szCs w:val="24"/>
        </w:rPr>
        <w:t>Formalism,</w:t>
      </w:r>
      <w:r>
        <w:rPr>
          <w:rFonts w:ascii="Times New Roman" w:eastAsia="Times New Roman" w:hAnsi="Times New Roman" w:cs="Times New Roman"/>
          <w:sz w:val="24"/>
          <w:szCs w:val="24"/>
        </w:rPr>
        <w:t xml:space="preserve"> Polish people tend to keep a formal and professional touch in the interactions when they are meeting with a client or a superior.  </w:t>
      </w:r>
      <w:r>
        <w:rPr>
          <w:rFonts w:ascii="Times New Roman" w:eastAsia="Times New Roman" w:hAnsi="Times New Roman" w:cs="Times New Roman"/>
          <w:b/>
          <w:sz w:val="24"/>
          <w:szCs w:val="24"/>
        </w:rPr>
        <w:t>Hierarchy,</w:t>
      </w:r>
      <w:r>
        <w:rPr>
          <w:rFonts w:ascii="Times New Roman" w:eastAsia="Times New Roman" w:hAnsi="Times New Roman" w:cs="Times New Roman"/>
          <w:sz w:val="24"/>
          <w:szCs w:val="24"/>
        </w:rPr>
        <w:t xml:space="preserve"> the business culture of Poland has an idea of hierarchy and seniority when it comes to negotiation (</w:t>
      </w:r>
      <w:proofErr w:type="spellStart"/>
      <w:r>
        <w:rPr>
          <w:rFonts w:ascii="Times New Roman" w:eastAsia="Times New Roman" w:hAnsi="Times New Roman" w:cs="Times New Roman"/>
          <w:color w:val="222222"/>
          <w:sz w:val="24"/>
          <w:szCs w:val="24"/>
          <w:highlight w:val="white"/>
        </w:rPr>
        <w:t>Bajdor</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Pawełoszek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Fidlerova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relationships,</w:t>
      </w:r>
      <w:r>
        <w:rPr>
          <w:rFonts w:ascii="Times New Roman" w:eastAsia="Times New Roman" w:hAnsi="Times New Roman" w:cs="Times New Roman"/>
          <w:sz w:val="24"/>
          <w:szCs w:val="24"/>
        </w:rPr>
        <w:t xml:space="preserve"> the polish people always emphasise in developing personal relationships within the business and emphasise over developing trust. </w:t>
      </w:r>
    </w:p>
    <w:p w14:paraId="69AC51A7" w14:textId="77777777" w:rsidR="00170039" w:rsidRDefault="00170039" w:rsidP="001700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 Barriers</w:t>
      </w:r>
    </w:p>
    <w:p w14:paraId="12C558C0"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barriers do exist in Poland that can hamper the expansion of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these barriers includes; language barriers, most of the people do not understand the English language and prefer to communicate with the local language which can be a setback for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w:t>
      </w:r>
      <w:r>
        <w:rPr>
          <w:rFonts w:ascii="Times New Roman" w:eastAsia="Times New Roman" w:hAnsi="Times New Roman" w:cs="Times New Roman"/>
          <w:color w:val="222222"/>
          <w:sz w:val="24"/>
          <w:szCs w:val="24"/>
          <w:highlight w:val="white"/>
        </w:rPr>
        <w:t xml:space="preserve">Ober, and </w:t>
      </w:r>
      <w:proofErr w:type="spellStart"/>
      <w:r>
        <w:rPr>
          <w:rFonts w:ascii="Times New Roman" w:eastAsia="Times New Roman" w:hAnsi="Times New Roman" w:cs="Times New Roman"/>
          <w:color w:val="222222"/>
          <w:sz w:val="24"/>
          <w:szCs w:val="24"/>
          <w:highlight w:val="white"/>
        </w:rPr>
        <w:t>Kochmańska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cultural barriers,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can find it difficult to adjust in the way Poland functions and need to give time to the process for a better understanding of people so that they can be more aligned with the local culture. Communication barriers can significantly impact the operation and productivity of the business and there are various strategies that can be undertaken to mitigate these issues such as maintaining a positive attitude and choosing the right communication method. </w:t>
      </w:r>
    </w:p>
    <w:p w14:paraId="37EA7280" w14:textId="77777777" w:rsidR="00170039" w:rsidRDefault="00170039" w:rsidP="00170039">
      <w:pPr>
        <w:pStyle w:val="Heading4"/>
        <w:keepNext w:val="0"/>
        <w:keepLines w:val="0"/>
        <w:spacing w:before="240" w:after="40" w:line="360" w:lineRule="auto"/>
        <w:jc w:val="both"/>
        <w:rPr>
          <w:rFonts w:ascii="Times New Roman" w:eastAsia="Times New Roman" w:hAnsi="Times New Roman" w:cs="Times New Roman"/>
          <w:b/>
          <w:color w:val="000000"/>
        </w:rPr>
      </w:pPr>
      <w:bookmarkStart w:id="7" w:name="_heading=h.1t3h5sf" w:colFirst="0" w:colLast="0"/>
      <w:bookmarkEnd w:id="7"/>
      <w:r>
        <w:rPr>
          <w:rFonts w:ascii="Times New Roman" w:eastAsia="Times New Roman" w:hAnsi="Times New Roman" w:cs="Times New Roman"/>
          <w:b/>
          <w:color w:val="000000"/>
        </w:rPr>
        <w:t xml:space="preserve">2. Evaluation of Another EU Country: Czech Republic </w:t>
      </w:r>
    </w:p>
    <w:p w14:paraId="38376D8B" w14:textId="77777777" w:rsidR="00170039" w:rsidRDefault="00170039" w:rsidP="001700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Country Facts</w:t>
      </w:r>
    </w:p>
    <w:p w14:paraId="41724D8E"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overview and market potential in the Czech Republic.</w:t>
      </w:r>
    </w:p>
    <w:p w14:paraId="5916152E"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economic aspect the Czech Republic is very strong and has a low unemployment rate however, the economic growth shows a decline because of the Ukraine war and the growth decline to just 0.2% (</w:t>
      </w:r>
      <w:r>
        <w:rPr>
          <w:rFonts w:ascii="Times New Roman" w:eastAsia="Times New Roman" w:hAnsi="Times New Roman" w:cs="Times New Roman"/>
          <w:color w:val="222222"/>
          <w:sz w:val="24"/>
          <w:szCs w:val="24"/>
          <w:highlight w:val="white"/>
        </w:rPr>
        <w:t xml:space="preserve">Hoke, and </w:t>
      </w:r>
      <w:proofErr w:type="spellStart"/>
      <w:r>
        <w:rPr>
          <w:rFonts w:ascii="Times New Roman" w:eastAsia="Times New Roman" w:hAnsi="Times New Roman" w:cs="Times New Roman"/>
          <w:color w:val="222222"/>
          <w:sz w:val="24"/>
          <w:szCs w:val="24"/>
          <w:highlight w:val="white"/>
        </w:rPr>
        <w:t>Tomaštík</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Some key indicators of the Czech Republic's economy; the GDP is estimated to grow by 1.2% in the year 2024. Another noticeable change is the inflation in the Czech Republic is gradually decreasing and now it is around 3.5%. The GDP of the Czech </w:t>
      </w:r>
      <w:r>
        <w:rPr>
          <w:rFonts w:ascii="Times New Roman" w:eastAsia="Times New Roman" w:hAnsi="Times New Roman" w:cs="Times New Roman"/>
          <w:sz w:val="24"/>
          <w:szCs w:val="24"/>
        </w:rPr>
        <w:lastRenderedPageBreak/>
        <w:t>Republic is expected to reach 334.83 billion US dollars in 2024 the GDP per capita of the Czech Republic is around 26825 US dollars.</w:t>
      </w:r>
    </w:p>
    <w:p w14:paraId="3F376253"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Language considerations and potential risks.</w:t>
      </w:r>
    </w:p>
    <w:p w14:paraId="4AC3D11C"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potential language related issues that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can face in the Czech republic are that only 16% of the population have advanced level of command over the English language and most common English language level is B1 this factor can hamper the company's ability to interact on a daily basis with the local customers (</w:t>
      </w:r>
      <w:proofErr w:type="spellStart"/>
      <w:r>
        <w:rPr>
          <w:rFonts w:ascii="Times New Roman" w:eastAsia="Times New Roman" w:hAnsi="Times New Roman" w:cs="Times New Roman"/>
          <w:color w:val="222222"/>
          <w:sz w:val="24"/>
          <w:szCs w:val="24"/>
          <w:highlight w:val="white"/>
        </w:rPr>
        <w:t>Baqués</w:t>
      </w:r>
      <w:proofErr w:type="spellEnd"/>
      <w:r>
        <w:rPr>
          <w:rFonts w:ascii="Times New Roman" w:eastAsia="Times New Roman" w:hAnsi="Times New Roman" w:cs="Times New Roman"/>
          <w:color w:val="222222"/>
          <w:sz w:val="24"/>
          <w:szCs w:val="24"/>
          <w:highlight w:val="white"/>
        </w:rPr>
        <w:t>-Quesada, and Colom-</w:t>
      </w:r>
      <w:proofErr w:type="spellStart"/>
      <w:r>
        <w:rPr>
          <w:rFonts w:ascii="Times New Roman" w:eastAsia="Times New Roman" w:hAnsi="Times New Roman" w:cs="Times New Roman"/>
          <w:color w:val="222222"/>
          <w:sz w:val="24"/>
          <w:szCs w:val="24"/>
          <w:highlight w:val="white"/>
        </w:rPr>
        <w:t>Piella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Which can be mitigated by hiring the local people in the front line of the business framework who fluently connect with the local customer. </w:t>
      </w:r>
    </w:p>
    <w:p w14:paraId="5539F989"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Labour market and workforce diversity.</w:t>
      </w:r>
    </w:p>
    <w:p w14:paraId="2C26D8DC"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Unemployment, </w:t>
      </w:r>
      <w:r>
        <w:rPr>
          <w:rFonts w:ascii="Times New Roman" w:eastAsia="Times New Roman" w:hAnsi="Times New Roman" w:cs="Times New Roman"/>
          <w:sz w:val="24"/>
          <w:szCs w:val="24"/>
        </w:rPr>
        <w:t xml:space="preserve">the unemployment rate in the Czech Republic was around 2.59% in the year 2023 which shows that the Czech public has a stable employment situation. </w:t>
      </w:r>
      <w:r>
        <w:rPr>
          <w:rFonts w:ascii="Times New Roman" w:eastAsia="Times New Roman" w:hAnsi="Times New Roman" w:cs="Times New Roman"/>
          <w:b/>
          <w:sz w:val="24"/>
          <w:szCs w:val="24"/>
        </w:rPr>
        <w:t>Minimum wage,</w:t>
      </w:r>
      <w:r>
        <w:rPr>
          <w:rFonts w:ascii="Times New Roman" w:eastAsia="Times New Roman" w:hAnsi="Times New Roman" w:cs="Times New Roman"/>
          <w:sz w:val="24"/>
          <w:szCs w:val="24"/>
        </w:rPr>
        <w:t xml:space="preserve"> The Czech Republic has a minimum wage of 765 Euro a month which is comparatively lower than other </w:t>
      </w:r>
      <w:proofErr w:type="spellStart"/>
      <w:r>
        <w:rPr>
          <w:rFonts w:ascii="Times New Roman" w:eastAsia="Times New Roman" w:hAnsi="Times New Roman" w:cs="Times New Roman"/>
          <w:sz w:val="24"/>
          <w:szCs w:val="24"/>
        </w:rPr>
        <w:t>european</w:t>
      </w:r>
      <w:proofErr w:type="spellEnd"/>
      <w:r>
        <w:rPr>
          <w:rFonts w:ascii="Times New Roman" w:eastAsia="Times New Roman" w:hAnsi="Times New Roman" w:cs="Times New Roman"/>
          <w:sz w:val="24"/>
          <w:szCs w:val="24"/>
        </w:rPr>
        <w:t xml:space="preserve"> countries (</w:t>
      </w:r>
      <w:proofErr w:type="spellStart"/>
      <w:r>
        <w:rPr>
          <w:rFonts w:ascii="Times New Roman" w:eastAsia="Times New Roman" w:hAnsi="Times New Roman" w:cs="Times New Roman"/>
          <w:color w:val="222222"/>
          <w:sz w:val="24"/>
          <w:szCs w:val="24"/>
          <w:highlight w:val="white"/>
        </w:rPr>
        <w:t>Malá</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Čabla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Employment rate,</w:t>
      </w:r>
      <w:r>
        <w:rPr>
          <w:rFonts w:ascii="Times New Roman" w:eastAsia="Times New Roman" w:hAnsi="Times New Roman" w:cs="Times New Roman"/>
          <w:sz w:val="24"/>
          <w:szCs w:val="24"/>
        </w:rPr>
        <w:t xml:space="preserve"> the Czech Republic has an employment rate of 75.4% and the growth of people who are aged within the 15 to 64 years increased by 0.2% in 2023. These are clear indications that the Czech Republic has a good employee force and a low minimum wage.</w:t>
      </w:r>
    </w:p>
    <w:p w14:paraId="695A2C76" w14:textId="77777777" w:rsidR="00170039" w:rsidRDefault="00170039" w:rsidP="001700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Cultural Differences Analysis</w:t>
      </w:r>
    </w:p>
    <w:p w14:paraId="4368A214"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Application of Hofstede’s cultural dimensions.</w:t>
      </w:r>
    </w:p>
    <w:p w14:paraId="201EB2BB" w14:textId="77777777" w:rsidR="00170039" w:rsidRDefault="00170039" w:rsidP="00170039">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lastRenderedPageBreak/>
        <w:drawing>
          <wp:inline distT="114300" distB="114300" distL="114300" distR="114300" wp14:anchorId="016874C9" wp14:editId="1F54E809">
            <wp:extent cx="5943600" cy="21971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2197100"/>
                    </a:xfrm>
                    <a:prstGeom prst="rect">
                      <a:avLst/>
                    </a:prstGeom>
                    <a:ln/>
                  </pic:spPr>
                </pic:pic>
              </a:graphicData>
            </a:graphic>
          </wp:inline>
        </w:drawing>
      </w:r>
    </w:p>
    <w:p w14:paraId="54BB8520" w14:textId="77777777" w:rsidR="00170039" w:rsidRDefault="00170039" w:rsidP="001700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w:t>
      </w:r>
    </w:p>
    <w:p w14:paraId="38EF0A9F" w14:textId="77777777" w:rsidR="00170039" w:rsidRDefault="00170039" w:rsidP="001700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(The culture factor, 2024)</w:t>
      </w:r>
    </w:p>
    <w:p w14:paraId="4577421D"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Czech Republic scores 57 in the power distance dimension which represents that this society also believes in a hierarchical society and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needs to implement this culture within the management practice. In the individualism domain the Czech Republic has a score of 70 which represents that it is a very individualist society that means this society prefers individual achievements over social and collective achievements.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needs to adapt to this practice and successfully implement within their practice (The culture factor, 2024). The Czech Republic also has a moderate number of 57 in the motivation towards achievement domain which represents that the public is a consensus-oriented society where it is considered that the quality of life is a representation of success. The Czech Republic also scored 74 in the uncertainty avoidance aspect which represents that Czech Republic also follows rigid belief and is reluctant to change its behaviour and belief. In the long-term orientation aspect take a score 51 and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need to use this aspect effectively in their management practice. At last, in the indulgence domain the Czech Republic scores 29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needs to use this domain effectively and shape their management practice accordingly.</w:t>
      </w:r>
    </w:p>
    <w:p w14:paraId="0B302FE6" w14:textId="77777777" w:rsidR="00170039" w:rsidRDefault="00170039" w:rsidP="00170039">
      <w:pPr>
        <w:spacing w:before="240" w:after="240" w:line="360" w:lineRule="auto"/>
        <w:ind w:left="720"/>
        <w:jc w:val="both"/>
        <w:rPr>
          <w:rFonts w:ascii="Times New Roman" w:eastAsia="Times New Roman" w:hAnsi="Times New Roman" w:cs="Times New Roman"/>
          <w:sz w:val="24"/>
          <w:szCs w:val="24"/>
        </w:rPr>
      </w:pPr>
    </w:p>
    <w:p w14:paraId="52AA4A78" w14:textId="77777777" w:rsidR="00170039" w:rsidRDefault="00170039" w:rsidP="001700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 Barriers</w:t>
      </w:r>
    </w:p>
    <w:p w14:paraId="69F7B51C"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Czech Republic Government has announced Czech as their official language and this language is spoken by over 11 million native speakers and there are nearly 50% of Czech Republic citizens who can speak a moderate level of English (</w:t>
      </w:r>
      <w:proofErr w:type="spellStart"/>
      <w:r>
        <w:rPr>
          <w:rFonts w:ascii="Times New Roman" w:eastAsia="Times New Roman" w:hAnsi="Times New Roman" w:cs="Times New Roman"/>
          <w:color w:val="222222"/>
          <w:sz w:val="24"/>
          <w:szCs w:val="24"/>
          <w:highlight w:val="white"/>
        </w:rPr>
        <w:t>Chlup</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However, it can still be seen that there are many speakers who do not understand English. Which can bring serious issues for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to effectively communicate with the local community. However, there are some strategic steps that can be undertaken by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to mitigate this issue such as inclusion of people from the local community and language training. </w:t>
      </w:r>
    </w:p>
    <w:p w14:paraId="5EEBD301" w14:textId="77777777" w:rsidR="00170039" w:rsidRDefault="00170039" w:rsidP="00170039">
      <w:pPr>
        <w:pStyle w:val="Heading3"/>
        <w:keepNext w:val="0"/>
        <w:keepLines w:val="0"/>
        <w:spacing w:before="280"/>
        <w:rPr>
          <w:color w:val="000000"/>
        </w:rPr>
      </w:pPr>
      <w:bookmarkStart w:id="8" w:name="_heading=h.4d34og8" w:colFirst="0" w:colLast="0"/>
      <w:bookmarkEnd w:id="8"/>
      <w:r>
        <w:rPr>
          <w:color w:val="000000"/>
        </w:rPr>
        <w:t xml:space="preserve">IV. Recommendations </w:t>
      </w:r>
    </w:p>
    <w:p w14:paraId="180AB36B" w14:textId="77777777" w:rsidR="00170039" w:rsidRDefault="00170039" w:rsidP="00170039">
      <w:pPr>
        <w:pStyle w:val="Heading3"/>
        <w:keepNext w:val="0"/>
        <w:keepLines w:val="0"/>
        <w:spacing w:before="280"/>
      </w:pPr>
      <w:bookmarkStart w:id="9" w:name="_heading=h.2s8eyo1" w:colFirst="0" w:colLast="0"/>
      <w:bookmarkEnd w:id="9"/>
      <w:r>
        <w:t>Recommended Country for Expansion</w:t>
      </w:r>
    </w:p>
    <w:p w14:paraId="6D91D27B" w14:textId="77777777" w:rsidR="00170039" w:rsidRDefault="00170039" w:rsidP="001700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Poland and Czech Republic both have a low unemployment rate and strong and stable economy </w:t>
      </w:r>
      <w:proofErr w:type="spellStart"/>
      <w:r>
        <w:rPr>
          <w:rFonts w:ascii="Times New Roman" w:eastAsia="Times New Roman" w:hAnsi="Times New Roman" w:cs="Times New Roman"/>
          <w:sz w:val="24"/>
          <w:szCs w:val="24"/>
        </w:rPr>
        <w:t>altho</w:t>
      </w:r>
      <w:proofErr w:type="spellEnd"/>
      <w:r>
        <w:rPr>
          <w:rFonts w:ascii="Times New Roman" w:eastAsia="Times New Roman" w:hAnsi="Times New Roman" w:cs="Times New Roman"/>
          <w:sz w:val="24"/>
          <w:szCs w:val="24"/>
        </w:rPr>
        <w:t xml:space="preserve"> both the country faced economic downfall in the year 2033 because of the war between Russia and Ukraine however, it is expected that these countries will overcome these issues in the year 2024 (</w:t>
      </w:r>
      <w:proofErr w:type="spellStart"/>
      <w:r>
        <w:rPr>
          <w:rFonts w:ascii="Times New Roman" w:eastAsia="Times New Roman" w:hAnsi="Times New Roman" w:cs="Times New Roman"/>
          <w:color w:val="222222"/>
          <w:sz w:val="24"/>
          <w:szCs w:val="24"/>
          <w:highlight w:val="white"/>
        </w:rPr>
        <w:t>Klicperova</w:t>
      </w:r>
      <w:proofErr w:type="spellEnd"/>
      <w:r>
        <w:rPr>
          <w:rFonts w:ascii="Times New Roman" w:eastAsia="Times New Roman" w:hAnsi="Times New Roman" w:cs="Times New Roman"/>
          <w:color w:val="222222"/>
          <w:sz w:val="24"/>
          <w:szCs w:val="24"/>
          <w:highlight w:val="white"/>
        </w:rPr>
        <w:t>‐Baker, and Urban, 2023)</w:t>
      </w:r>
      <w:r>
        <w:rPr>
          <w:rFonts w:ascii="Times New Roman" w:eastAsia="Times New Roman" w:hAnsi="Times New Roman" w:cs="Times New Roman"/>
          <w:sz w:val="24"/>
          <w:szCs w:val="24"/>
        </w:rPr>
        <w:t xml:space="preserve">. Czech Republic and Poland both have a low inflation rate which is a green sign for the organisation to expand the business in those countries. Although Poland has issues such as law and regulation, and corruption,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needs to understand the government regulations properly and be careful about the issues regarding corruption. From the business communication perspective, both countries emphasise direct, straightforward interaction which can help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to understand the people and various other stakeholders better.   because of the difficulty of language and lack of English-speaking customers it is a setback for the organisation. However, there are some strategic ways that can be undertaken to mitigate these issues. Otherwise, both these countries are an opportunity for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to expand their business and achieve their expansion strategy. </w:t>
      </w:r>
    </w:p>
    <w:p w14:paraId="0E44A4E2" w14:textId="77777777" w:rsidR="00170039" w:rsidRDefault="00170039" w:rsidP="001700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strategic steps to identify communication barriers are clear communication and being respectful to the culture. Also providing cultural training to the employees can help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to address communication barriers. Some strategies that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can undertake to implement intercultural communication such as developing intercultural competence among the employees can help different stakeholders of the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 Manger to respect different cultures and the communication through learning different cultures (</w:t>
      </w:r>
      <w:proofErr w:type="spellStart"/>
      <w:r>
        <w:rPr>
          <w:rFonts w:ascii="Times New Roman" w:eastAsia="Times New Roman" w:hAnsi="Times New Roman" w:cs="Times New Roman"/>
          <w:color w:val="222222"/>
          <w:sz w:val="24"/>
          <w:szCs w:val="24"/>
          <w:highlight w:val="white"/>
        </w:rPr>
        <w:t>Zerfass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Language training can also help the employees and managers to better connect with the local culture, prioritising </w:t>
      </w:r>
      <w:r>
        <w:rPr>
          <w:rFonts w:ascii="Times New Roman" w:eastAsia="Times New Roman" w:hAnsi="Times New Roman" w:cs="Times New Roman"/>
          <w:sz w:val="24"/>
          <w:szCs w:val="24"/>
        </w:rPr>
        <w:lastRenderedPageBreak/>
        <w:t xml:space="preserve">diversity can help the management establish a cultural environment within the organisation. They also need to hire from the local community and make promotions focused over the local culture can help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to have a better connection with the citizens of Poland and Czech Republic. </w:t>
      </w:r>
    </w:p>
    <w:p w14:paraId="7A7630AA" w14:textId="77777777" w:rsidR="00170039" w:rsidRDefault="00170039" w:rsidP="00170039">
      <w:pPr>
        <w:pStyle w:val="Heading2"/>
        <w:spacing w:before="280"/>
      </w:pPr>
      <w:bookmarkStart w:id="10" w:name="_heading=h.17dp8vu" w:colFirst="0" w:colLast="0"/>
      <w:bookmarkEnd w:id="10"/>
      <w:r>
        <w:t xml:space="preserve">V. Conclusion </w:t>
      </w:r>
    </w:p>
    <w:p w14:paraId="2335DD4D" w14:textId="77777777" w:rsidR="00170039" w:rsidRDefault="00170039" w:rsidP="0017003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these countries have a strong GDP and lower inflation rate with high employment rate. This shows that both countries have a strong workforce which can help hire people from the local culture which can mitigate the issue of language barriers. As </w:t>
      </w:r>
      <w:proofErr w:type="spell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Manger wants to expand globally and become a well-recognized brand among the globe that sells authentic coffee and freshly prepared food. To achieve this goal </w:t>
      </w:r>
      <w:proofErr w:type="spellStart"/>
      <w:proofErr w:type="gramStart"/>
      <w:r>
        <w:rPr>
          <w:rFonts w:ascii="Times New Roman" w:eastAsia="Times New Roman" w:hAnsi="Times New Roman" w:cs="Times New Roman"/>
          <w:sz w:val="24"/>
          <w:szCs w:val="24"/>
        </w:rPr>
        <w:t>Pret</w:t>
      </w:r>
      <w:proofErr w:type="spellEnd"/>
      <w:r>
        <w:rPr>
          <w:rFonts w:ascii="Times New Roman" w:eastAsia="Times New Roman" w:hAnsi="Times New Roman" w:cs="Times New Roman"/>
          <w:sz w:val="24"/>
          <w:szCs w:val="24"/>
        </w:rPr>
        <w:t xml:space="preserve">  A</w:t>
      </w:r>
      <w:proofErr w:type="gramEnd"/>
      <w:r>
        <w:rPr>
          <w:rFonts w:ascii="Times New Roman" w:eastAsia="Times New Roman" w:hAnsi="Times New Roman" w:cs="Times New Roman"/>
          <w:sz w:val="24"/>
          <w:szCs w:val="24"/>
        </w:rPr>
        <w:t xml:space="preserve"> Manger needs to focus on understanding various cultures of different parts of the globe and effective communication is the key to make that goal into reality. Which is not only true for Poland and the Czech Republic but the need to follow this method of effective communication whenever they are expanding to a new country. They also need to focus over inclusion on people from different cultures as well. </w:t>
      </w:r>
    </w:p>
    <w:p w14:paraId="64778A0B" w14:textId="77777777" w:rsidR="00170039" w:rsidRDefault="00170039" w:rsidP="00170039">
      <w:pPr>
        <w:spacing w:line="360" w:lineRule="auto"/>
        <w:jc w:val="both"/>
        <w:rPr>
          <w:rFonts w:ascii="Times New Roman" w:eastAsia="Times New Roman" w:hAnsi="Times New Roman" w:cs="Times New Roman"/>
          <w:sz w:val="24"/>
          <w:szCs w:val="24"/>
        </w:rPr>
      </w:pPr>
      <w:r>
        <w:br w:type="page"/>
      </w:r>
    </w:p>
    <w:p w14:paraId="58F7B53E" w14:textId="77777777" w:rsidR="00170039" w:rsidRDefault="00170039" w:rsidP="00170039">
      <w:pPr>
        <w:pStyle w:val="Heading2"/>
      </w:pPr>
      <w:bookmarkStart w:id="11" w:name="_heading=h.3rdcrjn" w:colFirst="0" w:colLast="0"/>
      <w:bookmarkEnd w:id="11"/>
      <w:r>
        <w:lastRenderedPageBreak/>
        <w:t>Reference:</w:t>
      </w:r>
    </w:p>
    <w:p w14:paraId="31F0DEEB" w14:textId="77777777" w:rsidR="00170039" w:rsidRDefault="00170039" w:rsidP="001700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Aslam, W., Hussain, A., Farhat, K. and </w:t>
      </w:r>
      <w:proofErr w:type="spellStart"/>
      <w:r>
        <w:rPr>
          <w:rFonts w:ascii="Times New Roman" w:eastAsia="Times New Roman" w:hAnsi="Times New Roman" w:cs="Times New Roman"/>
          <w:color w:val="222222"/>
          <w:sz w:val="24"/>
          <w:szCs w:val="24"/>
          <w:highlight w:val="white"/>
        </w:rPr>
        <w:t>Arif</w:t>
      </w:r>
      <w:proofErr w:type="spellEnd"/>
      <w:r>
        <w:rPr>
          <w:rFonts w:ascii="Times New Roman" w:eastAsia="Times New Roman" w:hAnsi="Times New Roman" w:cs="Times New Roman"/>
          <w:color w:val="222222"/>
          <w:sz w:val="24"/>
          <w:szCs w:val="24"/>
          <w:highlight w:val="white"/>
        </w:rPr>
        <w:t xml:space="preserve">, I., 2020. Underlying factors influencing consumers’ trust and loyalty in E-commerce. </w:t>
      </w:r>
      <w:r>
        <w:rPr>
          <w:rFonts w:ascii="Times New Roman" w:eastAsia="Times New Roman" w:hAnsi="Times New Roman" w:cs="Times New Roman"/>
          <w:i/>
          <w:color w:val="222222"/>
          <w:sz w:val="24"/>
          <w:szCs w:val="24"/>
          <w:highlight w:val="white"/>
        </w:rPr>
        <w:t>Business Perspectives and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 pp.186-204.</w:t>
      </w:r>
    </w:p>
    <w:p w14:paraId="00A4BD95"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Bajdor</w:t>
      </w:r>
      <w:proofErr w:type="spellEnd"/>
      <w:r>
        <w:rPr>
          <w:rFonts w:ascii="Times New Roman" w:eastAsia="Times New Roman" w:hAnsi="Times New Roman" w:cs="Times New Roman"/>
          <w:color w:val="222222"/>
          <w:sz w:val="24"/>
          <w:szCs w:val="24"/>
        </w:rPr>
        <w:t xml:space="preserve">, P., </w:t>
      </w:r>
      <w:proofErr w:type="spellStart"/>
      <w:r>
        <w:rPr>
          <w:rFonts w:ascii="Times New Roman" w:eastAsia="Times New Roman" w:hAnsi="Times New Roman" w:cs="Times New Roman"/>
          <w:color w:val="222222"/>
          <w:sz w:val="24"/>
          <w:szCs w:val="24"/>
        </w:rPr>
        <w:t>Pawełoszek</w:t>
      </w:r>
      <w:proofErr w:type="spellEnd"/>
      <w:r>
        <w:rPr>
          <w:rFonts w:ascii="Times New Roman" w:eastAsia="Times New Roman" w:hAnsi="Times New Roman" w:cs="Times New Roman"/>
          <w:color w:val="222222"/>
          <w:sz w:val="24"/>
          <w:szCs w:val="24"/>
        </w:rPr>
        <w:t xml:space="preserve">, I. and </w:t>
      </w:r>
      <w:proofErr w:type="spellStart"/>
      <w:r>
        <w:rPr>
          <w:rFonts w:ascii="Times New Roman" w:eastAsia="Times New Roman" w:hAnsi="Times New Roman" w:cs="Times New Roman"/>
          <w:color w:val="222222"/>
          <w:sz w:val="24"/>
          <w:szCs w:val="24"/>
        </w:rPr>
        <w:t>Fidlerova</w:t>
      </w:r>
      <w:proofErr w:type="spellEnd"/>
      <w:r>
        <w:rPr>
          <w:rFonts w:ascii="Times New Roman" w:eastAsia="Times New Roman" w:hAnsi="Times New Roman" w:cs="Times New Roman"/>
          <w:color w:val="222222"/>
          <w:sz w:val="24"/>
          <w:szCs w:val="24"/>
        </w:rPr>
        <w:t xml:space="preserve">, H., 2021. Analysis and assessment of sustainable entrepreneurship practices in Polish small and medium enterprises.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 xml:space="preserve">(7), p.3595. </w:t>
      </w:r>
    </w:p>
    <w:p w14:paraId="4B09B94C"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Baqués</w:t>
      </w:r>
      <w:proofErr w:type="spellEnd"/>
      <w:r>
        <w:rPr>
          <w:rFonts w:ascii="Times New Roman" w:eastAsia="Times New Roman" w:hAnsi="Times New Roman" w:cs="Times New Roman"/>
          <w:color w:val="222222"/>
          <w:sz w:val="24"/>
          <w:szCs w:val="24"/>
        </w:rPr>
        <w:t>-Quesada, J. and Colom-</w:t>
      </w:r>
      <w:proofErr w:type="spellStart"/>
      <w:r>
        <w:rPr>
          <w:rFonts w:ascii="Times New Roman" w:eastAsia="Times New Roman" w:hAnsi="Times New Roman" w:cs="Times New Roman"/>
          <w:color w:val="222222"/>
          <w:sz w:val="24"/>
          <w:szCs w:val="24"/>
        </w:rPr>
        <w:t>Piella</w:t>
      </w:r>
      <w:proofErr w:type="spellEnd"/>
      <w:r>
        <w:rPr>
          <w:rFonts w:ascii="Times New Roman" w:eastAsia="Times New Roman" w:hAnsi="Times New Roman" w:cs="Times New Roman"/>
          <w:color w:val="222222"/>
          <w:sz w:val="24"/>
          <w:szCs w:val="24"/>
        </w:rPr>
        <w:t xml:space="preserve">, G., 2021. Russian influence in the Czech Republic as a grey zone case study. </w:t>
      </w:r>
      <w:r>
        <w:rPr>
          <w:rFonts w:ascii="Times New Roman" w:eastAsia="Times New Roman" w:hAnsi="Times New Roman" w:cs="Times New Roman"/>
          <w:i/>
          <w:color w:val="222222"/>
          <w:sz w:val="24"/>
          <w:szCs w:val="24"/>
        </w:rPr>
        <w:t>Politics in Central Europe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17</w:t>
      </w:r>
      <w:r>
        <w:rPr>
          <w:rFonts w:ascii="Times New Roman" w:eastAsia="Times New Roman" w:hAnsi="Times New Roman" w:cs="Times New Roman"/>
          <w:color w:val="222222"/>
          <w:sz w:val="24"/>
          <w:szCs w:val="24"/>
        </w:rPr>
        <w:t xml:space="preserve">(1), pp.29-56. </w:t>
      </w:r>
    </w:p>
    <w:p w14:paraId="4F166CFB" w14:textId="77777777" w:rsidR="00170039" w:rsidRDefault="00170039" w:rsidP="00170039">
      <w:pPr>
        <w:spacing w:after="200" w:line="360" w:lineRule="auto"/>
        <w:jc w:val="both"/>
        <w:rPr>
          <w:rFonts w:ascii="Times New Roman" w:eastAsia="Times New Roman" w:hAnsi="Times New Roman" w:cs="Times New Roman"/>
          <w:color w:val="747F8B"/>
          <w:sz w:val="24"/>
          <w:szCs w:val="24"/>
        </w:rPr>
      </w:pPr>
      <w:r>
        <w:rPr>
          <w:rFonts w:ascii="Times New Roman" w:eastAsia="Times New Roman" w:hAnsi="Times New Roman" w:cs="Times New Roman"/>
          <w:sz w:val="24"/>
          <w:szCs w:val="24"/>
        </w:rPr>
        <w:t xml:space="preserve">Bedingfield, W. (2024). </w:t>
      </w:r>
      <w:r>
        <w:rPr>
          <w:rFonts w:ascii="Times New Roman" w:eastAsia="Times New Roman" w:hAnsi="Times New Roman" w:cs="Times New Roman"/>
          <w:i/>
          <w:sz w:val="24"/>
          <w:szCs w:val="24"/>
        </w:rPr>
        <w:t xml:space="preserve">The rise and fall of </w:t>
      </w:r>
      <w:proofErr w:type="spellStart"/>
      <w:r>
        <w:rPr>
          <w:rFonts w:ascii="Times New Roman" w:eastAsia="Times New Roman" w:hAnsi="Times New Roman" w:cs="Times New Roman"/>
          <w:i/>
          <w:sz w:val="24"/>
          <w:szCs w:val="24"/>
        </w:rPr>
        <w:t>Pret</w:t>
      </w:r>
      <w:proofErr w:type="spellEnd"/>
      <w:r>
        <w:rPr>
          <w:rFonts w:ascii="Times New Roman" w:eastAsia="Times New Roman" w:hAnsi="Times New Roman" w:cs="Times New Roman"/>
          <w:i/>
          <w:sz w:val="24"/>
          <w:szCs w:val="24"/>
        </w:rPr>
        <w:t xml:space="preserve"> a Manger</w:t>
      </w:r>
      <w:r>
        <w:rPr>
          <w:rFonts w:ascii="Times New Roman" w:eastAsia="Times New Roman" w:hAnsi="Times New Roman" w:cs="Times New Roman"/>
          <w:sz w:val="24"/>
          <w:szCs w:val="24"/>
        </w:rPr>
        <w:t xml:space="preserve">. [online] Wired. Available at: </w:t>
      </w:r>
      <w:hyperlink r:id="rId8">
        <w:r>
          <w:rPr>
            <w:rFonts w:ascii="Times New Roman" w:eastAsia="Times New Roman" w:hAnsi="Times New Roman" w:cs="Times New Roman"/>
            <w:color w:val="1155CC"/>
            <w:sz w:val="24"/>
            <w:szCs w:val="24"/>
            <w:u w:val="single"/>
          </w:rPr>
          <w:t>https://www.wired.com/story/pret-barista-subscription-future/</w:t>
        </w:r>
      </w:hyperlink>
      <w:r>
        <w:rPr>
          <w:rFonts w:ascii="Times New Roman" w:eastAsia="Times New Roman" w:hAnsi="Times New Roman" w:cs="Times New Roman"/>
          <w:color w:val="747F8B"/>
          <w:sz w:val="24"/>
          <w:szCs w:val="24"/>
        </w:rPr>
        <w:t xml:space="preserve">. </w:t>
      </w:r>
    </w:p>
    <w:p w14:paraId="2A5FAC5B" w14:textId="77777777" w:rsidR="00170039" w:rsidRDefault="00170039" w:rsidP="00170039">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Chlup</w:t>
      </w:r>
      <w:proofErr w:type="spellEnd"/>
      <w:r>
        <w:rPr>
          <w:rFonts w:ascii="Times New Roman" w:eastAsia="Times New Roman" w:hAnsi="Times New Roman" w:cs="Times New Roman"/>
          <w:color w:val="222222"/>
          <w:sz w:val="24"/>
          <w:szCs w:val="24"/>
          <w:highlight w:val="white"/>
        </w:rPr>
        <w:t xml:space="preserve">, R., 2020. Competing myths of Czech identity. </w:t>
      </w:r>
      <w:r>
        <w:rPr>
          <w:rFonts w:ascii="Times New Roman" w:eastAsia="Times New Roman" w:hAnsi="Times New Roman" w:cs="Times New Roman"/>
          <w:i/>
          <w:color w:val="222222"/>
          <w:sz w:val="24"/>
          <w:szCs w:val="24"/>
          <w:highlight w:val="white"/>
        </w:rPr>
        <w:t>New Perspectives. Interdisciplinary Journal of Central &amp; East European Politics and International Relations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pp.179-204.</w:t>
      </w:r>
    </w:p>
    <w:p w14:paraId="3363EA5D" w14:textId="77777777" w:rsidR="00170039" w:rsidRDefault="00170039" w:rsidP="0017003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CSG (2017). </w:t>
      </w:r>
      <w:r>
        <w:rPr>
          <w:rFonts w:ascii="Times New Roman" w:eastAsia="Times New Roman" w:hAnsi="Times New Roman" w:cs="Times New Roman"/>
          <w:i/>
          <w:color w:val="222222"/>
          <w:sz w:val="24"/>
          <w:szCs w:val="24"/>
        </w:rPr>
        <w:t xml:space="preserve">CSG Snapshot: </w:t>
      </w:r>
      <w:proofErr w:type="spellStart"/>
      <w:r>
        <w:rPr>
          <w:rFonts w:ascii="Times New Roman" w:eastAsia="Times New Roman" w:hAnsi="Times New Roman" w:cs="Times New Roman"/>
          <w:i/>
          <w:color w:val="222222"/>
          <w:sz w:val="24"/>
          <w:szCs w:val="24"/>
        </w:rPr>
        <w:t>Pret</w:t>
      </w:r>
      <w:proofErr w:type="spellEnd"/>
      <w:r>
        <w:rPr>
          <w:rFonts w:ascii="Times New Roman" w:eastAsia="Times New Roman" w:hAnsi="Times New Roman" w:cs="Times New Roman"/>
          <w:i/>
          <w:color w:val="222222"/>
          <w:sz w:val="24"/>
          <w:szCs w:val="24"/>
        </w:rPr>
        <w:t xml:space="preserve"> A Manger (US) - Chain Store Guide</w:t>
      </w:r>
      <w:r>
        <w:rPr>
          <w:rFonts w:ascii="Times New Roman" w:eastAsia="Times New Roman" w:hAnsi="Times New Roman" w:cs="Times New Roman"/>
          <w:color w:val="222222"/>
          <w:sz w:val="24"/>
          <w:szCs w:val="24"/>
        </w:rPr>
        <w:t xml:space="preserve">. [online] Newsroom - Chain Store Guide. Available at: </w:t>
      </w:r>
      <w:hyperlink r:id="rId9">
        <w:r>
          <w:rPr>
            <w:rFonts w:ascii="Times New Roman" w:eastAsia="Times New Roman" w:hAnsi="Times New Roman" w:cs="Times New Roman"/>
            <w:color w:val="1155CC"/>
            <w:sz w:val="24"/>
            <w:szCs w:val="24"/>
            <w:u w:val="single"/>
          </w:rPr>
          <w:t>https://chainstoreguide.com/offthechain/2017/06/csg-snapshot-pret-a-manger-us/</w:t>
        </w:r>
      </w:hyperlink>
      <w:r>
        <w:rPr>
          <w:rFonts w:ascii="Times New Roman" w:eastAsia="Times New Roman" w:hAnsi="Times New Roman" w:cs="Times New Roman"/>
          <w:color w:val="222222"/>
          <w:sz w:val="24"/>
          <w:szCs w:val="24"/>
        </w:rPr>
        <w:t xml:space="preserve">. </w:t>
      </w:r>
    </w:p>
    <w:p w14:paraId="1B22BA51" w14:textId="77777777" w:rsidR="00170039" w:rsidRDefault="00170039" w:rsidP="00170039">
      <w:pPr>
        <w:spacing w:after="200" w:line="360" w:lineRule="auto"/>
        <w:jc w:val="both"/>
        <w:rPr>
          <w:rFonts w:ascii="Times New Roman" w:eastAsia="Times New Roman" w:hAnsi="Times New Roman" w:cs="Times New Roman"/>
          <w:color w:val="747F8B"/>
          <w:sz w:val="24"/>
          <w:szCs w:val="24"/>
        </w:rPr>
      </w:pPr>
      <w:r>
        <w:rPr>
          <w:rFonts w:ascii="Times New Roman" w:eastAsia="Times New Roman" w:hAnsi="Times New Roman" w:cs="Times New Roman"/>
          <w:sz w:val="24"/>
          <w:szCs w:val="24"/>
        </w:rPr>
        <w:t xml:space="preserve">data.worldbank.org. (2022). </w:t>
      </w:r>
      <w:r>
        <w:rPr>
          <w:rFonts w:ascii="Times New Roman" w:eastAsia="Times New Roman" w:hAnsi="Times New Roman" w:cs="Times New Roman"/>
          <w:i/>
          <w:sz w:val="24"/>
          <w:szCs w:val="24"/>
        </w:rPr>
        <w:t>GDP per capita (current US$) - Poland | Data</w:t>
      </w:r>
      <w:r>
        <w:rPr>
          <w:rFonts w:ascii="Times New Roman" w:eastAsia="Times New Roman" w:hAnsi="Times New Roman" w:cs="Times New Roman"/>
          <w:sz w:val="24"/>
          <w:szCs w:val="24"/>
        </w:rPr>
        <w:t xml:space="preserve">. [online] Available at: </w:t>
      </w:r>
      <w:hyperlink r:id="rId10">
        <w:r>
          <w:rPr>
            <w:rFonts w:ascii="Times New Roman" w:eastAsia="Times New Roman" w:hAnsi="Times New Roman" w:cs="Times New Roman"/>
            <w:color w:val="1155CC"/>
            <w:sz w:val="24"/>
            <w:szCs w:val="24"/>
            <w:u w:val="single"/>
          </w:rPr>
          <w:t>https://data.worldbank.org/indicator/NY.GDP.PCAP.CD?locations=PL</w:t>
        </w:r>
      </w:hyperlink>
      <w:r>
        <w:rPr>
          <w:rFonts w:ascii="Times New Roman" w:eastAsia="Times New Roman" w:hAnsi="Times New Roman" w:cs="Times New Roman"/>
          <w:color w:val="747F8B"/>
          <w:sz w:val="24"/>
          <w:szCs w:val="24"/>
        </w:rPr>
        <w:t xml:space="preserve">. </w:t>
      </w:r>
    </w:p>
    <w:p w14:paraId="1E5288AC" w14:textId="77777777" w:rsidR="00170039" w:rsidRDefault="00170039" w:rsidP="00170039">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Eurostat (2021). </w:t>
      </w:r>
      <w:r>
        <w:rPr>
          <w:rFonts w:ascii="Times New Roman" w:eastAsia="Times New Roman" w:hAnsi="Times New Roman" w:cs="Times New Roman"/>
          <w:i/>
          <w:color w:val="222222"/>
          <w:sz w:val="24"/>
          <w:szCs w:val="24"/>
        </w:rPr>
        <w:t>Labour market slack in Q2 2021</w:t>
      </w:r>
      <w:r>
        <w:rPr>
          <w:rFonts w:ascii="Times New Roman" w:eastAsia="Times New Roman" w:hAnsi="Times New Roman" w:cs="Times New Roman"/>
          <w:color w:val="222222"/>
          <w:sz w:val="24"/>
          <w:szCs w:val="24"/>
        </w:rPr>
        <w:t xml:space="preserve">. [online] Europa.eu. Available at: </w:t>
      </w:r>
      <w:hyperlink r:id="rId11">
        <w:r>
          <w:rPr>
            <w:rFonts w:ascii="Times New Roman" w:eastAsia="Times New Roman" w:hAnsi="Times New Roman" w:cs="Times New Roman"/>
            <w:color w:val="1155CC"/>
            <w:sz w:val="24"/>
            <w:szCs w:val="24"/>
            <w:u w:val="single"/>
          </w:rPr>
          <w:t>https://ec.europa.eu/eurostat/web/products-eurostat-news/product/-/asset_publisher/VWJkHuaYvLIN/content/id/13621620/pop_up</w:t>
        </w:r>
      </w:hyperlink>
      <w:r>
        <w:rPr>
          <w:rFonts w:ascii="Times New Roman" w:eastAsia="Times New Roman" w:hAnsi="Times New Roman" w:cs="Times New Roman"/>
          <w:color w:val="222222"/>
          <w:sz w:val="24"/>
          <w:szCs w:val="24"/>
        </w:rPr>
        <w:t xml:space="preserve">  [Accessed 7 Aug. 2024].</w:t>
      </w:r>
    </w:p>
    <w:p w14:paraId="5F5200C1" w14:textId="77777777" w:rsidR="00170039" w:rsidRDefault="00170039" w:rsidP="00170039">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Kalogiannidis</w:t>
      </w:r>
      <w:proofErr w:type="spellEnd"/>
      <w:r>
        <w:rPr>
          <w:rFonts w:ascii="Times New Roman" w:eastAsia="Times New Roman" w:hAnsi="Times New Roman" w:cs="Times New Roman"/>
          <w:color w:val="222222"/>
          <w:sz w:val="24"/>
          <w:szCs w:val="24"/>
          <w:highlight w:val="white"/>
        </w:rPr>
        <w:t xml:space="preserve">, S., 2020. Impact of effective business communication on employee performance. </w:t>
      </w:r>
      <w:r>
        <w:rPr>
          <w:rFonts w:ascii="Times New Roman" w:eastAsia="Times New Roman" w:hAnsi="Times New Roman" w:cs="Times New Roman"/>
          <w:i/>
          <w:color w:val="222222"/>
          <w:sz w:val="24"/>
          <w:szCs w:val="24"/>
          <w:highlight w:val="white"/>
        </w:rPr>
        <w:t>European Journal of Business and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(6).</w:t>
      </w:r>
    </w:p>
    <w:p w14:paraId="67F3D6E2"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Klicperova</w:t>
      </w:r>
      <w:proofErr w:type="spellEnd"/>
      <w:r>
        <w:rPr>
          <w:rFonts w:ascii="Times New Roman" w:eastAsia="Times New Roman" w:hAnsi="Times New Roman" w:cs="Times New Roman"/>
          <w:color w:val="222222"/>
          <w:sz w:val="24"/>
          <w:szCs w:val="24"/>
        </w:rPr>
        <w:t xml:space="preserve">‐Baker, M. and Urban, M., 2023. Democratic Spirit, Emotions, Help, and Hope during the Russian war against Ukraine: Experience from the Czech Republic. </w:t>
      </w:r>
      <w:r>
        <w:rPr>
          <w:rFonts w:ascii="Times New Roman" w:eastAsia="Times New Roman" w:hAnsi="Times New Roman" w:cs="Times New Roman"/>
          <w:i/>
          <w:color w:val="222222"/>
          <w:sz w:val="24"/>
          <w:szCs w:val="24"/>
        </w:rPr>
        <w:t>Applied Psychology: Health and Well‐Being</w:t>
      </w:r>
      <w:r>
        <w:rPr>
          <w:rFonts w:ascii="Times New Roman" w:eastAsia="Times New Roman" w:hAnsi="Times New Roman" w:cs="Times New Roman"/>
          <w:color w:val="222222"/>
          <w:sz w:val="24"/>
          <w:szCs w:val="24"/>
        </w:rPr>
        <w:t xml:space="preserve">. </w:t>
      </w:r>
    </w:p>
    <w:p w14:paraId="10879617"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Klimova</w:t>
      </w:r>
      <w:proofErr w:type="spellEnd"/>
      <w:r>
        <w:rPr>
          <w:rFonts w:ascii="Times New Roman" w:eastAsia="Times New Roman" w:hAnsi="Times New Roman" w:cs="Times New Roman"/>
          <w:color w:val="222222"/>
          <w:sz w:val="24"/>
          <w:szCs w:val="24"/>
        </w:rPr>
        <w:t xml:space="preserve">, B., </w:t>
      </w:r>
      <w:proofErr w:type="spellStart"/>
      <w:r>
        <w:rPr>
          <w:rFonts w:ascii="Times New Roman" w:eastAsia="Times New Roman" w:hAnsi="Times New Roman" w:cs="Times New Roman"/>
          <w:color w:val="222222"/>
          <w:sz w:val="24"/>
          <w:szCs w:val="24"/>
        </w:rPr>
        <w:t>Pikhart</w:t>
      </w:r>
      <w:proofErr w:type="spellEnd"/>
      <w:r>
        <w:rPr>
          <w:rFonts w:ascii="Times New Roman" w:eastAsia="Times New Roman" w:hAnsi="Times New Roman" w:cs="Times New Roman"/>
          <w:color w:val="222222"/>
          <w:sz w:val="24"/>
          <w:szCs w:val="24"/>
        </w:rPr>
        <w:t xml:space="preserve">, M., </w:t>
      </w:r>
      <w:proofErr w:type="spellStart"/>
      <w:r>
        <w:rPr>
          <w:rFonts w:ascii="Times New Roman" w:eastAsia="Times New Roman" w:hAnsi="Times New Roman" w:cs="Times New Roman"/>
          <w:color w:val="222222"/>
          <w:sz w:val="24"/>
          <w:szCs w:val="24"/>
        </w:rPr>
        <w:t>Cierniak-Emerych</w:t>
      </w:r>
      <w:proofErr w:type="spellEnd"/>
      <w:r>
        <w:rPr>
          <w:rFonts w:ascii="Times New Roman" w:eastAsia="Times New Roman" w:hAnsi="Times New Roman" w:cs="Times New Roman"/>
          <w:color w:val="222222"/>
          <w:sz w:val="24"/>
          <w:szCs w:val="24"/>
        </w:rPr>
        <w:t xml:space="preserve">, A., </w:t>
      </w:r>
      <w:proofErr w:type="spellStart"/>
      <w:r>
        <w:rPr>
          <w:rFonts w:ascii="Times New Roman" w:eastAsia="Times New Roman" w:hAnsi="Times New Roman" w:cs="Times New Roman"/>
          <w:color w:val="222222"/>
          <w:sz w:val="24"/>
          <w:szCs w:val="24"/>
        </w:rPr>
        <w:t>Dziuba</w:t>
      </w:r>
      <w:proofErr w:type="spellEnd"/>
      <w:r>
        <w:rPr>
          <w:rFonts w:ascii="Times New Roman" w:eastAsia="Times New Roman" w:hAnsi="Times New Roman" w:cs="Times New Roman"/>
          <w:color w:val="222222"/>
          <w:sz w:val="24"/>
          <w:szCs w:val="24"/>
        </w:rPr>
        <w:t xml:space="preserve">, S. and </w:t>
      </w:r>
      <w:proofErr w:type="spellStart"/>
      <w:r>
        <w:rPr>
          <w:rFonts w:ascii="Times New Roman" w:eastAsia="Times New Roman" w:hAnsi="Times New Roman" w:cs="Times New Roman"/>
          <w:color w:val="222222"/>
          <w:sz w:val="24"/>
          <w:szCs w:val="24"/>
        </w:rPr>
        <w:t>Firlej</w:t>
      </w:r>
      <w:proofErr w:type="spellEnd"/>
      <w:r>
        <w:rPr>
          <w:rFonts w:ascii="Times New Roman" w:eastAsia="Times New Roman" w:hAnsi="Times New Roman" w:cs="Times New Roman"/>
          <w:color w:val="222222"/>
          <w:sz w:val="24"/>
          <w:szCs w:val="24"/>
        </w:rPr>
        <w:t xml:space="preserve">, K., 2021. A comparative psycholinguistic study on the subjective feelings of well-being outcomes of foreign language </w:t>
      </w:r>
      <w:r>
        <w:rPr>
          <w:rFonts w:ascii="Times New Roman" w:eastAsia="Times New Roman" w:hAnsi="Times New Roman" w:cs="Times New Roman"/>
          <w:color w:val="222222"/>
          <w:sz w:val="24"/>
          <w:szCs w:val="24"/>
        </w:rPr>
        <w:lastRenderedPageBreak/>
        <w:t xml:space="preserve">learning in older adults from the Czech Republic and Poland. </w:t>
      </w:r>
      <w:r>
        <w:rPr>
          <w:rFonts w:ascii="Times New Roman" w:eastAsia="Times New Roman" w:hAnsi="Times New Roman" w:cs="Times New Roman"/>
          <w:i/>
          <w:color w:val="222222"/>
          <w:sz w:val="24"/>
          <w:szCs w:val="24"/>
        </w:rPr>
        <w:t>Frontiers in Psychology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 xml:space="preserve">, p.606083. </w:t>
      </w:r>
    </w:p>
    <w:p w14:paraId="3C9598BE"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Kozicki</w:t>
      </w:r>
      <w:proofErr w:type="spellEnd"/>
      <w:r>
        <w:rPr>
          <w:rFonts w:ascii="Times New Roman" w:eastAsia="Times New Roman" w:hAnsi="Times New Roman" w:cs="Times New Roman"/>
          <w:color w:val="222222"/>
          <w:sz w:val="24"/>
          <w:szCs w:val="24"/>
        </w:rPr>
        <w:t xml:space="preserve">, B. and </w:t>
      </w:r>
      <w:proofErr w:type="spellStart"/>
      <w:r>
        <w:rPr>
          <w:rFonts w:ascii="Times New Roman" w:eastAsia="Times New Roman" w:hAnsi="Times New Roman" w:cs="Times New Roman"/>
          <w:color w:val="222222"/>
          <w:sz w:val="24"/>
          <w:szCs w:val="24"/>
        </w:rPr>
        <w:t>Gornikiewicz</w:t>
      </w:r>
      <w:proofErr w:type="spellEnd"/>
      <w:r>
        <w:rPr>
          <w:rFonts w:ascii="Times New Roman" w:eastAsia="Times New Roman" w:hAnsi="Times New Roman" w:cs="Times New Roman"/>
          <w:color w:val="222222"/>
          <w:sz w:val="24"/>
          <w:szCs w:val="24"/>
        </w:rPr>
        <w:t xml:space="preserve">, M., 2020. Unemployment rate in Poland and USA during COVID-19 pandemic: a case study. </w:t>
      </w:r>
    </w:p>
    <w:p w14:paraId="52118731" w14:textId="77777777" w:rsidR="00170039" w:rsidRDefault="00170039" w:rsidP="001700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M.J., 2021. Joseph Biden's Effective Presidential </w:t>
      </w:r>
      <w:proofErr w:type="spellStart"/>
      <w:proofErr w:type="gramStart"/>
      <w:r>
        <w:rPr>
          <w:rFonts w:ascii="Times New Roman" w:eastAsia="Times New Roman" w:hAnsi="Times New Roman" w:cs="Times New Roman"/>
          <w:color w:val="222222"/>
          <w:sz w:val="24"/>
          <w:szCs w:val="24"/>
          <w:highlight w:val="white"/>
        </w:rPr>
        <w:t>Transition:“</w:t>
      </w:r>
      <w:proofErr w:type="gramEnd"/>
      <w:r>
        <w:rPr>
          <w:rFonts w:ascii="Times New Roman" w:eastAsia="Times New Roman" w:hAnsi="Times New Roman" w:cs="Times New Roman"/>
          <w:color w:val="222222"/>
          <w:sz w:val="24"/>
          <w:szCs w:val="24"/>
          <w:highlight w:val="white"/>
        </w:rPr>
        <w:t>Started</w:t>
      </w:r>
      <w:proofErr w:type="spellEnd"/>
      <w:r>
        <w:rPr>
          <w:rFonts w:ascii="Times New Roman" w:eastAsia="Times New Roman" w:hAnsi="Times New Roman" w:cs="Times New Roman"/>
          <w:color w:val="222222"/>
          <w:sz w:val="24"/>
          <w:szCs w:val="24"/>
          <w:highlight w:val="white"/>
        </w:rPr>
        <w:t xml:space="preserve"> Early, Went Big”. </w:t>
      </w:r>
      <w:r>
        <w:rPr>
          <w:rFonts w:ascii="Times New Roman" w:eastAsia="Times New Roman" w:hAnsi="Times New Roman" w:cs="Times New Roman"/>
          <w:i/>
          <w:color w:val="222222"/>
          <w:sz w:val="24"/>
          <w:szCs w:val="24"/>
          <w:highlight w:val="white"/>
        </w:rPr>
        <w:t>Presidential Studies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(3), pp.582-608.</w:t>
      </w:r>
    </w:p>
    <w:p w14:paraId="057C384C"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Malá</w:t>
      </w:r>
      <w:proofErr w:type="spellEnd"/>
      <w:r>
        <w:rPr>
          <w:rFonts w:ascii="Times New Roman" w:eastAsia="Times New Roman" w:hAnsi="Times New Roman" w:cs="Times New Roman"/>
          <w:color w:val="222222"/>
          <w:sz w:val="24"/>
          <w:szCs w:val="24"/>
        </w:rPr>
        <w:t xml:space="preserve">, I. and </w:t>
      </w:r>
      <w:proofErr w:type="spellStart"/>
      <w:r>
        <w:rPr>
          <w:rFonts w:ascii="Times New Roman" w:eastAsia="Times New Roman" w:hAnsi="Times New Roman" w:cs="Times New Roman"/>
          <w:color w:val="222222"/>
          <w:sz w:val="24"/>
          <w:szCs w:val="24"/>
        </w:rPr>
        <w:t>Čabla</w:t>
      </w:r>
      <w:proofErr w:type="spellEnd"/>
      <w:r>
        <w:rPr>
          <w:rFonts w:ascii="Times New Roman" w:eastAsia="Times New Roman" w:hAnsi="Times New Roman" w:cs="Times New Roman"/>
          <w:color w:val="222222"/>
          <w:sz w:val="24"/>
          <w:szCs w:val="24"/>
        </w:rPr>
        <w:t xml:space="preserve">, A., 2022. Modelling of the unemployment duration in the Czech Republic based on aggregated complete and individual censored data. </w:t>
      </w:r>
      <w:proofErr w:type="spellStart"/>
      <w:r>
        <w:rPr>
          <w:rFonts w:ascii="Times New Roman" w:eastAsia="Times New Roman" w:hAnsi="Times New Roman" w:cs="Times New Roman"/>
          <w:i/>
          <w:color w:val="222222"/>
          <w:sz w:val="24"/>
          <w:szCs w:val="24"/>
        </w:rPr>
        <w:t>Ekonomicky</w:t>
      </w:r>
      <w:proofErr w:type="spellEnd"/>
      <w:r>
        <w:rPr>
          <w:rFonts w:ascii="Times New Roman" w:eastAsia="Times New Roman" w:hAnsi="Times New Roman" w:cs="Times New Roman"/>
          <w:i/>
          <w:color w:val="222222"/>
          <w:sz w:val="24"/>
          <w:szCs w:val="24"/>
        </w:rPr>
        <w:t xml:space="preserve"> </w:t>
      </w:r>
      <w:proofErr w:type="spellStart"/>
      <w:r>
        <w:rPr>
          <w:rFonts w:ascii="Times New Roman" w:eastAsia="Times New Roman" w:hAnsi="Times New Roman" w:cs="Times New Roman"/>
          <w:i/>
          <w:color w:val="222222"/>
          <w:sz w:val="24"/>
          <w:szCs w:val="24"/>
        </w:rPr>
        <w:t>Casopis</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70</w:t>
      </w:r>
      <w:r>
        <w:rPr>
          <w:rFonts w:ascii="Times New Roman" w:eastAsia="Times New Roman" w:hAnsi="Times New Roman" w:cs="Times New Roman"/>
          <w:color w:val="222222"/>
          <w:sz w:val="24"/>
          <w:szCs w:val="24"/>
        </w:rPr>
        <w:t xml:space="preserve">(2), pp.171-187. </w:t>
      </w:r>
    </w:p>
    <w:p w14:paraId="098878C1"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Ober, J. and </w:t>
      </w:r>
      <w:proofErr w:type="spellStart"/>
      <w:r>
        <w:rPr>
          <w:rFonts w:ascii="Times New Roman" w:eastAsia="Times New Roman" w:hAnsi="Times New Roman" w:cs="Times New Roman"/>
          <w:color w:val="222222"/>
          <w:sz w:val="24"/>
          <w:szCs w:val="24"/>
        </w:rPr>
        <w:t>Kochmańska</w:t>
      </w:r>
      <w:proofErr w:type="spellEnd"/>
      <w:r>
        <w:rPr>
          <w:rFonts w:ascii="Times New Roman" w:eastAsia="Times New Roman" w:hAnsi="Times New Roman" w:cs="Times New Roman"/>
          <w:color w:val="222222"/>
          <w:sz w:val="24"/>
          <w:szCs w:val="24"/>
        </w:rPr>
        <w:t xml:space="preserve">, A., 2021. Adaptation of innovations in the </w:t>
      </w:r>
      <w:proofErr w:type="gramStart"/>
      <w:r>
        <w:rPr>
          <w:rFonts w:ascii="Times New Roman" w:eastAsia="Times New Roman" w:hAnsi="Times New Roman" w:cs="Times New Roman"/>
          <w:color w:val="222222"/>
          <w:sz w:val="24"/>
          <w:szCs w:val="24"/>
        </w:rPr>
        <w:t>it</w:t>
      </w:r>
      <w:proofErr w:type="gramEnd"/>
      <w:r>
        <w:rPr>
          <w:rFonts w:ascii="Times New Roman" w:eastAsia="Times New Roman" w:hAnsi="Times New Roman" w:cs="Times New Roman"/>
          <w:color w:val="222222"/>
          <w:sz w:val="24"/>
          <w:szCs w:val="24"/>
        </w:rPr>
        <w:t xml:space="preserve"> industry in </w:t>
      </w:r>
      <w:proofErr w:type="spellStart"/>
      <w:r>
        <w:rPr>
          <w:rFonts w:ascii="Times New Roman" w:eastAsia="Times New Roman" w:hAnsi="Times New Roman" w:cs="Times New Roman"/>
          <w:color w:val="222222"/>
          <w:sz w:val="24"/>
          <w:szCs w:val="24"/>
        </w:rPr>
        <w:t>poland</w:t>
      </w:r>
      <w:proofErr w:type="spellEnd"/>
      <w:r>
        <w:rPr>
          <w:rFonts w:ascii="Times New Roman" w:eastAsia="Times New Roman" w:hAnsi="Times New Roman" w:cs="Times New Roman"/>
          <w:color w:val="222222"/>
          <w:sz w:val="24"/>
          <w:szCs w:val="24"/>
        </w:rPr>
        <w:t xml:space="preserve">: The impact of selected internal communication factors.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14</w:t>
      </w:r>
      <w:r>
        <w:rPr>
          <w:rFonts w:ascii="Times New Roman" w:eastAsia="Times New Roman" w:hAnsi="Times New Roman" w:cs="Times New Roman"/>
          <w:color w:val="222222"/>
          <w:sz w:val="24"/>
          <w:szCs w:val="24"/>
        </w:rPr>
        <w:t xml:space="preserve">(1), p.140. </w:t>
      </w:r>
    </w:p>
    <w:p w14:paraId="538D3FFB" w14:textId="77777777" w:rsidR="00170039" w:rsidRDefault="00170039" w:rsidP="0017003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Ponton, H., Osborne, A., Thompson, N. and Greenwood, D., 2020. The power of humour to unite and divide: A case study of design coordination meetings in construction. </w:t>
      </w:r>
      <w:r>
        <w:rPr>
          <w:rFonts w:ascii="Times New Roman" w:eastAsia="Times New Roman" w:hAnsi="Times New Roman" w:cs="Times New Roman"/>
          <w:i/>
          <w:color w:val="222222"/>
          <w:sz w:val="24"/>
          <w:szCs w:val="24"/>
          <w:highlight w:val="white"/>
        </w:rPr>
        <w:t>Construction Management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(1), pp.32-54.</w:t>
      </w:r>
    </w:p>
    <w:p w14:paraId="6CDC5F0A" w14:textId="77777777" w:rsidR="00170039" w:rsidRDefault="00170039" w:rsidP="00170039">
      <w:pPr>
        <w:spacing w:after="200" w:line="360" w:lineRule="auto"/>
        <w:jc w:val="both"/>
        <w:rPr>
          <w:rFonts w:ascii="Times New Roman" w:eastAsia="Times New Roman" w:hAnsi="Times New Roman" w:cs="Times New Roman"/>
          <w:color w:val="747F8B"/>
          <w:sz w:val="24"/>
          <w:szCs w:val="24"/>
        </w:rPr>
      </w:pPr>
      <w:r>
        <w:rPr>
          <w:rFonts w:ascii="Times New Roman" w:eastAsia="Times New Roman" w:hAnsi="Times New Roman" w:cs="Times New Roman"/>
          <w:sz w:val="24"/>
          <w:szCs w:val="24"/>
        </w:rPr>
        <w:t xml:space="preserve">Store, P.S. (n.d.). </w:t>
      </w:r>
      <w:r>
        <w:rPr>
          <w:rFonts w:ascii="Times New Roman" w:eastAsia="Times New Roman" w:hAnsi="Times New Roman" w:cs="Times New Roman"/>
          <w:i/>
          <w:sz w:val="24"/>
          <w:szCs w:val="24"/>
        </w:rPr>
        <w:t xml:space="preserve">Do People Speak English </w:t>
      </w:r>
      <w:proofErr w:type="gramStart"/>
      <w:r>
        <w:rPr>
          <w:rFonts w:ascii="Times New Roman" w:eastAsia="Times New Roman" w:hAnsi="Times New Roman" w:cs="Times New Roman"/>
          <w:i/>
          <w:sz w:val="24"/>
          <w:szCs w:val="24"/>
        </w:rPr>
        <w:t>In</w:t>
      </w:r>
      <w:proofErr w:type="gramEnd"/>
      <w:r>
        <w:rPr>
          <w:rFonts w:ascii="Times New Roman" w:eastAsia="Times New Roman" w:hAnsi="Times New Roman" w:cs="Times New Roman"/>
          <w:i/>
          <w:sz w:val="24"/>
          <w:szCs w:val="24"/>
        </w:rPr>
        <w:t xml:space="preserve"> Poland?</w:t>
      </w:r>
      <w:r>
        <w:rPr>
          <w:rFonts w:ascii="Times New Roman" w:eastAsia="Times New Roman" w:hAnsi="Times New Roman" w:cs="Times New Roman"/>
          <w:sz w:val="24"/>
          <w:szCs w:val="24"/>
        </w:rPr>
        <w:t xml:space="preserve"> [online] Polish Shirt Store. Available at: </w:t>
      </w:r>
      <w:hyperlink r:id="rId12" w:anchor=":~:text=While%20the%20official%20language%20of">
        <w:r>
          <w:rPr>
            <w:rFonts w:ascii="Times New Roman" w:eastAsia="Times New Roman" w:hAnsi="Times New Roman" w:cs="Times New Roman"/>
            <w:color w:val="1155CC"/>
            <w:sz w:val="24"/>
            <w:szCs w:val="24"/>
            <w:u w:val="single"/>
          </w:rPr>
          <w:t>https://polishshirtstore.com/blogs/blog/do-people-speak-english-in-poland#:~:text=While%20the%20official%20language%20of</w:t>
        </w:r>
      </w:hyperlink>
      <w:r>
        <w:rPr>
          <w:rFonts w:ascii="Times New Roman" w:eastAsia="Times New Roman" w:hAnsi="Times New Roman" w:cs="Times New Roman"/>
          <w:color w:val="747F8B"/>
          <w:sz w:val="24"/>
          <w:szCs w:val="24"/>
        </w:rPr>
        <w:t xml:space="preserve">. </w:t>
      </w:r>
    </w:p>
    <w:p w14:paraId="5D37012F"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www.hofstede-insights.com. (n.d.). </w:t>
      </w:r>
      <w:r>
        <w:rPr>
          <w:rFonts w:ascii="Times New Roman" w:eastAsia="Times New Roman" w:hAnsi="Times New Roman" w:cs="Times New Roman"/>
          <w:i/>
          <w:sz w:val="24"/>
          <w:szCs w:val="24"/>
        </w:rPr>
        <w:t>Country comparison tool</w:t>
      </w:r>
      <w:r>
        <w:rPr>
          <w:rFonts w:ascii="Times New Roman" w:eastAsia="Times New Roman" w:hAnsi="Times New Roman" w:cs="Times New Roman"/>
          <w:sz w:val="24"/>
          <w:szCs w:val="24"/>
        </w:rPr>
        <w:t xml:space="preserve">. [online] Available at: </w:t>
      </w:r>
      <w:hyperlink r:id="rId13">
        <w:r>
          <w:rPr>
            <w:rFonts w:ascii="Times New Roman" w:eastAsia="Times New Roman" w:hAnsi="Times New Roman" w:cs="Times New Roman"/>
            <w:color w:val="1155CC"/>
            <w:sz w:val="24"/>
            <w:szCs w:val="24"/>
            <w:u w:val="single"/>
          </w:rPr>
          <w:t>https://www.hofstede-insights.com/country-comparison-tool?countries=czech+republic</w:t>
        </w:r>
      </w:hyperlink>
      <w:r>
        <w:rPr>
          <w:rFonts w:ascii="Times New Roman" w:eastAsia="Times New Roman" w:hAnsi="Times New Roman" w:cs="Times New Roman"/>
          <w:color w:val="747F8B"/>
          <w:sz w:val="24"/>
          <w:szCs w:val="24"/>
        </w:rPr>
        <w:t xml:space="preserve">. </w:t>
      </w:r>
    </w:p>
    <w:p w14:paraId="22356056"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www.hofstede-insights.com. (n.d.). </w:t>
      </w:r>
      <w:r>
        <w:rPr>
          <w:rFonts w:ascii="Times New Roman" w:eastAsia="Times New Roman" w:hAnsi="Times New Roman" w:cs="Times New Roman"/>
          <w:i/>
          <w:sz w:val="24"/>
          <w:szCs w:val="24"/>
        </w:rPr>
        <w:t>Country comparison tool</w:t>
      </w:r>
      <w:r>
        <w:rPr>
          <w:rFonts w:ascii="Times New Roman" w:eastAsia="Times New Roman" w:hAnsi="Times New Roman" w:cs="Times New Roman"/>
          <w:sz w:val="24"/>
          <w:szCs w:val="24"/>
        </w:rPr>
        <w:t xml:space="preserve">. [online] Available at: </w:t>
      </w:r>
      <w:hyperlink r:id="rId14">
        <w:r>
          <w:rPr>
            <w:rFonts w:ascii="Times New Roman" w:eastAsia="Times New Roman" w:hAnsi="Times New Roman" w:cs="Times New Roman"/>
            <w:color w:val="1155CC"/>
            <w:sz w:val="24"/>
            <w:szCs w:val="24"/>
            <w:u w:val="single"/>
          </w:rPr>
          <w:t>https://www.hofstede-insights.com/country-comparison-tool?countries=poland</w:t>
        </w:r>
      </w:hyperlink>
      <w:r>
        <w:rPr>
          <w:rFonts w:ascii="Times New Roman" w:eastAsia="Times New Roman" w:hAnsi="Times New Roman" w:cs="Times New Roman"/>
          <w:color w:val="747F8B"/>
          <w:sz w:val="24"/>
          <w:szCs w:val="24"/>
        </w:rPr>
        <w:t xml:space="preserve">. </w:t>
      </w:r>
    </w:p>
    <w:p w14:paraId="74BD8B2C" w14:textId="77777777" w:rsidR="00170039" w:rsidRDefault="00170039" w:rsidP="00170039">
      <w:pPr>
        <w:spacing w:after="20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Zerfass</w:t>
      </w:r>
      <w:proofErr w:type="spellEnd"/>
      <w:r>
        <w:rPr>
          <w:rFonts w:ascii="Times New Roman" w:eastAsia="Times New Roman" w:hAnsi="Times New Roman" w:cs="Times New Roman"/>
          <w:color w:val="222222"/>
          <w:sz w:val="24"/>
          <w:szCs w:val="24"/>
        </w:rPr>
        <w:t xml:space="preserve">, A., </w:t>
      </w:r>
      <w:proofErr w:type="spellStart"/>
      <w:r>
        <w:rPr>
          <w:rFonts w:ascii="Times New Roman" w:eastAsia="Times New Roman" w:hAnsi="Times New Roman" w:cs="Times New Roman"/>
          <w:color w:val="222222"/>
          <w:sz w:val="24"/>
          <w:szCs w:val="24"/>
        </w:rPr>
        <w:t>Verčič</w:t>
      </w:r>
      <w:proofErr w:type="spellEnd"/>
      <w:r>
        <w:rPr>
          <w:rFonts w:ascii="Times New Roman" w:eastAsia="Times New Roman" w:hAnsi="Times New Roman" w:cs="Times New Roman"/>
          <w:color w:val="222222"/>
          <w:sz w:val="24"/>
          <w:szCs w:val="24"/>
        </w:rPr>
        <w:t xml:space="preserve">, D., </w:t>
      </w:r>
      <w:proofErr w:type="spellStart"/>
      <w:r>
        <w:rPr>
          <w:rFonts w:ascii="Times New Roman" w:eastAsia="Times New Roman" w:hAnsi="Times New Roman" w:cs="Times New Roman"/>
          <w:color w:val="222222"/>
          <w:sz w:val="24"/>
          <w:szCs w:val="24"/>
        </w:rPr>
        <w:t>Nothhaft</w:t>
      </w:r>
      <w:proofErr w:type="spellEnd"/>
      <w:r>
        <w:rPr>
          <w:rFonts w:ascii="Times New Roman" w:eastAsia="Times New Roman" w:hAnsi="Times New Roman" w:cs="Times New Roman"/>
          <w:color w:val="222222"/>
          <w:sz w:val="24"/>
          <w:szCs w:val="24"/>
        </w:rPr>
        <w:t xml:space="preserve">, H. and Werder, K.P., 2020. Strategic communication: Defining the field and its contribution to research and practice. In </w:t>
      </w:r>
      <w:r>
        <w:rPr>
          <w:rFonts w:ascii="Times New Roman" w:eastAsia="Times New Roman" w:hAnsi="Times New Roman" w:cs="Times New Roman"/>
          <w:i/>
          <w:color w:val="222222"/>
          <w:sz w:val="24"/>
          <w:szCs w:val="24"/>
        </w:rPr>
        <w:t>Future directions of strategic communication</w:t>
      </w:r>
      <w:r>
        <w:rPr>
          <w:rFonts w:ascii="Times New Roman" w:eastAsia="Times New Roman" w:hAnsi="Times New Roman" w:cs="Times New Roman"/>
          <w:color w:val="222222"/>
          <w:sz w:val="24"/>
          <w:szCs w:val="24"/>
        </w:rPr>
        <w:t xml:space="preserve"> (pp. 159-177). Routledge. </w:t>
      </w:r>
    </w:p>
    <w:p w14:paraId="2690FF36" w14:textId="77777777" w:rsidR="00170039" w:rsidRDefault="00170039" w:rsidP="00170039">
      <w:pPr>
        <w:widowControl w:val="0"/>
        <w:rPr>
          <w:rFonts w:ascii="Times New Roman" w:eastAsia="Times New Roman" w:hAnsi="Times New Roman" w:cs="Times New Roman"/>
          <w:color w:val="222222"/>
          <w:sz w:val="24"/>
          <w:szCs w:val="24"/>
          <w:highlight w:val="white"/>
        </w:rPr>
      </w:pPr>
    </w:p>
    <w:p w14:paraId="239B8792" w14:textId="77777777" w:rsidR="00170039" w:rsidRDefault="00170039" w:rsidP="00170039">
      <w:pPr>
        <w:spacing w:line="360" w:lineRule="auto"/>
        <w:jc w:val="both"/>
        <w:rPr>
          <w:rFonts w:ascii="Times New Roman" w:eastAsia="Times New Roman" w:hAnsi="Times New Roman" w:cs="Times New Roman"/>
          <w:color w:val="222222"/>
          <w:sz w:val="24"/>
          <w:szCs w:val="24"/>
        </w:rPr>
      </w:pPr>
    </w:p>
    <w:p w14:paraId="20ACB46C" w14:textId="77777777" w:rsidR="00170039" w:rsidRDefault="00170039" w:rsidP="00170039">
      <w:pPr>
        <w:widowControl w:val="0"/>
        <w:pBdr>
          <w:top w:val="nil"/>
          <w:left w:val="nil"/>
          <w:bottom w:val="nil"/>
          <w:right w:val="nil"/>
          <w:between w:val="nil"/>
        </w:pBdr>
        <w:rPr>
          <w:rFonts w:ascii="Times New Roman" w:eastAsia="Times New Roman" w:hAnsi="Times New Roman" w:cs="Times New Roman"/>
          <w:color w:val="222222"/>
          <w:sz w:val="24"/>
          <w:szCs w:val="24"/>
        </w:rPr>
      </w:pPr>
    </w:p>
    <w:p w14:paraId="2F1DAFCF" w14:textId="77777777" w:rsidR="00170039" w:rsidRDefault="00170039"/>
    <w:sectPr w:rsidR="00170039">
      <w:footerReference w:type="default" r:id="rId1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670C6" w14:textId="77777777" w:rsidR="007D0722"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039"/>
    <w:rsid w:val="00170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4F2A2D"/>
  <w15:chartTrackingRefBased/>
  <w15:docId w15:val="{3B9F1C2E-96CF-4441-95C4-F311DD66D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039"/>
    <w:pPr>
      <w:spacing w:line="276" w:lineRule="auto"/>
    </w:pPr>
    <w:rPr>
      <w:rFonts w:ascii="Arial" w:eastAsia="Arial" w:hAnsi="Arial" w:cs="Arial"/>
      <w:kern w:val="0"/>
      <w:sz w:val="22"/>
      <w:szCs w:val="22"/>
      <w:lang w:eastAsia="en-GB"/>
      <w14:ligatures w14:val="none"/>
    </w:rPr>
  </w:style>
  <w:style w:type="paragraph" w:styleId="Heading2">
    <w:name w:val="heading 2"/>
    <w:basedOn w:val="Normal"/>
    <w:next w:val="Normal"/>
    <w:link w:val="Heading2Char"/>
    <w:uiPriority w:val="9"/>
    <w:unhideWhenUsed/>
    <w:qFormat/>
    <w:rsid w:val="00170039"/>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link w:val="Heading3Char"/>
    <w:uiPriority w:val="9"/>
    <w:unhideWhenUsed/>
    <w:qFormat/>
    <w:rsid w:val="00170039"/>
    <w:pPr>
      <w:keepNext/>
      <w:keepLines/>
      <w:spacing w:before="240" w:after="240"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link w:val="Heading4Char"/>
    <w:uiPriority w:val="9"/>
    <w:unhideWhenUsed/>
    <w:qFormat/>
    <w:rsid w:val="00170039"/>
    <w:pPr>
      <w:keepNext/>
      <w:keepLines/>
      <w:spacing w:before="280" w:after="80"/>
      <w:outlineLvl w:val="3"/>
    </w:pPr>
    <w:rPr>
      <w:color w:val="666666"/>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70039"/>
    <w:rPr>
      <w:rFonts w:ascii="Times New Roman" w:eastAsia="Times New Roman" w:hAnsi="Times New Roman" w:cs="Times New Roman"/>
      <w:b/>
      <w:kern w:val="0"/>
      <w:lang w:eastAsia="en-GB"/>
      <w14:ligatures w14:val="none"/>
    </w:rPr>
  </w:style>
  <w:style w:type="character" w:customStyle="1" w:styleId="Heading3Char">
    <w:name w:val="Heading 3 Char"/>
    <w:basedOn w:val="DefaultParagraphFont"/>
    <w:link w:val="Heading3"/>
    <w:uiPriority w:val="9"/>
    <w:rsid w:val="00170039"/>
    <w:rPr>
      <w:rFonts w:ascii="Times New Roman" w:eastAsia="Times New Roman" w:hAnsi="Times New Roman" w:cs="Times New Roman"/>
      <w:b/>
      <w:kern w:val="0"/>
      <w:lang w:eastAsia="en-GB"/>
      <w14:ligatures w14:val="none"/>
    </w:rPr>
  </w:style>
  <w:style w:type="character" w:customStyle="1" w:styleId="Heading4Char">
    <w:name w:val="Heading 4 Char"/>
    <w:basedOn w:val="DefaultParagraphFont"/>
    <w:link w:val="Heading4"/>
    <w:uiPriority w:val="9"/>
    <w:rsid w:val="00170039"/>
    <w:rPr>
      <w:rFonts w:ascii="Arial" w:eastAsia="Arial" w:hAnsi="Arial" w:cs="Arial"/>
      <w:color w:val="666666"/>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red.com/story/pret-barista-subscription-future/" TargetMode="External"/><Relationship Id="rId13" Type="http://schemas.openxmlformats.org/officeDocument/2006/relationships/hyperlink" Target="https://www.hofstede-insights.com/country-comparison-tool?countries=czech+republic"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polishshirtstore.com/blogs/blog/do-people-speak-english-in-poland"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ec.europa.eu/eurostat/web/products-eurostat-news/product/-/asset_publisher/VWJkHuaYvLIN/content/id/13621620/pop_up" TargetMode="External"/><Relationship Id="rId5" Type="http://schemas.openxmlformats.org/officeDocument/2006/relationships/image" Target="media/image2.png"/><Relationship Id="rId15" Type="http://schemas.openxmlformats.org/officeDocument/2006/relationships/footer" Target="footer1.xml"/><Relationship Id="rId10" Type="http://schemas.openxmlformats.org/officeDocument/2006/relationships/hyperlink" Target="https://data.worldbank.org/indicator/NY.GDP.PCAP.CD?locations=PL" TargetMode="External"/><Relationship Id="rId4" Type="http://schemas.openxmlformats.org/officeDocument/2006/relationships/image" Target="media/image1.png"/><Relationship Id="rId9" Type="http://schemas.openxmlformats.org/officeDocument/2006/relationships/hyperlink" Target="https://chainstoreguide.com/offthechain/2017/06/csg-snapshot-pret-a-manger-us/" TargetMode="External"/><Relationship Id="rId14" Type="http://schemas.openxmlformats.org/officeDocument/2006/relationships/hyperlink" Target="https://www.hofstede-insights.com/country-comparison-tool?countries=po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3365</Words>
  <Characters>19186</Characters>
  <Application>Microsoft Office Word</Application>
  <DocSecurity>0</DocSecurity>
  <Lines>159</Lines>
  <Paragraphs>45</Paragraphs>
  <ScaleCrop>false</ScaleCrop>
  <Company/>
  <LinksUpToDate>false</LinksUpToDate>
  <CharactersWithSpaces>22506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1</cp:revision>
  <dcterms:created xsi:type="dcterms:W3CDTF">2024-08-28T08:57:00Z</dcterms:created>
  <dcterms:modified xsi:type="dcterms:W3CDTF">2024-08-28T09:02:00Z</dcterms:modified>
</cp:coreProperties>
</file>