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3B305" w14:textId="77777777"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E879B56" w14:textId="77777777" w:rsidR="00F927A1" w:rsidRPr="00F927A1" w:rsidRDefault="00F927A1" w:rsidP="00FF7EBB">
      <w:pPr>
        <w:overflowPunct/>
        <w:autoSpaceDE/>
        <w:autoSpaceDN/>
        <w:adjustRightInd/>
        <w:spacing w:after="160"/>
        <w:textAlignment w:val="auto"/>
        <w:rPr>
          <w:rFonts w:ascii="Times New Roman" w:hAnsi="Times New Roman"/>
          <w:b/>
          <w:bCs/>
          <w:color w:val="auto"/>
          <w:sz w:val="48"/>
          <w:szCs w:val="48"/>
        </w:rPr>
      </w:pPr>
      <w:r w:rsidRPr="00F927A1">
        <w:rPr>
          <w:rFonts w:ascii="Times New Roman" w:hAnsi="Times New Roman" w:cs="Times New Roman"/>
          <w:b/>
          <w:color w:val="auto"/>
          <w:sz w:val="36"/>
          <w:szCs w:val="48"/>
        </w:rPr>
        <w:t xml:space="preserve">GRADUATE CERTIFICATE in </w:t>
      </w:r>
      <w:r w:rsidRPr="00F927A1">
        <w:rPr>
          <w:rFonts w:ascii="Times New Roman" w:hAnsi="Times New Roman"/>
          <w:b/>
          <w:bCs/>
          <w:color w:val="auto"/>
          <w:sz w:val="36"/>
          <w:szCs w:val="48"/>
        </w:rPr>
        <w:t>Consolidation of Social Work Practice</w:t>
      </w:r>
    </w:p>
    <w:p w14:paraId="435F07E3" w14:textId="77777777" w:rsidR="0085230E" w:rsidRPr="00DC2924" w:rsidRDefault="0085230E" w:rsidP="00FF7EBB">
      <w:pPr>
        <w:overflowPunct/>
        <w:autoSpaceDE/>
        <w:autoSpaceDN/>
        <w:adjustRightInd/>
        <w:spacing w:after="160"/>
        <w:textAlignment w:val="auto"/>
        <w:rPr>
          <w:rFonts w:ascii="Times New Roman" w:hAnsi="Times New Roman" w:cs="Times New Roman"/>
          <w:b/>
          <w:color w:val="auto"/>
          <w:sz w:val="48"/>
        </w:rPr>
      </w:pPr>
      <w:r w:rsidRPr="00DC2924">
        <w:rPr>
          <w:rFonts w:ascii="Times New Roman" w:hAnsi="Times New Roman" w:cs="Times New Roman"/>
          <w:b/>
          <w:color w:val="auto"/>
          <w:sz w:val="36"/>
        </w:rPr>
        <w:t>LEVEL 6 - 60 Credits</w:t>
      </w:r>
    </w:p>
    <w:p w14:paraId="2FBE5A8B" w14:textId="77777777" w:rsidR="00706BB5" w:rsidRPr="0085230E" w:rsidRDefault="00706BB5" w:rsidP="00FF7EBB">
      <w:pPr>
        <w:overflowPunct/>
        <w:autoSpaceDE/>
        <w:autoSpaceDN/>
        <w:adjustRightInd/>
        <w:spacing w:after="160"/>
        <w:textAlignment w:val="auto"/>
        <w:rPr>
          <w:rFonts w:ascii="Times New Roman" w:hAnsi="Times New Roman" w:cs="Times New Roman"/>
          <w:b/>
          <w:color w:val="auto"/>
          <w:sz w:val="48"/>
        </w:rPr>
      </w:pPr>
      <w:r w:rsidRPr="00DC2924">
        <w:rPr>
          <w:rFonts w:ascii="Times New Roman" w:hAnsi="Times New Roman" w:cs="Times New Roman"/>
          <w:b/>
          <w:color w:val="auto"/>
          <w:sz w:val="36"/>
        </w:rPr>
        <w:t>BMPF6044</w:t>
      </w:r>
    </w:p>
    <w:p w14:paraId="34A4607C" w14:textId="77777777" w:rsidR="00F927A1" w:rsidRPr="00F927A1" w:rsidRDefault="0085230E" w:rsidP="00F927A1">
      <w:pPr>
        <w:overflowPunct/>
        <w:autoSpaceDE/>
        <w:autoSpaceDN/>
        <w:adjustRightInd/>
        <w:spacing w:after="160"/>
        <w:textAlignment w:val="auto"/>
        <w:rPr>
          <w:rFonts w:ascii="Times New Roman" w:hAnsi="Times New Roman" w:cs="Times New Roman"/>
          <w:b/>
          <w:color w:val="auto"/>
          <w:sz w:val="48"/>
        </w:rPr>
      </w:pPr>
      <w:r>
        <w:rPr>
          <w:rFonts w:ascii="Times New Roman" w:hAnsi="Times New Roman" w:cs="Times New Roman"/>
          <w:b/>
          <w:color w:val="auto"/>
          <w:sz w:val="36"/>
        </w:rPr>
        <w:t xml:space="preserve">LEARNER </w:t>
      </w:r>
      <w:r w:rsidR="00F927A1">
        <w:rPr>
          <w:rFonts w:ascii="Times New Roman" w:hAnsi="Times New Roman" w:cs="Times New Roman"/>
          <w:b/>
          <w:color w:val="auto"/>
          <w:sz w:val="36"/>
        </w:rPr>
        <w:t>PORTFOLIO</w:t>
      </w:r>
    </w:p>
    <w:p w14:paraId="211654A8" w14:textId="77777777" w:rsidR="00F927A1" w:rsidRPr="00706BB5" w:rsidRDefault="00F927A1">
      <w:pPr>
        <w:overflowPunct/>
        <w:autoSpaceDE/>
        <w:autoSpaceDN/>
        <w:adjustRightInd/>
        <w:spacing w:after="160"/>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36"/>
          <w:szCs w:val="48"/>
        </w:rPr>
        <w:t>(PORTH AGORED and U</w:t>
      </w:r>
      <w:r w:rsidR="6E4F6729" w:rsidRPr="00F15354">
        <w:rPr>
          <w:rFonts w:ascii="Times New Roman" w:hAnsi="Times New Roman" w:cs="Times New Roman"/>
          <w:b/>
          <w:bCs/>
          <w:color w:val="auto"/>
          <w:sz w:val="36"/>
          <w:szCs w:val="48"/>
        </w:rPr>
        <w:t>NIVERSITY OF WALES TRINITY SAINT DAVID</w:t>
      </w:r>
      <w:r w:rsidRPr="00F15354">
        <w:rPr>
          <w:rFonts w:ascii="Times New Roman" w:hAnsi="Times New Roman" w:cs="Times New Roman"/>
          <w:b/>
          <w:bCs/>
          <w:color w:val="auto"/>
          <w:sz w:val="36"/>
          <w:szCs w:val="48"/>
        </w:rPr>
        <w:t>)</w:t>
      </w: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72DE98B6" w14:textId="77777777" w:rsidTr="005D3F07">
        <w:tc>
          <w:tcPr>
            <w:tcW w:w="10368" w:type="dxa"/>
          </w:tcPr>
          <w:p w14:paraId="70BA822D" w14:textId="77777777" w:rsidR="00986B43" w:rsidRDefault="00986B43" w:rsidP="005D3F07">
            <w:pPr>
              <w:overflowPunct/>
              <w:autoSpaceDE/>
              <w:autoSpaceDN/>
              <w:adjustRightInd/>
              <w:spacing w:after="120"/>
              <w:textAlignment w:val="auto"/>
              <w:rPr>
                <w:rFonts w:ascii="Times New Roman" w:hAnsi="Times New Roman" w:cs="Times New Roman"/>
                <w:b/>
                <w:color w:val="auto"/>
                <w:sz w:val="48"/>
              </w:rPr>
            </w:pPr>
            <w:r>
              <w:rPr>
                <w:rFonts w:ascii="Times New Roman" w:hAnsi="Times New Roman" w:cs="Times New Roman"/>
                <w:b/>
                <w:color w:val="auto"/>
                <w:sz w:val="28"/>
              </w:rPr>
              <w:t>Learner’s name:</w:t>
            </w:r>
            <w:r w:rsidR="00247265">
              <w:rPr>
                <w:rFonts w:ascii="Times New Roman" w:hAnsi="Times New Roman" w:cs="Times New Roman"/>
                <w:b/>
                <w:color w:val="auto"/>
                <w:sz w:val="28"/>
              </w:rPr>
              <w:t xml:space="preserve"> </w:t>
            </w:r>
            <w:r w:rsidR="00E57E5C" w:rsidRPr="00E57E5C">
              <w:rPr>
                <w:rFonts w:ascii="Times New Roman" w:hAnsi="Times New Roman" w:cs="Times New Roman"/>
                <w:bCs/>
                <w:color w:val="auto"/>
                <w:sz w:val="28"/>
              </w:rPr>
              <w:t>Dan Haw</w:t>
            </w:r>
            <w:r w:rsidR="00E57E5C">
              <w:rPr>
                <w:rFonts w:ascii="Times New Roman" w:hAnsi="Times New Roman" w:cs="Times New Roman"/>
                <w:bCs/>
                <w:color w:val="auto"/>
                <w:sz w:val="28"/>
              </w:rPr>
              <w:t>k</w:t>
            </w:r>
            <w:r w:rsidR="00E57E5C" w:rsidRPr="00E57E5C">
              <w:rPr>
                <w:rFonts w:ascii="Times New Roman" w:hAnsi="Times New Roman" w:cs="Times New Roman"/>
                <w:bCs/>
                <w:color w:val="auto"/>
                <w:sz w:val="28"/>
              </w:rPr>
              <w:t>ins</w:t>
            </w:r>
            <w:r w:rsidR="00E57E5C">
              <w:rPr>
                <w:rFonts w:ascii="Times New Roman" w:hAnsi="Times New Roman" w:cs="Times New Roman"/>
                <w:b/>
                <w:color w:val="auto"/>
                <w:sz w:val="28"/>
              </w:rPr>
              <w:t xml:space="preserve"> </w:t>
            </w:r>
          </w:p>
          <w:p w14:paraId="104B3DCD" w14:textId="01C49014" w:rsidR="009C337F" w:rsidRPr="00955AD4" w:rsidRDefault="009C337F" w:rsidP="005D3F07">
            <w:pPr>
              <w:overflowPunct/>
              <w:autoSpaceDE/>
              <w:autoSpaceDN/>
              <w:adjustRightInd/>
              <w:spacing w:after="120"/>
              <w:textAlignment w:val="auto"/>
              <w:rPr>
                <w:rFonts w:ascii="Times New Roman" w:hAnsi="Times New Roman" w:cs="Times New Roman"/>
                <w:b/>
                <w:color w:val="auto"/>
                <w:sz w:val="48"/>
              </w:rPr>
            </w:pPr>
            <w:r>
              <w:rPr>
                <w:rFonts w:ascii="Times New Roman" w:hAnsi="Times New Roman" w:cs="Times New Roman"/>
                <w:b/>
                <w:color w:val="auto"/>
                <w:sz w:val="28"/>
              </w:rPr>
              <w:t>Email address:</w:t>
            </w:r>
            <w:r w:rsidR="00E57E5C">
              <w:rPr>
                <w:rFonts w:ascii="Times New Roman" w:hAnsi="Times New Roman" w:cs="Times New Roman"/>
                <w:b/>
                <w:color w:val="auto"/>
                <w:sz w:val="28"/>
              </w:rPr>
              <w:t xml:space="preserve"> </w:t>
            </w:r>
            <w:r w:rsidR="00955AD4">
              <w:rPr>
                <w:rFonts w:ascii="Times New Roman" w:hAnsi="Times New Roman" w:cs="Times New Roman"/>
                <w:b/>
                <w:color w:val="auto"/>
                <w:sz w:val="28"/>
              </w:rPr>
              <w:t>danieljack1988@gmail.com</w:t>
            </w:r>
          </w:p>
          <w:p w14:paraId="318E922D" w14:textId="77777777" w:rsidR="00E57E5C" w:rsidRPr="00E57E5C" w:rsidRDefault="0085230E" w:rsidP="00E57E5C">
            <w:pPr>
              <w:spacing w:after="120"/>
              <w:rPr>
                <w:rFonts w:ascii="Times New Roman" w:eastAsiaTheme="minorHAnsi" w:hAnsi="Times New Roman" w:cs="Times New Roman"/>
                <w:bCs/>
                <w:color w:val="auto"/>
                <w:sz w:val="48"/>
                <w:szCs w:val="24"/>
                <w:lang w:eastAsia="en-US"/>
              </w:rPr>
            </w:pPr>
            <w:r w:rsidRPr="005D3F07">
              <w:rPr>
                <w:rFonts w:ascii="Times New Roman" w:hAnsi="Times New Roman" w:cs="Times New Roman"/>
                <w:b/>
                <w:color w:val="auto"/>
                <w:sz w:val="28"/>
              </w:rPr>
              <w:t>Learner’s University Registration</w:t>
            </w:r>
            <w:r w:rsidR="00F927A1" w:rsidRPr="005D3F07">
              <w:rPr>
                <w:rFonts w:ascii="Times New Roman" w:hAnsi="Times New Roman" w:cs="Times New Roman"/>
                <w:b/>
                <w:color w:val="auto"/>
                <w:sz w:val="28"/>
              </w:rPr>
              <w:t xml:space="preserve"> Number:</w:t>
            </w:r>
            <w:r w:rsidR="00E57E5C" w:rsidRPr="00E57E5C">
              <w:rPr>
                <w:rFonts w:ascii="Times New Roman" w:eastAsiaTheme="minorHAnsi" w:hAnsi="Times New Roman" w:cs="Times New Roman"/>
                <w:b/>
                <w:color w:val="auto"/>
                <w:sz w:val="28"/>
                <w:szCs w:val="24"/>
                <w:lang w:eastAsia="en-US"/>
              </w:rPr>
              <w:t xml:space="preserve"> </w:t>
            </w:r>
            <w:r w:rsidR="00E57E5C" w:rsidRPr="00E57E5C">
              <w:rPr>
                <w:rFonts w:ascii="Times New Roman" w:eastAsiaTheme="minorHAnsi" w:hAnsi="Times New Roman" w:cs="Times New Roman"/>
                <w:bCs/>
                <w:color w:val="auto"/>
                <w:sz w:val="28"/>
                <w:szCs w:val="24"/>
                <w:lang w:eastAsia="en-US"/>
              </w:rPr>
              <w:t>2241041</w:t>
            </w:r>
          </w:p>
          <w:p w14:paraId="458AA4BC" w14:textId="77777777" w:rsidR="0085230E" w:rsidRPr="005D3F07" w:rsidRDefault="00706BB5" w:rsidP="005D3F07">
            <w:pPr>
              <w:overflowPunct/>
              <w:autoSpaceDE/>
              <w:autoSpaceDN/>
              <w:adjustRightInd/>
              <w:spacing w:after="120"/>
              <w:textAlignment w:val="auto"/>
              <w:rPr>
                <w:rFonts w:ascii="Times New Roman" w:hAnsi="Times New Roman" w:cs="Times New Roman"/>
                <w:b/>
                <w:color w:val="auto"/>
                <w:sz w:val="48"/>
              </w:rPr>
            </w:pPr>
            <w:r w:rsidRPr="00DC2924">
              <w:rPr>
                <w:rFonts w:ascii="Times New Roman" w:hAnsi="Times New Roman" w:cs="Times New Roman"/>
                <w:b/>
                <w:color w:val="auto"/>
                <w:sz w:val="28"/>
              </w:rPr>
              <w:t xml:space="preserve">Cohort: </w:t>
            </w:r>
            <w:r w:rsidR="00B037B0">
              <w:rPr>
                <w:rFonts w:ascii="Times New Roman" w:hAnsi="Times New Roman" w:cs="Times New Roman"/>
                <w:b/>
                <w:color w:val="auto"/>
                <w:sz w:val="28"/>
              </w:rPr>
              <w:t>21</w:t>
            </w:r>
            <w:r w:rsidR="00AE6231">
              <w:rPr>
                <w:rFonts w:ascii="Times New Roman" w:hAnsi="Times New Roman" w:cs="Times New Roman"/>
                <w:b/>
                <w:color w:val="auto"/>
                <w:sz w:val="28"/>
              </w:rPr>
              <w:t xml:space="preserve"> onwards</w:t>
            </w:r>
          </w:p>
        </w:tc>
      </w:tr>
    </w:tbl>
    <w:p w14:paraId="5E4A8D81" w14:textId="77777777" w:rsidR="00F546D1" w:rsidRPr="00EE5BC3" w:rsidRDefault="007374EF" w:rsidP="00EE5BC3">
      <w:pPr>
        <w:keepNext/>
        <w:pageBreakBefore/>
        <w:jc w:val="center"/>
        <w:rPr>
          <w:sz w:val="28"/>
          <w:szCs w:val="28"/>
        </w:rPr>
      </w:pPr>
      <w:r w:rsidRPr="00EE5BC3">
        <w:rPr>
          <w:b/>
          <w:sz w:val="28"/>
          <w:szCs w:val="28"/>
        </w:rPr>
        <w:lastRenderedPageBreak/>
        <w:t>Task 3</w:t>
      </w:r>
    </w:p>
    <w:p w14:paraId="6D23824D"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064AA828"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7921B476"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47307B77" w14:textId="77777777" w:rsidTr="7B2CF1A9">
        <w:tc>
          <w:tcPr>
            <w:tcW w:w="10031" w:type="dxa"/>
          </w:tcPr>
          <w:p w14:paraId="1D14F9F9" w14:textId="777777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48C67689" w14:textId="77777777"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00BE3EA4" w14:textId="77777777" w:rsidR="008D5999" w:rsidRDefault="008D5999" w:rsidP="00064063">
            <w:pPr>
              <w:jc w:val="both"/>
              <w:rPr>
                <w:sz w:val="24"/>
                <w:szCs w:val="24"/>
              </w:rPr>
            </w:pPr>
          </w:p>
          <w:p w14:paraId="1D75B707" w14:textId="77777777"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7FB49C8" w14:textId="77777777" w:rsidR="00C56823" w:rsidRDefault="00C56823" w:rsidP="00FF7EBB">
            <w:pPr>
              <w:jc w:val="both"/>
              <w:rPr>
                <w:i/>
                <w:sz w:val="24"/>
                <w:szCs w:val="24"/>
              </w:rPr>
            </w:pPr>
          </w:p>
          <w:p w14:paraId="0E4A5284" w14:textId="77777777" w:rsidR="00C56823" w:rsidRDefault="00C56823" w:rsidP="00FF7EBB">
            <w:pPr>
              <w:jc w:val="both"/>
              <w:rPr>
                <w:i/>
                <w:sz w:val="24"/>
                <w:szCs w:val="24"/>
              </w:rPr>
            </w:pPr>
          </w:p>
          <w:p w14:paraId="544C4D72" w14:textId="77777777" w:rsidR="00B87D58" w:rsidRDefault="00F701E2">
            <w:pPr>
              <w:spacing w:after="120" w:line="276" w:lineRule="auto"/>
            </w:pPr>
            <w:r>
              <w:rPr>
                <w:sz w:val="22"/>
              </w:rPr>
              <w:t>This critically reflective case study examines my involvement in an ongoing Special Guardianship Order assessment concerning two children who have lived with a relative, an approved foster carer, for approximately three years. The assessment began around three months ago, during my consolidation programme. I use Carer 1, Partner 1, Child 1 and Child 2 to protect confidentiality. Child 1 is sixteen and Child 2 is eight. Using Gibbs’ reflective cycle, I examine my decisions, feelings, collaboration and learning (Gibbs, 1988). The assessment has been postponed because of several family pressures and outstanding enquiries about Carer 1’s partner. My reflection evaluates the work completed so far; the assessment and its longer-term outcomes remain unfinished.</w:t>
            </w:r>
          </w:p>
          <w:p w14:paraId="58FB8C84" w14:textId="77777777" w:rsidR="00B87D58" w:rsidRDefault="00F701E2">
            <w:pPr>
              <w:spacing w:after="120" w:line="276" w:lineRule="auto"/>
            </w:pPr>
            <w:r>
              <w:rPr>
                <w:sz w:val="22"/>
              </w:rPr>
              <w:t>Carer 1 has provided committed care to the children, and my established professional relationship with her has helped me recognise her strengths. She has done a good job over a substantial period, and these strengths remain important when considering permanence. Kinship care can preserve family relationships and continuity, although assessment must also consider the pressures experienced by carers (Farmer and Moyers, 2008). I therefore needed to assess the current circumstances without allowing either my positive experience of Carer 1 or emerging concerns about Partner 1 to determine my conclusions prematurely. The central question was whether the proposed arrangements could meet both children’s needs safely over time.</w:t>
            </w:r>
          </w:p>
          <w:p w14:paraId="454A7E3E" w14:textId="77777777" w:rsidR="00B87D58" w:rsidRDefault="00F701E2">
            <w:pPr>
              <w:spacing w:after="120" w:line="276" w:lineRule="auto"/>
            </w:pPr>
            <w:r>
              <w:rPr>
                <w:sz w:val="22"/>
              </w:rPr>
              <w:t>Carer 1’s relationship with Partner 1 began approximately six months ago. He does not live in the property, but stays overnight and, according to the information available to me, does not spend time alone with the children. I understand that social workers involved before my involvement agreed to overnight stays following a clear DBS check. I had not authorised this arrangement myself. Their social worker has spoken with the children and has not raised concerns about him; they appear to like him. These are protective indicators, but I have not met Partner 1 or observed his interactions with either child. The earlier decision and positive accounts needed consideration alongside the separate PNC information, rather than being treated as a complete assessment of current suitability.</w:t>
            </w:r>
          </w:p>
          <w:p w14:paraId="55D9E5A4" w14:textId="77777777" w:rsidR="00B87D58" w:rsidRDefault="00F701E2">
            <w:pPr>
              <w:spacing w:after="120" w:line="276" w:lineRule="auto"/>
            </w:pPr>
            <w:r>
              <w:rPr>
                <w:sz w:val="22"/>
              </w:rPr>
              <w:lastRenderedPageBreak/>
              <w:t>Police information obtained through a Police National Computer check identified one conviction involving violence and two incidents resulting in no further action. The conviction concerned violence against a family member in Partner 1’s early adulthood and involved a serious injury. The other records concerned police attendance at domestic arguments involving an ex-partner. The information indicated victim and perpetrator roles, but I cannot reliably attribute these to individual incidents without checking the records. I have therefore not reconstructed that detail from memory. The PNC information must be distinguished from a DBS disclosure, and the conviction must be distinguished from allegations or police attendances that did not result in a conviction.</w:t>
            </w:r>
          </w:p>
          <w:p w14:paraId="234BAB9B" w14:textId="77777777" w:rsidR="00B87D58" w:rsidRDefault="00F701E2">
            <w:pPr>
              <w:spacing w:after="120" w:line="276" w:lineRule="auto"/>
            </w:pPr>
            <w:r>
              <w:rPr>
                <w:sz w:val="22"/>
              </w:rPr>
              <w:t>The last recorded incident was approximately fifteen years ago. I recognised that people can change and that events from early adulthood should not automatically establish a person’s current suitability around children. However, the seriousness of the conviction meant that it still required exploration. I needed to understand his account, responsibility for his behaviour and relevant changes since then. The two incidents resulting in no further action also needed careful interpretation. They were not convictions and could not be presented as proven abusive behaviour. Equally, no further action did not provide a complete explanation of what happened. My assessment needed to retain these differences rather than grouping all three records together as equivalent evidence.</w:t>
            </w:r>
          </w:p>
          <w:p w14:paraId="290329C9" w14:textId="77777777" w:rsidR="00B87D58" w:rsidRDefault="00F701E2">
            <w:pPr>
              <w:spacing w:after="120" w:line="276" w:lineRule="auto"/>
            </w:pPr>
            <w:r>
              <w:rPr>
                <w:sz w:val="22"/>
              </w:rPr>
              <w:t>Carer 1 had independently requested information through Clare’s Law, the Domestic Violence Disclosure Scheme, when she entered the relationship. She did this without professional advice, and no information was disclosed to her. I regarded her initiative as a strength because she had considered safety and used an available protective route. However, the absence of disclosure could not establish that there was no relevant history or current risk. The scheme’s guidance explains that a lack of information to disclose does not mean there is no risk of harm (Home Office, 2023). I do not know the police’s reasons for their decision and should not assume that their enquiries were identical to those required for my assessment.</w:t>
            </w:r>
          </w:p>
          <w:p w14:paraId="7966BAA4" w14:textId="77777777" w:rsidR="00B87D58" w:rsidRDefault="00F701E2">
            <w:pPr>
              <w:spacing w:after="120" w:line="276" w:lineRule="auto"/>
            </w:pPr>
            <w:r>
              <w:rPr>
                <w:sz w:val="22"/>
              </w:rPr>
              <w:t>My concern increased because I had been unable to arrange a discussion with Partner 1 about the information. However, describing him simply as refusing to engage would not accurately reflect events. There was one meeting he could attend when I could not. On other occasions, he said that he was unavailable, and attempts to make contact had not led to the required conversation. I experienced this pattern as evasive, but this remained my interpretation. Rutter and Brown (2015) emphasise the importance of considering alternative explanations in professional judgement. His availability, understanding of the assessment and possible discomfort about discussing his history all required exploration before I concluded that he was deliberately avoiding scrutiny.</w:t>
            </w:r>
          </w:p>
          <w:p w14:paraId="75130F60" w14:textId="77777777" w:rsidR="00B87D58" w:rsidRDefault="00F701E2">
            <w:pPr>
              <w:spacing w:after="120" w:line="276" w:lineRule="auto"/>
            </w:pPr>
            <w:r>
              <w:rPr>
                <w:sz w:val="22"/>
              </w:rPr>
              <w:t>I had also asked several times for contact details for his daughter and her mother, his ex-partner. I explained why information about these relationships was relevant to the assessment, but the details had not been provided. His daughter is a young child. This left gaps in my understanding of his current parenting and family relationships. However, obtaining contact details would not itself authorise an interview with a child. Any proposed involvement of his daughter would need consideration of necessity, appropriate permissions, her welfare and the responsibilities of the professionals involved. Enquiries with her mother would also require safe arrangements and attention to confidentiality. These remained proposed enquiries rather than completed assessment evidence.</w:t>
            </w:r>
          </w:p>
          <w:p w14:paraId="7741C1FE" w14:textId="77777777" w:rsidR="00B87D58" w:rsidRDefault="00F701E2">
            <w:pPr>
              <w:spacing w:after="120" w:line="276" w:lineRule="auto"/>
            </w:pPr>
            <w:r>
              <w:rPr>
                <w:sz w:val="22"/>
              </w:rPr>
              <w:lastRenderedPageBreak/>
              <w:t>The family was experiencing several significant pressures. Carer 1’s son, who lives in the household, was in hospital following a mental health breakdown. Her father was terminally ill, there were other family disputes, and a young person in her care had not entered college as anticipated. This disrupted educational transition created additional pressure within the household. I had noticed changes in Carer 1’s physical presentation and that she appeared more anxious. Knowing her over a substantial period helped me recognise this change, but did not qualify me to diagnose her or establish its cause. I needed to consider the cumulative effect on household routines, emotional availability and support. Her son’s admission did not itself establish that he posed a safeguarding risk, and distress during a family crisis should not be equated with inadequate care.</w:t>
            </w:r>
          </w:p>
          <w:p w14:paraId="30BC31AC" w14:textId="77777777" w:rsidR="00B87D58" w:rsidRDefault="00F701E2">
            <w:pPr>
              <w:spacing w:after="120" w:line="276" w:lineRule="auto"/>
            </w:pPr>
            <w:r>
              <w:rPr>
                <w:sz w:val="22"/>
              </w:rPr>
              <w:t>I directed Carer 1 to speak with her GP. She continued to receive fostering supervision and had family support available. These were important sources of support, although recommending a GP appointment did not establish that she had attended or received treatment. Similarly, the existence of family support did not tell me how available it was or what practical help it could provide. I needed to explore support more specifically rather than recording it as a general reassurance. The assessment had to consider both her capacity to care and what could help sustain it, without treating distress during a family crisis as evidence that she was an unsuitable carer.</w:t>
            </w:r>
          </w:p>
          <w:p w14:paraId="3ECA6BD3" w14:textId="77777777" w:rsidR="00B87D58" w:rsidRDefault="00F701E2">
            <w:pPr>
              <w:spacing w:after="120" w:line="276" w:lineRule="auto"/>
            </w:pPr>
            <w:r>
              <w:rPr>
                <w:sz w:val="22"/>
              </w:rPr>
              <w:t>I discussed these combined circumstances with my manager, and we agreed that the SGO assessment should be postponed. My manager agreed that I would complete the outstanding enquiries, and this responsibility was recorded in supervision. This established accountability for progressing the assessment without implying that the enquiries were already complete. My recommendation considered Carer 1’s wellbeing, her son’s mental health, her father’s terminal illness, family disputes, the disrupted college transition and incomplete information about the new relationship. I explained these reasons to Carer 1 and told her that continuing towards completion was not appropriate at that time. Parker (2017) connects assessment with analysis, intervention and review. In this case, postponement was a decision within my assessment role intended to prevent an inadequately informed permanence recommendation.</w:t>
            </w:r>
          </w:p>
          <w:p w14:paraId="76975D68" w14:textId="77777777" w:rsidR="00B87D58" w:rsidRDefault="00F701E2">
            <w:pPr>
              <w:spacing w:after="120" w:line="276" w:lineRule="auto"/>
            </w:pPr>
            <w:r>
              <w:rPr>
                <w:sz w:val="22"/>
              </w:rPr>
              <w:t>Carer 1 was unhappy about the postponement. After three years of caring for the children, a delay could understandably feel frustrating and undermine her expectations of permanence. Explaining my reasoning supported transparency, but did not establish agreement or full participation. I needed to give her space to challenge my interpretation and explain which pressures she considered manageable and what support would help. I also felt that she wanted less involvement from social services since entering the relationship, although she had not expressly confirmed that motive. Wanting greater family autonomy is not inherently concerning. Reflecting on my communication, I recognised that participation requires more than conveying a professional decision: her understanding and response should help shape the next stage, alongside the children’s needs.</w:t>
            </w:r>
          </w:p>
          <w:p w14:paraId="27E7643B" w14:textId="77777777" w:rsidR="00B87D58" w:rsidRDefault="00F701E2">
            <w:pPr>
              <w:spacing w:after="120" w:line="276" w:lineRule="auto"/>
            </w:pPr>
            <w:r>
              <w:rPr>
                <w:sz w:val="22"/>
              </w:rPr>
              <w:t xml:space="preserve">The Children Act 1989 provides the framework for Special Guardianship Orders, including the requirement for a local authority report before an order can be made under section 14A. My role was to contribute an assessment and professional opinion; the decision to make an order rests with the court. The Special Guardianship (Wales) Regulations 2005, as amended, and Welsh guidance inform the information and analysis required (Welsh Government, 2018). These requirements helped me recognise that Carer 1’s positive fostering history was significant but did not remove the need to </w:t>
            </w:r>
            <w:r>
              <w:rPr>
                <w:sz w:val="22"/>
              </w:rPr>
              <w:lastRenderedPageBreak/>
              <w:t>assess changed circumstances. The report must provide a sufficiently informed account of the proposed arrangements and the support needed to sustain them.</w:t>
            </w:r>
          </w:p>
          <w:p w14:paraId="72FCF23D" w14:textId="77777777" w:rsidR="00B87D58" w:rsidRDefault="00F701E2">
            <w:pPr>
              <w:spacing w:after="120" w:line="276" w:lineRule="auto"/>
            </w:pPr>
            <w:r>
              <w:rPr>
                <w:sz w:val="22"/>
              </w:rPr>
              <w:t>The Social Services and Well-being (Wales) Act 2014 also informed my approach through its emphasis on wellbeing, participation and safeguarding. Part 6 is relevant to responsibilities towards looked-after children, while Part 7 provides the Welsh safeguarding framework. Section 130 addresses reporting where relevant partners have reasonable cause to suspect that a child meets the statutory definition of a child at risk. This requires attention to both harm and care and support needs. I needed to discuss current concerns through the appropriate professional routes without assuming that historical police records alone established that either child was presently experiencing abuse. The evidence and the relevant threshold must be considered together.</w:t>
            </w:r>
          </w:p>
          <w:p w14:paraId="6CE600F3" w14:textId="77777777" w:rsidR="00B87D58" w:rsidRDefault="00F701E2">
            <w:pPr>
              <w:spacing w:after="120" w:line="276" w:lineRule="auto"/>
            </w:pPr>
            <w:r>
              <w:rPr>
                <w:sz w:val="22"/>
              </w:rPr>
              <w:t>The Wales Safeguarding Procedures explain reporting and multi-agency responses to concerns (Wales Safeguarding Procedures, n.d.). Locally, the published Corporate Safeguarding Policy identifies designated safeguarding support, Single Point of Access referral and emergency or out-of-hours routes (xxx Authority, 2022). I used management discussion to examine the concerns within my role. If evidence indicated significant harm, section 47 enquiries and an appropriate strategy discussion would need consideration; an SGO postponement would not replace that response. The children remained in the household, so current safeguarding and support required attention independently of the timing of a court recommendation.</w:t>
            </w:r>
          </w:p>
          <w:p w14:paraId="4EBF4E9B" w14:textId="77777777" w:rsidR="00B87D58" w:rsidRDefault="00F701E2">
            <w:pPr>
              <w:spacing w:after="120" w:line="276" w:lineRule="auto"/>
            </w:pPr>
            <w:r>
              <w:rPr>
                <w:sz w:val="22"/>
              </w:rPr>
              <w:t>Information sharing presented a particular learning issue. I had not discussed the police records with Partner 1 or shared them with Carer 1 because I had understood that I needed his consent. On reflection, this was too absolute. Consent is important, but safeguarding information can sometimes be shared using another appropriate lawful basis. The Information Commissioner’s Office (2023) explains the importance of necessary, proportionate information sharing to safeguard children. This does not mean that I can freely circulate PNC information. Its source, criminal offence data requirements and any disclosure restrictions require careful attention. I need advice through my manager and the appropriate police, information governance or legal route before deciding what can properly be shared.</w:t>
            </w:r>
          </w:p>
          <w:p w14:paraId="1C37728B" w14:textId="77777777" w:rsidR="00B87D58" w:rsidRDefault="00F701E2">
            <w:pPr>
              <w:spacing w:after="120" w:line="276" w:lineRule="auto"/>
            </w:pPr>
            <w:r>
              <w:rPr>
                <w:sz w:val="22"/>
              </w:rPr>
              <w:t>The Data Protection Act 2018 and UK data protection requirements mean that information must be handled lawfully and accurately, with disclosure limited to what is needed. My learning is to clarify the basis for sharing rather than allowing an assumption about consent to prevent consideration of a legitimate safeguarding purpose. Equally, I should not disclose sensitive information merely because it would make a difficult discussion easier. I would need to record the purpose, recipient, information shared and reasoning, including any advice obtained. At the point of this reflection, that further advice had not yet been sought, and the records had not been discussed with either adult.</w:t>
            </w:r>
          </w:p>
          <w:p w14:paraId="1631F6FF" w14:textId="77777777" w:rsidR="00B87D58" w:rsidRDefault="00F701E2">
            <w:pPr>
              <w:spacing w:after="120" w:line="276" w:lineRule="auto"/>
            </w:pPr>
            <w:r>
              <w:rPr>
                <w:sz w:val="22"/>
              </w:rPr>
              <w:t xml:space="preserve">Welsh and wider UK frameworks operate together, but service responsibilities differ. The Children Act 1989 provides the SGO framework in England and Wales, while Welsh legislation and the Special Guardianship Code govern relevant Welsh social services functions (Welsh Government, 2018). If a child at risk moved or proposed to move to England, section 130(3) requires the Welsh authority to inform the receiving authority. Scotland and Northern Ireland have different legal and service arrangements, so any transfer or enquiry would require checking the applicable route. I cannot assume that English guidance or a Welsh process operates identically elsewhere. There was </w:t>
            </w:r>
            <w:r>
              <w:rPr>
                <w:sz w:val="22"/>
              </w:rPr>
              <w:lastRenderedPageBreak/>
              <w:t>no identified cross-border element here, but recognising these differences prevents misplaced reliance on a familiar procedure.</w:t>
            </w:r>
          </w:p>
          <w:p w14:paraId="15DD4678" w14:textId="77777777" w:rsidR="00B87D58" w:rsidRDefault="00F701E2">
            <w:pPr>
              <w:spacing w:after="120" w:line="276" w:lineRule="auto"/>
            </w:pPr>
            <w:r>
              <w:rPr>
                <w:sz w:val="22"/>
              </w:rPr>
              <w:t>European and international frameworks also inform practice, although their roles differ. The European Convention on Human Rights belongs to the Council of Europe, which is separate from the European Union (Council of Europe, n.d.). Article 8, given domestic effect through the Human Rights Act 1998, makes respect for private and family life relevant to enquiries and information sharing. Partner 1’s privacy and the family’s wish for autonomy needed consideration alongside the children’s protection. The UK’s data protection framework developed from European Union law and continues through domestic arrangements, including subsequent amendments (Data (Use and Access) Act 2025). I therefore need current UK guidance rather than assuming that EU membership determines the applicable rules.</w:t>
            </w:r>
          </w:p>
          <w:p w14:paraId="64E5150D" w14:textId="77777777" w:rsidR="00B87D58" w:rsidRDefault="00F701E2">
            <w:pPr>
              <w:spacing w:after="120" w:line="276" w:lineRule="auto"/>
            </w:pPr>
            <w:r>
              <w:rPr>
                <w:sz w:val="22"/>
              </w:rPr>
              <w:t>The United Nations Convention on the Rights of the Child provides a wider international perspective. Articles 3, 12 and 19 concern children’s best interests, participation and protection from harm (United Nations, 1989). These principles helped me examine whether the assessment was sufficiently focused on the children rather than adult disagreement. There was no identified cross-border element in this case, so I did not undertake international enquiries. However, if relevant family information were held outside the UK, I would need advice about lawful information transfer and appropriate assessment routes. International principles support the analysis, but they do not replace the domestic powers and procedures needed for a particular action.</w:t>
            </w:r>
          </w:p>
          <w:p w14:paraId="43657B0D" w14:textId="77777777" w:rsidR="00B87D58" w:rsidRDefault="00F701E2">
            <w:pPr>
              <w:spacing w:after="120" w:line="276" w:lineRule="auto"/>
            </w:pPr>
            <w:r>
              <w:rPr>
                <w:sz w:val="22"/>
              </w:rPr>
              <w:t>At the beginning of the assessment, I offered the family the option of receiving services in Welsh. They are English-speaking, have Welsh heritage and preferred to proceed in English. I respected their choice without assuming that heritage determined language preference. This demonstrated the Active Offer, rather than waiting for the family to request a Welsh-language service. More Than Just Words places language within effective care and requires Welsh services to be offered proactively (Welsh Government, 2012; 2022). The offer should remain available throughout assessment, including sensitive conversations when communication preferences may change. The children’s preferences also require individual consideration rather than assuming that the carer’s choice automatically represents both of them.</w:t>
            </w:r>
          </w:p>
          <w:p w14:paraId="272E67B5" w14:textId="77777777" w:rsidR="00B87D58" w:rsidRDefault="00F701E2">
            <w:pPr>
              <w:spacing w:after="120" w:line="276" w:lineRule="auto"/>
            </w:pPr>
            <w:r>
              <w:rPr>
                <w:sz w:val="22"/>
              </w:rPr>
              <w:t>Attachment theory helped me consider the importance of continuity in the children’s relationships. Bowlby (1969) describes the significance of attachment figures, and Howe (2011) considers attachment across development. Three years with their relative carer gave the assessment a substantial caregiving relationship to consider. However, I could not infer a particular attachment pattern or diagnose emotional difficulties from the placement history alone. The theory prompted questions about how each child experienced security, changes in the household and access to their carer. It also reminded me that safeguarding decisions can themselves affect security if uncertainty or adult distress disrupts daily life. Preserving continuity required attention to support as well as risk.</w:t>
            </w:r>
          </w:p>
          <w:p w14:paraId="3A4D5742" w14:textId="77777777" w:rsidR="00B87D58" w:rsidRDefault="00F701E2">
            <w:pPr>
              <w:spacing w:after="120" w:line="276" w:lineRule="auto"/>
            </w:pPr>
            <w:r>
              <w:rPr>
                <w:sz w:val="22"/>
              </w:rPr>
              <w:t xml:space="preserve">The children’s different ages required individual consideration. Child 1, at sixteen, may have views about relationships, autonomy and the future that differ from those of Child 2, who is eight. The unsuccessful transition into college made education and preparation for adulthood particularly relevant to the household assessment. I needed to explore the young person’s own aspirations and available support, rather than view the situation solely as a pressure on the carer. The older child should not be expected to protect the younger child or take responsibility for adults’ wellbeing. Child </w:t>
            </w:r>
            <w:r>
              <w:rPr>
                <w:sz w:val="22"/>
              </w:rPr>
              <w:lastRenderedPageBreak/>
              <w:t>2 may need different explanations and opportunities to communicate. Their needs must be considered separately, even though they share a household, and further direct exploration remained necessary.</w:t>
            </w:r>
          </w:p>
          <w:p w14:paraId="441943E9" w14:textId="77777777" w:rsidR="00B87D58" w:rsidRDefault="00F701E2">
            <w:pPr>
              <w:spacing w:after="120" w:line="276" w:lineRule="auto"/>
            </w:pPr>
            <w:r>
              <w:rPr>
                <w:sz w:val="22"/>
              </w:rPr>
              <w:t>The expressed wish to achieve an SGO was a starting point for an outcomes-focused assessment. It reflected Carer 1’s interest in permanence, although I should not assume that her reasons or preferred support arrangements were fully understood. I considered her caregiving strengths alongside the new pressures and directed her towards GP support. For the children, sustained care and opportunities to express their views matter beyond completion of a report. Their social worker’s positive account contributes to the assessment, but individual outcomes still need exploration. Co-production requires asking what the children and Carer 1 want to retain or change and using their answers in planning; identifying those questions is not equivalent to completing that work.</w:t>
            </w:r>
          </w:p>
          <w:p w14:paraId="184F1FAF" w14:textId="77777777" w:rsidR="00B87D58" w:rsidRDefault="00F701E2">
            <w:pPr>
              <w:spacing w:after="120" w:line="276" w:lineRule="auto"/>
            </w:pPr>
            <w:r>
              <w:rPr>
                <w:sz w:val="22"/>
              </w:rPr>
              <w:t>Bronfenbrenner’s ecological approach helped me consider how circumstances across family relationships and services interacted (Bronfenbrenner, 1979). Carer 1 was managing a new relationship, caregiving responsibilities, her son’s mental health difficulties and her father’s terminal illness. The disrupted college transition connected the household’s pressures with education and preparation for adulthood. Fostering supervision, family support and health services were also part of this environment. Considering these connections helped me explain why postponement was based on cumulative circumstances rather than Partner 1’s history alone. It also prompted consideration of how unclear professional explanations or insufficient practical support could increase pressure. The theory organised my analysis, but further evidence was still needed about the effects on each child.</w:t>
            </w:r>
          </w:p>
          <w:p w14:paraId="2E7F2E7A" w14:textId="77777777" w:rsidR="00B87D58" w:rsidRDefault="00F701E2">
            <w:pPr>
              <w:spacing w:after="120" w:line="276" w:lineRule="auto"/>
            </w:pPr>
            <w:r>
              <w:rPr>
                <w:sz w:val="22"/>
              </w:rPr>
              <w:t>Relationship-based practice was important because I needed to maintain engagement while asking uncomfortable questions. Ruch, Turney and Ward (2018) emphasise the role of relationships and reflection in social work. My longstanding relationship with Carer 1 supported familiarity and understanding, but it also created a risk that I would minimise concerns because I trusted her. Alternatively, disappointment about the new difficulties could lead me to become overly critical. I needed supervision to examine both possibilities. An effective relationship should allow respectful challenge and honest explanation. It should also give Carer 1 an opportunity to question my interpretation and describe what support she considers useful.</w:t>
            </w:r>
          </w:p>
          <w:p w14:paraId="6026D71C" w14:textId="77777777" w:rsidR="00B87D58" w:rsidRDefault="00F701E2">
            <w:pPr>
              <w:spacing w:after="120" w:line="276" w:lineRule="auto"/>
            </w:pPr>
            <w:r>
              <w:rPr>
                <w:sz w:val="22"/>
              </w:rPr>
              <w:t>My feelings about Partner 1’s limited engagement also required reflection. I was concerned that the assessment could not progress without relevant discussion and felt frustrated by the unsuccessful arrangements. However, I needed to recognise my own contribution when I was unavailable for the meeting he could attend. Professional curiosity involves persistence and clear questions, but frustration can affect how I interpret behaviour. I would improve my approach by offering realistic alternatives, checking his understanding of the purpose and explaining which areas remained outstanding. If engagement continued to be limited, the report should explain the resulting evidential gaps and their significance without claiming to know his motives.</w:t>
            </w:r>
          </w:p>
          <w:p w14:paraId="4D173060" w14:textId="77777777" w:rsidR="00B87D58" w:rsidRDefault="00F701E2">
            <w:pPr>
              <w:spacing w:after="120" w:line="276" w:lineRule="auto"/>
            </w:pPr>
            <w:r>
              <w:rPr>
                <w:sz w:val="22"/>
              </w:rPr>
              <w:t xml:space="preserve">When a discussion becomes possible, I would explore the historical events separately and ask open questions about his account and current relationships. Any explanation would need consideration alongside the records and other relevant information. I would also seek to understand how disagreements are managed now and his expectations about involvement with the children. Meeting him and, where appropriate, observing ordinary family interaction would add information, but a </w:t>
            </w:r>
            <w:r>
              <w:rPr>
                <w:sz w:val="22"/>
              </w:rPr>
              <w:lastRenderedPageBreak/>
              <w:t>positive presentation during one visit would have limits. I need several sources of evidence over time rather than treating either a reassuring interview or an unsuccessful contact attempt as decisive.</w:t>
            </w:r>
          </w:p>
          <w:p w14:paraId="0DA7BF99" w14:textId="77777777" w:rsidR="00B87D58" w:rsidRDefault="00F701E2">
            <w:pPr>
              <w:spacing w:after="120" w:line="276" w:lineRule="auto"/>
            </w:pPr>
            <w:r>
              <w:rPr>
                <w:sz w:val="22"/>
              </w:rPr>
              <w:t>My completed DDP, attachment and trauma training encouraged me to think about emotional safety when approaching difficult conversations. An attitude of curiosity and empathy can help someone describe experiences without feeling that the conclusion has already been reached. However, this training does not establish that Partner 1 has experienced trauma or explain his behaviour, and I had not yet used a direct approach with him. I needed to draw on learning within the limits of my role. The aim would be a clear assessment conversation about behaviour, responsibility and current relationships, rather than attempting therapeutic work or using empathy to avoid necessary professional challenge.</w:t>
            </w:r>
          </w:p>
          <w:p w14:paraId="776E198F" w14:textId="77777777" w:rsidR="00B87D58" w:rsidRDefault="00F701E2">
            <w:pPr>
              <w:spacing w:after="120" w:line="276" w:lineRule="auto"/>
            </w:pPr>
            <w:r>
              <w:rPr>
                <w:sz w:val="22"/>
              </w:rPr>
              <w:t>Anti-discriminatory practice required particular attention to age, gender and mental health. I needed to avoid assuming that a man with a historical conviction was permanently dangerous or that being recorded as a victim removed the need to explore his own behaviour. I also needed to avoid interpreting Carer 1’s anxiety or her son’s hospital admission as evidence of inadequate care. Thompson (2020) encourages attention to assumptions and power in practice. Fairness involved examining relevant evidence and recognising strengths, while remaining clear about unanswered questions. It also required ensuring that the family’s understandable wish for less intervention did not lead me to overlook the children’s individual rights.</w:t>
            </w:r>
          </w:p>
          <w:p w14:paraId="55D78001" w14:textId="77777777" w:rsidR="00B87D58" w:rsidRDefault="00F701E2">
            <w:pPr>
              <w:spacing w:after="120" w:line="276" w:lineRule="auto"/>
            </w:pPr>
            <w:r>
              <w:rPr>
                <w:sz w:val="22"/>
              </w:rPr>
              <w:t>Collaboration involved my manager and consideration of the children’s social worker’s information. The social worker’s role includes current care planning, statutory involvement and gathering the children’s views. My role concerns the proposed permanence arrangements and support implications; management provides oversight and authorises decisions within local arrangements. Police information contributes a historical account but does not provide a complete current assessment. Health professionals may support the family’s wellbeing, but their involvement does not transfer my safeguarding responsibilities. These distinctions help prevent gaps or duplicated enquiries. If a safeguarding disagreement arose, the regional Multi-agency Protocol for the Resolution of Professional Differences provides practitioner, management and senior escalation stages, with recorded decisions and timescales responsive to risk (xxx Regional Safeguarding Board, 2026). No such dispute had been identified here.</w:t>
            </w:r>
          </w:p>
          <w:p w14:paraId="47568659" w14:textId="77777777" w:rsidR="00B87D58" w:rsidRDefault="00F701E2">
            <w:pPr>
              <w:spacing w:after="120" w:line="276" w:lineRule="auto"/>
            </w:pPr>
            <w:r>
              <w:rPr>
                <w:sz w:val="22"/>
              </w:rPr>
              <w:t>I had not spoken directly with either child about Partner 1. This was an important limitation in my assessment. The social worker’s information was useful, but I needed to understand what had been explored and how the children’s views were recorded. Further direct work should be coordinated to avoid unnecessary repetition and use age-appropriate, open questions. It should provide space to discuss ordinary experiences of the household as well as any concerns. I would not approach them with leading questions based on the historical records or treat positive views as proof of safety. Their accounts need to inform the analysis alongside other evidence.</w:t>
            </w:r>
          </w:p>
          <w:p w14:paraId="5D6CD1F5" w14:textId="77777777" w:rsidR="00B87D58" w:rsidRDefault="00F701E2">
            <w:pPr>
              <w:spacing w:after="120" w:line="276" w:lineRule="auto"/>
            </w:pPr>
            <w:r>
              <w:rPr>
                <w:sz w:val="22"/>
              </w:rPr>
              <w:t xml:space="preserve">Accurate recording was essential to my professional opinion. The supervision record documented management agreement that I would complete the outstanding enquiries. The assessment must also distinguish convictions, police attendances resulting in no further action, information from the children’s social worker and my observations. My interpretation of limited engagement and my impression that Carer 1 wanted less involvement must remain qualified. The Social Care Wales Code requires accountable practice and appropriate records (Social Care Wales, 2026). My opinion </w:t>
            </w:r>
            <w:r>
              <w:rPr>
                <w:sz w:val="22"/>
              </w:rPr>
              <w:lastRenderedPageBreak/>
              <w:t>was that completion should wait until the circumstances and enquiries could be assessed adequately. This informed management discussion, but was not a completed court report. Any eventual report must explain the evidence, remaining gaps and support implications so that the court can understand the reasoning behind the recommendation.</w:t>
            </w:r>
          </w:p>
          <w:p w14:paraId="32BF84BD" w14:textId="77777777" w:rsidR="00B87D58" w:rsidRDefault="00F701E2">
            <w:pPr>
              <w:spacing w:after="120" w:line="276" w:lineRule="auto"/>
            </w:pPr>
            <w:r>
              <w:rPr>
                <w:sz w:val="22"/>
              </w:rPr>
              <w:t>The agreed postponement, allocation of enquiries to me and GP signposting formed the interim response within my assessment role. Fostering supervision and family support remained available. These actions provided oversight and a route for continuing the work, but a review date and clearer practical support arrangements still needed agreement. The earlier professional agreement about overnight stays was relevant context; it did not mean that I had negotiated a new safety plan. The reported absence of unsupervised care also required clarification rather than being presented as a verified agreement. Contingency planning should address changes in overnight stays, household membership, caring responsibilities or the children’s accounts. If risk increases, safeguarding action must be reconsidered immediately rather than waiting for the SGO assessment to resume.</w:t>
            </w:r>
          </w:p>
          <w:p w14:paraId="78540D3D" w14:textId="77777777" w:rsidR="00B87D58" w:rsidRDefault="00F701E2">
            <w:pPr>
              <w:spacing w:after="120" w:line="276" w:lineRule="auto"/>
            </w:pPr>
            <w:r>
              <w:rPr>
                <w:sz w:val="22"/>
              </w:rPr>
              <w:t>Evaluating the work completed so far, I had identified changes in the household, explained my recommendation to the carer and obtained management agreement to postpone completion, with responsibility for enquiries recorded in supervision. This prevented the assessment progressing towards a final recommendation while relevant information and support issues remained unresolved. It also disappointed Carer 1 and could prolong uncertainty for the children. I could therefore evaluate the appropriateness and consequences of the decision without claiming that postponement had improved safety or wellbeing. GP signposting did not establish treatment or improvement. A subsequent review should consider the carer’s experience of support, the children’s views, educational arrangements, engagement with Partner 1 and progress with enquiries. Her son’s eventual return home and changes in her father’s condition may also affect support needs. These remained considerations for review rather than demonstrated outcomes.</w:t>
            </w:r>
          </w:p>
          <w:p w14:paraId="4B8CE169" w14:textId="77777777" w:rsidR="00B87D58" w:rsidRDefault="00F701E2">
            <w:pPr>
              <w:spacing w:after="120" w:line="276" w:lineRule="auto"/>
            </w:pPr>
            <w:r>
              <w:rPr>
                <w:sz w:val="22"/>
              </w:rPr>
              <w:t>My personal safety also requires preparation before meeting Partner 1. A historical conviction does not establish that he will threaten a worker, but it is relevant to a proportionate assessment of the proposed meeting. As I have not met him, I cannot claim that a completed visit demonstrated safe working. Before arranging it, I need to check the current lone-working and visit procedures with my manager, consider whether a joint visit or alternative venue is appropriate and agree contact and escalation arrangements. The published Corporate Safeguarding Policy includes safe working expectations (xxx Authority, 2022). Following the actual organisational procedure, rather than improvising because I feel confident, is part of professional accountability.</w:t>
            </w:r>
          </w:p>
          <w:p w14:paraId="76B0438C" w14:textId="77777777" w:rsidR="00B87D58" w:rsidRDefault="00F701E2">
            <w:pPr>
              <w:spacing w:after="120" w:line="276" w:lineRule="auto"/>
            </w:pPr>
            <w:r>
              <w:rPr>
                <w:sz w:val="22"/>
              </w:rPr>
              <w:t>The assessment has strengthened my understanding of defensible judgement. My current opinion is that an SGO recommendation should not be finalised while relevant enquiries and support issues remain unresolved. That is different from concluding that Partner 1 is presently dangerous or that Carer 1 cannot care for the children. Munro (2011) emphasises professional reasoning in child protection. My judgement therefore recognises the positive placement history, the children’s reported views and Carer 1’s protective initiative alongside incomplete information and family pressures. Further evidence could change the recommendation. A reassuring interview or a concerning disclosure would both require analysis. The purpose of the next enquiries is to test the assessment fairly and establish what the children need.</w:t>
            </w:r>
          </w:p>
          <w:p w14:paraId="631C39DC" w14:textId="77777777" w:rsidR="00B87D58" w:rsidRDefault="00F701E2">
            <w:pPr>
              <w:spacing w:after="120" w:line="276" w:lineRule="auto"/>
            </w:pPr>
            <w:r>
              <w:rPr>
                <w:sz w:val="22"/>
              </w:rPr>
              <w:lastRenderedPageBreak/>
              <w:t>My immediate priorities are to complete the enquiries allocated to me, check the police records, clarify lawful disclosure and improve engagement with Partner 1. I need to coordinate with the children’s social worker so that their views inform the assessment, and agree a review point and clearer interim support arrangements with my manager. The Welsh-language offer has been made and should remain available. Before meeting Partner 1, I must clarify personal safety requirements. Supervision provides a place to examine how familiarity, frustration and uncertainty affect my reasoning. This case demonstrates my contribution to recognising cumulative pressures, explaining a difficult decision and using management oversight to defer completion appropriately. It also shows the limits of the work so far. A final recommendation must follow the necessary enquiries and accurately distinguish completed assessment evidence from matters that remain unresolved.</w:t>
            </w:r>
          </w:p>
          <w:p w14:paraId="2D418FA5" w14:textId="2165393E" w:rsidR="00B87D58" w:rsidRDefault="00F701E2">
            <w:r>
              <w:t>Word count: 4321</w:t>
            </w:r>
          </w:p>
        </w:tc>
      </w:tr>
    </w:tbl>
    <w:p w14:paraId="70960582" w14:textId="77777777" w:rsidR="00AE500B" w:rsidRDefault="00AE500B"/>
    <w:sectPr w:rsidR="00AE500B"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9A6AC" w14:textId="77777777" w:rsidR="00AE500B" w:rsidRDefault="00AE500B">
      <w:r>
        <w:separator/>
      </w:r>
    </w:p>
  </w:endnote>
  <w:endnote w:type="continuationSeparator" w:id="0">
    <w:p w14:paraId="06281626" w14:textId="77777777" w:rsidR="00AE500B" w:rsidRDefault="00AE50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124F42" w14:textId="77777777"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1776C52"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0F71F" w14:textId="77777777" w:rsidR="00AE500B" w:rsidRDefault="00AE500B">
      <w:r>
        <w:separator/>
      </w:r>
    </w:p>
  </w:footnote>
  <w:footnote w:type="continuationSeparator" w:id="0">
    <w:p w14:paraId="1BEE1704" w14:textId="77777777" w:rsidR="00AE500B" w:rsidRDefault="00AE50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819C46" w14:textId="77777777" w:rsidR="00A5656A" w:rsidRDefault="00A565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2F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A4F"/>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041"/>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01BB"/>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2ADC"/>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736E"/>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4A2E"/>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5AD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159F"/>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398A"/>
    <w:rsid w:val="00A652F6"/>
    <w:rsid w:val="00A65861"/>
    <w:rsid w:val="00A732EA"/>
    <w:rsid w:val="00A7489E"/>
    <w:rsid w:val="00A8015F"/>
    <w:rsid w:val="00A8458C"/>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00B"/>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7D58"/>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63A4"/>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823"/>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1DDE"/>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290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7E5C"/>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1E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2B2396"/>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E57E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4691</Words>
  <Characters>26739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Revised from the supplied portfolio using confirmed practice details. Outstanding verification is recorded separately.</dc:description>
  <cp:lastModifiedBy>dan hawkins</cp:lastModifiedBy>
  <cp:revision>2</cp:revision>
  <cp:lastPrinted>2020-02-11T19:20:00Z</cp:lastPrinted>
  <dcterms:created xsi:type="dcterms:W3CDTF">2026-10-07T07:24:00Z</dcterms:created>
  <dcterms:modified xsi:type="dcterms:W3CDTF">2026-10-07T07:24:00Z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