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2AC3" w:rsidRPr="003C5A34" w:rsidRDefault="008C2AC3" w:rsidP="008C2AC3">
      <w:pPr>
        <w:spacing w:after="0"/>
        <w:rPr>
          <w:b/>
          <w:i/>
        </w:rPr>
      </w:pPr>
      <w:r w:rsidRPr="003C5A34">
        <w:rPr>
          <w:b/>
          <w:i/>
        </w:rPr>
        <w:t xml:space="preserve">Declining to give the slave </w:t>
      </w:r>
      <w:proofErr w:type="spellStart"/>
      <w:r w:rsidRPr="003C5A34">
        <w:rPr>
          <w:b/>
          <w:i/>
        </w:rPr>
        <w:t>Sokrates</w:t>
      </w:r>
      <w:proofErr w:type="spellEnd"/>
      <w:r w:rsidRPr="003C5A34">
        <w:rPr>
          <w:b/>
          <w:i/>
        </w:rPr>
        <w:t xml:space="preserve"> over to be tortured (</w:t>
      </w:r>
      <w:r w:rsidR="00953A1B">
        <w:rPr>
          <w:b/>
          <w:i/>
        </w:rPr>
        <w:t xml:space="preserve">Speech: </w:t>
      </w:r>
      <w:r w:rsidRPr="003C5A34">
        <w:rPr>
          <w:b/>
          <w:i/>
        </w:rPr>
        <w:t>200 words)</w:t>
      </w:r>
    </w:p>
    <w:p w:rsidR="008C2AC3" w:rsidRDefault="008C2AC3" w:rsidP="008C2AC3">
      <w:pPr>
        <w:spacing w:after="0"/>
      </w:pPr>
      <w:r>
        <w:t xml:space="preserve">I stand before the court, a man whose reputation and indeed life hangs in the balance and yet I deny the prosecutions demand of allowing one of the men from my </w:t>
      </w:r>
      <w:proofErr w:type="spellStart"/>
      <w:r>
        <w:t>Oikos</w:t>
      </w:r>
      <w:proofErr w:type="spellEnd"/>
      <w:r>
        <w:t xml:space="preserve"> to be tortured. I see faces of those that have condemned me for this action alone, a clear admittance of guilt one would believe, but this is simply not the case.</w:t>
      </w:r>
    </w:p>
    <w:p w:rsidR="008C2AC3" w:rsidRDefault="008C2AC3" w:rsidP="008C2AC3">
      <w:pPr>
        <w:spacing w:after="0"/>
      </w:pPr>
      <w:r>
        <w:t xml:space="preserve">I put to you that the man in question, </w:t>
      </w:r>
      <w:proofErr w:type="spellStart"/>
      <w:r>
        <w:t>Sokrates</w:t>
      </w:r>
      <w:proofErr w:type="spellEnd"/>
      <w:r>
        <w:t xml:space="preserve"> is no slave, having bought his freedom and the rights that go with it some time ago. Many in this room will know this to be truth as you yourselves were at the Agora when the proclamation was made and for those who were not, know that it would only be a matter of checking the public register to find his name inscribed as our laws demand. Yes, these laws which the prosecution would use to condemn me but ignore in favour of torturing a man who by all rights should stand as witness; with his oath to the gods and his personal sense of justice as all free men are entitled.</w:t>
      </w:r>
    </w:p>
    <w:p w:rsidR="008C2AC3" w:rsidRDefault="008C2AC3" w:rsidP="008C2AC3">
      <w:pPr>
        <w:spacing w:after="0"/>
      </w:pPr>
      <w:r>
        <w:t xml:space="preserve">I myself am unable to abide such an unlawful transaction and as I look to you men of the jury know that in your hearts you would not condemn a man solely for honouring their word as Prostrates. </w:t>
      </w:r>
    </w:p>
    <w:p w:rsidR="008C2AC3" w:rsidRDefault="008C2AC3" w:rsidP="00CB0BEC">
      <w:pPr>
        <w:spacing w:after="0"/>
      </w:pPr>
    </w:p>
    <w:p w:rsidR="008C2AC3" w:rsidRDefault="008C2AC3" w:rsidP="00CB0BEC">
      <w:pPr>
        <w:spacing w:after="0"/>
      </w:pPr>
    </w:p>
    <w:p w:rsidR="008C2AC3" w:rsidRPr="003C5A34" w:rsidRDefault="008C2AC3" w:rsidP="008C2AC3">
      <w:pPr>
        <w:spacing w:after="0"/>
        <w:rPr>
          <w:b/>
          <w:i/>
        </w:rPr>
      </w:pPr>
      <w:r w:rsidRPr="003C5A34">
        <w:rPr>
          <w:b/>
          <w:i/>
        </w:rPr>
        <w:t>Rhetorical devises and parallels to the ancient sources (</w:t>
      </w:r>
      <w:r w:rsidR="00953A1B">
        <w:rPr>
          <w:b/>
          <w:i/>
        </w:rPr>
        <w:t xml:space="preserve">Essay: </w:t>
      </w:r>
      <w:bookmarkStart w:id="0" w:name="_GoBack"/>
      <w:bookmarkEnd w:id="0"/>
      <w:r w:rsidRPr="003C5A34">
        <w:rPr>
          <w:b/>
          <w:i/>
        </w:rPr>
        <w:t>3oo words)</w:t>
      </w:r>
    </w:p>
    <w:p w:rsidR="007F699C" w:rsidRDefault="007F699C" w:rsidP="00CB0BEC">
      <w:pPr>
        <w:spacing w:after="0"/>
      </w:pPr>
      <w:r>
        <w:t>During this essay I will be identifying the parallels between the rhetorical devices used in the ancient sources and the ones I have implemented in my own speech writing</w:t>
      </w:r>
      <w:r w:rsidR="008C2AC3">
        <w:t>.</w:t>
      </w:r>
    </w:p>
    <w:p w:rsidR="008C2AC3" w:rsidRDefault="008C2AC3" w:rsidP="00CB0BEC">
      <w:pPr>
        <w:spacing w:after="0"/>
      </w:pPr>
    </w:p>
    <w:p w:rsidR="00E87982" w:rsidRDefault="00E87982" w:rsidP="00CB0BEC">
      <w:pPr>
        <w:spacing w:after="0"/>
      </w:pPr>
      <w:r>
        <w:t xml:space="preserve">Throughout the speech I have made sure to directly address the men of the jury in order </w:t>
      </w:r>
      <w:r w:rsidR="008C2AC3">
        <w:t>in an attempt to</w:t>
      </w:r>
      <w:r>
        <w:t xml:space="preserve"> make them feel personally involved in what I am saying and thus the case itself. I believe a good demonstration of this in regards to an ancient source would be Demosthenes’ repetition of “Men of Athens”</w:t>
      </w:r>
      <w:r>
        <w:rPr>
          <w:rStyle w:val="FootnoteReference"/>
        </w:rPr>
        <w:footnoteReference w:id="1"/>
      </w:r>
      <w:r w:rsidR="00632681">
        <w:t>.</w:t>
      </w:r>
    </w:p>
    <w:p w:rsidR="00CB0BEC" w:rsidRDefault="00632681" w:rsidP="00CB0BEC">
      <w:pPr>
        <w:spacing w:after="0"/>
      </w:pPr>
      <w:r>
        <w:t xml:space="preserve">Furthermore, I have endeavoured to include emotive language such as ‘condemn/condemned’ as I believe that it speaks of finality and emphasizes the seriousness of the situation. This particular word has been used in several speeches one of which is Antiphon’s </w:t>
      </w:r>
      <w:r>
        <w:rPr>
          <w:i/>
        </w:rPr>
        <w:t>On the Choreutes</w:t>
      </w:r>
      <w:r>
        <w:t xml:space="preserve"> as he denotes the repercussions of a man found guilty in the eyes of the law</w:t>
      </w:r>
      <w:r>
        <w:rPr>
          <w:rStyle w:val="FootnoteReference"/>
        </w:rPr>
        <w:footnoteReference w:id="2"/>
      </w:r>
      <w:r>
        <w:t>.</w:t>
      </w:r>
    </w:p>
    <w:p w:rsidR="00CB0BEC" w:rsidRDefault="00632681" w:rsidP="00CB0BEC">
      <w:pPr>
        <w:spacing w:after="0"/>
      </w:pPr>
      <w:r>
        <w:t xml:space="preserve">In addition to this, I have </w:t>
      </w:r>
      <w:r w:rsidR="008C2FD9">
        <w:t xml:space="preserve">sought to appeal to the jurors’ sense of honour and justice in accordance to the laws of Athens with my final statement. Antiphon’s own works seem to reflect this tactic with the line </w:t>
      </w:r>
      <w:r w:rsidR="00CB0BEC">
        <w:t>“I have faith in your judgement and t</w:t>
      </w:r>
      <w:r w:rsidR="008C2FD9">
        <w:t>he true story of my conduct”</w:t>
      </w:r>
      <w:r w:rsidR="008C2FD9">
        <w:rPr>
          <w:rStyle w:val="FootnoteReference"/>
        </w:rPr>
        <w:footnoteReference w:id="3"/>
      </w:r>
    </w:p>
    <w:p w:rsidR="00CB0BEC" w:rsidRDefault="00CB0BEC" w:rsidP="00CB0BEC">
      <w:pPr>
        <w:spacing w:after="0"/>
      </w:pPr>
    </w:p>
    <w:p w:rsidR="00E87982" w:rsidRPr="008C2FD9" w:rsidRDefault="008C2FD9" w:rsidP="00E87982">
      <w:pPr>
        <w:spacing w:after="0"/>
      </w:pPr>
      <w:r>
        <w:t>It should be highlighted that</w:t>
      </w:r>
      <w:r w:rsidR="007F699C">
        <w:t xml:space="preserve"> although I have assigned reasons as to why some devices may have been used in specific passages, I cannot definitively state that this was the intention of the author in classical Athens.</w:t>
      </w:r>
      <w:r>
        <w:t xml:space="preserve"> Moreover, my writing is not a comprehensive piece on all of the rhetorical devises used in the ancient sources and its writing style is most likely heavily influenced by Antiphon’s </w:t>
      </w:r>
      <w:r>
        <w:rPr>
          <w:i/>
        </w:rPr>
        <w:t>On the Choreutes</w:t>
      </w:r>
      <w:r>
        <w:rPr>
          <w:rStyle w:val="FootnoteReference"/>
          <w:i/>
        </w:rPr>
        <w:footnoteReference w:id="4"/>
      </w:r>
      <w:r>
        <w:rPr>
          <w:i/>
        </w:rPr>
        <w:t xml:space="preserve"> </w:t>
      </w:r>
      <w:r>
        <w:t>because I was most familiar with this speech at the time.</w:t>
      </w:r>
    </w:p>
    <w:p w:rsidR="00E87982" w:rsidRDefault="00E87982" w:rsidP="00E87982">
      <w:pPr>
        <w:spacing w:after="0"/>
      </w:pPr>
    </w:p>
    <w:p w:rsidR="008C2AC3" w:rsidRDefault="008C2AC3" w:rsidP="00E87982">
      <w:pPr>
        <w:spacing w:after="0"/>
      </w:pPr>
    </w:p>
    <w:p w:rsidR="008C2AC3" w:rsidRDefault="008C2AC3" w:rsidP="00E87982">
      <w:pPr>
        <w:spacing w:after="0"/>
      </w:pPr>
    </w:p>
    <w:p w:rsidR="008C2AC3" w:rsidRDefault="008C2AC3" w:rsidP="008C2AC3">
      <w:pPr>
        <w:spacing w:after="0"/>
      </w:pPr>
    </w:p>
    <w:p w:rsidR="008C2AC3" w:rsidRDefault="008C2AC3" w:rsidP="008C2AC3">
      <w:pPr>
        <w:spacing w:after="0"/>
        <w:rPr>
          <w:b/>
        </w:rPr>
      </w:pPr>
      <w:r w:rsidRPr="008C2AC3">
        <w:rPr>
          <w:b/>
        </w:rPr>
        <w:lastRenderedPageBreak/>
        <w:t>Abbreviation table</w:t>
      </w:r>
    </w:p>
    <w:p w:rsidR="008C2AC3" w:rsidRPr="008C2AC3" w:rsidRDefault="008C2AC3" w:rsidP="008C2AC3">
      <w:pPr>
        <w:spacing w:after="0"/>
        <w:rPr>
          <w:b/>
        </w:rPr>
      </w:pPr>
    </w:p>
    <w:tbl>
      <w:tblPr>
        <w:tblStyle w:val="TableGrid"/>
        <w:tblW w:w="0" w:type="auto"/>
        <w:tblLook w:val="04A0" w:firstRow="1" w:lastRow="0" w:firstColumn="1" w:lastColumn="0" w:noHBand="0" w:noVBand="1"/>
      </w:tblPr>
      <w:tblGrid>
        <w:gridCol w:w="3080"/>
        <w:gridCol w:w="3081"/>
        <w:gridCol w:w="3081"/>
      </w:tblGrid>
      <w:tr w:rsidR="008C2AC3" w:rsidTr="00015E81">
        <w:tc>
          <w:tcPr>
            <w:tcW w:w="3080" w:type="dxa"/>
          </w:tcPr>
          <w:p w:rsidR="008C2AC3" w:rsidRDefault="008C2AC3" w:rsidP="00015E81">
            <w:r>
              <w:t>Name</w:t>
            </w:r>
          </w:p>
        </w:tc>
        <w:tc>
          <w:tcPr>
            <w:tcW w:w="3081" w:type="dxa"/>
          </w:tcPr>
          <w:p w:rsidR="008C2AC3" w:rsidRDefault="008C2AC3" w:rsidP="00015E81">
            <w:r>
              <w:t>Abbreviation</w:t>
            </w:r>
          </w:p>
        </w:tc>
        <w:tc>
          <w:tcPr>
            <w:tcW w:w="3081" w:type="dxa"/>
          </w:tcPr>
          <w:p w:rsidR="008C2AC3" w:rsidRDefault="008C2AC3" w:rsidP="00015E81">
            <w:r>
              <w:t>Work</w:t>
            </w:r>
          </w:p>
        </w:tc>
      </w:tr>
      <w:tr w:rsidR="008C2AC3" w:rsidTr="00015E81">
        <w:tc>
          <w:tcPr>
            <w:tcW w:w="3080" w:type="dxa"/>
          </w:tcPr>
          <w:p w:rsidR="008C2AC3" w:rsidRDefault="008C2AC3" w:rsidP="00015E81">
            <w:r>
              <w:t>Antiphon</w:t>
            </w:r>
          </w:p>
        </w:tc>
        <w:tc>
          <w:tcPr>
            <w:tcW w:w="3081" w:type="dxa"/>
          </w:tcPr>
          <w:p w:rsidR="008C2AC3" w:rsidRDefault="008C2AC3" w:rsidP="00015E81">
            <w:proofErr w:type="spellStart"/>
            <w:r>
              <w:t>Antiph</w:t>
            </w:r>
            <w:proofErr w:type="spellEnd"/>
            <w:r>
              <w:t>.</w:t>
            </w:r>
          </w:p>
        </w:tc>
        <w:tc>
          <w:tcPr>
            <w:tcW w:w="3081" w:type="dxa"/>
          </w:tcPr>
          <w:p w:rsidR="008C2AC3" w:rsidRDefault="008C2AC3" w:rsidP="00015E81">
            <w:r>
              <w:t>First Tetralogy</w:t>
            </w:r>
          </w:p>
          <w:p w:rsidR="008C2AC3" w:rsidRDefault="008C2AC3" w:rsidP="00015E81">
            <w:r>
              <w:t>On the Choreutes</w:t>
            </w:r>
          </w:p>
        </w:tc>
      </w:tr>
      <w:tr w:rsidR="008C2AC3" w:rsidTr="00015E81">
        <w:tc>
          <w:tcPr>
            <w:tcW w:w="3080" w:type="dxa"/>
          </w:tcPr>
          <w:p w:rsidR="008C2AC3" w:rsidRDefault="008C2AC3" w:rsidP="00015E81">
            <w:r>
              <w:t>Demosthenes</w:t>
            </w:r>
          </w:p>
        </w:tc>
        <w:tc>
          <w:tcPr>
            <w:tcW w:w="3081" w:type="dxa"/>
          </w:tcPr>
          <w:p w:rsidR="008C2AC3" w:rsidRDefault="008C2AC3" w:rsidP="00015E81">
            <w:r>
              <w:t>Dem.</w:t>
            </w:r>
          </w:p>
        </w:tc>
        <w:tc>
          <w:tcPr>
            <w:tcW w:w="3081" w:type="dxa"/>
          </w:tcPr>
          <w:p w:rsidR="008C2AC3" w:rsidRDefault="008C2AC3" w:rsidP="00015E81">
            <w:proofErr w:type="spellStart"/>
            <w:r>
              <w:t>Olynthiac</w:t>
            </w:r>
            <w:proofErr w:type="spellEnd"/>
            <w:r>
              <w:t xml:space="preserve"> I</w:t>
            </w:r>
          </w:p>
        </w:tc>
      </w:tr>
    </w:tbl>
    <w:p w:rsidR="008C2AC3" w:rsidRDefault="008C2AC3" w:rsidP="008C2AC3">
      <w:pPr>
        <w:spacing w:after="0"/>
      </w:pPr>
    </w:p>
    <w:p w:rsidR="008C2AC3" w:rsidRDefault="008C2AC3" w:rsidP="008C2AC3">
      <w:pPr>
        <w:spacing w:after="0"/>
      </w:pPr>
    </w:p>
    <w:p w:rsidR="008C2AC3" w:rsidRDefault="008C2AC3" w:rsidP="008C2AC3">
      <w:pPr>
        <w:spacing w:after="0"/>
      </w:pPr>
    </w:p>
    <w:p w:rsidR="008C2AC3" w:rsidRPr="007D49A5" w:rsidRDefault="008C2AC3" w:rsidP="008C2AC3">
      <w:pPr>
        <w:spacing w:after="0"/>
        <w:jc w:val="center"/>
        <w:rPr>
          <w:b/>
          <w:u w:val="single"/>
        </w:rPr>
      </w:pPr>
      <w:r w:rsidRPr="007D49A5">
        <w:rPr>
          <w:b/>
          <w:u w:val="single"/>
        </w:rPr>
        <w:t>Bibliography</w:t>
      </w:r>
    </w:p>
    <w:p w:rsidR="008C2AC3" w:rsidRPr="003C5629" w:rsidRDefault="008C2AC3" w:rsidP="008C2AC3">
      <w:pPr>
        <w:spacing w:after="0"/>
        <w:rPr>
          <w:b/>
        </w:rPr>
      </w:pPr>
      <w:r w:rsidRPr="003C5629">
        <w:rPr>
          <w:b/>
        </w:rPr>
        <w:t>Modern Sources:</w:t>
      </w:r>
    </w:p>
    <w:p w:rsidR="008C2AC3" w:rsidRDefault="008C2AC3" w:rsidP="008C2AC3">
      <w:pPr>
        <w:spacing w:after="0"/>
      </w:pPr>
      <w:r>
        <w:t xml:space="preserve">Todd, S. (1995) </w:t>
      </w:r>
      <w:r>
        <w:rPr>
          <w:i/>
        </w:rPr>
        <w:t xml:space="preserve">The Shape of Athenian Law. </w:t>
      </w:r>
      <w:r>
        <w:t xml:space="preserve">Oxford: </w:t>
      </w:r>
      <w:proofErr w:type="spellStart"/>
      <w:r>
        <w:t>Claredon</w:t>
      </w:r>
      <w:proofErr w:type="spellEnd"/>
      <w:r>
        <w:t xml:space="preserve"> </w:t>
      </w:r>
    </w:p>
    <w:p w:rsidR="008C2AC3" w:rsidRDefault="008C2AC3" w:rsidP="008C2AC3">
      <w:pPr>
        <w:spacing w:after="0"/>
      </w:pPr>
    </w:p>
    <w:p w:rsidR="008C2AC3" w:rsidRPr="003C5629" w:rsidRDefault="008C2AC3" w:rsidP="008C2AC3">
      <w:pPr>
        <w:spacing w:after="0"/>
        <w:rPr>
          <w:b/>
        </w:rPr>
      </w:pPr>
      <w:r w:rsidRPr="003C5629">
        <w:rPr>
          <w:b/>
        </w:rPr>
        <w:t>Ancient Sources:</w:t>
      </w:r>
    </w:p>
    <w:p w:rsidR="008C2AC3" w:rsidRDefault="008C2AC3" w:rsidP="008C2AC3">
      <w:pPr>
        <w:spacing w:after="0"/>
      </w:pPr>
      <w:proofErr w:type="gramStart"/>
      <w:r>
        <w:t>Antiphon.</w:t>
      </w:r>
      <w:proofErr w:type="gramEnd"/>
      <w:r>
        <w:t xml:space="preserve"> </w:t>
      </w:r>
      <w:proofErr w:type="gramStart"/>
      <w:r>
        <w:rPr>
          <w:i/>
        </w:rPr>
        <w:t>First Tetralogy.</w:t>
      </w:r>
      <w:proofErr w:type="gramEnd"/>
      <w:r>
        <w:rPr>
          <w:i/>
        </w:rPr>
        <w:t xml:space="preserve"> </w:t>
      </w:r>
      <w:r>
        <w:t xml:space="preserve">K.J. </w:t>
      </w:r>
      <w:proofErr w:type="spellStart"/>
      <w:r>
        <w:t>Maidment</w:t>
      </w:r>
      <w:proofErr w:type="spellEnd"/>
      <w:r>
        <w:t xml:space="preserve">, Ed. 1941. </w:t>
      </w:r>
      <w:proofErr w:type="gramStart"/>
      <w:r>
        <w:t>Harvard University Press.</w:t>
      </w:r>
      <w:proofErr w:type="gramEnd"/>
    </w:p>
    <w:p w:rsidR="008C2AC3" w:rsidRPr="003C5629" w:rsidRDefault="008C2AC3" w:rsidP="008C2AC3">
      <w:pPr>
        <w:spacing w:after="0"/>
      </w:pPr>
      <w:proofErr w:type="gramStart"/>
      <w:r>
        <w:t>Antiphon.</w:t>
      </w:r>
      <w:proofErr w:type="gramEnd"/>
      <w:r>
        <w:t xml:space="preserve"> </w:t>
      </w:r>
      <w:proofErr w:type="gramStart"/>
      <w:r>
        <w:rPr>
          <w:i/>
        </w:rPr>
        <w:t xml:space="preserve">On the </w:t>
      </w:r>
      <w:proofErr w:type="spellStart"/>
      <w:r>
        <w:rPr>
          <w:i/>
        </w:rPr>
        <w:t>Choretus</w:t>
      </w:r>
      <w:proofErr w:type="spellEnd"/>
      <w:r>
        <w:rPr>
          <w:i/>
        </w:rPr>
        <w:t>.</w:t>
      </w:r>
      <w:proofErr w:type="gramEnd"/>
      <w:r>
        <w:rPr>
          <w:i/>
        </w:rPr>
        <w:t xml:space="preserve"> </w:t>
      </w:r>
      <w:r>
        <w:t xml:space="preserve">K. J. </w:t>
      </w:r>
      <w:proofErr w:type="spellStart"/>
      <w:r>
        <w:t>Maidment</w:t>
      </w:r>
      <w:proofErr w:type="spellEnd"/>
      <w:r>
        <w:t>, Ed. 1960. Cambridge, MA: Harvard University Press.</w:t>
      </w:r>
    </w:p>
    <w:p w:rsidR="008C2AC3" w:rsidRPr="003C5629" w:rsidRDefault="008C2AC3" w:rsidP="008C2AC3">
      <w:pPr>
        <w:spacing w:after="0"/>
      </w:pPr>
      <w:r>
        <w:t xml:space="preserve">Demosthenes. </w:t>
      </w:r>
      <w:proofErr w:type="spellStart"/>
      <w:r>
        <w:rPr>
          <w:i/>
        </w:rPr>
        <w:t>Olynthiac</w:t>
      </w:r>
      <w:proofErr w:type="spellEnd"/>
      <w:r>
        <w:rPr>
          <w:i/>
        </w:rPr>
        <w:t xml:space="preserve"> I. </w:t>
      </w:r>
      <w:r>
        <w:t>J. H. Vince (</w:t>
      </w:r>
      <w:proofErr w:type="gramStart"/>
      <w:r>
        <w:t>trans</w:t>
      </w:r>
      <w:proofErr w:type="gramEnd"/>
      <w:r>
        <w:t>). 1930. Cambridge, MA, Harvard University Press; London, William Heinemann Ltd.</w:t>
      </w:r>
    </w:p>
    <w:p w:rsidR="00E87982" w:rsidRDefault="00E87982" w:rsidP="00E87982">
      <w:pPr>
        <w:spacing w:after="0"/>
      </w:pPr>
    </w:p>
    <w:sectPr w:rsidR="00E8798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5F1A" w:rsidRDefault="00625F1A" w:rsidP="00E87982">
      <w:pPr>
        <w:spacing w:after="0" w:line="240" w:lineRule="auto"/>
      </w:pPr>
      <w:r>
        <w:separator/>
      </w:r>
    </w:p>
  </w:endnote>
  <w:endnote w:type="continuationSeparator" w:id="0">
    <w:p w:rsidR="00625F1A" w:rsidRDefault="00625F1A" w:rsidP="00E87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5F1A" w:rsidRDefault="00625F1A" w:rsidP="00E87982">
      <w:pPr>
        <w:spacing w:after="0" w:line="240" w:lineRule="auto"/>
      </w:pPr>
      <w:r>
        <w:separator/>
      </w:r>
    </w:p>
  </w:footnote>
  <w:footnote w:type="continuationSeparator" w:id="0">
    <w:p w:rsidR="00625F1A" w:rsidRDefault="00625F1A" w:rsidP="00E87982">
      <w:pPr>
        <w:spacing w:after="0" w:line="240" w:lineRule="auto"/>
      </w:pPr>
      <w:r>
        <w:continuationSeparator/>
      </w:r>
    </w:p>
  </w:footnote>
  <w:footnote w:id="1">
    <w:p w:rsidR="00E87982" w:rsidRDefault="00E87982">
      <w:pPr>
        <w:pStyle w:val="FootnoteText"/>
      </w:pPr>
      <w:r>
        <w:rPr>
          <w:rStyle w:val="FootnoteReference"/>
        </w:rPr>
        <w:footnoteRef/>
      </w:r>
      <w:r>
        <w:t xml:space="preserve"> </w:t>
      </w:r>
      <w:r w:rsidR="00632681">
        <w:t>Dem.1.6-8</w:t>
      </w:r>
    </w:p>
  </w:footnote>
  <w:footnote w:id="2">
    <w:p w:rsidR="00632681" w:rsidRDefault="00632681">
      <w:pPr>
        <w:pStyle w:val="FootnoteText"/>
      </w:pPr>
      <w:r>
        <w:rPr>
          <w:rStyle w:val="FootnoteReference"/>
        </w:rPr>
        <w:footnoteRef/>
      </w:r>
      <w:r>
        <w:t xml:space="preserve"> Antiph.6.4</w:t>
      </w:r>
    </w:p>
  </w:footnote>
  <w:footnote w:id="3">
    <w:p w:rsidR="008C2FD9" w:rsidRDefault="008C2FD9">
      <w:pPr>
        <w:pStyle w:val="FootnoteText"/>
      </w:pPr>
      <w:r>
        <w:rPr>
          <w:rStyle w:val="FootnoteReference"/>
        </w:rPr>
        <w:footnoteRef/>
      </w:r>
      <w:r>
        <w:t xml:space="preserve"> </w:t>
      </w:r>
      <w:proofErr w:type="spellStart"/>
      <w:proofErr w:type="gramStart"/>
      <w:r>
        <w:t>Antiph</w:t>
      </w:r>
      <w:proofErr w:type="spellEnd"/>
      <w:r>
        <w:t>.</w:t>
      </w:r>
      <w:proofErr w:type="gramEnd"/>
      <w:r>
        <w:t xml:space="preserve"> 2 4.1</w:t>
      </w:r>
    </w:p>
  </w:footnote>
  <w:footnote w:id="4">
    <w:p w:rsidR="008C2FD9" w:rsidRDefault="008C2FD9">
      <w:pPr>
        <w:pStyle w:val="FootnoteText"/>
      </w:pPr>
      <w:r>
        <w:rPr>
          <w:rStyle w:val="FootnoteReference"/>
        </w:rPr>
        <w:footnoteRef/>
      </w:r>
      <w:r>
        <w:t xml:space="preserve"> Antiph.6.1-51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2AC3" w:rsidRDefault="008C2AC3">
    <w:pPr>
      <w:pStyle w:val="Header"/>
    </w:pPr>
    <w:proofErr w:type="spellStart"/>
    <w:r>
      <w:t>Hadie</w:t>
    </w:r>
    <w:proofErr w:type="spellEnd"/>
    <w:r>
      <w:t xml:space="preserve"> Watson</w:t>
    </w:r>
  </w:p>
  <w:p w:rsidR="008C2AC3" w:rsidRDefault="008C2AC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CC1A5A"/>
    <w:multiLevelType w:val="hybridMultilevel"/>
    <w:tmpl w:val="CA6C4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0BEC"/>
    <w:rsid w:val="00170A91"/>
    <w:rsid w:val="002E18D7"/>
    <w:rsid w:val="00625F1A"/>
    <w:rsid w:val="00632681"/>
    <w:rsid w:val="007F699C"/>
    <w:rsid w:val="008C2AC3"/>
    <w:rsid w:val="008C2FD9"/>
    <w:rsid w:val="00953A1B"/>
    <w:rsid w:val="00CB0BEC"/>
    <w:rsid w:val="00E8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0B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982"/>
    <w:pPr>
      <w:ind w:left="720"/>
      <w:contextualSpacing/>
    </w:pPr>
  </w:style>
  <w:style w:type="paragraph" w:styleId="FootnoteText">
    <w:name w:val="footnote text"/>
    <w:basedOn w:val="Normal"/>
    <w:link w:val="FootnoteTextChar"/>
    <w:uiPriority w:val="99"/>
    <w:semiHidden/>
    <w:unhideWhenUsed/>
    <w:rsid w:val="00E879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7982"/>
    <w:rPr>
      <w:sz w:val="20"/>
      <w:szCs w:val="20"/>
    </w:rPr>
  </w:style>
  <w:style w:type="character" w:styleId="FootnoteReference">
    <w:name w:val="footnote reference"/>
    <w:basedOn w:val="DefaultParagraphFont"/>
    <w:uiPriority w:val="99"/>
    <w:semiHidden/>
    <w:unhideWhenUsed/>
    <w:rsid w:val="00E87982"/>
    <w:rPr>
      <w:vertAlign w:val="superscript"/>
    </w:rPr>
  </w:style>
  <w:style w:type="table" w:styleId="TableGrid">
    <w:name w:val="Table Grid"/>
    <w:basedOn w:val="TableNormal"/>
    <w:uiPriority w:val="59"/>
    <w:rsid w:val="008C2A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C2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AC3"/>
  </w:style>
  <w:style w:type="paragraph" w:styleId="Footer">
    <w:name w:val="footer"/>
    <w:basedOn w:val="Normal"/>
    <w:link w:val="FooterChar"/>
    <w:uiPriority w:val="99"/>
    <w:unhideWhenUsed/>
    <w:rsid w:val="008C2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AC3"/>
  </w:style>
  <w:style w:type="paragraph" w:styleId="BalloonText">
    <w:name w:val="Balloon Text"/>
    <w:basedOn w:val="Normal"/>
    <w:link w:val="BalloonTextChar"/>
    <w:uiPriority w:val="99"/>
    <w:semiHidden/>
    <w:unhideWhenUsed/>
    <w:rsid w:val="008C2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AC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0B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982"/>
    <w:pPr>
      <w:ind w:left="720"/>
      <w:contextualSpacing/>
    </w:pPr>
  </w:style>
  <w:style w:type="paragraph" w:styleId="FootnoteText">
    <w:name w:val="footnote text"/>
    <w:basedOn w:val="Normal"/>
    <w:link w:val="FootnoteTextChar"/>
    <w:uiPriority w:val="99"/>
    <w:semiHidden/>
    <w:unhideWhenUsed/>
    <w:rsid w:val="00E879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7982"/>
    <w:rPr>
      <w:sz w:val="20"/>
      <w:szCs w:val="20"/>
    </w:rPr>
  </w:style>
  <w:style w:type="character" w:styleId="FootnoteReference">
    <w:name w:val="footnote reference"/>
    <w:basedOn w:val="DefaultParagraphFont"/>
    <w:uiPriority w:val="99"/>
    <w:semiHidden/>
    <w:unhideWhenUsed/>
    <w:rsid w:val="00E87982"/>
    <w:rPr>
      <w:vertAlign w:val="superscript"/>
    </w:rPr>
  </w:style>
  <w:style w:type="table" w:styleId="TableGrid">
    <w:name w:val="Table Grid"/>
    <w:basedOn w:val="TableNormal"/>
    <w:uiPriority w:val="59"/>
    <w:rsid w:val="008C2A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C2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AC3"/>
  </w:style>
  <w:style w:type="paragraph" w:styleId="Footer">
    <w:name w:val="footer"/>
    <w:basedOn w:val="Normal"/>
    <w:link w:val="FooterChar"/>
    <w:uiPriority w:val="99"/>
    <w:unhideWhenUsed/>
    <w:rsid w:val="008C2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AC3"/>
  </w:style>
  <w:style w:type="paragraph" w:styleId="BalloonText">
    <w:name w:val="Balloon Text"/>
    <w:basedOn w:val="Normal"/>
    <w:link w:val="BalloonTextChar"/>
    <w:uiPriority w:val="99"/>
    <w:semiHidden/>
    <w:unhideWhenUsed/>
    <w:rsid w:val="008C2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A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BFA30B-F396-43C0-B7D5-3BFB9AAE0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2</Pages>
  <Words>512</Words>
  <Characters>2920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cp:lastModifiedBy>
  <cp:revision>4</cp:revision>
  <dcterms:created xsi:type="dcterms:W3CDTF">2018-09-30T15:22:00Z</dcterms:created>
  <dcterms:modified xsi:type="dcterms:W3CDTF">2018-09-30T18:58:00Z</dcterms:modified>
</cp:coreProperties>
</file>