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5D8AB59E" w:rsidR="00AD6D75" w:rsidRPr="00BB05A0" w:rsidRDefault="00DC101A" w:rsidP="009F4F9E">
      <w:pPr>
        <w:pStyle w:val="COVERPAGETEXT"/>
      </w:pPr>
      <w:r>
        <w:t>Ian Dodd</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265BC21F" w:rsidR="00AD6D75" w:rsidRPr="00BB05A0" w:rsidRDefault="00B413BD" w:rsidP="009F4F9E">
      <w:pPr>
        <w:pStyle w:val="COVERPAGETEXT"/>
      </w:pPr>
      <w:r w:rsidRPr="00B413BD">
        <w:t>Analysis of a Cobalt-60 Irradiator Source</w:t>
      </w:r>
      <w:r>
        <w:t xml:space="preserve"> Incident</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3D99A76B" w:rsidR="00AD6D75" w:rsidRDefault="00E25CE3" w:rsidP="009F4F9E">
      <w:pPr>
        <w:pStyle w:val="COVERPAGETEXT"/>
      </w:pPr>
      <w:r>
        <w:t>University of Wales Trinity St David</w:t>
      </w:r>
    </w:p>
    <w:p w14:paraId="4981EF86" w14:textId="77777777" w:rsidR="004A3715" w:rsidRPr="00BB05A0" w:rsidRDefault="004A3715" w:rsidP="009F4F9E">
      <w:pPr>
        <w:pStyle w:val="COVERPAGETEXT"/>
      </w:pPr>
    </w:p>
    <w:p w14:paraId="6753F339" w14:textId="16EF4032" w:rsidR="00AD6D75" w:rsidRPr="00BB05A0" w:rsidRDefault="009A4C86" w:rsidP="009F4F9E">
      <w:pPr>
        <w:pStyle w:val="COVERPAGETEXT"/>
      </w:pPr>
      <w:r w:rsidRPr="009A4C86">
        <w:t>Nuclear Safety (ACDA5023)</w:t>
      </w: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4141C93E" w14:textId="4DD3CE46" w:rsidR="00B96699" w:rsidRDefault="00AD6D75" w:rsidP="00DC101A">
      <w:pPr>
        <w:pStyle w:val="COVERPAGETEXT"/>
      </w:pPr>
      <w:r>
        <w:t xml:space="preserve">Academic Year: </w:t>
      </w:r>
      <w:r w:rsidR="009A4C86">
        <w:t>2025</w:t>
      </w:r>
      <w:r>
        <w:t xml:space="preserve"> -</w:t>
      </w:r>
      <w:r w:rsidRPr="00931620">
        <w:t xml:space="preserve"> </w:t>
      </w:r>
      <w:r w:rsidR="009A4C86">
        <w:t>2026</w:t>
      </w:r>
    </w:p>
    <w:p w14:paraId="297396A1" w14:textId="13D224DF" w:rsidR="00F2159F" w:rsidRDefault="00F2159F" w:rsidP="009F4F9E">
      <w:pPr>
        <w:pStyle w:val="COVERPAGETEXT"/>
      </w:pPr>
      <w:r>
        <w:br w:type="page"/>
      </w:r>
    </w:p>
    <w:p w14:paraId="002A004E" w14:textId="77777777" w:rsidR="001B0633" w:rsidRDefault="001B0633" w:rsidP="001B0633">
      <w:pPr>
        <w:sectPr w:rsidR="001B0633" w:rsidSect="00623A81">
          <w:footerReference w:type="default" r:id="rId12"/>
          <w:pgSz w:w="11906" w:h="16838" w:code="9"/>
          <w:pgMar w:top="1701" w:right="1701" w:bottom="1701" w:left="1701" w:header="709" w:footer="851" w:gutter="0"/>
          <w:pgNumType w:fmt="lowerRoman" w:start="1"/>
          <w:cols w:space="708"/>
          <w:docGrid w:linePitch="360"/>
        </w:sectPr>
      </w:pPr>
      <w:bookmarkStart w:id="0" w:name="_Toc290554218"/>
      <w:bookmarkStart w:id="1" w:name="_Toc299621183"/>
      <w:bookmarkStart w:id="2" w:name="_Toc299631411"/>
      <w:bookmarkStart w:id="3" w:name="_Toc299631471"/>
      <w:bookmarkStart w:id="4" w:name="_Toc299631561"/>
      <w:bookmarkStart w:id="5" w:name="_Toc299631638"/>
    </w:p>
    <w:p w14:paraId="100DFCB2" w14:textId="4AFAC497" w:rsidR="00DA28B2" w:rsidRPr="006B4213" w:rsidRDefault="005E3ACA" w:rsidP="00DA28B2">
      <w:pPr>
        <w:pStyle w:val="Heading1nonumber"/>
      </w:pPr>
      <w:bookmarkStart w:id="6" w:name="_Toc239422693"/>
      <w:r w:rsidRPr="006B4213">
        <w:lastRenderedPageBreak/>
        <w:t>Abstract</w:t>
      </w:r>
      <w:bookmarkEnd w:id="0"/>
      <w:bookmarkEnd w:id="1"/>
      <w:bookmarkEnd w:id="2"/>
      <w:bookmarkEnd w:id="3"/>
      <w:bookmarkEnd w:id="4"/>
      <w:bookmarkEnd w:id="5"/>
      <w:bookmarkEnd w:id="6"/>
    </w:p>
    <w:p w14:paraId="5F661D8D" w14:textId="7E0CE235" w:rsidR="00DA28B2" w:rsidRDefault="00F240E1" w:rsidP="00941D35">
      <w:r w:rsidRPr="00F240E1">
        <w:t xml:space="preserve">This report analyses a radiological incident that occurred on 21 October 2024 at a university medical physics facility operating a Nordion JS-9600 panoramic gamma irradiator. A mechanical defect prevented the cobalt-60 source carrier from seating fully in its shielded position, while a degraded source position switch falsely confirmed a safe condition and permitted access to the service vestibule. A technician received an effective dose of 18.9 mSv, as measured by </w:t>
      </w:r>
      <w:proofErr w:type="spellStart"/>
      <w:r w:rsidRPr="00F240E1">
        <w:t>thermoluminescent</w:t>
      </w:r>
      <w:proofErr w:type="spellEnd"/>
      <w:r w:rsidRPr="00F240E1">
        <w:t xml:space="preserve"> dosemeter, with a concurrent electronic personal dosimeter reading of 14.8 mSv. Source activity at the time of the incident was determined by exponential decay to be approximately 46.9 </w:t>
      </w:r>
      <w:proofErr w:type="spellStart"/>
      <w:r w:rsidRPr="00F240E1">
        <w:t>TBq</w:t>
      </w:r>
      <w:proofErr w:type="spellEnd"/>
      <w:r w:rsidRPr="00F240E1">
        <w:t xml:space="preserve">. The unshielded dose rate at 1 m was estimated by the gamma constant method at between 14.3 and 16.4 Sv/h, and </w:t>
      </w:r>
      <w:r w:rsidR="00581D92">
        <w:t xml:space="preserve">the </w:t>
      </w:r>
      <w:proofErr w:type="spellStart"/>
      <w:r w:rsidR="00581D92">
        <w:t>recontstructed</w:t>
      </w:r>
      <w:proofErr w:type="spellEnd"/>
      <w:r w:rsidR="00581D92">
        <w:t xml:space="preserve"> dose by phase</w:t>
      </w:r>
      <w:r w:rsidRPr="00F240E1">
        <w:t xml:space="preserve"> produced a total dose of 4.3 to 14.1 mSv, broadly consistent with the measured values once uncertainties in distance, duration and attenuation are considered. The incident is assessed against the Ionising Radiations Regulations 2017 and the ONR Safety Assessment Principles, with particular reference to EKP.5, Defence in Depth. Proportionate improvements are proposed on ALARP grounds,</w:t>
      </w:r>
      <w:r w:rsidR="00FA6815">
        <w:t xml:space="preserve"> including</w:t>
      </w:r>
      <w:r w:rsidRPr="00F240E1">
        <w:t xml:space="preserve"> diverse redundant interlocks, removal of administrative overrides from safety-critical monitoring, and corrective maintenance of the source return mechanism.</w:t>
      </w:r>
    </w:p>
    <w:p w14:paraId="6B888662" w14:textId="77777777" w:rsidR="00F2159F" w:rsidRDefault="00F2159F" w:rsidP="00AE480E">
      <w:bookmarkStart w:id="7" w:name="_Toc290554219"/>
      <w:bookmarkStart w:id="8" w:name="_Toc299621184"/>
      <w:bookmarkStart w:id="9" w:name="_Toc299631412"/>
      <w:bookmarkStart w:id="10" w:name="_Toc299631472"/>
      <w:bookmarkStart w:id="11" w:name="_Toc299631562"/>
      <w:bookmarkStart w:id="12" w:name="_Toc299631639"/>
      <w:r>
        <w:br w:type="page"/>
      </w:r>
    </w:p>
    <w:bookmarkEnd w:id="7"/>
    <w:bookmarkEnd w:id="8"/>
    <w:bookmarkEnd w:id="9"/>
    <w:bookmarkEnd w:id="10"/>
    <w:bookmarkEnd w:id="11"/>
    <w:bookmarkEnd w:id="12"/>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32896CB2" w14:textId="088B39F3" w:rsidR="00E25CE3"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39422693" w:history="1">
        <w:r w:rsidR="00E25CE3" w:rsidRPr="006D6B0B">
          <w:rPr>
            <w:rStyle w:val="Hyperlink"/>
          </w:rPr>
          <w:t>Abstract</w:t>
        </w:r>
        <w:r w:rsidR="00E25CE3">
          <w:rPr>
            <w:webHidden/>
          </w:rPr>
          <w:tab/>
        </w:r>
        <w:r w:rsidR="00E25CE3">
          <w:rPr>
            <w:webHidden/>
          </w:rPr>
          <w:fldChar w:fldCharType="begin"/>
        </w:r>
        <w:r w:rsidR="00E25CE3">
          <w:rPr>
            <w:webHidden/>
          </w:rPr>
          <w:instrText xml:space="preserve"> PAGEREF _Toc239422693 \h </w:instrText>
        </w:r>
        <w:r w:rsidR="00E25CE3">
          <w:rPr>
            <w:webHidden/>
          </w:rPr>
        </w:r>
        <w:r w:rsidR="00E25CE3">
          <w:rPr>
            <w:webHidden/>
          </w:rPr>
          <w:fldChar w:fldCharType="separate"/>
        </w:r>
        <w:r w:rsidR="00E25CE3">
          <w:rPr>
            <w:webHidden/>
          </w:rPr>
          <w:t>ii</w:t>
        </w:r>
        <w:r w:rsidR="00E25CE3">
          <w:rPr>
            <w:webHidden/>
          </w:rPr>
          <w:fldChar w:fldCharType="end"/>
        </w:r>
      </w:hyperlink>
    </w:p>
    <w:p w14:paraId="5D1BA43B" w14:textId="4D0178C8" w:rsidR="00E25CE3" w:rsidRDefault="00E25CE3">
      <w:pPr>
        <w:pStyle w:val="TOC1"/>
        <w:rPr>
          <w:rFonts w:asciiTheme="minorHAnsi" w:eastAsiaTheme="minorEastAsia" w:hAnsiTheme="minorHAnsi" w:cstheme="minorBidi"/>
          <w:kern w:val="2"/>
          <w:lang w:eastAsia="en-GB"/>
          <w14:ligatures w14:val="standardContextual"/>
        </w:rPr>
      </w:pPr>
      <w:hyperlink w:anchor="_Toc239422694" w:history="1">
        <w:r w:rsidRPr="006D6B0B">
          <w:rPr>
            <w:rStyle w:val="Hyperlink"/>
          </w:rPr>
          <w:t>1 Introduction</w:t>
        </w:r>
        <w:r>
          <w:rPr>
            <w:webHidden/>
          </w:rPr>
          <w:tab/>
        </w:r>
        <w:r>
          <w:rPr>
            <w:webHidden/>
          </w:rPr>
          <w:fldChar w:fldCharType="begin"/>
        </w:r>
        <w:r>
          <w:rPr>
            <w:webHidden/>
          </w:rPr>
          <w:instrText xml:space="preserve"> PAGEREF _Toc239422694 \h </w:instrText>
        </w:r>
        <w:r>
          <w:rPr>
            <w:webHidden/>
          </w:rPr>
        </w:r>
        <w:r>
          <w:rPr>
            <w:webHidden/>
          </w:rPr>
          <w:fldChar w:fldCharType="separate"/>
        </w:r>
        <w:r>
          <w:rPr>
            <w:webHidden/>
          </w:rPr>
          <w:t>4</w:t>
        </w:r>
        <w:r>
          <w:rPr>
            <w:webHidden/>
          </w:rPr>
          <w:fldChar w:fldCharType="end"/>
        </w:r>
      </w:hyperlink>
    </w:p>
    <w:p w14:paraId="087854C9" w14:textId="6BA178E3" w:rsidR="00E25CE3" w:rsidRDefault="00E25CE3">
      <w:pPr>
        <w:pStyle w:val="TOC1"/>
        <w:rPr>
          <w:rFonts w:asciiTheme="minorHAnsi" w:eastAsiaTheme="minorEastAsia" w:hAnsiTheme="minorHAnsi" w:cstheme="minorBidi"/>
          <w:kern w:val="2"/>
          <w:lang w:eastAsia="en-GB"/>
          <w14:ligatures w14:val="standardContextual"/>
        </w:rPr>
      </w:pPr>
      <w:hyperlink w:anchor="_Toc239422695" w:history="1">
        <w:r w:rsidRPr="006D6B0B">
          <w:rPr>
            <w:rStyle w:val="Hyperlink"/>
          </w:rPr>
          <w:t>2 Technical Exposition</w:t>
        </w:r>
        <w:r>
          <w:rPr>
            <w:webHidden/>
          </w:rPr>
          <w:tab/>
        </w:r>
        <w:r>
          <w:rPr>
            <w:webHidden/>
          </w:rPr>
          <w:fldChar w:fldCharType="begin"/>
        </w:r>
        <w:r>
          <w:rPr>
            <w:webHidden/>
          </w:rPr>
          <w:instrText xml:space="preserve"> PAGEREF _Toc239422695 \h </w:instrText>
        </w:r>
        <w:r>
          <w:rPr>
            <w:webHidden/>
          </w:rPr>
        </w:r>
        <w:r>
          <w:rPr>
            <w:webHidden/>
          </w:rPr>
          <w:fldChar w:fldCharType="separate"/>
        </w:r>
        <w:r>
          <w:rPr>
            <w:webHidden/>
          </w:rPr>
          <w:t>5</w:t>
        </w:r>
        <w:r>
          <w:rPr>
            <w:webHidden/>
          </w:rPr>
          <w:fldChar w:fldCharType="end"/>
        </w:r>
      </w:hyperlink>
    </w:p>
    <w:p w14:paraId="0B596556" w14:textId="351B1EE7"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696" w:history="1">
        <w:r w:rsidRPr="006D6B0B">
          <w:rPr>
            <w:rStyle w:val="Hyperlink"/>
            <w:noProof/>
          </w:rPr>
          <w:t>2.1 Cobalt-60 as an irradiator source</w:t>
        </w:r>
        <w:r>
          <w:rPr>
            <w:noProof/>
            <w:webHidden/>
          </w:rPr>
          <w:tab/>
        </w:r>
        <w:r>
          <w:rPr>
            <w:noProof/>
            <w:webHidden/>
          </w:rPr>
          <w:fldChar w:fldCharType="begin"/>
        </w:r>
        <w:r>
          <w:rPr>
            <w:noProof/>
            <w:webHidden/>
          </w:rPr>
          <w:instrText xml:space="preserve"> PAGEREF _Toc239422696 \h </w:instrText>
        </w:r>
        <w:r>
          <w:rPr>
            <w:noProof/>
            <w:webHidden/>
          </w:rPr>
        </w:r>
        <w:r>
          <w:rPr>
            <w:noProof/>
            <w:webHidden/>
          </w:rPr>
          <w:fldChar w:fldCharType="separate"/>
        </w:r>
        <w:r>
          <w:rPr>
            <w:noProof/>
            <w:webHidden/>
          </w:rPr>
          <w:t>5</w:t>
        </w:r>
        <w:r>
          <w:rPr>
            <w:noProof/>
            <w:webHidden/>
          </w:rPr>
          <w:fldChar w:fldCharType="end"/>
        </w:r>
      </w:hyperlink>
    </w:p>
    <w:p w14:paraId="7F913E33" w14:textId="20ADCB36"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697" w:history="1">
        <w:r w:rsidRPr="006D6B0B">
          <w:rPr>
            <w:rStyle w:val="Hyperlink"/>
            <w:noProof/>
          </w:rPr>
          <w:t>2.2 Estimating dose rates from sealed gamma sources</w:t>
        </w:r>
        <w:r>
          <w:rPr>
            <w:noProof/>
            <w:webHidden/>
          </w:rPr>
          <w:tab/>
        </w:r>
        <w:r>
          <w:rPr>
            <w:noProof/>
            <w:webHidden/>
          </w:rPr>
          <w:fldChar w:fldCharType="begin"/>
        </w:r>
        <w:r>
          <w:rPr>
            <w:noProof/>
            <w:webHidden/>
          </w:rPr>
          <w:instrText xml:space="preserve"> PAGEREF _Toc239422697 \h </w:instrText>
        </w:r>
        <w:r>
          <w:rPr>
            <w:noProof/>
            <w:webHidden/>
          </w:rPr>
        </w:r>
        <w:r>
          <w:rPr>
            <w:noProof/>
            <w:webHidden/>
          </w:rPr>
          <w:fldChar w:fldCharType="separate"/>
        </w:r>
        <w:r>
          <w:rPr>
            <w:noProof/>
            <w:webHidden/>
          </w:rPr>
          <w:t>5</w:t>
        </w:r>
        <w:r>
          <w:rPr>
            <w:noProof/>
            <w:webHidden/>
          </w:rPr>
          <w:fldChar w:fldCharType="end"/>
        </w:r>
      </w:hyperlink>
    </w:p>
    <w:p w14:paraId="020C1FF2" w14:textId="7641334C" w:rsidR="00E25CE3" w:rsidRDefault="00E25CE3">
      <w:pPr>
        <w:pStyle w:val="TOC1"/>
        <w:rPr>
          <w:rFonts w:asciiTheme="minorHAnsi" w:eastAsiaTheme="minorEastAsia" w:hAnsiTheme="minorHAnsi" w:cstheme="minorBidi"/>
          <w:kern w:val="2"/>
          <w:lang w:eastAsia="en-GB"/>
          <w14:ligatures w14:val="standardContextual"/>
        </w:rPr>
      </w:pPr>
      <w:hyperlink w:anchor="_Toc239422698" w:history="1">
        <w:r w:rsidRPr="006D6B0B">
          <w:rPr>
            <w:rStyle w:val="Hyperlink"/>
          </w:rPr>
          <w:t>3 Case Analysis</w:t>
        </w:r>
        <w:r>
          <w:rPr>
            <w:webHidden/>
          </w:rPr>
          <w:tab/>
        </w:r>
        <w:r>
          <w:rPr>
            <w:webHidden/>
          </w:rPr>
          <w:fldChar w:fldCharType="begin"/>
        </w:r>
        <w:r>
          <w:rPr>
            <w:webHidden/>
          </w:rPr>
          <w:instrText xml:space="preserve"> PAGEREF _Toc239422698 \h </w:instrText>
        </w:r>
        <w:r>
          <w:rPr>
            <w:webHidden/>
          </w:rPr>
        </w:r>
        <w:r>
          <w:rPr>
            <w:webHidden/>
          </w:rPr>
          <w:fldChar w:fldCharType="separate"/>
        </w:r>
        <w:r>
          <w:rPr>
            <w:webHidden/>
          </w:rPr>
          <w:t>6</w:t>
        </w:r>
        <w:r>
          <w:rPr>
            <w:webHidden/>
          </w:rPr>
          <w:fldChar w:fldCharType="end"/>
        </w:r>
      </w:hyperlink>
    </w:p>
    <w:p w14:paraId="26322C4E" w14:textId="1B6C757C"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699" w:history="1">
        <w:r w:rsidRPr="006D6B0B">
          <w:rPr>
            <w:rStyle w:val="Hyperlink"/>
            <w:noProof/>
          </w:rPr>
          <w:t>3.1 Narrative of the incident</w:t>
        </w:r>
        <w:r>
          <w:rPr>
            <w:noProof/>
            <w:webHidden/>
          </w:rPr>
          <w:tab/>
        </w:r>
        <w:r>
          <w:rPr>
            <w:noProof/>
            <w:webHidden/>
          </w:rPr>
          <w:fldChar w:fldCharType="begin"/>
        </w:r>
        <w:r>
          <w:rPr>
            <w:noProof/>
            <w:webHidden/>
          </w:rPr>
          <w:instrText xml:space="preserve"> PAGEREF _Toc239422699 \h </w:instrText>
        </w:r>
        <w:r>
          <w:rPr>
            <w:noProof/>
            <w:webHidden/>
          </w:rPr>
        </w:r>
        <w:r>
          <w:rPr>
            <w:noProof/>
            <w:webHidden/>
          </w:rPr>
          <w:fldChar w:fldCharType="separate"/>
        </w:r>
        <w:r>
          <w:rPr>
            <w:noProof/>
            <w:webHidden/>
          </w:rPr>
          <w:t>6</w:t>
        </w:r>
        <w:r>
          <w:rPr>
            <w:noProof/>
            <w:webHidden/>
          </w:rPr>
          <w:fldChar w:fldCharType="end"/>
        </w:r>
      </w:hyperlink>
    </w:p>
    <w:p w14:paraId="6DDA7850" w14:textId="7FBF8AF6"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0" w:history="1">
        <w:r w:rsidRPr="006D6B0B">
          <w:rPr>
            <w:rStyle w:val="Hyperlink"/>
            <w:noProof/>
          </w:rPr>
          <w:t>3.2 Source activity at the incident</w:t>
        </w:r>
        <w:r>
          <w:rPr>
            <w:noProof/>
            <w:webHidden/>
          </w:rPr>
          <w:tab/>
        </w:r>
        <w:r>
          <w:rPr>
            <w:noProof/>
            <w:webHidden/>
          </w:rPr>
          <w:fldChar w:fldCharType="begin"/>
        </w:r>
        <w:r>
          <w:rPr>
            <w:noProof/>
            <w:webHidden/>
          </w:rPr>
          <w:instrText xml:space="preserve"> PAGEREF _Toc239422700 \h </w:instrText>
        </w:r>
        <w:r>
          <w:rPr>
            <w:noProof/>
            <w:webHidden/>
          </w:rPr>
        </w:r>
        <w:r>
          <w:rPr>
            <w:noProof/>
            <w:webHidden/>
          </w:rPr>
          <w:fldChar w:fldCharType="separate"/>
        </w:r>
        <w:r>
          <w:rPr>
            <w:noProof/>
            <w:webHidden/>
          </w:rPr>
          <w:t>7</w:t>
        </w:r>
        <w:r>
          <w:rPr>
            <w:noProof/>
            <w:webHidden/>
          </w:rPr>
          <w:fldChar w:fldCharType="end"/>
        </w:r>
      </w:hyperlink>
    </w:p>
    <w:p w14:paraId="71468CF2" w14:textId="0D67CBD4"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1" w:history="1">
        <w:r w:rsidRPr="006D6B0B">
          <w:rPr>
            <w:rStyle w:val="Hyperlink"/>
            <w:noProof/>
          </w:rPr>
          <w:t>3.3 Unshielded dose rate at  1m</w:t>
        </w:r>
        <w:r>
          <w:rPr>
            <w:noProof/>
            <w:webHidden/>
          </w:rPr>
          <w:tab/>
        </w:r>
        <w:r>
          <w:rPr>
            <w:noProof/>
            <w:webHidden/>
          </w:rPr>
          <w:fldChar w:fldCharType="begin"/>
        </w:r>
        <w:r>
          <w:rPr>
            <w:noProof/>
            <w:webHidden/>
          </w:rPr>
          <w:instrText xml:space="preserve"> PAGEREF _Toc239422701 \h </w:instrText>
        </w:r>
        <w:r>
          <w:rPr>
            <w:noProof/>
            <w:webHidden/>
          </w:rPr>
        </w:r>
        <w:r>
          <w:rPr>
            <w:noProof/>
            <w:webHidden/>
          </w:rPr>
          <w:fldChar w:fldCharType="separate"/>
        </w:r>
        <w:r>
          <w:rPr>
            <w:noProof/>
            <w:webHidden/>
          </w:rPr>
          <w:t>7</w:t>
        </w:r>
        <w:r>
          <w:rPr>
            <w:noProof/>
            <w:webHidden/>
          </w:rPr>
          <w:fldChar w:fldCharType="end"/>
        </w:r>
      </w:hyperlink>
    </w:p>
    <w:p w14:paraId="3A9A11BB" w14:textId="328596A7"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2" w:history="1">
        <w:r w:rsidRPr="006D6B0B">
          <w:rPr>
            <w:rStyle w:val="Hyperlink"/>
            <w:noProof/>
          </w:rPr>
          <w:t>3.4 Dose rates during the exposure phases</w:t>
        </w:r>
        <w:r>
          <w:rPr>
            <w:noProof/>
            <w:webHidden/>
          </w:rPr>
          <w:tab/>
        </w:r>
        <w:r>
          <w:rPr>
            <w:noProof/>
            <w:webHidden/>
          </w:rPr>
          <w:fldChar w:fldCharType="begin"/>
        </w:r>
        <w:r>
          <w:rPr>
            <w:noProof/>
            <w:webHidden/>
          </w:rPr>
          <w:instrText xml:space="preserve"> PAGEREF _Toc239422702 \h </w:instrText>
        </w:r>
        <w:r>
          <w:rPr>
            <w:noProof/>
            <w:webHidden/>
          </w:rPr>
        </w:r>
        <w:r>
          <w:rPr>
            <w:noProof/>
            <w:webHidden/>
          </w:rPr>
          <w:fldChar w:fldCharType="separate"/>
        </w:r>
        <w:r>
          <w:rPr>
            <w:noProof/>
            <w:webHidden/>
          </w:rPr>
          <w:t>7</w:t>
        </w:r>
        <w:r>
          <w:rPr>
            <w:noProof/>
            <w:webHidden/>
          </w:rPr>
          <w:fldChar w:fldCharType="end"/>
        </w:r>
      </w:hyperlink>
    </w:p>
    <w:p w14:paraId="43A7097A" w14:textId="474B665F"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3" w:history="1">
        <w:r w:rsidRPr="006D6B0B">
          <w:rPr>
            <w:rStyle w:val="Hyperlink"/>
            <w:noProof/>
          </w:rPr>
          <w:t>3.5 Estimated effective dose</w:t>
        </w:r>
        <w:r>
          <w:rPr>
            <w:noProof/>
            <w:webHidden/>
          </w:rPr>
          <w:tab/>
        </w:r>
        <w:r>
          <w:rPr>
            <w:noProof/>
            <w:webHidden/>
          </w:rPr>
          <w:fldChar w:fldCharType="begin"/>
        </w:r>
        <w:r>
          <w:rPr>
            <w:noProof/>
            <w:webHidden/>
          </w:rPr>
          <w:instrText xml:space="preserve"> PAGEREF _Toc239422703 \h </w:instrText>
        </w:r>
        <w:r>
          <w:rPr>
            <w:noProof/>
            <w:webHidden/>
          </w:rPr>
        </w:r>
        <w:r>
          <w:rPr>
            <w:noProof/>
            <w:webHidden/>
          </w:rPr>
          <w:fldChar w:fldCharType="separate"/>
        </w:r>
        <w:r>
          <w:rPr>
            <w:noProof/>
            <w:webHidden/>
          </w:rPr>
          <w:t>8</w:t>
        </w:r>
        <w:r>
          <w:rPr>
            <w:noProof/>
            <w:webHidden/>
          </w:rPr>
          <w:fldChar w:fldCharType="end"/>
        </w:r>
      </w:hyperlink>
    </w:p>
    <w:p w14:paraId="7A235F4A" w14:textId="363AF370" w:rsidR="00E25CE3" w:rsidRDefault="00E25CE3">
      <w:pPr>
        <w:pStyle w:val="TOC1"/>
        <w:rPr>
          <w:rFonts w:asciiTheme="minorHAnsi" w:eastAsiaTheme="minorEastAsia" w:hAnsiTheme="minorHAnsi" w:cstheme="minorBidi"/>
          <w:kern w:val="2"/>
          <w:lang w:eastAsia="en-GB"/>
          <w14:ligatures w14:val="standardContextual"/>
        </w:rPr>
      </w:pPr>
      <w:hyperlink w:anchor="_Toc239422704" w:history="1">
        <w:r w:rsidRPr="006D6B0B">
          <w:rPr>
            <w:rStyle w:val="Hyperlink"/>
          </w:rPr>
          <w:t>4 Discussion</w:t>
        </w:r>
        <w:r>
          <w:rPr>
            <w:webHidden/>
          </w:rPr>
          <w:tab/>
        </w:r>
        <w:r>
          <w:rPr>
            <w:webHidden/>
          </w:rPr>
          <w:fldChar w:fldCharType="begin"/>
        </w:r>
        <w:r>
          <w:rPr>
            <w:webHidden/>
          </w:rPr>
          <w:instrText xml:space="preserve"> PAGEREF _Toc239422704 \h </w:instrText>
        </w:r>
        <w:r>
          <w:rPr>
            <w:webHidden/>
          </w:rPr>
        </w:r>
        <w:r>
          <w:rPr>
            <w:webHidden/>
          </w:rPr>
          <w:fldChar w:fldCharType="separate"/>
        </w:r>
        <w:r>
          <w:rPr>
            <w:webHidden/>
          </w:rPr>
          <w:t>9</w:t>
        </w:r>
        <w:r>
          <w:rPr>
            <w:webHidden/>
          </w:rPr>
          <w:fldChar w:fldCharType="end"/>
        </w:r>
      </w:hyperlink>
    </w:p>
    <w:p w14:paraId="3A0B8F25" w14:textId="4297E698"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5" w:history="1">
        <w:r w:rsidRPr="006D6B0B">
          <w:rPr>
            <w:rStyle w:val="Hyperlink"/>
            <w:noProof/>
          </w:rPr>
          <w:t>4.1 Comparison with measured dose</w:t>
        </w:r>
        <w:r>
          <w:rPr>
            <w:noProof/>
            <w:webHidden/>
          </w:rPr>
          <w:tab/>
        </w:r>
        <w:r>
          <w:rPr>
            <w:noProof/>
            <w:webHidden/>
          </w:rPr>
          <w:fldChar w:fldCharType="begin"/>
        </w:r>
        <w:r>
          <w:rPr>
            <w:noProof/>
            <w:webHidden/>
          </w:rPr>
          <w:instrText xml:space="preserve"> PAGEREF _Toc239422705 \h </w:instrText>
        </w:r>
        <w:r>
          <w:rPr>
            <w:noProof/>
            <w:webHidden/>
          </w:rPr>
        </w:r>
        <w:r>
          <w:rPr>
            <w:noProof/>
            <w:webHidden/>
          </w:rPr>
          <w:fldChar w:fldCharType="separate"/>
        </w:r>
        <w:r>
          <w:rPr>
            <w:noProof/>
            <w:webHidden/>
          </w:rPr>
          <w:t>9</w:t>
        </w:r>
        <w:r>
          <w:rPr>
            <w:noProof/>
            <w:webHidden/>
          </w:rPr>
          <w:fldChar w:fldCharType="end"/>
        </w:r>
      </w:hyperlink>
    </w:p>
    <w:p w14:paraId="687F629E" w14:textId="478834AD"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6" w:history="1">
        <w:r w:rsidRPr="006D6B0B">
          <w:rPr>
            <w:rStyle w:val="Hyperlink"/>
            <w:noProof/>
          </w:rPr>
          <w:t>4.2 Health implications</w:t>
        </w:r>
        <w:r>
          <w:rPr>
            <w:noProof/>
            <w:webHidden/>
          </w:rPr>
          <w:tab/>
        </w:r>
        <w:r>
          <w:rPr>
            <w:noProof/>
            <w:webHidden/>
          </w:rPr>
          <w:fldChar w:fldCharType="begin"/>
        </w:r>
        <w:r>
          <w:rPr>
            <w:noProof/>
            <w:webHidden/>
          </w:rPr>
          <w:instrText xml:space="preserve"> PAGEREF _Toc239422706 \h </w:instrText>
        </w:r>
        <w:r>
          <w:rPr>
            <w:noProof/>
            <w:webHidden/>
          </w:rPr>
        </w:r>
        <w:r>
          <w:rPr>
            <w:noProof/>
            <w:webHidden/>
          </w:rPr>
          <w:fldChar w:fldCharType="separate"/>
        </w:r>
        <w:r>
          <w:rPr>
            <w:noProof/>
            <w:webHidden/>
          </w:rPr>
          <w:t>10</w:t>
        </w:r>
        <w:r>
          <w:rPr>
            <w:noProof/>
            <w:webHidden/>
          </w:rPr>
          <w:fldChar w:fldCharType="end"/>
        </w:r>
      </w:hyperlink>
    </w:p>
    <w:p w14:paraId="79F741FA" w14:textId="3C74C4F1"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7" w:history="1">
        <w:r w:rsidRPr="006D6B0B">
          <w:rPr>
            <w:rStyle w:val="Hyperlink"/>
            <w:noProof/>
          </w:rPr>
          <w:t>4.3 Compliance with IRR17</w:t>
        </w:r>
        <w:r>
          <w:rPr>
            <w:noProof/>
            <w:webHidden/>
          </w:rPr>
          <w:tab/>
        </w:r>
        <w:r>
          <w:rPr>
            <w:noProof/>
            <w:webHidden/>
          </w:rPr>
          <w:fldChar w:fldCharType="begin"/>
        </w:r>
        <w:r>
          <w:rPr>
            <w:noProof/>
            <w:webHidden/>
          </w:rPr>
          <w:instrText xml:space="preserve"> PAGEREF _Toc239422707 \h </w:instrText>
        </w:r>
        <w:r>
          <w:rPr>
            <w:noProof/>
            <w:webHidden/>
          </w:rPr>
        </w:r>
        <w:r>
          <w:rPr>
            <w:noProof/>
            <w:webHidden/>
          </w:rPr>
          <w:fldChar w:fldCharType="separate"/>
        </w:r>
        <w:r>
          <w:rPr>
            <w:noProof/>
            <w:webHidden/>
          </w:rPr>
          <w:t>10</w:t>
        </w:r>
        <w:r>
          <w:rPr>
            <w:noProof/>
            <w:webHidden/>
          </w:rPr>
          <w:fldChar w:fldCharType="end"/>
        </w:r>
      </w:hyperlink>
    </w:p>
    <w:p w14:paraId="1DAB1A52" w14:textId="256515DE"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08" w:history="1">
        <w:r w:rsidRPr="006D6B0B">
          <w:rPr>
            <w:rStyle w:val="Hyperlink"/>
            <w:noProof/>
          </w:rPr>
          <w:t>4.4 Assessment Against ONR Safety Assessment Principles</w:t>
        </w:r>
        <w:r>
          <w:rPr>
            <w:noProof/>
            <w:webHidden/>
          </w:rPr>
          <w:tab/>
        </w:r>
        <w:r>
          <w:rPr>
            <w:noProof/>
            <w:webHidden/>
          </w:rPr>
          <w:fldChar w:fldCharType="begin"/>
        </w:r>
        <w:r>
          <w:rPr>
            <w:noProof/>
            <w:webHidden/>
          </w:rPr>
          <w:instrText xml:space="preserve"> PAGEREF _Toc239422708 \h </w:instrText>
        </w:r>
        <w:r>
          <w:rPr>
            <w:noProof/>
            <w:webHidden/>
          </w:rPr>
        </w:r>
        <w:r>
          <w:rPr>
            <w:noProof/>
            <w:webHidden/>
          </w:rPr>
          <w:fldChar w:fldCharType="separate"/>
        </w:r>
        <w:r>
          <w:rPr>
            <w:noProof/>
            <w:webHidden/>
          </w:rPr>
          <w:t>12</w:t>
        </w:r>
        <w:r>
          <w:rPr>
            <w:noProof/>
            <w:webHidden/>
          </w:rPr>
          <w:fldChar w:fldCharType="end"/>
        </w:r>
      </w:hyperlink>
    </w:p>
    <w:p w14:paraId="481D7110" w14:textId="7AD1347A" w:rsidR="00E25CE3" w:rsidRDefault="00E25CE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9422709" w:history="1">
        <w:r w:rsidRPr="006D6B0B">
          <w:rPr>
            <w:rStyle w:val="Hyperlink"/>
            <w:noProof/>
          </w:rPr>
          <w:t>4.4.1 EKP.5, Defence in Depth</w:t>
        </w:r>
        <w:r>
          <w:rPr>
            <w:noProof/>
            <w:webHidden/>
          </w:rPr>
          <w:tab/>
        </w:r>
        <w:r>
          <w:rPr>
            <w:noProof/>
            <w:webHidden/>
          </w:rPr>
          <w:fldChar w:fldCharType="begin"/>
        </w:r>
        <w:r>
          <w:rPr>
            <w:noProof/>
            <w:webHidden/>
          </w:rPr>
          <w:instrText xml:space="preserve"> PAGEREF _Toc239422709 \h </w:instrText>
        </w:r>
        <w:r>
          <w:rPr>
            <w:noProof/>
            <w:webHidden/>
          </w:rPr>
        </w:r>
        <w:r>
          <w:rPr>
            <w:noProof/>
            <w:webHidden/>
          </w:rPr>
          <w:fldChar w:fldCharType="separate"/>
        </w:r>
        <w:r>
          <w:rPr>
            <w:noProof/>
            <w:webHidden/>
          </w:rPr>
          <w:t>12</w:t>
        </w:r>
        <w:r>
          <w:rPr>
            <w:noProof/>
            <w:webHidden/>
          </w:rPr>
          <w:fldChar w:fldCharType="end"/>
        </w:r>
      </w:hyperlink>
    </w:p>
    <w:p w14:paraId="2C875246" w14:textId="45C2FA39" w:rsidR="00E25CE3" w:rsidRDefault="00E25CE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9422710" w:history="1">
        <w:r w:rsidRPr="006D6B0B">
          <w:rPr>
            <w:rStyle w:val="Hyperlink"/>
            <w:noProof/>
          </w:rPr>
          <w:t>4.4.2 ECO 3.3 (Safety Culture)</w:t>
        </w:r>
        <w:r>
          <w:rPr>
            <w:noProof/>
            <w:webHidden/>
          </w:rPr>
          <w:tab/>
        </w:r>
        <w:r>
          <w:rPr>
            <w:noProof/>
            <w:webHidden/>
          </w:rPr>
          <w:fldChar w:fldCharType="begin"/>
        </w:r>
        <w:r>
          <w:rPr>
            <w:noProof/>
            <w:webHidden/>
          </w:rPr>
          <w:instrText xml:space="preserve"> PAGEREF _Toc239422710 \h </w:instrText>
        </w:r>
        <w:r>
          <w:rPr>
            <w:noProof/>
            <w:webHidden/>
          </w:rPr>
        </w:r>
        <w:r>
          <w:rPr>
            <w:noProof/>
            <w:webHidden/>
          </w:rPr>
          <w:fldChar w:fldCharType="separate"/>
        </w:r>
        <w:r>
          <w:rPr>
            <w:noProof/>
            <w:webHidden/>
          </w:rPr>
          <w:t>12</w:t>
        </w:r>
        <w:r>
          <w:rPr>
            <w:noProof/>
            <w:webHidden/>
          </w:rPr>
          <w:fldChar w:fldCharType="end"/>
        </w:r>
      </w:hyperlink>
    </w:p>
    <w:p w14:paraId="5E6C0AA4" w14:textId="5D088ECC" w:rsidR="00E25CE3" w:rsidRDefault="00E25CE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9422711" w:history="1">
        <w:r w:rsidRPr="006D6B0B">
          <w:rPr>
            <w:rStyle w:val="Hyperlink"/>
            <w:noProof/>
          </w:rPr>
          <w:t>4.4.3 EHA.1 (Hazard Identification and Analysis)</w:t>
        </w:r>
        <w:r>
          <w:rPr>
            <w:noProof/>
            <w:webHidden/>
          </w:rPr>
          <w:tab/>
        </w:r>
        <w:r>
          <w:rPr>
            <w:noProof/>
            <w:webHidden/>
          </w:rPr>
          <w:fldChar w:fldCharType="begin"/>
        </w:r>
        <w:r>
          <w:rPr>
            <w:noProof/>
            <w:webHidden/>
          </w:rPr>
          <w:instrText xml:space="preserve"> PAGEREF _Toc239422711 \h </w:instrText>
        </w:r>
        <w:r>
          <w:rPr>
            <w:noProof/>
            <w:webHidden/>
          </w:rPr>
        </w:r>
        <w:r>
          <w:rPr>
            <w:noProof/>
            <w:webHidden/>
          </w:rPr>
          <w:fldChar w:fldCharType="separate"/>
        </w:r>
        <w:r>
          <w:rPr>
            <w:noProof/>
            <w:webHidden/>
          </w:rPr>
          <w:t>12</w:t>
        </w:r>
        <w:r>
          <w:rPr>
            <w:noProof/>
            <w:webHidden/>
          </w:rPr>
          <w:fldChar w:fldCharType="end"/>
        </w:r>
      </w:hyperlink>
    </w:p>
    <w:p w14:paraId="71E10CCB" w14:textId="3D7755A5" w:rsidR="00E25CE3" w:rsidRDefault="00E25CE3">
      <w:pPr>
        <w:pStyle w:val="TOC1"/>
        <w:rPr>
          <w:rFonts w:asciiTheme="minorHAnsi" w:eastAsiaTheme="minorEastAsia" w:hAnsiTheme="minorHAnsi" w:cstheme="minorBidi"/>
          <w:kern w:val="2"/>
          <w:lang w:eastAsia="en-GB"/>
          <w14:ligatures w14:val="standardContextual"/>
        </w:rPr>
      </w:pPr>
      <w:hyperlink w:anchor="_Toc239422712" w:history="1">
        <w:r w:rsidRPr="006D6B0B">
          <w:rPr>
            <w:rStyle w:val="Hyperlink"/>
          </w:rPr>
          <w:t>5 Recommendations on ALARP Grounds</w:t>
        </w:r>
        <w:r>
          <w:rPr>
            <w:webHidden/>
          </w:rPr>
          <w:tab/>
        </w:r>
        <w:r>
          <w:rPr>
            <w:webHidden/>
          </w:rPr>
          <w:fldChar w:fldCharType="begin"/>
        </w:r>
        <w:r>
          <w:rPr>
            <w:webHidden/>
          </w:rPr>
          <w:instrText xml:space="preserve"> PAGEREF _Toc239422712 \h </w:instrText>
        </w:r>
        <w:r>
          <w:rPr>
            <w:webHidden/>
          </w:rPr>
        </w:r>
        <w:r>
          <w:rPr>
            <w:webHidden/>
          </w:rPr>
          <w:fldChar w:fldCharType="separate"/>
        </w:r>
        <w:r>
          <w:rPr>
            <w:webHidden/>
          </w:rPr>
          <w:t>13</w:t>
        </w:r>
        <w:r>
          <w:rPr>
            <w:webHidden/>
          </w:rPr>
          <w:fldChar w:fldCharType="end"/>
        </w:r>
      </w:hyperlink>
    </w:p>
    <w:p w14:paraId="61B4B211" w14:textId="5124A4B3" w:rsidR="00E25CE3" w:rsidRDefault="00E25CE3">
      <w:pPr>
        <w:pStyle w:val="TOC1"/>
        <w:rPr>
          <w:rFonts w:asciiTheme="minorHAnsi" w:eastAsiaTheme="minorEastAsia" w:hAnsiTheme="minorHAnsi" w:cstheme="minorBidi"/>
          <w:kern w:val="2"/>
          <w:lang w:eastAsia="en-GB"/>
          <w14:ligatures w14:val="standardContextual"/>
        </w:rPr>
      </w:pPr>
      <w:hyperlink w:anchor="_Toc239422713" w:history="1">
        <w:r w:rsidRPr="006D6B0B">
          <w:rPr>
            <w:rStyle w:val="Hyperlink"/>
          </w:rPr>
          <w:t>6 Conclusions</w:t>
        </w:r>
        <w:r>
          <w:rPr>
            <w:webHidden/>
          </w:rPr>
          <w:tab/>
        </w:r>
        <w:r>
          <w:rPr>
            <w:webHidden/>
          </w:rPr>
          <w:fldChar w:fldCharType="begin"/>
        </w:r>
        <w:r>
          <w:rPr>
            <w:webHidden/>
          </w:rPr>
          <w:instrText xml:space="preserve"> PAGEREF _Toc239422713 \h </w:instrText>
        </w:r>
        <w:r>
          <w:rPr>
            <w:webHidden/>
          </w:rPr>
        </w:r>
        <w:r>
          <w:rPr>
            <w:webHidden/>
          </w:rPr>
          <w:fldChar w:fldCharType="separate"/>
        </w:r>
        <w:r>
          <w:rPr>
            <w:webHidden/>
          </w:rPr>
          <w:t>14</w:t>
        </w:r>
        <w:r>
          <w:rPr>
            <w:webHidden/>
          </w:rPr>
          <w:fldChar w:fldCharType="end"/>
        </w:r>
      </w:hyperlink>
    </w:p>
    <w:p w14:paraId="6C202CC9" w14:textId="7E42906D" w:rsidR="00E25CE3" w:rsidRDefault="00E25CE3">
      <w:pPr>
        <w:pStyle w:val="TOC1"/>
        <w:rPr>
          <w:rFonts w:asciiTheme="minorHAnsi" w:eastAsiaTheme="minorEastAsia" w:hAnsiTheme="minorHAnsi" w:cstheme="minorBidi"/>
          <w:kern w:val="2"/>
          <w:lang w:eastAsia="en-GB"/>
          <w14:ligatures w14:val="standardContextual"/>
        </w:rPr>
      </w:pPr>
      <w:hyperlink w:anchor="_Toc239422714" w:history="1">
        <w:r w:rsidRPr="006D6B0B">
          <w:rPr>
            <w:rStyle w:val="Hyperlink"/>
          </w:rPr>
          <w:t>References</w:t>
        </w:r>
        <w:r>
          <w:rPr>
            <w:webHidden/>
          </w:rPr>
          <w:tab/>
        </w:r>
        <w:r>
          <w:rPr>
            <w:webHidden/>
          </w:rPr>
          <w:fldChar w:fldCharType="begin"/>
        </w:r>
        <w:r>
          <w:rPr>
            <w:webHidden/>
          </w:rPr>
          <w:instrText xml:space="preserve"> PAGEREF _Toc239422714 \h </w:instrText>
        </w:r>
        <w:r>
          <w:rPr>
            <w:webHidden/>
          </w:rPr>
        </w:r>
        <w:r>
          <w:rPr>
            <w:webHidden/>
          </w:rPr>
          <w:fldChar w:fldCharType="separate"/>
        </w:r>
        <w:r>
          <w:rPr>
            <w:webHidden/>
          </w:rPr>
          <w:t>15</w:t>
        </w:r>
        <w:r>
          <w:rPr>
            <w:webHidden/>
          </w:rPr>
          <w:fldChar w:fldCharType="end"/>
        </w:r>
      </w:hyperlink>
    </w:p>
    <w:p w14:paraId="29630977" w14:textId="0338BB80" w:rsidR="00E25CE3" w:rsidRDefault="00E25CE3">
      <w:pPr>
        <w:pStyle w:val="TOC2"/>
        <w:rPr>
          <w:rFonts w:asciiTheme="minorHAnsi" w:eastAsiaTheme="minorEastAsia" w:hAnsiTheme="minorHAnsi" w:cstheme="minorBidi"/>
          <w:noProof/>
          <w:kern w:val="2"/>
          <w:lang w:eastAsia="en-GB"/>
          <w14:ligatures w14:val="standardContextual"/>
        </w:rPr>
      </w:pPr>
      <w:hyperlink w:anchor="_Toc239422715" w:history="1">
        <w:r w:rsidRPr="006D6B0B">
          <w:rPr>
            <w:rStyle w:val="Hyperlink"/>
            <w:rFonts w:cs="Arial"/>
            <w:noProof/>
          </w:rPr>
          <w:t>Appendix A</w:t>
        </w:r>
        <w:r w:rsidRPr="006D6B0B">
          <w:rPr>
            <w:rStyle w:val="Hyperlink"/>
            <w:noProof/>
          </w:rPr>
          <w:t xml:space="preserve"> Detailed Calculations</w:t>
        </w:r>
        <w:r>
          <w:rPr>
            <w:noProof/>
            <w:webHidden/>
          </w:rPr>
          <w:tab/>
        </w:r>
        <w:r>
          <w:rPr>
            <w:noProof/>
            <w:webHidden/>
          </w:rPr>
          <w:fldChar w:fldCharType="begin"/>
        </w:r>
        <w:r>
          <w:rPr>
            <w:noProof/>
            <w:webHidden/>
          </w:rPr>
          <w:instrText xml:space="preserve"> PAGEREF _Toc239422715 \h </w:instrText>
        </w:r>
        <w:r>
          <w:rPr>
            <w:noProof/>
            <w:webHidden/>
          </w:rPr>
        </w:r>
        <w:r>
          <w:rPr>
            <w:noProof/>
            <w:webHidden/>
          </w:rPr>
          <w:fldChar w:fldCharType="separate"/>
        </w:r>
        <w:r>
          <w:rPr>
            <w:noProof/>
            <w:webHidden/>
          </w:rPr>
          <w:t>16</w:t>
        </w:r>
        <w:r>
          <w:rPr>
            <w:noProof/>
            <w:webHidden/>
          </w:rPr>
          <w:fldChar w:fldCharType="end"/>
        </w:r>
      </w:hyperlink>
    </w:p>
    <w:p w14:paraId="036DDC55" w14:textId="576EEA2E" w:rsidR="005C0AF1" w:rsidRDefault="00B765F2" w:rsidP="00AE480E">
      <w:r>
        <w:fldChar w:fldCharType="end"/>
      </w:r>
      <w:bookmarkStart w:id="13" w:name="_Toc51833372"/>
      <w:bookmarkStart w:id="14" w:name="_Toc290554221"/>
      <w:bookmarkStart w:id="15" w:name="_Toc299621186"/>
      <w:bookmarkStart w:id="16" w:name="_Toc299631414"/>
      <w:bookmarkStart w:id="17" w:name="_Toc299631474"/>
      <w:bookmarkStart w:id="18" w:name="_Toc299631564"/>
      <w:bookmarkStart w:id="19" w:name="_Toc299631641"/>
      <w:r w:rsidR="005C0AF1">
        <w:br w:type="page"/>
      </w:r>
      <w:bookmarkEnd w:id="13"/>
      <w:bookmarkEnd w:id="14"/>
      <w:bookmarkEnd w:id="15"/>
      <w:bookmarkEnd w:id="16"/>
      <w:bookmarkEnd w:id="17"/>
      <w:bookmarkEnd w:id="18"/>
      <w:bookmarkEnd w:id="19"/>
    </w:p>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4254E0E3" w:rsidR="008D5D60" w:rsidRDefault="00F240E1" w:rsidP="00C53236">
      <w:pPr>
        <w:pStyle w:val="Heading1"/>
      </w:pPr>
      <w:bookmarkStart w:id="20" w:name="_Toc51833421"/>
      <w:bookmarkStart w:id="21" w:name="_Toc239422694"/>
      <w:r>
        <w:lastRenderedPageBreak/>
        <w:t>Introduction</w:t>
      </w:r>
      <w:bookmarkEnd w:id="21"/>
    </w:p>
    <w:bookmarkEnd w:id="20"/>
    <w:p w14:paraId="192449FB" w14:textId="40917626" w:rsidR="00CD2B67" w:rsidRDefault="00CD2B67" w:rsidP="00CD2B67">
      <w:r>
        <w:t xml:space="preserve">Facilities licensed to irradiate materials </w:t>
      </w:r>
      <w:r w:rsidR="00890BF3">
        <w:t>operate</w:t>
      </w:r>
      <w:r>
        <w:t xml:space="preserve"> on </w:t>
      </w:r>
      <w:r w:rsidR="003561DB">
        <w:t>the premise that</w:t>
      </w:r>
      <w:r>
        <w:t xml:space="preserve"> a very intense radiation source is stored behind shielding, and personnel only approach it when the source is demonstrably safe. The safety case for such a </w:t>
      </w:r>
      <w:proofErr w:type="gramStart"/>
      <w:r>
        <w:t>facility rests</w:t>
      </w:r>
      <w:proofErr w:type="gramEnd"/>
      <w:r>
        <w:t xml:space="preserve"> on multiple independent barriers, and the credibility of the whole design depends on those barriers failing independently</w:t>
      </w:r>
      <w:r w:rsidR="00656DFA">
        <w:t>. However, o</w:t>
      </w:r>
      <w:r>
        <w:t>n 21 October 2024, at the facility examined here, they failed simultaneously</w:t>
      </w:r>
      <w:r w:rsidR="00184873">
        <w:t xml:space="preserve"> </w:t>
      </w:r>
      <w:r w:rsidR="00184873">
        <w:fldChar w:fldCharType="begin"/>
      </w:r>
      <w:r w:rsidR="004E36AE">
        <w:instrText xml:space="preserve"> ADDIN ZOTERO_ITEM CSL_CITATION {"citationID":"NyhxR9ja","properties":{"unsorted":false,"formattedCitation":"(Mason, 2026)","plainCitation":"(Mason, 2026)","noteIndex":0},"citationItems":[{"id":549,"uris":["http://zotero.org/users/local/kxeNHLpj/items/TITHV3WZ"],"itemData":{"id":549,"type":"document","title":"Assignment D","author":[{"family":"Mason","given":"Sam"}],"issued":{"date-parts":[["2026",3,24]]}}}],"schema":"https://github.com/citation-style-language/schema/raw/master/csl-citation.json"} </w:instrText>
      </w:r>
      <w:r w:rsidR="00184873">
        <w:fldChar w:fldCharType="separate"/>
      </w:r>
      <w:r w:rsidR="004E36AE" w:rsidRPr="004E36AE">
        <w:rPr>
          <w:rFonts w:cs="Arial"/>
        </w:rPr>
        <w:t>(Mason, 2026)</w:t>
      </w:r>
      <w:r w:rsidR="00184873">
        <w:fldChar w:fldCharType="end"/>
      </w:r>
      <w:r>
        <w:t>.</w:t>
      </w:r>
    </w:p>
    <w:p w14:paraId="74BAAE87" w14:textId="76671D7C" w:rsidR="00CD2B67" w:rsidRDefault="00CD2B67" w:rsidP="00CD2B67">
      <w:r>
        <w:t>The Nordion JS-9600 is a panoramic gamma irradiator used for research irradiation and radiation processing. Sealed cobalt-60 source pencils are held in a cylindrical carrier rack mounted on a vertically translating mechanism. In normal operation the carrier rests in a shielded position at the base of the machine. When raised, it produces a near-isotropic gamma field within a shielded irradiation chamber. A service vestibule adjoins the chamber, separated by shielding and a labyrinth access path designed to limit radiation streaming. Two independent safety systems guard vestibule access: a mechanical source position switch and a fixed radiation monitor permissive. Both must confirm a safe condition before entry is permitted</w:t>
      </w:r>
      <w:r w:rsidR="00BF2F32">
        <w:t xml:space="preserve"> </w:t>
      </w:r>
      <w:r w:rsidR="00BF2F32">
        <w:fldChar w:fldCharType="begin"/>
      </w:r>
      <w:r w:rsidR="00A50379">
        <w:instrText xml:space="preserve"> ADDIN ZOTERO_ITEM CSL_CITATION {"citationID":"roxRMlSM","properties":{"unsorted":false,"formattedCitation":"(Nordion, 2018; Howard, 2020)","plainCitation":"(Nordion, 2018; Howard, 2020)","noteIndex":0},"citationItems":[{"id":545,"uris":["http://zotero.org/users/local/kxeNHLpj/items/N7HG6XW7"],"itemData":{"id":545,"type":"document","language":"en","source":"Zotero","title":"JS-10000 Hanging Tote Irradiator","author":[{"literal":"Nordion"}],"issued":{"date-parts":[["2018",4]]}}},{"id":548,"uris":["http://zotero.org/users/local/kxeNHLpj/items/LN97CC7R"],"itemData":{"id":548,"type":"article-journal","abstract":"This article will discuss opportunities to improve the efficiency of cobalt-60 (Co-60) utilization within a gamma irradiator. It will show how redistributing the Co-60 within the source rack may lead to improved throughput or dose uniformity within a product. It presents examples of modifications to the equipment within the source pass; these include reduction in the carrier wall thickness and changes to the product stack size. It will discuss the process of scheduling and present ideas of how to optimize both the order of the products and transitions between the products to maximize process efficiencies.","container-title":"Biomedical Instrumentation &amp;amp; Technology","DOI":"10.2345/0899-8205-54.s3.31","issue":"s1","page":"31-39","title":"Optimizing the Gamma Process","volume":"54","author":[{"family":"Howard","given":"Chris"}],"issued":{"date-parts":[["2020"]]}}}],"schema":"https://github.com/citation-style-language/schema/raw/master/csl-citation.json"} </w:instrText>
      </w:r>
      <w:r w:rsidR="00BF2F32">
        <w:fldChar w:fldCharType="separate"/>
      </w:r>
      <w:r w:rsidR="00A50379" w:rsidRPr="00A50379">
        <w:rPr>
          <w:rFonts w:cs="Arial"/>
        </w:rPr>
        <w:t>(Nordion, 2018; Howard, 2020)</w:t>
      </w:r>
      <w:r w:rsidR="00BF2F32">
        <w:fldChar w:fldCharType="end"/>
      </w:r>
      <w:r>
        <w:t>.</w:t>
      </w:r>
    </w:p>
    <w:p w14:paraId="44F8B337" w14:textId="38C65BAB" w:rsidR="00C81B24" w:rsidRDefault="00CD2B67" w:rsidP="00CD2B67">
      <w:r>
        <w:t>This report explains why cobalt-60 suits this application, determines the source activity on the day of the incident, estimates the unshielded dose rate at 1 m, reconstructs the dose received by the technician across two exposure phases, compares the reconstruction with measured dosimetry, and examines the health, legislative and safety-</w:t>
      </w:r>
      <w:proofErr w:type="gramStart"/>
      <w:r>
        <w:t>principle</w:t>
      </w:r>
      <w:proofErr w:type="gramEnd"/>
      <w:r>
        <w:t xml:space="preserve"> consequences. It closes with recommendations justified on ALARP grounds.</w:t>
      </w:r>
    </w:p>
    <w:p w14:paraId="61EDA401" w14:textId="77777777" w:rsidR="00C81B24" w:rsidRDefault="00C81B24" w:rsidP="00C81B24"/>
    <w:p w14:paraId="7177B3B0" w14:textId="77777777" w:rsidR="00C81B24" w:rsidRPr="00C81B24" w:rsidRDefault="00C81B24" w:rsidP="00C81B24">
      <w:pPr>
        <w:sectPr w:rsidR="00C81B24" w:rsidRPr="00C81B24" w:rsidSect="00623A81">
          <w:headerReference w:type="default" r:id="rId13"/>
          <w:pgSz w:w="11906" w:h="16838" w:code="9"/>
          <w:pgMar w:top="1701" w:right="1701" w:bottom="1701" w:left="1701" w:header="709" w:footer="851" w:gutter="0"/>
          <w:cols w:space="708"/>
          <w:docGrid w:linePitch="360"/>
        </w:sectPr>
      </w:pPr>
    </w:p>
    <w:p w14:paraId="183549D8" w14:textId="24DB4836" w:rsidR="00DA28B2" w:rsidRDefault="004264D6" w:rsidP="00DA28B2">
      <w:pPr>
        <w:pStyle w:val="Heading1"/>
      </w:pPr>
      <w:bookmarkStart w:id="22" w:name="_Toc239422695"/>
      <w:r>
        <w:lastRenderedPageBreak/>
        <w:t>Technical Exposition</w:t>
      </w:r>
      <w:bookmarkEnd w:id="22"/>
    </w:p>
    <w:p w14:paraId="4F5EB451" w14:textId="2AA74BB1" w:rsidR="00DA28B2" w:rsidRDefault="004264D6" w:rsidP="00DA28B2">
      <w:pPr>
        <w:pStyle w:val="Heading2"/>
      </w:pPr>
      <w:bookmarkStart w:id="23" w:name="_Toc239422696"/>
      <w:r>
        <w:t>Cobalt-60 as an irradiator source</w:t>
      </w:r>
      <w:bookmarkEnd w:id="23"/>
    </w:p>
    <w:p w14:paraId="4A16FAA8" w14:textId="435FD402" w:rsidR="002E2CFF" w:rsidRDefault="002E2CFF" w:rsidP="002E2CFF">
      <w:r>
        <w:t>Cobalt-60 decays by beta emission to excited states of nickel-60, which de-excite by emitting two gamma photons of 1.17 and 1.33 MeV.</w:t>
      </w:r>
      <w:r w:rsidR="0078022D">
        <w:t xml:space="preserve"> The</w:t>
      </w:r>
      <w:r w:rsidR="0078022D">
        <w:t xml:space="preserve"> gamma yield is </w:t>
      </w:r>
      <w:r w:rsidR="0078022D">
        <w:t xml:space="preserve">a </w:t>
      </w:r>
      <w:proofErr w:type="gramStart"/>
      <w:r w:rsidR="0078022D">
        <w:t xml:space="preserve">vital </w:t>
      </w:r>
      <w:r w:rsidR="0078022D">
        <w:t xml:space="preserve"> property</w:t>
      </w:r>
      <w:proofErr w:type="gramEnd"/>
      <w:r w:rsidR="0078022D">
        <w:t xml:space="preserve"> f</w:t>
      </w:r>
      <w:r>
        <w:t xml:space="preserve">or </w:t>
      </w:r>
      <w:r w:rsidR="0078022D">
        <w:t>a material to be used as an</w:t>
      </w:r>
      <w:r>
        <w:t xml:space="preserve"> </w:t>
      </w:r>
      <w:proofErr w:type="gramStart"/>
      <w:r>
        <w:t>irradiator,.</w:t>
      </w:r>
      <w:proofErr w:type="gramEnd"/>
      <w:r>
        <w:t xml:space="preserve"> The mean photon energy of approximately 1.25 MeV gives </w:t>
      </w:r>
      <w:r w:rsidR="0078022D">
        <w:t>good</w:t>
      </w:r>
      <w:r>
        <w:t xml:space="preserve"> penetration</w:t>
      </w:r>
      <w:r w:rsidR="004377EF">
        <w:t xml:space="preserve"> </w:t>
      </w:r>
      <w:r w:rsidR="004377EF">
        <w:fldChar w:fldCharType="begin"/>
      </w:r>
      <w:r w:rsidR="004377EF">
        <w:instrText xml:space="preserve"> ADDIN ZOTERO_ITEM CSL_CITATION {"citationID":"3Litlmof","properties":{"unsorted":false,"formattedCitation":"(Valentin, 2009)","plainCitation":"(Valentin, 2009)","noteIndex":0},"citationItems":[{"id":552,"uris":["http://zotero.org/users/local/kxeNHLpj/items/7HY9FRB2"],"itemData":{"id":552,"type":"book","collection-number":"107","collection-title":"ICRP publication","ISBN":"978-0-7020-3475-6","language":"eng","number-of-pages":"96","publisher":"Elsevier","publisher-place":"St. Louis, Mo.","source":"K10plus ISBN","title":"Nuclear decay data for dosimetric calculations","editor":[{"family":"Valentin","given":"Jack"}],"issued":{"date-parts":[["2009"]]}}}],"schema":"https://github.com/citation-style-language/schema/raw/master/csl-citation.json"} </w:instrText>
      </w:r>
      <w:r w:rsidR="004377EF">
        <w:fldChar w:fldCharType="separate"/>
      </w:r>
      <w:r w:rsidR="004377EF" w:rsidRPr="004377EF">
        <w:rPr>
          <w:rFonts w:cs="Arial"/>
        </w:rPr>
        <w:t>(Valentin, 2009)</w:t>
      </w:r>
      <w:r w:rsidR="004377EF">
        <w:fldChar w:fldCharType="end"/>
      </w:r>
      <w:r>
        <w:t xml:space="preserve">, which promotes dose uniformity through dense product loads and limits the shadowing that lower energy photons would suffer. </w:t>
      </w:r>
      <w:r w:rsidR="00842AAC">
        <w:t>A</w:t>
      </w:r>
      <w:r w:rsidR="00842AAC">
        <w:t>n irradiation process must demonstrate that the minimum dose delivered meets the specified target</w:t>
      </w:r>
      <w:r w:rsidR="00842AAC">
        <w:t>,</w:t>
      </w:r>
      <w:r w:rsidR="00842AAC">
        <w:t xml:space="preserve"> </w:t>
      </w:r>
      <w:r w:rsidR="00842AAC">
        <w:t>u</w:t>
      </w:r>
      <w:r>
        <w:t>niformity of dose</w:t>
      </w:r>
      <w:r w:rsidR="003A477D">
        <w:t xml:space="preserve"> is vital for successful function</w:t>
      </w:r>
      <w:r>
        <w:t xml:space="preserve"> </w:t>
      </w:r>
      <w:r w:rsidR="008A022F">
        <w:fldChar w:fldCharType="begin"/>
      </w:r>
      <w:r w:rsidR="00081C72">
        <w:instrText xml:space="preserve"> ADDIN ZOTERO_ITEM CSL_CITATION {"citationID":"0minPihT","properties":{"unsorted":false,"formattedCitation":"(IAEA, 2006)","plainCitation":"(IAEA, 2006)","noteIndex":0},"citationItems":[{"id":556,"uris":["http://zotero.org/users/local/kxeNHLpj/items/FU9WC4CP"],"itemData":{"id":556,"type":"report","abstract":"Radiation technology is one of the most important fields which the IAEA supports and promotes, and has several programmes that facilitate its use in the developing Member States. In view of this mandate, this Booklet on 'Gamma Irradiators for Radiation Processing' is prepared which describes variety of gamma irradiators that can be used for radiation processing applications. It is intended to present description of general principles of design and operation of the gamma irradiators available currently for industrial use. It aims at providing information to industrial end users to familiarise them with the technology, with the hope that the information contained here would assist them in selecting the most optimum irradiator for their needs. Correct selection affects not only the ease of operation but also yields higher efficiency, and thus improved economy. The Booklet is also intended for promoting radiation processing in general to governments and general public","language":"English","number":"INIS-XA--862","publisher":"International Atomic Energy Agency, Industrial Applications and Chemistry Section, Vienna (Austria)","source":"inis.iaea.org","title":"Gamma irradiators for radiation processing","URL":"https://inis.iaea.org/records/517fx-exh85","author":[{"literal":"IAEA"}],"accessed":{"date-parts":[["2026",9,4]]},"issued":{"date-parts":[["2006"]]}}}],"schema":"https://github.com/citation-style-language/schema/raw/master/csl-citation.json"} </w:instrText>
      </w:r>
      <w:r w:rsidR="008A022F">
        <w:fldChar w:fldCharType="separate"/>
      </w:r>
      <w:r w:rsidR="00081C72" w:rsidRPr="00081C72">
        <w:rPr>
          <w:rFonts w:cs="Arial"/>
        </w:rPr>
        <w:t>(IAEA, 2006)</w:t>
      </w:r>
      <w:r w:rsidR="008A022F">
        <w:fldChar w:fldCharType="end"/>
      </w:r>
      <w:r w:rsidR="00965CD1">
        <w:t>.</w:t>
      </w:r>
    </w:p>
    <w:p w14:paraId="17440DE4" w14:textId="79B57B3C" w:rsidR="00DA28B2" w:rsidRDefault="002E2CFF" w:rsidP="002E2CFF">
      <w:r>
        <w:t xml:space="preserve">The half-life of cobalt-60 is 5.27 years. This </w:t>
      </w:r>
      <w:r w:rsidR="00AF5D8F">
        <w:t>has multiple implications</w:t>
      </w:r>
      <w:r w:rsidR="00C46892">
        <w:t>;</w:t>
      </w:r>
      <w:r>
        <w:t xml:space="preserve"> Activity remains high enough to sustain process throughput for several years between source replacements, while decay is fast enough that a certified activity is meaningful and replenishment cycles are predictable. The metal's chemical compatibility with stainless steel encapsulation </w:t>
      </w:r>
      <w:proofErr w:type="gramStart"/>
      <w:r>
        <w:t>allow</w:t>
      </w:r>
      <w:proofErr w:type="gramEnd"/>
      <w:r>
        <w:t xml:space="preserve"> a doubly encapsulated source pencil that satisfies sealed source requirements, keeping the cobalt fixed and contained under operational stresses. These characteristics, high specific activity, useful photon energy, manageable half-life and robust encapsulation, together make cobalt-60 the standard choice for panoramic irradiators</w:t>
      </w:r>
      <w:r w:rsidR="0051275B">
        <w:t xml:space="preserve"> </w:t>
      </w:r>
      <w:r w:rsidR="00EB08B9">
        <w:fldChar w:fldCharType="begin"/>
      </w:r>
      <w:r w:rsidR="00EB08B9">
        <w:instrText xml:space="preserve"> ADDIN ZOTERO_ITEM CSL_CITATION {"citationID":"gurB6iGj","properties":{"unsorted":false,"formattedCitation":"(Nordion, 2026)","plainCitation":"(Nordion, 2026)","noteIndex":0},"citationItems":[{"id":558,"uris":["http://zotero.org/users/local/kxeNHLpj/items/8K7IWLX6"],"itemData":{"id":558,"type":"post-weblog","abstract":"C-188 Cobalt-60 Sources for sterilization of medical devices and pharmaceuticals, and irradiation of food, cosmetics, spices and more.","language":"en-US","title":"C-188 Cobalt-60 Sources","URL":"https://www.nordion.com/products/c-188-cobalt-60-sources/","author":[{"literal":"Nordion"}],"issued":{"date-parts":[["2026"]]}}}],"schema":"https://github.com/citation-style-language/schema/raw/master/csl-citation.json"} </w:instrText>
      </w:r>
      <w:r w:rsidR="00EB08B9">
        <w:fldChar w:fldCharType="separate"/>
      </w:r>
      <w:r w:rsidR="00EB08B9" w:rsidRPr="00EB08B9">
        <w:rPr>
          <w:rFonts w:cs="Arial"/>
        </w:rPr>
        <w:t>(Nordion, 2026)</w:t>
      </w:r>
      <w:r w:rsidR="00EB08B9">
        <w:fldChar w:fldCharType="end"/>
      </w:r>
      <w:r>
        <w:t>.</w:t>
      </w:r>
    </w:p>
    <w:p w14:paraId="1F974D4E" w14:textId="41EC915D" w:rsidR="002E2CFF" w:rsidRDefault="002E2CFF" w:rsidP="002E2CFF">
      <w:pPr>
        <w:pStyle w:val="Heading2"/>
      </w:pPr>
      <w:bookmarkStart w:id="24" w:name="_Toc239422697"/>
      <w:r>
        <w:t>Estimating do</w:t>
      </w:r>
      <w:r w:rsidR="005F6AA1">
        <w:t>se rates from sealed gamma sources</w:t>
      </w:r>
      <w:bookmarkEnd w:id="24"/>
    </w:p>
    <w:p w14:paraId="23EED145" w14:textId="6EE18C32" w:rsidR="00670828" w:rsidRDefault="00CA7853" w:rsidP="00670828">
      <w:r>
        <w:t xml:space="preserve">The dose rate from a point gamma source follows the inverse square law. </w:t>
      </w:r>
    </w:p>
    <w:tbl>
      <w:tblPr>
        <w:tblW w:w="0" w:type="auto"/>
        <w:tblLook w:val="00A0" w:firstRow="1" w:lastRow="0" w:firstColumn="1" w:lastColumn="0" w:noHBand="0" w:noVBand="0"/>
      </w:tblPr>
      <w:tblGrid>
        <w:gridCol w:w="7697"/>
        <w:gridCol w:w="807"/>
      </w:tblGrid>
      <w:tr w:rsidR="00670828" w14:paraId="26877525" w14:textId="77777777" w:rsidTr="00640FA8">
        <w:tc>
          <w:tcPr>
            <w:tcW w:w="7905" w:type="dxa"/>
          </w:tcPr>
          <w:p w14:paraId="1995D3E8" w14:textId="590A0C95" w:rsidR="00670828" w:rsidRDefault="00670828" w:rsidP="00604DB8">
            <m:oMathPara>
              <m:oMath>
                <m:r>
                  <w:rPr>
                    <w:rFonts w:ascii="Cambria Math" w:hAnsi="Cambria Math"/>
                  </w:rPr>
                  <m:t xml:space="preserve">D = </m:t>
                </m:r>
                <m:f>
                  <m:fPr>
                    <m:ctrlPr>
                      <w:rPr>
                        <w:rFonts w:ascii="Cambria Math" w:hAnsi="Cambria Math"/>
                        <w:i/>
                      </w:rPr>
                    </m:ctrlPr>
                  </m:fPr>
                  <m:num>
                    <m:r>
                      <w:rPr>
                        <w:rFonts w:ascii="Cambria Math" w:hAnsi="Cambria Math"/>
                      </w:rPr>
                      <m:t>Aτ</m:t>
                    </m:r>
                  </m:num>
                  <m:den>
                    <m:r>
                      <w:rPr>
                        <w:rFonts w:ascii="Cambria Math" w:hAnsi="Cambria Math"/>
                      </w:rPr>
                      <m:t>r²</m:t>
                    </m:r>
                  </m:den>
                </m:f>
              </m:oMath>
            </m:oMathPara>
          </w:p>
        </w:tc>
        <w:tc>
          <w:tcPr>
            <w:tcW w:w="815" w:type="dxa"/>
          </w:tcPr>
          <w:p w14:paraId="23EF1864" w14:textId="070797E5" w:rsidR="00670828" w:rsidRDefault="001945D9" w:rsidP="00FC036C">
            <w:pPr>
              <w:pStyle w:val="Caption"/>
              <w:jc w:val="right"/>
            </w:pPr>
            <w:r>
              <w:fldChar w:fldCharType="begin"/>
            </w:r>
            <w:r>
              <w:instrText xml:space="preserve"> STYLEREF 1 \s </w:instrText>
            </w:r>
            <w:r>
              <w:fldChar w:fldCharType="separate"/>
            </w:r>
            <w:bookmarkStart w:id="25" w:name="_Toc239422665"/>
            <w:r>
              <w:rPr>
                <w:noProof/>
              </w:rPr>
              <w:t>2</w:t>
            </w:r>
            <w:r>
              <w:fldChar w:fldCharType="end"/>
            </w:r>
            <w:r>
              <w:noBreakHyphen/>
            </w:r>
            <w:r>
              <w:fldChar w:fldCharType="begin"/>
            </w:r>
            <w:r>
              <w:instrText xml:space="preserve"> SEQ Equation \* ARABIC \s 1 </w:instrText>
            </w:r>
            <w:r>
              <w:fldChar w:fldCharType="separate"/>
            </w:r>
            <w:r>
              <w:rPr>
                <w:noProof/>
              </w:rPr>
              <w:t>1</w:t>
            </w:r>
            <w:bookmarkEnd w:id="25"/>
            <w:r>
              <w:fldChar w:fldCharType="end"/>
            </w:r>
          </w:p>
        </w:tc>
      </w:tr>
    </w:tbl>
    <w:p w14:paraId="31B0A717" w14:textId="53293CE6" w:rsidR="001945D9" w:rsidRDefault="00CA7853" w:rsidP="001945D9">
      <w:r>
        <w:t>where D is dose rate in mSv/h, A is activity, τ is the gamma ray constant in mSv h</w:t>
      </w:r>
      <w:r>
        <w:rPr>
          <w:rFonts w:ascii="Cambria Math" w:hAnsi="Cambria Math" w:cs="Cambria Math"/>
        </w:rPr>
        <w:t>⁻</w:t>
      </w:r>
      <w:r>
        <w:rPr>
          <w:rFonts w:cs="Arial"/>
        </w:rPr>
        <w:t>¹</w:t>
      </w:r>
      <w:r>
        <w:t xml:space="preserve"> MBq</w:t>
      </w:r>
      <w:r>
        <w:rPr>
          <w:rFonts w:ascii="Cambria Math" w:hAnsi="Cambria Math" w:cs="Cambria Math"/>
        </w:rPr>
        <w:t>⁻</w:t>
      </w:r>
      <w:r>
        <w:rPr>
          <w:rFonts w:cs="Arial"/>
        </w:rPr>
        <w:t>¹</w:t>
      </w:r>
      <w:r>
        <w:t xml:space="preserve"> at 1 m, and r is distance. τ for cobalt-60 </w:t>
      </w:r>
      <w:r w:rsidR="00FC036C">
        <w:t>is</w:t>
      </w:r>
      <w:r>
        <w:t xml:space="preserve"> </w:t>
      </w:r>
      <w:r w:rsidR="00773C2C" w:rsidRPr="00773C2C">
        <w:t>3.062×10</w:t>
      </w:r>
      <w:r w:rsidR="00773C2C" w:rsidRPr="009946ED">
        <w:rPr>
          <w:vertAlign w:val="superscript"/>
        </w:rPr>
        <w:t>-4</w:t>
      </w:r>
      <w:r w:rsidR="009946ED">
        <w:t xml:space="preserve"> </w:t>
      </w:r>
      <w:r w:rsidR="009946ED">
        <w:t>mSv h</w:t>
      </w:r>
      <w:r w:rsidR="009946ED">
        <w:rPr>
          <w:rFonts w:ascii="Cambria Math" w:hAnsi="Cambria Math" w:cs="Cambria Math"/>
        </w:rPr>
        <w:t>⁻</w:t>
      </w:r>
      <w:r w:rsidR="009946ED">
        <w:rPr>
          <w:rFonts w:cs="Arial"/>
        </w:rPr>
        <w:t>¹</w:t>
      </w:r>
      <w:r w:rsidR="009946ED">
        <w:t xml:space="preserve"> MBq</w:t>
      </w:r>
      <w:r w:rsidR="009946ED">
        <w:rPr>
          <w:rFonts w:ascii="Cambria Math" w:hAnsi="Cambria Math" w:cs="Cambria Math"/>
        </w:rPr>
        <w:t>⁻</w:t>
      </w:r>
      <w:r w:rsidR="009946ED">
        <w:rPr>
          <w:rFonts w:cs="Arial"/>
        </w:rPr>
        <w:t>¹</w:t>
      </w:r>
      <w:r w:rsidR="009946ED">
        <w:rPr>
          <w:rFonts w:cs="Arial"/>
        </w:rPr>
        <w:t xml:space="preserve"> </w:t>
      </w:r>
      <w:r w:rsidR="009946ED">
        <w:rPr>
          <w:rFonts w:cs="Arial"/>
        </w:rPr>
        <w:fldChar w:fldCharType="begin"/>
      </w:r>
      <w:r w:rsidR="009946ED">
        <w:rPr>
          <w:rFonts w:cs="Arial"/>
        </w:rPr>
        <w:instrText xml:space="preserve"> ADDIN ZOTERO_ITEM CSL_CITATION {"citationID":"bjaR8RsE","properties":{"unsorted":false,"formattedCitation":"(Peplow, 2020)","plainCitation":"(Peplow, 2020)","noteIndex":0},"citationItems":[{"id":561,"uris":["http://zotero.org/users/local/kxeNHLpj/items/J5SHB8FZ"],"itemData":{"id":561,"type":"article-journal","abstract":"The specific gamma-ray dose constant represents the gamma effective dose rate due to a point source of unit activity of a given nuclide at 1 m. New tabulations of specific gamma-ray dose constants have been made using current gamma emission data from the SCALE 6.2.3 software package and International Commission on Radiological Protection Publication 107, combined with the effective dose per fluence conversion coefficients (antero-posterior orientation) of International Commission on Radiological Protection Publication 116. SCALE data cover 1,264 nuclides, and International Commission on Radiological Protection Publication 107 data include 1,192 nuclides, with only 777 nuclides in common between the two sets.","container-title":"Health Physics","DOI":"10.1097/HP.0000000000001136","ISSN":"0017-9078","issue":"4","language":"English","publisher":"Health Physics Society","source":"www.osti.gov","title":"Specific Gamma-Ray Dose Constants with Current Emission Data","URL":"https://www.osti.gov/pages/biblio/1607209","volume":"118","author":[{"family":"Peplow","given":"Douglas E."}],"accessed":{"date-parts":[["2026",9,4]]},"issued":{"date-parts":[["2020",3,31]]}}}],"schema":"https://github.com/citation-style-language/schema/raw/master/csl-citation.json"} </w:instrText>
      </w:r>
      <w:r w:rsidR="009946ED">
        <w:rPr>
          <w:rFonts w:cs="Arial"/>
        </w:rPr>
        <w:fldChar w:fldCharType="separate"/>
      </w:r>
      <w:r w:rsidR="009946ED" w:rsidRPr="009946ED">
        <w:rPr>
          <w:rFonts w:cs="Arial"/>
        </w:rPr>
        <w:t>(Peplow, 2020)</w:t>
      </w:r>
      <w:r w:rsidR="009946ED">
        <w:rPr>
          <w:rFonts w:cs="Arial"/>
        </w:rPr>
        <w:fldChar w:fldCharType="end"/>
      </w:r>
      <w:r>
        <w:t>.</w:t>
      </w:r>
    </w:p>
    <w:p w14:paraId="05A4B356" w14:textId="77777777" w:rsidR="00640FA8" w:rsidRDefault="00640FA8" w:rsidP="001945D9"/>
    <w:tbl>
      <w:tblPr>
        <w:tblW w:w="0" w:type="auto"/>
        <w:tblLook w:val="00A0" w:firstRow="1" w:lastRow="0" w:firstColumn="1" w:lastColumn="0" w:noHBand="0" w:noVBand="0"/>
      </w:tblPr>
      <w:tblGrid>
        <w:gridCol w:w="7697"/>
        <w:gridCol w:w="807"/>
      </w:tblGrid>
      <w:tr w:rsidR="001945D9" w14:paraId="7116CBAF" w14:textId="77777777" w:rsidTr="00640FA8">
        <w:tc>
          <w:tcPr>
            <w:tcW w:w="7905" w:type="dxa"/>
          </w:tcPr>
          <w:p w14:paraId="1602B618" w14:textId="16192831" w:rsidR="001945D9" w:rsidRDefault="001945D9" w:rsidP="00604DB8">
            <m:oMathPara>
              <m:oMath>
                <m:r>
                  <w:rPr>
                    <w:rFonts w:ascii="Cambria Math" w:hAnsi="Cambria Math"/>
                  </w:rPr>
                  <w:lastRenderedPageBreak/>
                  <m:t xml:space="preserve">D = </m:t>
                </m:r>
                <m:f>
                  <m:fPr>
                    <m:ctrlPr>
                      <w:rPr>
                        <w:rFonts w:ascii="Cambria Math" w:hAnsi="Cambria Math"/>
                        <w:i/>
                      </w:rPr>
                    </m:ctrlPr>
                  </m:fPr>
                  <m:num>
                    <m:r>
                      <w:rPr>
                        <w:rFonts w:ascii="Cambria Math" w:hAnsi="Cambria Math"/>
                      </w:rPr>
                      <m:t>ME</m:t>
                    </m:r>
                  </m:num>
                  <m:den>
                    <m:r>
                      <w:rPr>
                        <w:rFonts w:ascii="Cambria Math" w:hAnsi="Cambria Math"/>
                      </w:rPr>
                      <m:t>7r²</m:t>
                    </m:r>
                  </m:den>
                </m:f>
                <m:r>
                  <w:rPr>
                    <w:rFonts w:ascii="Cambria Math" w:hAnsi="Cambria Math"/>
                  </w:rPr>
                  <m:t xml:space="preserve"> </m:t>
                </m:r>
              </m:oMath>
            </m:oMathPara>
          </w:p>
        </w:tc>
        <w:bookmarkStart w:id="26" w:name="_Ref239421351"/>
        <w:tc>
          <w:tcPr>
            <w:tcW w:w="815" w:type="dxa"/>
          </w:tcPr>
          <w:p w14:paraId="0110804D" w14:textId="66ED3E43" w:rsidR="001945D9" w:rsidRDefault="001945D9" w:rsidP="001945D9">
            <w:pPr>
              <w:pStyle w:val="Caption"/>
              <w:jc w:val="right"/>
            </w:pPr>
            <w:r>
              <w:fldChar w:fldCharType="begin"/>
            </w:r>
            <w:r>
              <w:instrText xml:space="preserve"> STYLEREF 1 \s </w:instrText>
            </w:r>
            <w:r>
              <w:fldChar w:fldCharType="separate"/>
            </w:r>
            <w:bookmarkStart w:id="27" w:name="_Toc239422666"/>
            <w:r>
              <w:rPr>
                <w:noProof/>
              </w:rPr>
              <w:t>2</w:t>
            </w:r>
            <w:r>
              <w:fldChar w:fldCharType="end"/>
            </w:r>
            <w:r>
              <w:noBreakHyphen/>
            </w:r>
            <w:r>
              <w:fldChar w:fldCharType="begin"/>
            </w:r>
            <w:r>
              <w:instrText xml:space="preserve"> SEQ Equation \* ARABIC \s 1 </w:instrText>
            </w:r>
            <w:r>
              <w:fldChar w:fldCharType="separate"/>
            </w:r>
            <w:r>
              <w:rPr>
                <w:noProof/>
              </w:rPr>
              <w:t>2</w:t>
            </w:r>
            <w:bookmarkEnd w:id="27"/>
            <w:r>
              <w:fldChar w:fldCharType="end"/>
            </w:r>
            <w:bookmarkEnd w:id="26"/>
          </w:p>
        </w:tc>
      </w:tr>
    </w:tbl>
    <w:p w14:paraId="1BF00031" w14:textId="1D2F0D72" w:rsidR="00CA7853" w:rsidRDefault="00640FA8" w:rsidP="00CA7853">
      <w:r>
        <w:t xml:space="preserve">2-2 </w:t>
      </w:r>
      <w:r w:rsidR="00CA7853">
        <w:t>gives the dose rate in µSv/h from the activity M in MBq and the total photon energy per disintegration E in MeV. For cobalt-60, E is 2.5 MeV per disintegration, being the sum of the two photon energies. This provides an independent triangulation of the calculation.</w:t>
      </w:r>
    </w:p>
    <w:p w14:paraId="24204843" w14:textId="306249FF" w:rsidR="00DA28B2" w:rsidRDefault="00CA7853" w:rsidP="00941D35">
      <w:r>
        <w:t>Gamma attenuation through shielding is exponential. The half value layer (HVL), the thickness that halves the dose rate, is 1.2 cm for lead and 6.6 cm for concrete at cobalt-60 energies</w:t>
      </w:r>
      <w:r w:rsidR="005037DD">
        <w:t xml:space="preserve"> </w:t>
      </w:r>
      <w:r w:rsidR="005037DD">
        <w:fldChar w:fldCharType="begin"/>
      </w:r>
      <w:r w:rsidR="005037DD">
        <w:instrText xml:space="preserve"> ADDIN ZOTERO_ITEM CSL_CITATION {"citationID":"UewVKBvy","properties":{"unsorted":false,"formattedCitation":"(OSHA, 2026)","plainCitation":"(OSHA, 2026)","noteIndex":0},"citationItems":[{"id":563,"uris":["http://zotero.org/users/local/kxeNHLpj/items/NK5MTGIT"],"itemData":{"id":563,"type":"webpage","title":"Ionizing Radiation - Introduction to Ionizing Radiation - Shielding Layer Examples | Occupational Safety and Health Administration","URL":"https://www.osha.gov/ionizing-radiation/introduction/shielding-layer-examples","author":[{"literal":"OSHA"}],"issued":{"date-parts":[["2026"]]}}}],"schema":"https://github.com/citation-style-language/schema/raw/master/csl-citation.json"} </w:instrText>
      </w:r>
      <w:r w:rsidR="005037DD">
        <w:fldChar w:fldCharType="separate"/>
      </w:r>
      <w:r w:rsidR="005037DD" w:rsidRPr="005037DD">
        <w:rPr>
          <w:rFonts w:cs="Arial"/>
        </w:rPr>
        <w:t>(OSHA, 2026)</w:t>
      </w:r>
      <w:r w:rsidR="005037DD">
        <w:fldChar w:fldCharType="end"/>
      </w:r>
      <w:r>
        <w:t>. This allows the transmission fractions quoted in the incident reconstruction to be tested for physical plausibility.</w:t>
      </w:r>
    </w:p>
    <w:p w14:paraId="4B9F7334" w14:textId="77777777" w:rsidR="00BE0719" w:rsidRDefault="00BE0719" w:rsidP="00941D35"/>
    <w:p w14:paraId="1471E7E1" w14:textId="3131AC05" w:rsidR="003F423F" w:rsidRDefault="003F423F" w:rsidP="003F423F">
      <w:pPr>
        <w:pStyle w:val="Heading1"/>
      </w:pPr>
      <w:bookmarkStart w:id="28" w:name="_Toc51833419"/>
      <w:bookmarkStart w:id="29" w:name="_Toc239422698"/>
      <w:r>
        <w:t>Case Analysis</w:t>
      </w:r>
      <w:bookmarkEnd w:id="29"/>
    </w:p>
    <w:p w14:paraId="13194798" w14:textId="77777777" w:rsidR="003F423F" w:rsidRDefault="003F423F" w:rsidP="003F423F">
      <w:pPr>
        <w:pStyle w:val="Heading2"/>
      </w:pPr>
      <w:bookmarkStart w:id="30" w:name="_Toc239422699"/>
      <w:r>
        <w:t>Narrative of the incident</w:t>
      </w:r>
      <w:bookmarkEnd w:id="30"/>
    </w:p>
    <w:p w14:paraId="725D21A1" w14:textId="17242006" w:rsidR="00BE0719" w:rsidRDefault="00BE0719" w:rsidP="00BE0719">
      <w:r>
        <w:t xml:space="preserve">The events of 21 October 2024 were set in </w:t>
      </w:r>
      <w:r w:rsidR="005B01CF">
        <w:t>motion</w:t>
      </w:r>
      <w:r>
        <w:t xml:space="preserve"> weeks earlier by two accumulating defects. First, the fixed radiation </w:t>
      </w:r>
      <w:proofErr w:type="gramStart"/>
      <w:r>
        <w:t>monitor</w:t>
      </w:r>
      <w:proofErr w:type="gramEnd"/>
      <w:r>
        <w:t xml:space="preserve"> intermittently reported spuriously low readings. Rather than removing the irradiator from service, the facility operated under administrative control relying on the source position switch alone. Second, wear debris had accumulated in the source carrier return mechanism, occasionally preventing complete seating of the carrier. Routine maintenance had not detected this condition. These two defects shared a common feature: each degraded one of the two independent access-permissive systems, and neither had halted operation.</w:t>
      </w:r>
    </w:p>
    <w:p w14:paraId="246D11CF" w14:textId="38CDDA1B" w:rsidR="00BE0719" w:rsidRDefault="00BE0719" w:rsidP="00BE0719">
      <w:r>
        <w:t xml:space="preserve">At the end of a routine irradiation cycle on the day of the incident, the carrier was commanded to its shielded position and stopped short, leaving the source partially unshielded. The source position switch nonetheless indicated a safe condition, and the interlock permitted vestibule entry. A technician entered to investigate a reported transfer mechanism fault, unaware of the hazard. During the first phase, lasting 45 to 60 seconds, the technician remained just inside the vestibule entrance, roughly 2.5 m from the effective source position, where the field was attenuated to between 4 and 8 per cent of the unshielded rate. The </w:t>
      </w:r>
      <w:r>
        <w:lastRenderedPageBreak/>
        <w:t>technician then moved inward and leaned toward a panel for 10 to 20 seconds, at roughly 1.2 m from the source, with a less obstructed line of sight corresponding to 12 to 20 per cent transmission. A colleague approaching with a portable survey meter observed an elevated dose rate and raised the alarm, and the technician withdrew immediately.</w:t>
      </w:r>
    </w:p>
    <w:p w14:paraId="25A0D3A2" w14:textId="2B5AC469" w:rsidR="00302AE7" w:rsidRDefault="00BE0719" w:rsidP="00BE0719">
      <w:r>
        <w:t>The dose reconstruction below depends on these estimates of distance, duration and attenuation. All derive from human recollection and from post-incident survey, and witnesses are fallible. The figures carry corresponding uncertainty, which is treated explicitly in the analysis.</w:t>
      </w:r>
    </w:p>
    <w:p w14:paraId="4277D1C9" w14:textId="77777777" w:rsidR="00302AE7" w:rsidRDefault="00302AE7" w:rsidP="00302AE7">
      <w:pPr>
        <w:pStyle w:val="Heading2"/>
      </w:pPr>
      <w:bookmarkStart w:id="31" w:name="_Toc239422700"/>
      <w:r>
        <w:t>Source activity at the incident</w:t>
      </w:r>
      <w:bookmarkEnd w:id="31"/>
    </w:p>
    <w:p w14:paraId="59D8BE0F" w14:textId="77777777" w:rsidR="00D147B3" w:rsidRDefault="00362EA2" w:rsidP="00362EA2">
      <w:r>
        <w:t xml:space="preserve">The certified activity was 95 </w:t>
      </w:r>
      <w:proofErr w:type="spellStart"/>
      <w:r>
        <w:t>TBq</w:t>
      </w:r>
      <w:proofErr w:type="spellEnd"/>
      <w:r>
        <w:t xml:space="preserve"> on 6 June 2019. The interval to 21 October 2024 is 5 years and 137 days, or 5.375 years. </w:t>
      </w:r>
    </w:p>
    <w:p w14:paraId="4545090E" w14:textId="5FB264FA" w:rsidR="00362EA2" w:rsidRDefault="00362EA2" w:rsidP="00362EA2">
      <w:r>
        <w:t>With λ = ln2/5.27 = 0.1315 y</w:t>
      </w:r>
      <w:r>
        <w:rPr>
          <w:rFonts w:ascii="Cambria Math" w:hAnsi="Cambria Math" w:cs="Cambria Math"/>
        </w:rPr>
        <w:t>⁻</w:t>
      </w:r>
      <w:r>
        <w:rPr>
          <w:rFonts w:cs="Arial"/>
        </w:rPr>
        <w:t>¹</w:t>
      </w:r>
      <w:r>
        <w:t>:</w:t>
      </w:r>
    </w:p>
    <w:p w14:paraId="38A8792D" w14:textId="1CF7673E" w:rsidR="00362EA2" w:rsidRDefault="00362EA2" w:rsidP="003A1DDE">
      <w:pPr>
        <w:jc w:val="center"/>
      </w:pPr>
      <w:r>
        <w:t>A = 95 × e</w:t>
      </w:r>
      <w:proofErr w:type="gramStart"/>
      <w:r>
        <w:t>^(</w:t>
      </w:r>
      <w:proofErr w:type="gramEnd"/>
      <w:r>
        <w:t xml:space="preserve">−0.1315 × 5.375) = 95 × 0.493 = 46.9 </w:t>
      </w:r>
      <w:proofErr w:type="spellStart"/>
      <w:r>
        <w:t>TBq</w:t>
      </w:r>
      <w:proofErr w:type="spellEnd"/>
      <w:r>
        <w:t xml:space="preserve"> (46,850 </w:t>
      </w:r>
      <w:proofErr w:type="spellStart"/>
      <w:r>
        <w:t>GBq</w:t>
      </w:r>
      <w:proofErr w:type="spellEnd"/>
      <w:r>
        <w:t>)</w:t>
      </w:r>
    </w:p>
    <w:p w14:paraId="152E37A0" w14:textId="7D552022" w:rsidR="00362EA2" w:rsidRDefault="00362EA2" w:rsidP="00362EA2">
      <w:r>
        <w:t>The full calculation is shown in Annex A.</w:t>
      </w:r>
    </w:p>
    <w:p w14:paraId="3C390ABD" w14:textId="23940BF9" w:rsidR="00362EA2" w:rsidRDefault="00362EA2" w:rsidP="00362EA2">
      <w:pPr>
        <w:pStyle w:val="Heading2"/>
      </w:pPr>
      <w:bookmarkStart w:id="32" w:name="_Toc239422701"/>
      <w:r>
        <w:t xml:space="preserve">Unshielded dose rate </w:t>
      </w:r>
      <w:proofErr w:type="gramStart"/>
      <w:r>
        <w:t>at  1</w:t>
      </w:r>
      <w:proofErr w:type="gramEnd"/>
      <w:r>
        <w:t>m</w:t>
      </w:r>
      <w:bookmarkEnd w:id="32"/>
    </w:p>
    <w:p w14:paraId="2372616E" w14:textId="5596CA74" w:rsidR="00D67906" w:rsidRDefault="00BF2653" w:rsidP="00641342">
      <w:pPr>
        <w:rPr>
          <w:rFonts w:cs="Arial"/>
        </w:rPr>
      </w:pPr>
      <w:r>
        <w:t>Using the constant</w:t>
      </w:r>
      <w:r w:rsidR="00D67906">
        <w:t xml:space="preserve"> for Co-60,</w:t>
      </w:r>
      <w:r>
        <w:t xml:space="preserve"> τ = 3.062 × 10</w:t>
      </w:r>
      <w:r>
        <w:rPr>
          <w:rFonts w:ascii="Cambria Math" w:hAnsi="Cambria Math" w:cs="Cambria Math"/>
        </w:rPr>
        <w:t>⁻</w:t>
      </w:r>
      <w:r>
        <w:rPr>
          <w:rFonts w:cs="Arial"/>
        </w:rPr>
        <w:t>⁴</w:t>
      </w:r>
      <w:r>
        <w:t xml:space="preserve"> mSv h</w:t>
      </w:r>
      <w:r>
        <w:rPr>
          <w:rFonts w:ascii="Cambria Math" w:hAnsi="Cambria Math" w:cs="Cambria Math"/>
        </w:rPr>
        <w:t>⁻</w:t>
      </w:r>
      <w:r>
        <w:rPr>
          <w:rFonts w:cs="Arial"/>
        </w:rPr>
        <w:t>¹</w:t>
      </w:r>
      <w:r>
        <w:t xml:space="preserve"> MBq</w:t>
      </w:r>
      <w:r>
        <w:rPr>
          <w:rFonts w:ascii="Cambria Math" w:hAnsi="Cambria Math" w:cs="Cambria Math"/>
        </w:rPr>
        <w:t>⁻</w:t>
      </w:r>
      <w:r>
        <w:rPr>
          <w:rFonts w:cs="Arial"/>
        </w:rPr>
        <w:t>¹</w:t>
      </w:r>
      <w:r w:rsidR="00D67906">
        <w:rPr>
          <w:rFonts w:cs="Arial"/>
        </w:rPr>
        <w:t>:</w:t>
      </w:r>
    </w:p>
    <w:p w14:paraId="4457379C" w14:textId="6F2625CB" w:rsidR="00641342" w:rsidRDefault="003D50A8" w:rsidP="00641342">
      <w:proofErr w:type="gramStart"/>
      <w:r>
        <w:t>D</w:t>
      </w:r>
      <w:r w:rsidR="00641342">
        <w:t>(</w:t>
      </w:r>
      <w:proofErr w:type="gramEnd"/>
      <w:r w:rsidR="00641342">
        <w:t xml:space="preserve">1 m) = </w:t>
      </w:r>
      <w:r w:rsidR="00F468FF">
        <w:t>3.062x10</w:t>
      </w:r>
      <w:r w:rsidR="00F468FF">
        <w:rPr>
          <w:vertAlign w:val="superscript"/>
        </w:rPr>
        <w:t>-4</w:t>
      </w:r>
      <w:r w:rsidR="00641342">
        <w:t xml:space="preserve"> × 46,850 = </w:t>
      </w:r>
      <w:r w:rsidR="00F468FF">
        <w:t>14.345</w:t>
      </w:r>
      <w:r w:rsidR="00641342">
        <w:t xml:space="preserve"> mSv/h ≈ </w:t>
      </w:r>
      <w:r w:rsidR="00F468FF">
        <w:t>14.3</w:t>
      </w:r>
      <w:r w:rsidR="00641342">
        <w:t xml:space="preserve"> Sv/h</w:t>
      </w:r>
    </w:p>
    <w:p w14:paraId="7FC34652" w14:textId="39E6BE00" w:rsidR="00641342" w:rsidRDefault="00641342" w:rsidP="00641342">
      <w:r>
        <w:t>gives 14.3 Sv/h, and the approximation D = ME/7r</w:t>
      </w:r>
      <w:r>
        <w:rPr>
          <w:rFonts w:cs="Arial"/>
        </w:rPr>
        <w:t>²</w:t>
      </w:r>
      <w:r>
        <w:t xml:space="preserve"> with E = 2.5 MeV gives approximately 16.7 Sv/h. The </w:t>
      </w:r>
      <w:r w:rsidR="00570478">
        <w:t>Peplow</w:t>
      </w:r>
      <w:r>
        <w:t xml:space="preserve"> constant </w:t>
      </w:r>
      <w:r w:rsidR="00570478">
        <w:t xml:space="preserve">will be used </w:t>
      </w:r>
      <w:r>
        <w:t>for the reconstruction that follows, with the spread retained as an indication of systematic uncertainty.</w:t>
      </w:r>
    </w:p>
    <w:p w14:paraId="7BFD6FCB" w14:textId="023CE933" w:rsidR="00DC1780" w:rsidRDefault="00641342" w:rsidP="00DC1780">
      <w:pPr>
        <w:pStyle w:val="Heading2"/>
      </w:pPr>
      <w:bookmarkStart w:id="33" w:name="_Toc239422702"/>
      <w:r>
        <w:t>Dose rates during the exposure phases</w:t>
      </w:r>
      <w:bookmarkEnd w:id="33"/>
    </w:p>
    <w:p w14:paraId="09D45B8A" w14:textId="3AEB2C20" w:rsidR="00DC1780" w:rsidRDefault="00DC1780" w:rsidP="00DC1780">
      <w:r>
        <w:t>Applying the inverse square law and the reconstructed transmission fractions gives the results in</w:t>
      </w:r>
      <w:r w:rsidR="001A14C9">
        <w:t xml:space="preserve"> </w:t>
      </w:r>
      <w:r w:rsidR="00FD5192">
        <w:fldChar w:fldCharType="begin"/>
      </w:r>
      <w:r w:rsidR="00FD5192">
        <w:instrText xml:space="preserve"> REF _Ref239414878 \h </w:instrText>
      </w:r>
      <w:r w:rsidR="00FD5192">
        <w:fldChar w:fldCharType="separate"/>
      </w:r>
      <w:r w:rsidR="00FD5192">
        <w:t xml:space="preserve">Table </w:t>
      </w:r>
      <w:r w:rsidR="00FD5192">
        <w:rPr>
          <w:noProof/>
        </w:rPr>
        <w:t>3</w:t>
      </w:r>
      <w:r w:rsidR="00FD5192">
        <w:noBreakHyphen/>
      </w:r>
      <w:r w:rsidR="00FD5192">
        <w:rPr>
          <w:noProof/>
        </w:rPr>
        <w:t>1</w:t>
      </w:r>
      <w:r w:rsidR="00FD5192">
        <w:fldChar w:fldCharType="end"/>
      </w:r>
      <w:r>
        <w:t>.</w:t>
      </w:r>
    </w:p>
    <w:p w14:paraId="355F5B27" w14:textId="77777777" w:rsidR="00D9625D" w:rsidRDefault="00D9625D" w:rsidP="00D9625D">
      <w:pPr>
        <w:pStyle w:val="Caption"/>
      </w:pPr>
    </w:p>
    <w:p w14:paraId="4189BCCF" w14:textId="77777777" w:rsidR="0099110B" w:rsidRPr="0099110B" w:rsidRDefault="0099110B" w:rsidP="0099110B"/>
    <w:p w14:paraId="5B2778CB" w14:textId="2A94F91A" w:rsidR="001A1552" w:rsidRDefault="00D9625D" w:rsidP="00D9625D">
      <w:pPr>
        <w:pStyle w:val="Caption"/>
      </w:pPr>
      <w:bookmarkStart w:id="34" w:name="_Ref239414878"/>
      <w:r>
        <w:lastRenderedPageBreak/>
        <w:t xml:space="preserve">Table </w:t>
      </w:r>
      <w:r>
        <w:fldChar w:fldCharType="begin"/>
      </w:r>
      <w:r>
        <w:instrText xml:space="preserve"> STYLEREF 1 \s </w:instrText>
      </w:r>
      <w:r>
        <w:fldChar w:fldCharType="separate"/>
      </w:r>
      <w:r>
        <w:rPr>
          <w:noProof/>
        </w:rPr>
        <w:t>3</w:t>
      </w:r>
      <w:r>
        <w:fldChar w:fldCharType="end"/>
      </w:r>
      <w:r>
        <w:noBreakHyphen/>
      </w:r>
      <w:r>
        <w:fldChar w:fldCharType="begin"/>
      </w:r>
      <w:r>
        <w:instrText xml:space="preserve"> SEQ Table \* ARABIC \s 1 </w:instrText>
      </w:r>
      <w:r>
        <w:fldChar w:fldCharType="separate"/>
      </w:r>
      <w:r>
        <w:rPr>
          <w:noProof/>
        </w:rPr>
        <w:t>1</w:t>
      </w:r>
      <w:r>
        <w:fldChar w:fldCharType="end"/>
      </w:r>
      <w:bookmarkEnd w:id="34"/>
      <w:r>
        <w:t xml:space="preserve"> - Dose rates and doses by phase</w:t>
      </w:r>
    </w:p>
    <w:tbl>
      <w:tblPr>
        <w:tblStyle w:val="TableGrid"/>
        <w:tblW w:w="0" w:type="auto"/>
        <w:tblLook w:val="04A0" w:firstRow="1" w:lastRow="0" w:firstColumn="1" w:lastColumn="0" w:noHBand="0" w:noVBand="1"/>
      </w:tblPr>
      <w:tblGrid>
        <w:gridCol w:w="1417"/>
        <w:gridCol w:w="1452"/>
        <w:gridCol w:w="1777"/>
        <w:gridCol w:w="1310"/>
        <w:gridCol w:w="1442"/>
        <w:gridCol w:w="1096"/>
      </w:tblGrid>
      <w:tr w:rsidR="007E1FB6" w14:paraId="78CDD31D" w14:textId="265B8E64" w:rsidTr="007E1FB6">
        <w:tc>
          <w:tcPr>
            <w:tcW w:w="1388" w:type="dxa"/>
          </w:tcPr>
          <w:p w14:paraId="24D0E07B" w14:textId="1EBAB80E" w:rsidR="007E1FB6" w:rsidRPr="002F4365" w:rsidRDefault="007E1FB6" w:rsidP="00750826">
            <w:pPr>
              <w:pStyle w:val="TableText"/>
              <w:rPr>
                <w:b/>
                <w:bCs/>
              </w:rPr>
            </w:pPr>
            <w:r w:rsidRPr="002F4365">
              <w:rPr>
                <w:b/>
                <w:bCs/>
              </w:rPr>
              <w:t>Phase</w:t>
            </w:r>
          </w:p>
        </w:tc>
        <w:tc>
          <w:tcPr>
            <w:tcW w:w="1486" w:type="dxa"/>
          </w:tcPr>
          <w:p w14:paraId="7C409DF2" w14:textId="4212716D" w:rsidR="007E1FB6" w:rsidRPr="002F4365" w:rsidRDefault="007E1FB6" w:rsidP="00750826">
            <w:pPr>
              <w:pStyle w:val="TableText"/>
              <w:rPr>
                <w:b/>
                <w:bCs/>
              </w:rPr>
            </w:pPr>
            <w:r w:rsidRPr="002F4365">
              <w:rPr>
                <w:b/>
                <w:bCs/>
              </w:rPr>
              <w:t>Distance (m)</w:t>
            </w:r>
          </w:p>
        </w:tc>
        <w:tc>
          <w:tcPr>
            <w:tcW w:w="1677" w:type="dxa"/>
          </w:tcPr>
          <w:p w14:paraId="55F8449C" w14:textId="3E53D157" w:rsidR="007E1FB6" w:rsidRPr="002F4365" w:rsidRDefault="007E1FB6" w:rsidP="00750826">
            <w:pPr>
              <w:pStyle w:val="TableText"/>
              <w:rPr>
                <w:b/>
                <w:bCs/>
              </w:rPr>
            </w:pPr>
            <w:r w:rsidRPr="002F4365">
              <w:rPr>
                <w:b/>
                <w:bCs/>
              </w:rPr>
              <w:t>Transmission</w:t>
            </w:r>
          </w:p>
        </w:tc>
        <w:tc>
          <w:tcPr>
            <w:tcW w:w="1341" w:type="dxa"/>
          </w:tcPr>
          <w:p w14:paraId="306D084A" w14:textId="07BFC51E" w:rsidR="007E1FB6" w:rsidRPr="002F4365" w:rsidRDefault="007E1FB6" w:rsidP="00750826">
            <w:pPr>
              <w:pStyle w:val="TableText"/>
              <w:rPr>
                <w:b/>
                <w:bCs/>
              </w:rPr>
            </w:pPr>
            <w:r w:rsidRPr="002F4365">
              <w:rPr>
                <w:b/>
                <w:bCs/>
              </w:rPr>
              <w:t>Dose rate (mSv/h)</w:t>
            </w:r>
          </w:p>
        </w:tc>
        <w:tc>
          <w:tcPr>
            <w:tcW w:w="1476" w:type="dxa"/>
          </w:tcPr>
          <w:p w14:paraId="61E3BCC6" w14:textId="26752943" w:rsidR="007E1FB6" w:rsidRPr="002F4365" w:rsidRDefault="007E1FB6" w:rsidP="00750826">
            <w:pPr>
              <w:pStyle w:val="TableText"/>
              <w:rPr>
                <w:b/>
                <w:bCs/>
              </w:rPr>
            </w:pPr>
            <w:r w:rsidRPr="002F4365">
              <w:rPr>
                <w:b/>
                <w:bCs/>
              </w:rPr>
              <w:t>Duration (s)</w:t>
            </w:r>
          </w:p>
        </w:tc>
        <w:tc>
          <w:tcPr>
            <w:tcW w:w="1126" w:type="dxa"/>
          </w:tcPr>
          <w:p w14:paraId="21724C53" w14:textId="3F7C15BF" w:rsidR="007E1FB6" w:rsidRPr="002F4365" w:rsidRDefault="007E1FB6" w:rsidP="00750826">
            <w:pPr>
              <w:pStyle w:val="TableText"/>
              <w:rPr>
                <w:b/>
                <w:bCs/>
              </w:rPr>
            </w:pPr>
            <w:r w:rsidRPr="002F4365">
              <w:rPr>
                <w:b/>
                <w:bCs/>
              </w:rPr>
              <w:t>Dose (mSv)</w:t>
            </w:r>
          </w:p>
        </w:tc>
      </w:tr>
      <w:tr w:rsidR="007E1FB6" w14:paraId="512B1743" w14:textId="13AACA44" w:rsidTr="007E1FB6">
        <w:tc>
          <w:tcPr>
            <w:tcW w:w="1388" w:type="dxa"/>
          </w:tcPr>
          <w:p w14:paraId="0B2901EA" w14:textId="3B775BD2" w:rsidR="007E1FB6" w:rsidRDefault="007E1FB6" w:rsidP="00750826">
            <w:pPr>
              <w:pStyle w:val="TableText"/>
            </w:pPr>
            <w:r>
              <w:t>Unshielded Reference</w:t>
            </w:r>
          </w:p>
        </w:tc>
        <w:tc>
          <w:tcPr>
            <w:tcW w:w="1486" w:type="dxa"/>
          </w:tcPr>
          <w:p w14:paraId="3F3B2395" w14:textId="6B89F7DB" w:rsidR="007E1FB6" w:rsidRDefault="007E1FB6" w:rsidP="00750826">
            <w:pPr>
              <w:pStyle w:val="TableText"/>
            </w:pPr>
            <w:r>
              <w:t>1.0</w:t>
            </w:r>
          </w:p>
        </w:tc>
        <w:tc>
          <w:tcPr>
            <w:tcW w:w="1677" w:type="dxa"/>
          </w:tcPr>
          <w:p w14:paraId="5AD0E019" w14:textId="3F4DDDA4" w:rsidR="007E1FB6" w:rsidRDefault="007E1FB6" w:rsidP="00750826">
            <w:pPr>
              <w:pStyle w:val="TableText"/>
            </w:pPr>
            <w:r>
              <w:t>100%</w:t>
            </w:r>
          </w:p>
        </w:tc>
        <w:tc>
          <w:tcPr>
            <w:tcW w:w="1341" w:type="dxa"/>
          </w:tcPr>
          <w:p w14:paraId="1A31F82D" w14:textId="1379DFB1" w:rsidR="007E1FB6" w:rsidRDefault="007E1FB6" w:rsidP="00750826">
            <w:pPr>
              <w:pStyle w:val="TableText"/>
            </w:pPr>
            <w:r>
              <w:t>1</w:t>
            </w:r>
            <w:r w:rsidR="00386105">
              <w:t>4346</w:t>
            </w:r>
          </w:p>
        </w:tc>
        <w:tc>
          <w:tcPr>
            <w:tcW w:w="1476" w:type="dxa"/>
          </w:tcPr>
          <w:p w14:paraId="0A0A88B4" w14:textId="165B17FB" w:rsidR="007E1FB6" w:rsidRDefault="007E1FB6" w:rsidP="00750826">
            <w:pPr>
              <w:pStyle w:val="TableText"/>
            </w:pPr>
            <w:r>
              <w:t>-</w:t>
            </w:r>
          </w:p>
        </w:tc>
        <w:tc>
          <w:tcPr>
            <w:tcW w:w="1126" w:type="dxa"/>
          </w:tcPr>
          <w:p w14:paraId="1A1E5EFC" w14:textId="3FB3B89F" w:rsidR="007E1FB6" w:rsidRDefault="007E1FB6" w:rsidP="00750826">
            <w:pPr>
              <w:pStyle w:val="TableText"/>
            </w:pPr>
            <w:r>
              <w:t>-</w:t>
            </w:r>
          </w:p>
        </w:tc>
      </w:tr>
      <w:tr w:rsidR="007E1FB6" w14:paraId="3F36C712" w14:textId="432E3D9D" w:rsidTr="007E1FB6">
        <w:tc>
          <w:tcPr>
            <w:tcW w:w="1388" w:type="dxa"/>
          </w:tcPr>
          <w:p w14:paraId="7D28562E" w14:textId="0D4F059F" w:rsidR="007E1FB6" w:rsidRDefault="007E1FB6" w:rsidP="00750826">
            <w:pPr>
              <w:pStyle w:val="TableText"/>
            </w:pPr>
            <w:r>
              <w:t>Threshold</w:t>
            </w:r>
          </w:p>
        </w:tc>
        <w:tc>
          <w:tcPr>
            <w:tcW w:w="1486" w:type="dxa"/>
          </w:tcPr>
          <w:p w14:paraId="0F7F11AF" w14:textId="32E91C26" w:rsidR="007E1FB6" w:rsidRDefault="007E1FB6" w:rsidP="00750826">
            <w:pPr>
              <w:pStyle w:val="TableText"/>
            </w:pPr>
            <w:r>
              <w:t>2.5</w:t>
            </w:r>
          </w:p>
        </w:tc>
        <w:tc>
          <w:tcPr>
            <w:tcW w:w="1677" w:type="dxa"/>
          </w:tcPr>
          <w:p w14:paraId="18D61A81" w14:textId="35138822" w:rsidR="007E1FB6" w:rsidRDefault="007E1FB6" w:rsidP="00750826">
            <w:pPr>
              <w:pStyle w:val="TableText"/>
            </w:pPr>
            <w:r>
              <w:t>4-8%</w:t>
            </w:r>
          </w:p>
        </w:tc>
        <w:tc>
          <w:tcPr>
            <w:tcW w:w="1341" w:type="dxa"/>
          </w:tcPr>
          <w:p w14:paraId="68C3759E" w14:textId="5883B7D3" w:rsidR="007E1FB6" w:rsidRDefault="00386105" w:rsidP="00750826">
            <w:pPr>
              <w:pStyle w:val="TableText"/>
            </w:pPr>
            <w:r>
              <w:t>92</w:t>
            </w:r>
            <w:r w:rsidR="007E1FB6">
              <w:t>-</w:t>
            </w:r>
            <w:r>
              <w:t>184</w:t>
            </w:r>
          </w:p>
        </w:tc>
        <w:tc>
          <w:tcPr>
            <w:tcW w:w="1476" w:type="dxa"/>
          </w:tcPr>
          <w:p w14:paraId="2D84156D" w14:textId="2F25D029" w:rsidR="007E1FB6" w:rsidRDefault="007E1FB6" w:rsidP="00750826">
            <w:pPr>
              <w:pStyle w:val="TableText"/>
            </w:pPr>
            <w:r>
              <w:t>45-60</w:t>
            </w:r>
          </w:p>
        </w:tc>
        <w:tc>
          <w:tcPr>
            <w:tcW w:w="1126" w:type="dxa"/>
          </w:tcPr>
          <w:p w14:paraId="5FFE9363" w14:textId="1C423E81" w:rsidR="007E1FB6" w:rsidRDefault="007E1FB6" w:rsidP="00750826">
            <w:pPr>
              <w:pStyle w:val="TableText"/>
            </w:pPr>
            <w:r>
              <w:t>1.</w:t>
            </w:r>
            <w:r w:rsidR="004476C0">
              <w:t>3</w:t>
            </w:r>
            <w:r>
              <w:t>-3.</w:t>
            </w:r>
            <w:r w:rsidR="004476C0">
              <w:t>1</w:t>
            </w:r>
          </w:p>
        </w:tc>
      </w:tr>
      <w:tr w:rsidR="007E1FB6" w14:paraId="52968FE0" w14:textId="5858B6BA" w:rsidTr="00750826">
        <w:tc>
          <w:tcPr>
            <w:tcW w:w="1388" w:type="dxa"/>
            <w:tcBorders>
              <w:bottom w:val="single" w:sz="4" w:space="0" w:color="auto"/>
            </w:tcBorders>
          </w:tcPr>
          <w:p w14:paraId="337FDA87" w14:textId="697D2CBC" w:rsidR="007E1FB6" w:rsidRDefault="007E1FB6" w:rsidP="00750826">
            <w:pPr>
              <w:pStyle w:val="TableText"/>
            </w:pPr>
            <w:r>
              <w:t>Close Inspection</w:t>
            </w:r>
          </w:p>
        </w:tc>
        <w:tc>
          <w:tcPr>
            <w:tcW w:w="1486" w:type="dxa"/>
            <w:tcBorders>
              <w:bottom w:val="single" w:sz="4" w:space="0" w:color="auto"/>
            </w:tcBorders>
          </w:tcPr>
          <w:p w14:paraId="4AEF307A" w14:textId="36F6D1F4" w:rsidR="007E1FB6" w:rsidRDefault="007E1FB6" w:rsidP="00750826">
            <w:pPr>
              <w:pStyle w:val="TableText"/>
            </w:pPr>
            <w:r>
              <w:t>1.2</w:t>
            </w:r>
          </w:p>
        </w:tc>
        <w:tc>
          <w:tcPr>
            <w:tcW w:w="1677" w:type="dxa"/>
            <w:tcBorders>
              <w:bottom w:val="single" w:sz="4" w:space="0" w:color="auto"/>
            </w:tcBorders>
          </w:tcPr>
          <w:p w14:paraId="5523A471" w14:textId="5AFB67D2" w:rsidR="007E1FB6" w:rsidRDefault="007E1FB6" w:rsidP="00750826">
            <w:pPr>
              <w:pStyle w:val="TableText"/>
            </w:pPr>
            <w:r>
              <w:t>12-20%</w:t>
            </w:r>
          </w:p>
        </w:tc>
        <w:tc>
          <w:tcPr>
            <w:tcW w:w="1341" w:type="dxa"/>
            <w:tcBorders>
              <w:bottom w:val="single" w:sz="4" w:space="0" w:color="auto"/>
            </w:tcBorders>
          </w:tcPr>
          <w:p w14:paraId="53686103" w14:textId="3A4F1FD3" w:rsidR="007E1FB6" w:rsidRDefault="007E1FB6" w:rsidP="00750826">
            <w:pPr>
              <w:pStyle w:val="TableText"/>
            </w:pPr>
            <w:r>
              <w:t>1</w:t>
            </w:r>
            <w:r w:rsidR="00283142">
              <w:t>19</w:t>
            </w:r>
            <w:r w:rsidR="00EB4276">
              <w:t>5</w:t>
            </w:r>
            <w:r>
              <w:t>-</w:t>
            </w:r>
            <w:r w:rsidR="00283142">
              <w:t>199</w:t>
            </w:r>
            <w:r w:rsidR="00EB4276">
              <w:t>2</w:t>
            </w:r>
          </w:p>
        </w:tc>
        <w:tc>
          <w:tcPr>
            <w:tcW w:w="1476" w:type="dxa"/>
            <w:tcBorders>
              <w:bottom w:val="single" w:sz="4" w:space="0" w:color="auto"/>
            </w:tcBorders>
          </w:tcPr>
          <w:p w14:paraId="665E8163" w14:textId="13540B6C" w:rsidR="007E1FB6" w:rsidRDefault="007E1FB6" w:rsidP="00750826">
            <w:pPr>
              <w:pStyle w:val="TableText"/>
            </w:pPr>
            <w:r>
              <w:t>10-20</w:t>
            </w:r>
          </w:p>
        </w:tc>
        <w:tc>
          <w:tcPr>
            <w:tcW w:w="1126" w:type="dxa"/>
            <w:tcBorders>
              <w:bottom w:val="single" w:sz="4" w:space="0" w:color="auto"/>
            </w:tcBorders>
          </w:tcPr>
          <w:p w14:paraId="5E66D66F" w14:textId="5AFFD06E" w:rsidR="007E1FB6" w:rsidRDefault="007E1FB6" w:rsidP="00750826">
            <w:pPr>
              <w:pStyle w:val="TableText"/>
            </w:pPr>
            <w:r>
              <w:t>3.</w:t>
            </w:r>
            <w:r w:rsidR="004476C0">
              <w:t>3</w:t>
            </w:r>
            <w:r>
              <w:t>-1</w:t>
            </w:r>
            <w:r w:rsidR="004476C0">
              <w:t>1</w:t>
            </w:r>
            <w:r>
              <w:t>.</w:t>
            </w:r>
            <w:r w:rsidR="004476C0">
              <w:t>1</w:t>
            </w:r>
          </w:p>
        </w:tc>
      </w:tr>
      <w:tr w:rsidR="007E1FB6" w14:paraId="1ADF8F1B" w14:textId="53246604" w:rsidTr="00750826">
        <w:tc>
          <w:tcPr>
            <w:tcW w:w="1388" w:type="dxa"/>
            <w:tcBorders>
              <w:top w:val="single" w:sz="4" w:space="0" w:color="auto"/>
              <w:left w:val="nil"/>
              <w:bottom w:val="nil"/>
              <w:right w:val="nil"/>
            </w:tcBorders>
          </w:tcPr>
          <w:p w14:paraId="751A6734" w14:textId="77777777" w:rsidR="007E1FB6" w:rsidRDefault="007E1FB6" w:rsidP="00750826">
            <w:pPr>
              <w:pStyle w:val="TableText"/>
            </w:pPr>
          </w:p>
        </w:tc>
        <w:tc>
          <w:tcPr>
            <w:tcW w:w="1486" w:type="dxa"/>
            <w:tcBorders>
              <w:top w:val="single" w:sz="4" w:space="0" w:color="auto"/>
              <w:left w:val="nil"/>
              <w:bottom w:val="nil"/>
              <w:right w:val="nil"/>
            </w:tcBorders>
          </w:tcPr>
          <w:p w14:paraId="10F62623" w14:textId="77777777" w:rsidR="007E1FB6" w:rsidRDefault="007E1FB6" w:rsidP="00750826">
            <w:pPr>
              <w:pStyle w:val="TableText"/>
            </w:pPr>
          </w:p>
        </w:tc>
        <w:tc>
          <w:tcPr>
            <w:tcW w:w="1677" w:type="dxa"/>
            <w:tcBorders>
              <w:top w:val="single" w:sz="4" w:space="0" w:color="auto"/>
              <w:left w:val="nil"/>
              <w:bottom w:val="nil"/>
              <w:right w:val="nil"/>
            </w:tcBorders>
          </w:tcPr>
          <w:p w14:paraId="4E21C416" w14:textId="77777777" w:rsidR="007E1FB6" w:rsidRDefault="007E1FB6" w:rsidP="00750826">
            <w:pPr>
              <w:pStyle w:val="TableText"/>
            </w:pPr>
          </w:p>
        </w:tc>
        <w:tc>
          <w:tcPr>
            <w:tcW w:w="1341" w:type="dxa"/>
            <w:tcBorders>
              <w:top w:val="single" w:sz="4" w:space="0" w:color="auto"/>
              <w:left w:val="nil"/>
              <w:bottom w:val="nil"/>
              <w:right w:val="single" w:sz="4" w:space="0" w:color="auto"/>
            </w:tcBorders>
          </w:tcPr>
          <w:p w14:paraId="006C62C0" w14:textId="77777777" w:rsidR="007E1FB6" w:rsidRDefault="007E1FB6" w:rsidP="00750826">
            <w:pPr>
              <w:pStyle w:val="TableText"/>
            </w:pPr>
          </w:p>
        </w:tc>
        <w:tc>
          <w:tcPr>
            <w:tcW w:w="1476" w:type="dxa"/>
            <w:tcBorders>
              <w:top w:val="single" w:sz="4" w:space="0" w:color="auto"/>
              <w:left w:val="single" w:sz="4" w:space="0" w:color="auto"/>
            </w:tcBorders>
          </w:tcPr>
          <w:p w14:paraId="591522A9" w14:textId="402FD9AE" w:rsidR="007E1FB6" w:rsidRDefault="007E1FB6" w:rsidP="00750826">
            <w:pPr>
              <w:pStyle w:val="TableText"/>
            </w:pPr>
            <w:r>
              <w:t>Total</w:t>
            </w:r>
          </w:p>
        </w:tc>
        <w:tc>
          <w:tcPr>
            <w:tcW w:w="1126" w:type="dxa"/>
            <w:tcBorders>
              <w:top w:val="single" w:sz="4" w:space="0" w:color="auto"/>
            </w:tcBorders>
          </w:tcPr>
          <w:p w14:paraId="366A7AA0" w14:textId="674B9139" w:rsidR="007E1FB6" w:rsidRDefault="00CA47D2" w:rsidP="00750826">
            <w:pPr>
              <w:pStyle w:val="TableText"/>
            </w:pPr>
            <w:r>
              <w:t>4.</w:t>
            </w:r>
            <w:r w:rsidR="00BC0EC8">
              <w:t>5</w:t>
            </w:r>
            <w:r w:rsidR="00750826">
              <w:t>-14.</w:t>
            </w:r>
            <w:r>
              <w:t>1</w:t>
            </w:r>
          </w:p>
        </w:tc>
      </w:tr>
    </w:tbl>
    <w:p w14:paraId="1E3127BF" w14:textId="77777777" w:rsidR="00D9625D" w:rsidRDefault="00D9625D" w:rsidP="007125B1"/>
    <w:p w14:paraId="7EB044BF" w14:textId="13484957" w:rsidR="007125B1" w:rsidRDefault="007125B1" w:rsidP="007125B1">
      <w:r>
        <w:t>The transmission values can be sanity-checked against shielding physics. A transmission of 4 to 8 per cent corresponds to 3.6 to 4.6 HVL, which is 4.4 to 5.6 cm of lead or 24 to 31 cm of concrete at cobalt-60 energies. This is plausible for a labyrinth path combining deliberate shielding with geometric obstruction.</w:t>
      </w:r>
      <w:r w:rsidR="00062E15">
        <w:t xml:space="preserve"> </w:t>
      </w:r>
      <w:r>
        <w:t>Transmission of 12 to 20 per cent corresponds to 2.3 to 3.1 HVL, roughly 2.8 to 3.7 cm of lead equivalent, consistent with a shorter, less obstructed sight line to a partially exposed source.</w:t>
      </w:r>
      <w:r w:rsidR="00991B49">
        <w:t xml:space="preserve"> Using this maths, t</w:t>
      </w:r>
      <w:r>
        <w:t xml:space="preserve">he attenuation values are therefore </w:t>
      </w:r>
      <w:r w:rsidR="00991B49">
        <w:t>completely credible</w:t>
      </w:r>
      <w:r>
        <w:t>.</w:t>
      </w:r>
    </w:p>
    <w:p w14:paraId="30AE21C4" w14:textId="45E21489" w:rsidR="007125B1" w:rsidRDefault="00973E0B" w:rsidP="007125B1">
      <w:r w:rsidRPr="00973E0B">
        <w:t xml:space="preserve">The measured maximum of 1,250 mSv/h is </w:t>
      </w:r>
      <w:r w:rsidR="00E73641">
        <w:t xml:space="preserve">in the calculated range of possible does rates </w:t>
      </w:r>
      <w:r w:rsidRPr="00973E0B">
        <w:t xml:space="preserve">and close to the lower bound of the predicted inspection-phase range, </w:t>
      </w:r>
      <w:r w:rsidR="00021487">
        <w:t xml:space="preserve">and the delta </w:t>
      </w:r>
      <w:r w:rsidR="00F53D6C">
        <w:t>in measured to calculated maximum dose rates could be due to EPD placement</w:t>
      </w:r>
      <w:r w:rsidR="001F7800">
        <w:t xml:space="preserve"> on the body</w:t>
      </w:r>
      <w:r w:rsidR="00F53D6C">
        <w:t xml:space="preserve">, </w:t>
      </w:r>
      <w:r w:rsidR="00E52910">
        <w:t xml:space="preserve">angle of incidence to the source as the technician leaned or changed position, and </w:t>
      </w:r>
      <w:r w:rsidR="001F7800">
        <w:t>reporting error</w:t>
      </w:r>
      <w:r w:rsidR="007125B1">
        <w:t>.</w:t>
      </w:r>
    </w:p>
    <w:p w14:paraId="2E0881F2" w14:textId="77777777" w:rsidR="007125B1" w:rsidRDefault="007125B1" w:rsidP="007125B1">
      <w:pPr>
        <w:pStyle w:val="Heading2"/>
      </w:pPr>
      <w:bookmarkStart w:id="35" w:name="_Toc239422703"/>
      <w:r>
        <w:t>Estimated effective dose</w:t>
      </w:r>
      <w:bookmarkEnd w:id="35"/>
    </w:p>
    <w:p w14:paraId="2650D124" w14:textId="37A739E7" w:rsidR="00E3465D" w:rsidRDefault="00E3465D" w:rsidP="00E3465D">
      <w:r w:rsidRPr="00E3465D">
        <w:t xml:space="preserve">Combining mid-range times with the transmission extremes gives a total effective dose between approximately </w:t>
      </w:r>
      <w:r w:rsidR="009F6D49">
        <w:t>4.</w:t>
      </w:r>
      <w:r w:rsidR="00BC0EC8">
        <w:t>5</w:t>
      </w:r>
      <w:r w:rsidRPr="00E3465D">
        <w:t xml:space="preserve"> and 14.</w:t>
      </w:r>
      <w:r w:rsidR="009F6D49">
        <w:t>1</w:t>
      </w:r>
      <w:r w:rsidRPr="00E3465D">
        <w:t xml:space="preserve"> mSv. The arithmetic is set out in full in Annex A.</w:t>
      </w:r>
    </w:p>
    <w:p w14:paraId="6E8A7F4F" w14:textId="77777777" w:rsidR="00011A7A" w:rsidRDefault="00011A7A" w:rsidP="00E3465D"/>
    <w:p w14:paraId="302CB765" w14:textId="367685D0" w:rsidR="00E3465D" w:rsidRDefault="00E3465D" w:rsidP="00E3465D">
      <w:pPr>
        <w:pStyle w:val="Heading1"/>
      </w:pPr>
      <w:bookmarkStart w:id="36" w:name="_Toc239422704"/>
      <w:r>
        <w:lastRenderedPageBreak/>
        <w:t>Discussion</w:t>
      </w:r>
      <w:bookmarkEnd w:id="36"/>
    </w:p>
    <w:p w14:paraId="78F98404" w14:textId="77777777" w:rsidR="00E3465D" w:rsidRDefault="00E3465D" w:rsidP="00E3465D">
      <w:pPr>
        <w:pStyle w:val="Heading2"/>
      </w:pPr>
      <w:bookmarkStart w:id="37" w:name="_Toc239422705"/>
      <w:r>
        <w:t>Comparison with measured dose</w:t>
      </w:r>
      <w:bookmarkEnd w:id="37"/>
    </w:p>
    <w:p w14:paraId="216F7DFE" w14:textId="363C1719" w:rsidR="00F811CA" w:rsidRDefault="00F811CA" w:rsidP="00F811CA">
      <w:r>
        <w:t xml:space="preserve">The EPD worn on the chest recorded 14.8 mSv and the waist-level TLD recorded 18.9 mSv. The reconstruction brackets </w:t>
      </w:r>
      <w:r w:rsidR="009F6D49">
        <w:t>4.</w:t>
      </w:r>
      <w:r w:rsidR="00BC0EC8">
        <w:t>5</w:t>
      </w:r>
      <w:r>
        <w:t xml:space="preserve"> to 14.</w:t>
      </w:r>
      <w:r w:rsidR="009F6D49">
        <w:t>1</w:t>
      </w:r>
      <w:r>
        <w:t xml:space="preserve"> mSv, so the calculated values lie just below the measurements, with the upper bound approaching the EPD reading. Four factors explain the shortfall.</w:t>
      </w:r>
    </w:p>
    <w:p w14:paraId="5D15DD1B" w14:textId="394F4642" w:rsidR="00F811CA" w:rsidRDefault="00F811CA" w:rsidP="00F811CA">
      <w:r>
        <w:t>First, the attenuation percentages are qualitative survey judgements, not measurements. If the real transmission at 1.2 m was nearer 25 per cent than 20, the inspection dose rises immediately towards the measured values. Second, durations and distances are witness estimates. A few seconds longer at the panel, or a lean that brought the torso closer than 1.2 m, adds several mSv. Third, the point-source inverse-square model ignores scattered radiation. In a confined vestibule, wall and floor scatter adds to the direct field, and this contribution is largest close to reflective surfaces and apertures. Fourth, dosemeter position matters. The TLD at waist level read 27 per cent higher than the chest-worn EPD, which is consistent with the technician leaning toward the panel: the waist faced the source with less body self-shielding while the chest angled away.</w:t>
      </w:r>
    </w:p>
    <w:p w14:paraId="0EDCB084" w14:textId="2808DD06" w:rsidR="00F811CA" w:rsidRDefault="00234FB9" w:rsidP="00F811CA">
      <w:r>
        <w:t>On the other side of this, t</w:t>
      </w:r>
      <w:r w:rsidR="00F811CA">
        <w:t>he calculated rates are realistic</w:t>
      </w:r>
      <w:r w:rsidR="009C5396">
        <w:t xml:space="preserve"> for this situation</w:t>
      </w:r>
      <w:r w:rsidR="00F811CA">
        <w:t xml:space="preserve">. Occupational fields span from fractions of a µSv/h in controlled corridors to Sv/h close to unshielded high-activity sources. An unshielded rate of 14 to 16 Sv/h at 1 m from a ~47 </w:t>
      </w:r>
      <w:proofErr w:type="spellStart"/>
      <w:r w:rsidR="00F811CA">
        <w:t>TBq</w:t>
      </w:r>
      <w:proofErr w:type="spellEnd"/>
      <w:r w:rsidR="00F811CA">
        <w:t xml:space="preserve"> cobalt-60 source is</w:t>
      </w:r>
      <w:r w:rsidR="003E685E">
        <w:t xml:space="preserve"> </w:t>
      </w:r>
      <w:r w:rsidR="00F811CA">
        <w:t>consistent for panoramic irradiators, and attenuated rates of hundreds to thousands of mSv/h in an access area under fault conditions are entirely plausible</w:t>
      </w:r>
      <w:r w:rsidR="00C43375">
        <w:t xml:space="preserve"> </w:t>
      </w:r>
      <w:r w:rsidR="00C43375">
        <w:fldChar w:fldCharType="begin"/>
      </w:r>
      <w:r w:rsidR="00703AB7">
        <w:instrText xml:space="preserve"> ADDIN ZOTERO_ITEM CSL_CITATION {"citationID":"zisGgWuo","properties":{"unsorted":false,"formattedCitation":"(Ionactive, 2023)","plainCitation":"(Ionactive, 2023)","noteIndex":0},"citationItems":[{"id":565,"uris":["http://zotero.org/users/local/kxeNHLpj/items/6UVYJD6F"],"itemData":{"id":565,"type":"webpage","abstract":"Co-60 (Cobalt-60) Radiation Safety Data including half life, decay type and energy, external protection factors and internal (inhalation &amp; ingestion) committed effective dose per unit intake.","container-title":"Ionactive","language":"en-GB","title":"Co-60 (Cobalt-60) Radiation Safety Data","URL":"https://ionactive.co.uk/resource-hub/guidance/co-60-cobolt-60-radiation-safety-data","author":[{"literal":"Ionactive"}],"issued":{"date-parts":[["2023",8,21]]}}}],"schema":"https://github.com/citation-style-language/schema/raw/master/csl-citation.json"} </w:instrText>
      </w:r>
      <w:r w:rsidR="00C43375">
        <w:fldChar w:fldCharType="separate"/>
      </w:r>
      <w:r w:rsidR="00703AB7" w:rsidRPr="00703AB7">
        <w:rPr>
          <w:rFonts w:cs="Arial"/>
        </w:rPr>
        <w:t>(</w:t>
      </w:r>
      <w:proofErr w:type="spellStart"/>
      <w:r w:rsidR="00703AB7" w:rsidRPr="00703AB7">
        <w:rPr>
          <w:rFonts w:cs="Arial"/>
        </w:rPr>
        <w:t>Ionactive</w:t>
      </w:r>
      <w:proofErr w:type="spellEnd"/>
      <w:r w:rsidR="00703AB7" w:rsidRPr="00703AB7">
        <w:rPr>
          <w:rFonts w:cs="Arial"/>
        </w:rPr>
        <w:t>, 2023)</w:t>
      </w:r>
      <w:r w:rsidR="00C43375">
        <w:fldChar w:fldCharType="end"/>
      </w:r>
      <w:r w:rsidR="00F811CA">
        <w:t>. The measured peak of 1,250 mSv/h sits inside the predicted inspection range, which corroborates both the model and the reconstruction.</w:t>
      </w:r>
    </w:p>
    <w:p w14:paraId="32FD098C" w14:textId="2CEDCC42" w:rsidR="00F811CA" w:rsidRDefault="00F811CA" w:rsidP="00F811CA">
      <w:r>
        <w:t xml:space="preserve">The TLD is the more reliable </w:t>
      </w:r>
      <w:r w:rsidR="00D87D03">
        <w:t>source of information in this scenario</w:t>
      </w:r>
      <w:r>
        <w:t>. It</w:t>
      </w:r>
      <w:r w:rsidR="0011317E">
        <w:t xml:space="preserve"> could have been</w:t>
      </w:r>
      <w:r>
        <w:t xml:space="preserve"> tissue equivalent, </w:t>
      </w:r>
      <w:r w:rsidR="00FE373D">
        <w:t xml:space="preserve">was assessed quickly, </w:t>
      </w:r>
      <w:r>
        <w:t>and is</w:t>
      </w:r>
      <w:r w:rsidR="00132F30">
        <w:t xml:space="preserve"> </w:t>
      </w:r>
      <w:r w:rsidR="00132F30" w:rsidRPr="00132F30">
        <w:t>the HSE approved dosemeter</w:t>
      </w:r>
      <w:r w:rsidR="00132F30">
        <w:t xml:space="preserve"> type</w:t>
      </w:r>
      <w:r w:rsidR="00132F30" w:rsidRPr="00132F30">
        <w:t xml:space="preserve"> for legal dose assessment</w:t>
      </w:r>
      <w:r>
        <w:t xml:space="preserve">, so 18.9 mSv should be treated as the best estimate of effective dose. The EPD has value for this scenario because it reads in real time and carries dose and dose rate alarms. That its maximum dose </w:t>
      </w:r>
      <w:r>
        <w:lastRenderedPageBreak/>
        <w:t xml:space="preserve">rate of 1,250 mSv/h apparently did </w:t>
      </w:r>
      <w:proofErr w:type="gramStart"/>
      <w:r>
        <w:t xml:space="preserve">not </w:t>
      </w:r>
      <w:r w:rsidR="004D3C06">
        <w:t xml:space="preserve"> seem</w:t>
      </w:r>
      <w:proofErr w:type="gramEnd"/>
      <w:r w:rsidR="004D3C06">
        <w:t xml:space="preserve"> to </w:t>
      </w:r>
      <w:r>
        <w:t xml:space="preserve">trigger an effective warning before harm, or that any alarm was not acted upon, is itself a finding requiring </w:t>
      </w:r>
      <w:r w:rsidR="004D3C06">
        <w:t xml:space="preserve">further </w:t>
      </w:r>
      <w:proofErr w:type="spellStart"/>
      <w:r w:rsidR="004D3C06">
        <w:t>invesgiation</w:t>
      </w:r>
      <w:proofErr w:type="spellEnd"/>
      <w:r w:rsidR="004D3C06">
        <w:t xml:space="preserve"> and an </w:t>
      </w:r>
      <w:r>
        <w:t>explanation</w:t>
      </w:r>
      <w:r w:rsidR="004D3C06">
        <w:t>.</w:t>
      </w:r>
    </w:p>
    <w:p w14:paraId="65A82C53" w14:textId="77777777" w:rsidR="00F811CA" w:rsidRDefault="00F811CA" w:rsidP="00F811CA">
      <w:pPr>
        <w:pStyle w:val="Heading2"/>
      </w:pPr>
      <w:bookmarkStart w:id="38" w:name="_Toc239422706"/>
      <w:r>
        <w:t>Health implications</w:t>
      </w:r>
      <w:bookmarkEnd w:id="38"/>
    </w:p>
    <w:p w14:paraId="104FED7C" w14:textId="4BAA67F5" w:rsidR="007B3FDA" w:rsidRDefault="007B3FDA" w:rsidP="007B3FDA">
      <w:r>
        <w:t>The dose of 18.9 mSv is far below every threshold for tissue reactions. Bone marrow depression begins around 0.5 Gy whole body, skin erythema near 3 Gy, and the LD50/60 lies between 3 and 5 Gy</w:t>
      </w:r>
      <w:r w:rsidR="00E7247E">
        <w:t xml:space="preserve"> </w:t>
      </w:r>
      <w:r w:rsidR="00E7247E">
        <w:fldChar w:fldCharType="begin"/>
      </w:r>
      <w:r w:rsidR="00C92729">
        <w:instrText xml:space="preserve"> ADDIN ZOTERO_ITEM CSL_CITATION {"citationID":"YVmcrlJh","properties":{"unsorted":false,"formattedCitation":"(ICRP, 2007)","plainCitation":"(ICRP, 2007)","noteIndex":0},"citationItems":[{"id":568,"uris":["http://zotero.org/users/local/kxeNHLpj/items/J63MPLBV"],"itemData":{"id":568,"type":"book","collection-number":"103","collection-title":"ICRP publication","ISBN":"978-0-7020-3048-2","language":"eng","number-of-pages":"332","publisher":"Elsevier","publisher-place":"Oxford","source":"K10plus ISBN","title":"The 2007 recommendations of the International Commission on Radiological Protection","editor":[{"literal":"ICRP"}],"issued":{"date-parts":[["2007"]]}}}],"schema":"https://github.com/citation-style-language/schema/raw/master/csl-citation.json"} </w:instrText>
      </w:r>
      <w:r w:rsidR="00E7247E">
        <w:fldChar w:fldCharType="separate"/>
      </w:r>
      <w:r w:rsidR="00C92729" w:rsidRPr="00C92729">
        <w:rPr>
          <w:rFonts w:cs="Arial"/>
        </w:rPr>
        <w:t>(ICRP, 2007)</w:t>
      </w:r>
      <w:r w:rsidR="00E7247E">
        <w:fldChar w:fldCharType="end"/>
      </w:r>
      <w:r>
        <w:t>. The received dose is under 2 per cent of the marrow threshold, so acute radiation syndrome was never plausible, and the Appointed Doctor's finding of no hand erythema is consistent with the skin threshold of 3 Gy</w:t>
      </w:r>
      <w:r w:rsidR="00DD4258">
        <w:t xml:space="preserve"> </w:t>
      </w:r>
      <w:r w:rsidR="00DD4258">
        <w:fldChar w:fldCharType="begin"/>
      </w:r>
      <w:r w:rsidR="00DD4258">
        <w:instrText xml:space="preserve"> ADDIN ZOTERO_ITEM CSL_CITATION {"citationID":"CxwQJ7AB","properties":{"unsorted":false,"formattedCitation":"(ICRP, 2007)","plainCitation":"(ICRP, 2007)","noteIndex":0},"citationItems":[{"id":568,"uris":["http://zotero.org/users/local/kxeNHLpj/items/J63MPLBV"],"itemData":{"id":568,"type":"book","collection-number":"103","collection-title":"ICRP publication","ISBN":"978-0-7020-3048-2","language":"eng","number-of-pages":"332","publisher":"Elsevier","publisher-place":"Oxford","source":"K10plus ISBN","title":"The 2007 recommendations of the International Commission on Radiological Protection","editor":[{"literal":"ICRP"}],"issued":{"date-parts":[["2007"]]}}}],"schema":"https://github.com/citation-style-language/schema/raw/master/csl-citation.json"} </w:instrText>
      </w:r>
      <w:r w:rsidR="00DD4258">
        <w:fldChar w:fldCharType="separate"/>
      </w:r>
      <w:r w:rsidR="00DD4258" w:rsidRPr="00DD4258">
        <w:rPr>
          <w:rFonts w:cs="Arial"/>
        </w:rPr>
        <w:t>(ICRP, 2007)</w:t>
      </w:r>
      <w:r w:rsidR="00DD4258">
        <w:fldChar w:fldCharType="end"/>
      </w:r>
      <w:r>
        <w:t>.</w:t>
      </w:r>
    </w:p>
    <w:p w14:paraId="18B90908" w14:textId="2A239DF3" w:rsidR="00DA25B7" w:rsidRDefault="007B3FDA" w:rsidP="007B3FDA">
      <w:r>
        <w:t xml:space="preserve">Under ICRP 103, the detriment-adjusted nominal risk coefficient for adult workers is 4.2 per cent per Sv for chronic exposure; </w:t>
      </w:r>
      <w:r w:rsidR="00D20282">
        <w:t>T</w:t>
      </w:r>
      <w:r>
        <w:t>he higher acute coefficients apply only above 200 mSv, which does not apply here. The excess lifetime risk from 18.9 mSv is therefore approximately 0.08 per cent, or about 1 in 1,300. Against a baseline lifetime cancer incidence near 50 per cent, this is a small increment, but it is a preventable one and it consumes almost the entire statutory annual dose limit in under two minutes of exposure. The technician should remain under Appointed Doctor surveillance, and occupational health support should address the documented psychological burden that follows inadvertent overexposure.</w:t>
      </w:r>
    </w:p>
    <w:p w14:paraId="7D3EADF5" w14:textId="77777777" w:rsidR="00DA25B7" w:rsidRDefault="00DA25B7" w:rsidP="00DA25B7">
      <w:pPr>
        <w:pStyle w:val="Heading2"/>
      </w:pPr>
      <w:bookmarkStart w:id="39" w:name="_Toc239422707"/>
      <w:r>
        <w:t>Compliance with IRR17</w:t>
      </w:r>
      <w:bookmarkEnd w:id="39"/>
    </w:p>
    <w:p w14:paraId="77529584" w14:textId="0B7F3847" w:rsidR="00E24910" w:rsidRDefault="00E24910" w:rsidP="00E24910">
      <w:r>
        <w:t>The facility did not comply with IRR17 in several respects</w:t>
      </w:r>
      <w:r w:rsidR="00A22D3E">
        <w:t xml:space="preserve"> </w:t>
      </w:r>
      <w:r w:rsidR="00A22D3E">
        <w:fldChar w:fldCharType="begin"/>
      </w:r>
      <w:r w:rsidR="009B4E30">
        <w:instrText xml:space="preserve"> ADDIN ZOTERO_ITEM CSL_CITATION {"citationID":"hjGV9O28","properties":{"unsorted":false,"formattedCitation":"(Great Britain, 2017)","plainCitation":"(Great Britain, 2017)","noteIndex":0},"citationItems":[{"id":570,"uris":["http://zotero.org/users/local/kxeNHLpj/items/TSPCA7NC"],"itemData":{"id":570,"type":"legislation","abstract":"These regulations revoke and supersede the Ionising Radiations Regulations 1999.","container-title":"SI","language":"eng","title":"Ionising Radiations Regulations 2017","title-short":"IRR17","URL":"https://www.legislation.gov.uk/uksi/2017/1075/contents","volume":"2017/1075","author":[{"literal":"Great Britain"}],"issued":{"date-parts":[["2017"]]}}}],"schema":"https://github.com/citation-style-language/schema/raw/master/csl-citation.json"} </w:instrText>
      </w:r>
      <w:r w:rsidR="00A22D3E">
        <w:fldChar w:fldCharType="separate"/>
      </w:r>
      <w:r w:rsidR="009B4E30" w:rsidRPr="009B4E30">
        <w:rPr>
          <w:rFonts w:cs="Arial"/>
        </w:rPr>
        <w:t>(Great Britain, 2017)</w:t>
      </w:r>
      <w:r w:rsidR="00A22D3E">
        <w:fldChar w:fldCharType="end"/>
      </w:r>
      <w:r w:rsidR="00D20282">
        <w:t>.</w:t>
      </w:r>
    </w:p>
    <w:p w14:paraId="25E55C51" w14:textId="4E26DE48" w:rsidR="00E24910" w:rsidRDefault="00E24910" w:rsidP="00E24910">
      <w:r>
        <w:t xml:space="preserve">Under Regulation 8, the risk assessment was inadequate. It evidently did not consider the </w:t>
      </w:r>
      <w:r w:rsidR="00A22D3E">
        <w:t xml:space="preserve">very possible simultaneous </w:t>
      </w:r>
      <w:proofErr w:type="spellStart"/>
      <w:r w:rsidR="00A22D3E">
        <w:t>prescence</w:t>
      </w:r>
      <w:proofErr w:type="spellEnd"/>
      <w:r>
        <w:t xml:space="preserve"> of a worn return mechanism and a defective radiation monitor, nor did it treat the known monitor fault as creating a single-point failure in the access-permissive chain. A suitable and sufficient assessment must examine combinations of degraded defences</w:t>
      </w:r>
      <w:r w:rsidR="00442628">
        <w:t xml:space="preserve">, with thinking like found in the </w:t>
      </w:r>
      <w:r w:rsidR="0099376D">
        <w:t>S</w:t>
      </w:r>
      <w:r w:rsidR="00442628">
        <w:t xml:space="preserve">wiss </w:t>
      </w:r>
      <w:r w:rsidR="0099376D">
        <w:t>C</w:t>
      </w:r>
      <w:r w:rsidR="00442628">
        <w:t xml:space="preserve">heese </w:t>
      </w:r>
      <w:r w:rsidR="0099376D">
        <w:t>M</w:t>
      </w:r>
      <w:r w:rsidR="00442628">
        <w:t>odel</w:t>
      </w:r>
      <w:r>
        <w:t>, not isolated component failures.</w:t>
      </w:r>
    </w:p>
    <w:p w14:paraId="6221CE3A" w14:textId="422E3095" w:rsidR="00E24910" w:rsidRDefault="00E24910" w:rsidP="00E24910">
      <w:r>
        <w:t xml:space="preserve">Under Regulation 9, exposure was not adequately controlled. Operating a high-activity irradiator with a known-faulty fixed monitor, pending replacement and </w:t>
      </w:r>
      <w:r>
        <w:lastRenderedPageBreak/>
        <w:t xml:space="preserve">under administrative control, inverted the hierarchy of control. Engineering and physical barriers should </w:t>
      </w:r>
      <w:r w:rsidR="00657951">
        <w:t>be dominant</w:t>
      </w:r>
      <w:r>
        <w:t xml:space="preserve">; a procedural instruction cannot substitute for a functioning radiation monitor </w:t>
      </w:r>
      <w:r w:rsidR="00CB2651">
        <w:t>in this situation.</w:t>
      </w:r>
    </w:p>
    <w:p w14:paraId="5C0DAF0D" w14:textId="6E8544FB" w:rsidR="00E24910" w:rsidRDefault="00E24910" w:rsidP="00E24910">
      <w:r>
        <w:t xml:space="preserve">Designated-area requirements were also breached in spirit. The vestibule is plainly a controlled area, with an instantaneous dose rate under fault conditions exceeding the 100 µSv/h designation criterion by four orders of magnitude. The purposes of area monitoring include detecting breakdowns in control systems, which is </w:t>
      </w:r>
      <w:r w:rsidR="00470B42">
        <w:t>exactly what happened</w:t>
      </w:r>
      <w:r>
        <w:t>. With the fixed monitor intermittent, the statutory monitoring function for that area was absent, and the access interlock it supported operated on an unverified signal.</w:t>
      </w:r>
    </w:p>
    <w:p w14:paraId="15FACF1F" w14:textId="7EF8F556" w:rsidR="00E24910" w:rsidRDefault="00E24910" w:rsidP="00E24910">
      <w:r>
        <w:t xml:space="preserve">The classification and designation framework was defeated. A dose of 18.9 mSv exceeds the 6 mSv </w:t>
      </w:r>
      <w:proofErr w:type="gramStart"/>
      <w:r>
        <w:t>threshold</w:t>
      </w:r>
      <w:proofErr w:type="gramEnd"/>
      <w:r>
        <w:t xml:space="preserve"> at which an employee must be designated a classified person. If the technician was non-classified, the written arrangements under which they entered the controlled area failed</w:t>
      </w:r>
      <w:r w:rsidR="00363D81">
        <w:t xml:space="preserve"> in the purpose</w:t>
      </w:r>
      <w:r>
        <w:t>,</w:t>
      </w:r>
      <w:r w:rsidR="00363D81">
        <w:t xml:space="preserve"> which is </w:t>
      </w:r>
      <w:r>
        <w:t xml:space="preserve">to keep doses below 6 mSv. If the technician was classified, the episode still demonstrates that written arrangements failed to </w:t>
      </w:r>
      <w:r w:rsidR="00363D81">
        <w:t>keep</w:t>
      </w:r>
      <w:r>
        <w:t xml:space="preserve"> doses ALARP in an area where a critical function, the source position indication, was known to be suspect.</w:t>
      </w:r>
    </w:p>
    <w:p w14:paraId="642B41F7" w14:textId="3A2E68A8" w:rsidR="00E24910" w:rsidRDefault="00E24910" w:rsidP="00E24910">
      <w:r>
        <w:t>Training and information duties are implicated as well. The technician entered unaware that the interlock indication could be false. Instruction for work in such areas must make clear that permissive indications are not infallible, particularly where faults have been formally acknowledged.</w:t>
      </w:r>
    </w:p>
    <w:p w14:paraId="704476B9" w14:textId="36022FA8" w:rsidR="00E24910" w:rsidRPr="00AA09B4" w:rsidRDefault="00E24910" w:rsidP="00E24910">
      <w:pPr>
        <w:rPr>
          <w:rFonts w:cs="Arial"/>
        </w:rPr>
      </w:pPr>
      <w:r>
        <w:t xml:space="preserve">Regarding enforcement: IRR17 is enacted under the Health and Safety at Work etc. Act 1974, which places the general duty on the employer to ensure, so far as is reasonably </w:t>
      </w:r>
      <w:r w:rsidRPr="00AA09B4">
        <w:rPr>
          <w:rFonts w:cs="Arial"/>
        </w:rPr>
        <w:t>practicable, the health and safety of employees. An accidental overexposure of this magnitude is reportable to HSE, and the dose exceeds any credible internal investigation level</w:t>
      </w:r>
      <w:r w:rsidR="00E60CA9" w:rsidRPr="00AA09B4">
        <w:rPr>
          <w:rFonts w:cs="Arial"/>
        </w:rPr>
        <w:t xml:space="preserve"> </w:t>
      </w:r>
      <w:r w:rsidR="00E60CA9" w:rsidRPr="00AA09B4">
        <w:rPr>
          <w:rFonts w:cs="Arial"/>
        </w:rPr>
        <w:fldChar w:fldCharType="begin"/>
      </w:r>
      <w:r w:rsidR="00E43C75" w:rsidRPr="00AA09B4">
        <w:rPr>
          <w:rFonts w:cs="Arial"/>
        </w:rPr>
        <w:instrText xml:space="preserve"> ADDIN ZOTERO_ITEM CSL_CITATION {"citationID":"Zlh92fAO","properties":{"unsorted":false,"formattedCitation":"(Great Britain, 1974)","plainCitation":"(Great Britain, 1974)","noteIndex":0},"citationItems":[{"id":572,"uris":["http://zotero.org/users/local/kxeNHLpj/items/LV7TLEIP"],"itemData":{"id":572,"type":"legislation","title":"Health and Safety at Work Act 1974","title-short":"HSWA 1974","URL":"https://www.legislation.gov.uk/ukpga/1974/37/contents","author":[{"literal":"Great Britain"}],"issued":{"date-parts":[["1974"]]}}}],"schema":"https://github.com/citation-style-language/schema/raw/master/csl-citation.json"} </w:instrText>
      </w:r>
      <w:r w:rsidR="00E60CA9" w:rsidRPr="00AA09B4">
        <w:rPr>
          <w:rFonts w:cs="Arial"/>
        </w:rPr>
        <w:fldChar w:fldCharType="separate"/>
      </w:r>
      <w:r w:rsidR="00E43C75" w:rsidRPr="00AA09B4">
        <w:rPr>
          <w:rFonts w:cs="Arial"/>
        </w:rPr>
        <w:t>(Great Britain, 1974)</w:t>
      </w:r>
      <w:r w:rsidR="00E60CA9" w:rsidRPr="00AA09B4">
        <w:rPr>
          <w:rFonts w:cs="Arial"/>
        </w:rPr>
        <w:fldChar w:fldCharType="end"/>
      </w:r>
      <w:r w:rsidRPr="00AA09B4">
        <w:rPr>
          <w:rFonts w:cs="Arial"/>
        </w:rPr>
        <w:t>.</w:t>
      </w:r>
    </w:p>
    <w:p w14:paraId="7D5A3FFA" w14:textId="77777777" w:rsidR="00E24910" w:rsidRPr="00AA09B4" w:rsidRDefault="00E24910" w:rsidP="00E24910">
      <w:pPr>
        <w:rPr>
          <w:rFonts w:cs="Arial"/>
          <w:b/>
          <w:bCs/>
          <w:kern w:val="32"/>
          <w:sz w:val="32"/>
          <w:szCs w:val="32"/>
        </w:rPr>
      </w:pPr>
    </w:p>
    <w:p w14:paraId="7F6636CF" w14:textId="77777777" w:rsidR="00AA09B4" w:rsidRDefault="00AA09B4" w:rsidP="00AA09B4">
      <w:pPr>
        <w:pStyle w:val="Heading2"/>
        <w:sectPr w:rsidR="00AA09B4" w:rsidSect="00623A81">
          <w:headerReference w:type="default" r:id="rId14"/>
          <w:pgSz w:w="11906" w:h="16838" w:code="9"/>
          <w:pgMar w:top="1701" w:right="1701" w:bottom="1701" w:left="1701" w:header="709" w:footer="851" w:gutter="0"/>
          <w:cols w:space="708"/>
          <w:docGrid w:linePitch="360"/>
        </w:sectPr>
      </w:pPr>
    </w:p>
    <w:p w14:paraId="0413E450" w14:textId="2FB79CB3" w:rsidR="00AA09B4" w:rsidRDefault="005911E9" w:rsidP="00AA09B4">
      <w:pPr>
        <w:pStyle w:val="Heading2"/>
      </w:pPr>
      <w:bookmarkStart w:id="40" w:name="_Toc239422708"/>
      <w:r w:rsidRPr="00AA09B4">
        <w:lastRenderedPageBreak/>
        <w:t>Assessment Against ONR Safety Assessment Principles</w:t>
      </w:r>
      <w:bookmarkEnd w:id="40"/>
    </w:p>
    <w:p w14:paraId="1A4B6968" w14:textId="783F2DDC" w:rsidR="00AA09B4" w:rsidRPr="00AA09B4" w:rsidRDefault="00AA09B4" w:rsidP="00AA09B4">
      <w:pPr>
        <w:pStyle w:val="Heading3"/>
      </w:pPr>
      <w:bookmarkStart w:id="41" w:name="_Toc239422709"/>
      <w:r w:rsidRPr="00AA09B4">
        <w:t>EKP.5, Defence in Depth</w:t>
      </w:r>
      <w:bookmarkEnd w:id="41"/>
    </w:p>
    <w:p w14:paraId="5C9A35CB" w14:textId="264E8ACB" w:rsidR="00353550" w:rsidRDefault="00353550" w:rsidP="00353550">
      <w:r w:rsidRPr="00AA09B4">
        <w:rPr>
          <w:rFonts w:cs="Arial"/>
        </w:rPr>
        <w:t xml:space="preserve">This principle demands successive levels of protection so that failure of one layer is caught by the next. The event </w:t>
      </w:r>
      <w:r w:rsidR="00832787">
        <w:rPr>
          <w:rFonts w:cs="Arial"/>
        </w:rPr>
        <w:t>failed</w:t>
      </w:r>
      <w:r w:rsidRPr="00AA09B4">
        <w:rPr>
          <w:rFonts w:cs="Arial"/>
        </w:rPr>
        <w:t xml:space="preserve"> this test at every level. Physical prevention failed because wear</w:t>
      </w:r>
      <w:r w:rsidR="00832787">
        <w:rPr>
          <w:rFonts w:cs="Arial"/>
        </w:rPr>
        <w:t xml:space="preserve"> of systems and components</w:t>
      </w:r>
      <w:r w:rsidRPr="00AA09B4">
        <w:rPr>
          <w:rFonts w:cs="Arial"/>
        </w:rPr>
        <w:t xml:space="preserve"> was never detected. Control and alarm failed because the source position switch signalled safe while the carrier sat short of </w:t>
      </w:r>
      <w:r w:rsidR="00832787">
        <w:rPr>
          <w:rFonts w:cs="Arial"/>
        </w:rPr>
        <w:t>the required position</w:t>
      </w:r>
      <w:r w:rsidRPr="00AA09B4">
        <w:rPr>
          <w:rFonts w:cs="Arial"/>
        </w:rPr>
        <w:t>. Mitigation failed be</w:t>
      </w:r>
      <w:r>
        <w:t>cause the fixed monitor, the independent radiation-based barrier, was unreliable and had been administratively overridden. Detection ultimately depended on a colleague arriving with a portable meter, which is chance, not a designed barrier. The lesson is that defence in depth is only real when each layer is periodically proven, and when a fault in one layer</w:t>
      </w:r>
      <w:r w:rsidR="00273412">
        <w:t>, the activity is then halted</w:t>
      </w:r>
      <w:r>
        <w:t xml:space="preserve"> than </w:t>
      </w:r>
      <w:r w:rsidR="00273412">
        <w:t xml:space="preserve">a </w:t>
      </w:r>
      <w:r>
        <w:t>workaround</w:t>
      </w:r>
      <w:r w:rsidR="00273412">
        <w:t xml:space="preserve"> being found</w:t>
      </w:r>
      <w:r>
        <w:t>. Where a critical function such as source position indication cannot be shown to work, it must be treated as failed and</w:t>
      </w:r>
      <w:r w:rsidR="00273412">
        <w:t xml:space="preserve"> then</w:t>
      </w:r>
      <w:r>
        <w:t xml:space="preserve"> access withheld.</w:t>
      </w:r>
    </w:p>
    <w:p w14:paraId="6379EEB0" w14:textId="77777777" w:rsidR="00AA09B4" w:rsidRDefault="00353550" w:rsidP="00AA09B4">
      <w:pPr>
        <w:pStyle w:val="Heading3"/>
      </w:pPr>
      <w:bookmarkStart w:id="42" w:name="_Toc239422710"/>
      <w:r>
        <w:t>ECO 3.3 (Safety Culture)</w:t>
      </w:r>
      <w:bookmarkEnd w:id="42"/>
    </w:p>
    <w:p w14:paraId="0327EDCF" w14:textId="5C7FE8A2" w:rsidR="00353550" w:rsidRDefault="00353550" w:rsidP="00353550">
      <w:r>
        <w:t xml:space="preserve">Operating pending a monitor replacement, on a mechanism showing intermittent seating faults, reflects an organisational drift in which continuity of </w:t>
      </w:r>
      <w:r w:rsidR="00937BFE">
        <w:t xml:space="preserve">work </w:t>
      </w:r>
      <w:r>
        <w:t>outranked demonstration of safety. A healthy culture treats anomalies in critical functions as stop conditions. Neither defect was stop-work worthy in the eyes of the organisation, which is the definition of a poor safety culture.</w:t>
      </w:r>
    </w:p>
    <w:p w14:paraId="183C6AC9" w14:textId="77777777" w:rsidR="00AA09B4" w:rsidRDefault="00353550" w:rsidP="00AA09B4">
      <w:pPr>
        <w:pStyle w:val="Heading3"/>
      </w:pPr>
      <w:bookmarkStart w:id="43" w:name="_Toc239422711"/>
      <w:r>
        <w:t>EHA.1 (Hazard Identification and Analysis)</w:t>
      </w:r>
      <w:bookmarkEnd w:id="43"/>
    </w:p>
    <w:p w14:paraId="3D37913F" w14:textId="1460B1FE" w:rsidR="00353550" w:rsidRDefault="00353550" w:rsidP="00353550">
      <w:r>
        <w:t xml:space="preserve">The hazards of a partially unshielded source in a service vestibule were evidently not </w:t>
      </w:r>
      <w:r w:rsidR="001769DC">
        <w:t>adequately identified</w:t>
      </w:r>
      <w:r>
        <w:t xml:space="preserve">. Had this state been examined in design or operation, the consequences of a single switch error combined with a worn return mechanism would have been </w:t>
      </w:r>
      <w:r w:rsidR="001769DC">
        <w:t>clear</w:t>
      </w:r>
      <w:r>
        <w:t>, and additional diverse instrumentation or surveillance would have followed. The failure to foresee this reasonably foreseeable combination is itself a deficiency.</w:t>
      </w:r>
    </w:p>
    <w:p w14:paraId="4FE702F7" w14:textId="77777777" w:rsidR="00EE5B29" w:rsidRDefault="00EE5B29" w:rsidP="00353550"/>
    <w:p w14:paraId="49F78AC2" w14:textId="6AC4EA09" w:rsidR="00353550" w:rsidRDefault="00EE5B29" w:rsidP="00353550">
      <w:pPr>
        <w:pStyle w:val="Heading1"/>
      </w:pPr>
      <w:bookmarkStart w:id="44" w:name="_Toc239422712"/>
      <w:r w:rsidRPr="00EE5B29">
        <w:lastRenderedPageBreak/>
        <w:t>Recommendations on ALARP Grounds</w:t>
      </w:r>
      <w:bookmarkEnd w:id="44"/>
    </w:p>
    <w:p w14:paraId="6F2BEEBC" w14:textId="4B820F31" w:rsidR="00780750" w:rsidRDefault="00780750" w:rsidP="00780750">
      <w:r>
        <w:t xml:space="preserve">Four proportionate improvements follow directly from the </w:t>
      </w:r>
      <w:proofErr w:type="gramStart"/>
      <w:r>
        <w:t>analysis,</w:t>
      </w:r>
      <w:proofErr w:type="gramEnd"/>
      <w:r>
        <w:t xml:space="preserve"> each justified on the standard ALARP test that a measure may be set aside only when its cost or trouble is grossly disproportionate to the risk reduction achieved.</w:t>
      </w:r>
    </w:p>
    <w:p w14:paraId="60693351" w14:textId="216CCA74" w:rsidR="00780750" w:rsidRDefault="00780750" w:rsidP="00780750">
      <w:r>
        <w:t xml:space="preserve">Restore diverse redundancy in the access </w:t>
      </w:r>
      <w:r w:rsidR="00A966B6">
        <w:t>permission chain</w:t>
      </w:r>
      <w:r>
        <w:t xml:space="preserve">. The mechanical switch should be supplemented by a genuinely diverse second indication of carrier position, for example an independent proximity or optical sensor on a separate circuit. Cost </w:t>
      </w:r>
      <w:r w:rsidR="00A966B6">
        <w:t xml:space="preserve">would be </w:t>
      </w:r>
      <w:r>
        <w:t xml:space="preserve">modest and targeted at a demonstrated failure path. The risk reduction is </w:t>
      </w:r>
      <w:proofErr w:type="gramStart"/>
      <w:r>
        <w:t>large</w:t>
      </w:r>
      <w:proofErr w:type="gramEnd"/>
      <w:r>
        <w:t xml:space="preserve"> and the cost is clearly not grossly disproportionate, so the measure is required.</w:t>
      </w:r>
    </w:p>
    <w:p w14:paraId="14AB02DA" w14:textId="7D66A78F" w:rsidR="00780750" w:rsidRDefault="00780750" w:rsidP="00780750">
      <w:r>
        <w:t xml:space="preserve">Remove administrative override of radiation monitors. Known faults in safety-critical monitors must trigger lockout of access until the monitor is restored, with no procedural alternative. The saving in irradiation continuity is trivial compared with the consequence demonstrated here, so a lockout is </w:t>
      </w:r>
      <w:r w:rsidR="00953B70">
        <w:t>clearly</w:t>
      </w:r>
      <w:r>
        <w:t xml:space="preserve"> ALARP.</w:t>
      </w:r>
    </w:p>
    <w:p w14:paraId="2DFE3F8C" w14:textId="0AF99273" w:rsidR="00780750" w:rsidRDefault="00780750" w:rsidP="00780750">
      <w:r>
        <w:t xml:space="preserve">Introduce </w:t>
      </w:r>
      <w:proofErr w:type="gramStart"/>
      <w:r>
        <w:t>condition</w:t>
      </w:r>
      <w:r w:rsidR="00953B70">
        <w:t xml:space="preserve"> </w:t>
      </w:r>
      <w:r>
        <w:t>based</w:t>
      </w:r>
      <w:proofErr w:type="gramEnd"/>
      <w:r>
        <w:t xml:space="preserve"> maintenance for the return mechanism. Scheduled cleaning and functional testing of the carrier mechanism, with positive confirmation of full seating on every cycle, </w:t>
      </w:r>
      <w:r w:rsidR="00953B70">
        <w:t>goes after</w:t>
      </w:r>
      <w:r>
        <w:t xml:space="preserve"> the initiating fault at little cost relative to the harm prevented.</w:t>
      </w:r>
    </w:p>
    <w:p w14:paraId="6438FF73" w14:textId="2D8718A9" w:rsidR="00780750" w:rsidRDefault="00780750" w:rsidP="00780750">
      <w:r>
        <w:t xml:space="preserve">Add periodic proof tests for all access-chain critical functions. Each element that contributes to the safe-state permissive, switch, wiring, logic and monitor, should be </w:t>
      </w:r>
      <w:r w:rsidR="009263E0">
        <w:t>tested and drilled</w:t>
      </w:r>
      <w:r>
        <w:t xml:space="preserve"> on a defined schedule with </w:t>
      </w:r>
      <w:r w:rsidR="009263E0">
        <w:t>a</w:t>
      </w:r>
      <w:r>
        <w:t xml:space="preserve"> </w:t>
      </w:r>
      <w:r w:rsidR="009263E0">
        <w:t xml:space="preserve">thorough </w:t>
      </w:r>
      <w:r>
        <w:t>record. This restores the confidence that each defence layer actually functions, converting nominal redundancy into effective redundancy.</w:t>
      </w:r>
    </w:p>
    <w:p w14:paraId="7591CC86" w14:textId="77777777" w:rsidR="00780750" w:rsidRDefault="00780750" w:rsidP="00780750"/>
    <w:p w14:paraId="383EA491" w14:textId="77777777" w:rsidR="00A066DF" w:rsidRDefault="00A066DF" w:rsidP="007B6385">
      <w:pPr>
        <w:pStyle w:val="Heading1"/>
        <w:sectPr w:rsidR="00A066DF" w:rsidSect="00623A81">
          <w:pgSz w:w="11906" w:h="16838" w:code="9"/>
          <w:pgMar w:top="1701" w:right="1701" w:bottom="1701" w:left="1701" w:header="709" w:footer="851" w:gutter="0"/>
          <w:cols w:space="708"/>
          <w:docGrid w:linePitch="360"/>
        </w:sectPr>
      </w:pPr>
    </w:p>
    <w:p w14:paraId="6CD1AC19" w14:textId="0DFEEE5D" w:rsidR="007B6385" w:rsidRDefault="00780750" w:rsidP="007B6385">
      <w:pPr>
        <w:pStyle w:val="Heading1"/>
      </w:pPr>
      <w:bookmarkStart w:id="45" w:name="_Toc239422713"/>
      <w:r>
        <w:lastRenderedPageBreak/>
        <w:t>Conclusions</w:t>
      </w:r>
      <w:bookmarkEnd w:id="45"/>
    </w:p>
    <w:p w14:paraId="2BC0FD6E" w14:textId="7EE29994" w:rsidR="007B6385" w:rsidRDefault="007B6385" w:rsidP="007B6385">
      <w:r w:rsidRPr="007B6385">
        <w:t xml:space="preserve">The technician received an effective dose of approximately 18.9 mSv, essentially the statutory annual limit, in under two minutes. Dose reconstruction from first principles, using source activity of 46.9 </w:t>
      </w:r>
      <w:proofErr w:type="spellStart"/>
      <w:r w:rsidRPr="007B6385">
        <w:t>TBq</w:t>
      </w:r>
      <w:proofErr w:type="spellEnd"/>
      <w:r w:rsidRPr="007B6385">
        <w:t xml:space="preserve"> and an unshielded rate at 1 m of 14.3 to 16.4 Sv/h, produces a total dose of </w:t>
      </w:r>
      <w:r w:rsidR="00E17D7B">
        <w:t>4.</w:t>
      </w:r>
      <w:r w:rsidR="00BC0EC8">
        <w:t>5</w:t>
      </w:r>
      <w:r w:rsidRPr="007B6385">
        <w:t xml:space="preserve"> to 14.1 mSv, close enough to the measured values to confirm that the model captures the physics, with the residual gap attributed to uncertainties in duration, distance, attenuation and scattered radiation. The facility failed to comply with IRR17 in respect of risk assessment, control of exposure, and monitoring of designated areas. It fell short of the ONR principle of defence in depth by allowing several layers of protection to degrade simultaneously, and it exhibited cultural and analytical weaknesses that allowed known defects in critical functions to persist. The remedies proposed are inexpensive, targeted and</w:t>
      </w:r>
      <w:r w:rsidR="00934287">
        <w:t xml:space="preserve"> clearly</w:t>
      </w:r>
      <w:r w:rsidRPr="007B6385">
        <w:t xml:space="preserve"> required </w:t>
      </w:r>
      <w:r w:rsidR="00934287">
        <w:t>to avoid a repeat scenario</w:t>
      </w:r>
      <w:r w:rsidRPr="007B6385">
        <w:t>.</w:t>
      </w:r>
    </w:p>
    <w:p w14:paraId="19585B1D" w14:textId="77777777" w:rsidR="00D0075B" w:rsidRDefault="00D0075B" w:rsidP="007B6385">
      <w:pPr>
        <w:sectPr w:rsidR="00D0075B" w:rsidSect="00623A81">
          <w:pgSz w:w="11906" w:h="16838" w:code="9"/>
          <w:pgMar w:top="1701" w:right="1701" w:bottom="1701" w:left="1701" w:header="709" w:footer="851" w:gutter="0"/>
          <w:cols w:space="708"/>
          <w:docGrid w:linePitch="360"/>
        </w:sectPr>
      </w:pPr>
    </w:p>
    <w:p w14:paraId="6DAC34EF" w14:textId="77777777" w:rsidR="00D0075B" w:rsidRDefault="00D0075B" w:rsidP="00D0075B">
      <w:pPr>
        <w:pStyle w:val="Heading1nonumber"/>
      </w:pPr>
      <w:bookmarkStart w:id="46" w:name="_Toc290554257"/>
      <w:bookmarkStart w:id="47" w:name="_Toc299621222"/>
      <w:bookmarkStart w:id="48" w:name="_Toc299631447"/>
      <w:bookmarkStart w:id="49" w:name="_Toc299631509"/>
      <w:bookmarkStart w:id="50" w:name="_Toc299631599"/>
      <w:bookmarkStart w:id="51" w:name="_Toc299631675"/>
      <w:bookmarkStart w:id="52" w:name="_Toc239422714"/>
      <w:r>
        <w:lastRenderedPageBreak/>
        <w:t>References</w:t>
      </w:r>
      <w:bookmarkEnd w:id="46"/>
      <w:bookmarkEnd w:id="47"/>
      <w:bookmarkEnd w:id="48"/>
      <w:bookmarkEnd w:id="49"/>
      <w:bookmarkEnd w:id="50"/>
      <w:bookmarkEnd w:id="51"/>
      <w:bookmarkEnd w:id="52"/>
    </w:p>
    <w:p w14:paraId="753420E4" w14:textId="77777777" w:rsidR="003F1E92" w:rsidRPr="003F1E92" w:rsidRDefault="00D0075B" w:rsidP="003F1E92">
      <w:pPr>
        <w:pStyle w:val="Bibliography"/>
      </w:pPr>
      <w:r>
        <w:fldChar w:fldCharType="begin"/>
      </w:r>
      <w:r>
        <w:instrText xml:space="preserve"> ADDIN ZOTERO_BIBL {"uncited":[],"omitted":[],"custom":[]} CSL_BIBLIOGRAPHY </w:instrText>
      </w:r>
      <w:r>
        <w:fldChar w:fldCharType="separate"/>
      </w:r>
      <w:r w:rsidR="003F1E92" w:rsidRPr="003F1E92">
        <w:t xml:space="preserve">Great Britain (1974) </w:t>
      </w:r>
      <w:r w:rsidR="003F1E92" w:rsidRPr="003F1E92">
        <w:rPr>
          <w:i/>
          <w:iCs/>
        </w:rPr>
        <w:t>Health and Safety at Work Act 1974</w:t>
      </w:r>
      <w:r w:rsidR="003F1E92" w:rsidRPr="003F1E92">
        <w:t>. Available at: https://www.legislation.gov.uk/ukpga/1974/37/contents.</w:t>
      </w:r>
    </w:p>
    <w:p w14:paraId="6BDEC7BB" w14:textId="77777777" w:rsidR="003F1E92" w:rsidRPr="003F1E92" w:rsidRDefault="003F1E92" w:rsidP="003F1E92">
      <w:pPr>
        <w:pStyle w:val="Bibliography"/>
      </w:pPr>
      <w:r w:rsidRPr="003F1E92">
        <w:t xml:space="preserve">Great Britain (2017) </w:t>
      </w:r>
      <w:r w:rsidRPr="003F1E92">
        <w:rPr>
          <w:i/>
          <w:iCs/>
        </w:rPr>
        <w:t>Ionising Radiations Regulations 2017</w:t>
      </w:r>
      <w:r w:rsidRPr="003F1E92">
        <w:t xml:space="preserve">, </w:t>
      </w:r>
      <w:r w:rsidRPr="003F1E92">
        <w:rPr>
          <w:i/>
          <w:iCs/>
        </w:rPr>
        <w:t>SI</w:t>
      </w:r>
      <w:r w:rsidRPr="003F1E92">
        <w:t>. Available at: https://www.legislation.gov.uk/uksi/2017/1075/contents.</w:t>
      </w:r>
    </w:p>
    <w:p w14:paraId="5CA14958" w14:textId="77777777" w:rsidR="003F1E92" w:rsidRPr="003F1E92" w:rsidRDefault="003F1E92" w:rsidP="003F1E92">
      <w:pPr>
        <w:pStyle w:val="Bibliography"/>
      </w:pPr>
      <w:r w:rsidRPr="003F1E92">
        <w:t xml:space="preserve">Howard, C. (2020) ‘Optimizing the Gamma Process’, </w:t>
      </w:r>
      <w:r w:rsidRPr="003F1E92">
        <w:rPr>
          <w:i/>
          <w:iCs/>
        </w:rPr>
        <w:t>Biomedical Instrumentation &amp;amp; Technology</w:t>
      </w:r>
      <w:r w:rsidRPr="003F1E92">
        <w:t>, 54(s1), pp. 31–39. Available at: https://doi.org/10.2345/0899-8205-54.s3.31.</w:t>
      </w:r>
    </w:p>
    <w:p w14:paraId="32878AEA" w14:textId="77777777" w:rsidR="003F1E92" w:rsidRPr="003F1E92" w:rsidRDefault="003F1E92" w:rsidP="003F1E92">
      <w:pPr>
        <w:pStyle w:val="Bibliography"/>
      </w:pPr>
      <w:r w:rsidRPr="003F1E92">
        <w:t xml:space="preserve">IAEA (2006) </w:t>
      </w:r>
      <w:r w:rsidRPr="003F1E92">
        <w:rPr>
          <w:i/>
          <w:iCs/>
        </w:rPr>
        <w:t>Gamma irradiators for radiation processing</w:t>
      </w:r>
      <w:r w:rsidRPr="003F1E92">
        <w:t>. INIS-XA--862. International Atomic Energy Agency, Industrial Applications and Chemistry Section, Vienna (Austria). Available at: https://inis.iaea.org/records/517fx-exh85 (Accessed: 4 September 2026).</w:t>
      </w:r>
    </w:p>
    <w:p w14:paraId="14E8F399" w14:textId="77777777" w:rsidR="003F1E92" w:rsidRPr="003F1E92" w:rsidRDefault="003F1E92" w:rsidP="003F1E92">
      <w:pPr>
        <w:pStyle w:val="Bibliography"/>
      </w:pPr>
      <w:r w:rsidRPr="003F1E92">
        <w:t xml:space="preserve">ICRP (ed.) (2007) </w:t>
      </w:r>
      <w:r w:rsidRPr="003F1E92">
        <w:rPr>
          <w:i/>
          <w:iCs/>
        </w:rPr>
        <w:t>The 2007 recommendations of the International Commission on Radiological Protection</w:t>
      </w:r>
      <w:r w:rsidRPr="003F1E92">
        <w:t>. Oxford: Elsevier (ICRP publication, 103).</w:t>
      </w:r>
    </w:p>
    <w:p w14:paraId="47D5FE16" w14:textId="77777777" w:rsidR="003F1E92" w:rsidRPr="003F1E92" w:rsidRDefault="003F1E92" w:rsidP="003F1E92">
      <w:pPr>
        <w:pStyle w:val="Bibliography"/>
      </w:pPr>
      <w:proofErr w:type="spellStart"/>
      <w:r w:rsidRPr="003F1E92">
        <w:t>Ionactive</w:t>
      </w:r>
      <w:proofErr w:type="spellEnd"/>
      <w:r w:rsidRPr="003F1E92">
        <w:t xml:space="preserve"> (2023) </w:t>
      </w:r>
      <w:r w:rsidRPr="003F1E92">
        <w:rPr>
          <w:i/>
          <w:iCs/>
        </w:rPr>
        <w:t>Co-60 (Cobalt-60) Radiation Safety Data</w:t>
      </w:r>
      <w:r w:rsidRPr="003F1E92">
        <w:t xml:space="preserve">, </w:t>
      </w:r>
      <w:proofErr w:type="spellStart"/>
      <w:r w:rsidRPr="003F1E92">
        <w:rPr>
          <w:i/>
          <w:iCs/>
        </w:rPr>
        <w:t>Ionactive</w:t>
      </w:r>
      <w:proofErr w:type="spellEnd"/>
      <w:r w:rsidRPr="003F1E92">
        <w:t>. Available at: https://ionactive.co.uk/resource-hub/guidance/co-60-cobolt-60-radiation-safety-data.</w:t>
      </w:r>
    </w:p>
    <w:p w14:paraId="77817319" w14:textId="77777777" w:rsidR="003F1E92" w:rsidRPr="003F1E92" w:rsidRDefault="003F1E92" w:rsidP="003F1E92">
      <w:pPr>
        <w:pStyle w:val="Bibliography"/>
      </w:pPr>
      <w:r w:rsidRPr="003F1E92">
        <w:t>Mason, S. (2026) ‘Assignment D’.</w:t>
      </w:r>
    </w:p>
    <w:p w14:paraId="3C296F82" w14:textId="77777777" w:rsidR="003F1E92" w:rsidRPr="003F1E92" w:rsidRDefault="003F1E92" w:rsidP="003F1E92">
      <w:pPr>
        <w:pStyle w:val="Bibliography"/>
      </w:pPr>
      <w:r w:rsidRPr="003F1E92">
        <w:t>Nordion (2018) ‘JS-10000 Hanging Tote Irradiator’.</w:t>
      </w:r>
    </w:p>
    <w:p w14:paraId="1CA79795" w14:textId="77777777" w:rsidR="003F1E92" w:rsidRPr="003F1E92" w:rsidRDefault="003F1E92" w:rsidP="003F1E92">
      <w:pPr>
        <w:pStyle w:val="Bibliography"/>
      </w:pPr>
      <w:r w:rsidRPr="003F1E92">
        <w:t>Nordion (2026) ‘C-188 Cobalt-60 Sources’. Available at: https://www.nordion.com/products/c-188-cobalt-60-sources/.</w:t>
      </w:r>
    </w:p>
    <w:p w14:paraId="646F024C" w14:textId="77777777" w:rsidR="003F1E92" w:rsidRPr="003F1E92" w:rsidRDefault="003F1E92" w:rsidP="003F1E92">
      <w:pPr>
        <w:pStyle w:val="Bibliography"/>
      </w:pPr>
      <w:r w:rsidRPr="003F1E92">
        <w:t xml:space="preserve">OSHA (2026) </w:t>
      </w:r>
      <w:r w:rsidRPr="003F1E92">
        <w:rPr>
          <w:i/>
          <w:iCs/>
        </w:rPr>
        <w:t>Ionizing Radiation - Introduction to Ionizing Radiation - Shielding Layer Examples | Occupational Safety and Health Administration</w:t>
      </w:r>
      <w:r w:rsidRPr="003F1E92">
        <w:t>. Available at: https://www.osha.gov/ionizing-radiation/introduction/shielding-layer-examples.</w:t>
      </w:r>
    </w:p>
    <w:p w14:paraId="11B80F47" w14:textId="77777777" w:rsidR="003F1E92" w:rsidRPr="003F1E92" w:rsidRDefault="003F1E92" w:rsidP="003F1E92">
      <w:pPr>
        <w:pStyle w:val="Bibliography"/>
      </w:pPr>
      <w:r w:rsidRPr="003F1E92">
        <w:t xml:space="preserve">Peplow, D.E. (2020) ‘Specific Gamma-Ray Dose Constants with Current Emission Data’, </w:t>
      </w:r>
      <w:r w:rsidRPr="003F1E92">
        <w:rPr>
          <w:i/>
          <w:iCs/>
        </w:rPr>
        <w:t>Health Physics</w:t>
      </w:r>
      <w:r w:rsidRPr="003F1E92">
        <w:t>, 118(4). Available at: https://doi.org/10.1097/HP.0000000000001136.</w:t>
      </w:r>
    </w:p>
    <w:p w14:paraId="5D2EDF52" w14:textId="77777777" w:rsidR="003F1E92" w:rsidRPr="003F1E92" w:rsidRDefault="003F1E92" w:rsidP="003F1E92">
      <w:pPr>
        <w:pStyle w:val="Bibliography"/>
      </w:pPr>
      <w:r w:rsidRPr="003F1E92">
        <w:t xml:space="preserve">Valentin, J. (ed.) (2009) </w:t>
      </w:r>
      <w:r w:rsidRPr="003F1E92">
        <w:rPr>
          <w:i/>
          <w:iCs/>
        </w:rPr>
        <w:t xml:space="preserve">Nuclear decay data for </w:t>
      </w:r>
      <w:proofErr w:type="spellStart"/>
      <w:r w:rsidRPr="003F1E92">
        <w:rPr>
          <w:i/>
          <w:iCs/>
        </w:rPr>
        <w:t>dosimetric</w:t>
      </w:r>
      <w:proofErr w:type="spellEnd"/>
      <w:r w:rsidRPr="003F1E92">
        <w:rPr>
          <w:i/>
          <w:iCs/>
        </w:rPr>
        <w:t xml:space="preserve"> calculations</w:t>
      </w:r>
      <w:r w:rsidRPr="003F1E92">
        <w:t>. St. Louis, Mo.: Elsevier (ICRP publication, 107).</w:t>
      </w:r>
    </w:p>
    <w:p w14:paraId="63BBFE71" w14:textId="47C01FED" w:rsidR="007B6385" w:rsidRDefault="00D0075B" w:rsidP="007B6385">
      <w:r>
        <w:fldChar w:fldCharType="end"/>
      </w:r>
    </w:p>
    <w:p w14:paraId="1A1D0185" w14:textId="77777777" w:rsidR="00D0075B" w:rsidRPr="00D0075B" w:rsidRDefault="00D0075B" w:rsidP="00D0075B">
      <w:pPr>
        <w:sectPr w:rsidR="00D0075B" w:rsidRPr="00D0075B" w:rsidSect="00623A81">
          <w:headerReference w:type="default" r:id="rId15"/>
          <w:pgSz w:w="11906" w:h="16838" w:code="9"/>
          <w:pgMar w:top="1701" w:right="1701" w:bottom="1701" w:left="1701" w:header="709" w:footer="851" w:gutter="0"/>
          <w:cols w:space="708"/>
          <w:docGrid w:linePitch="360"/>
        </w:sectPr>
      </w:pPr>
    </w:p>
    <w:p w14:paraId="630E2F0D" w14:textId="1F2DC514" w:rsidR="003139FB" w:rsidRDefault="007B6385" w:rsidP="003139FB">
      <w:pPr>
        <w:pStyle w:val="Heading7"/>
      </w:pPr>
      <w:bookmarkStart w:id="53" w:name="_Toc239422715"/>
      <w:r>
        <w:lastRenderedPageBreak/>
        <w:t>Detailed Calculations</w:t>
      </w:r>
      <w:bookmarkEnd w:id="53"/>
    </w:p>
    <w:p w14:paraId="6D0588D8" w14:textId="77777777" w:rsidR="00066CC2" w:rsidRPr="00066CC2" w:rsidRDefault="00066CC2" w:rsidP="00066CC2"/>
    <w:p w14:paraId="3AC4C325" w14:textId="77777777" w:rsidR="00151BF3" w:rsidRDefault="003139FB" w:rsidP="00151BF3">
      <w:pPr>
        <w:pStyle w:val="Heading8"/>
      </w:pPr>
      <w:r>
        <w:t xml:space="preserve">Elapsed time and decayed activity. </w:t>
      </w:r>
    </w:p>
    <w:p w14:paraId="63BD6E8A" w14:textId="7C536FB3" w:rsidR="0092524F" w:rsidRDefault="003139FB" w:rsidP="00151BF3">
      <w:r>
        <w:t xml:space="preserve">From 6 June 2019 to 21 October 2024 is 1,964 days = </w:t>
      </w:r>
      <w:r w:rsidRPr="008E721C">
        <w:rPr>
          <w:b/>
          <w:bCs/>
        </w:rPr>
        <w:t>5.375 years</w:t>
      </w:r>
    </w:p>
    <w:p w14:paraId="30551D59" w14:textId="27F127BB" w:rsidR="0092524F" w:rsidRDefault="003139FB" w:rsidP="00151BF3">
      <w:r>
        <w:t xml:space="preserve">λ = </w:t>
      </w:r>
      <w:proofErr w:type="gramStart"/>
      <w:r>
        <w:t>ln(</w:t>
      </w:r>
      <w:proofErr w:type="gramEnd"/>
      <w:r>
        <w:t>2)/5.27 = 0.1315 y</w:t>
      </w:r>
      <w:r>
        <w:rPr>
          <w:rFonts w:ascii="Cambria Math" w:hAnsi="Cambria Math" w:cs="Cambria Math"/>
        </w:rPr>
        <w:t>⁻</w:t>
      </w:r>
      <w:r>
        <w:rPr>
          <w:rFonts w:cs="Arial"/>
        </w:rPr>
        <w:t>¹</w:t>
      </w:r>
    </w:p>
    <w:p w14:paraId="5DD90359" w14:textId="711CDBA1" w:rsidR="003139FB" w:rsidRDefault="003139FB" w:rsidP="00151BF3">
      <w:pPr>
        <w:rPr>
          <w:b/>
          <w:bCs/>
        </w:rPr>
      </w:pPr>
      <w:r>
        <w:t xml:space="preserve">A = 95 </w:t>
      </w:r>
      <w:r>
        <w:rPr>
          <w:rFonts w:cs="Arial"/>
        </w:rPr>
        <w:t>×</w:t>
      </w:r>
      <w:r>
        <w:t xml:space="preserve"> e</w:t>
      </w:r>
      <w:proofErr w:type="gramStart"/>
      <w:r>
        <w:t>^(</w:t>
      </w:r>
      <w:proofErr w:type="gramEnd"/>
      <w:r>
        <w:rPr>
          <w:rFonts w:cs="Arial"/>
        </w:rPr>
        <w:t>−</w:t>
      </w:r>
      <w:r>
        <w:t xml:space="preserve">0.1315 </w:t>
      </w:r>
      <w:r>
        <w:rPr>
          <w:rFonts w:cs="Arial"/>
        </w:rPr>
        <w:t>×</w:t>
      </w:r>
      <w:r>
        <w:t xml:space="preserve"> 5.375) = 95 </w:t>
      </w:r>
      <w:r>
        <w:rPr>
          <w:rFonts w:cs="Arial"/>
        </w:rPr>
        <w:t>×</w:t>
      </w:r>
      <w:r>
        <w:t xml:space="preserve"> e</w:t>
      </w:r>
      <w:proofErr w:type="gramStart"/>
      <w:r>
        <w:t>^(</w:t>
      </w:r>
      <w:proofErr w:type="gramEnd"/>
      <w:r>
        <w:rPr>
          <w:rFonts w:cs="Arial"/>
        </w:rPr>
        <w:t>−</w:t>
      </w:r>
      <w:r>
        <w:t xml:space="preserve">0.7068) = 95 </w:t>
      </w:r>
      <w:r>
        <w:rPr>
          <w:rFonts w:cs="Arial"/>
        </w:rPr>
        <w:t>×</w:t>
      </w:r>
      <w:r>
        <w:t xml:space="preserve"> 0.4932 = 46.85 </w:t>
      </w:r>
      <w:proofErr w:type="spellStart"/>
      <w:r>
        <w:t>TBq</w:t>
      </w:r>
      <w:proofErr w:type="spellEnd"/>
      <w:r>
        <w:t xml:space="preserve"> = 46,850 </w:t>
      </w:r>
      <w:proofErr w:type="spellStart"/>
      <w:r>
        <w:t>GBq</w:t>
      </w:r>
      <w:proofErr w:type="spellEnd"/>
      <w:r>
        <w:t xml:space="preserve"> = </w:t>
      </w:r>
      <w:r w:rsidRPr="008E721C">
        <w:rPr>
          <w:b/>
          <w:bCs/>
        </w:rPr>
        <w:t xml:space="preserve">4.685 </w:t>
      </w:r>
      <w:r w:rsidRPr="008E721C">
        <w:rPr>
          <w:rFonts w:cs="Arial"/>
          <w:b/>
          <w:bCs/>
        </w:rPr>
        <w:t>×</w:t>
      </w:r>
      <w:r w:rsidRPr="008E721C">
        <w:rPr>
          <w:b/>
          <w:bCs/>
        </w:rPr>
        <w:t xml:space="preserve"> 10</w:t>
      </w:r>
      <w:r w:rsidRPr="008E721C">
        <w:rPr>
          <w:rFonts w:cs="Arial"/>
          <w:b/>
          <w:bCs/>
        </w:rPr>
        <w:t>⁷</w:t>
      </w:r>
      <w:r w:rsidRPr="008E721C">
        <w:rPr>
          <w:b/>
          <w:bCs/>
        </w:rPr>
        <w:t xml:space="preserve"> MBq</w:t>
      </w:r>
    </w:p>
    <w:p w14:paraId="44E53F64" w14:textId="77777777" w:rsidR="00066CC2" w:rsidRDefault="00066CC2" w:rsidP="00151BF3"/>
    <w:p w14:paraId="7AEE4896" w14:textId="2BC2EB5D" w:rsidR="00151BF3" w:rsidRDefault="003139FB" w:rsidP="00151BF3">
      <w:pPr>
        <w:pStyle w:val="Heading8"/>
      </w:pPr>
      <w:r>
        <w:t>Dose rate at 1 m</w:t>
      </w:r>
    </w:p>
    <w:p w14:paraId="4D8B242C" w14:textId="77777777" w:rsidR="008E721C" w:rsidRDefault="003139FB" w:rsidP="00151BF3">
      <w:r>
        <w:t xml:space="preserve">Ḋ = </w:t>
      </w:r>
      <w:proofErr w:type="spellStart"/>
      <w:r>
        <w:t>Aτ</w:t>
      </w:r>
      <w:proofErr w:type="spellEnd"/>
      <w:r>
        <w:t xml:space="preserve">/r² </w:t>
      </w:r>
    </w:p>
    <w:p w14:paraId="4C097EFF" w14:textId="77777777" w:rsidR="008E721C" w:rsidRDefault="003139FB" w:rsidP="00151BF3">
      <w:r>
        <w:t>= 4.685 × 10⁷ MBq × 3.062 × 10</w:t>
      </w:r>
      <w:r>
        <w:rPr>
          <w:rFonts w:ascii="Cambria Math" w:hAnsi="Cambria Math" w:cs="Cambria Math"/>
        </w:rPr>
        <w:t>⁻</w:t>
      </w:r>
      <w:r>
        <w:rPr>
          <w:rFonts w:cs="Arial"/>
        </w:rPr>
        <w:t>⁴</w:t>
      </w:r>
      <w:r>
        <w:t xml:space="preserve"> / 1</w:t>
      </w:r>
      <w:r>
        <w:rPr>
          <w:rFonts w:cs="Arial"/>
        </w:rPr>
        <w:t>²</w:t>
      </w:r>
      <w:r>
        <w:t xml:space="preserve"> </w:t>
      </w:r>
    </w:p>
    <w:p w14:paraId="11774A15" w14:textId="41285F52" w:rsidR="003139FB" w:rsidRDefault="003139FB" w:rsidP="00151BF3">
      <w:pPr>
        <w:rPr>
          <w:b/>
          <w:bCs/>
        </w:rPr>
      </w:pPr>
      <w:r>
        <w:t xml:space="preserve">= 14346 mSv/h </w:t>
      </w:r>
      <w:r>
        <w:rPr>
          <w:rFonts w:cs="Arial"/>
        </w:rPr>
        <w:t>≈</w:t>
      </w:r>
      <w:r>
        <w:t xml:space="preserve"> </w:t>
      </w:r>
      <w:r w:rsidRPr="008E721C">
        <w:rPr>
          <w:b/>
          <w:bCs/>
        </w:rPr>
        <w:t>14.3 Sv/h</w:t>
      </w:r>
    </w:p>
    <w:p w14:paraId="0795F16C" w14:textId="77777777" w:rsidR="00066CC2" w:rsidRDefault="00066CC2" w:rsidP="00151BF3"/>
    <w:p w14:paraId="76760F9E" w14:textId="4C839FC5" w:rsidR="00151BF3" w:rsidRDefault="003139FB" w:rsidP="00151BF3">
      <w:pPr>
        <w:pStyle w:val="Heading8"/>
      </w:pPr>
      <w:r>
        <w:t xml:space="preserve">Cross-check, </w:t>
      </w:r>
      <w:r w:rsidR="005A12AA">
        <w:t xml:space="preserve">using equation </w:t>
      </w:r>
      <w:r w:rsidR="005A12AA">
        <w:fldChar w:fldCharType="begin"/>
      </w:r>
      <w:r w:rsidR="005A12AA">
        <w:instrText xml:space="preserve"> REF _Ref239421351 \h </w:instrText>
      </w:r>
      <w:r w:rsidR="005A12AA">
        <w:fldChar w:fldCharType="separate"/>
      </w:r>
      <w:r w:rsidR="005A12AA">
        <w:rPr>
          <w:noProof/>
        </w:rPr>
        <w:t>2</w:t>
      </w:r>
      <w:r w:rsidR="005A12AA">
        <w:noBreakHyphen/>
      </w:r>
      <w:r w:rsidR="005A12AA">
        <w:rPr>
          <w:noProof/>
        </w:rPr>
        <w:t>2</w:t>
      </w:r>
      <w:r w:rsidR="005A12AA">
        <w:fldChar w:fldCharType="end"/>
      </w:r>
    </w:p>
    <w:p w14:paraId="48D6545F" w14:textId="39831E7C" w:rsidR="008E721C" w:rsidRDefault="003139FB" w:rsidP="00151BF3">
      <w:r>
        <w:t>E = 2.5 MeV per disintegration (1.17 + 1.33)</w:t>
      </w:r>
    </w:p>
    <w:p w14:paraId="116481AA" w14:textId="1ECF3520" w:rsidR="008E721C" w:rsidRDefault="003139FB" w:rsidP="00151BF3">
      <w:r>
        <w:t>Ḋ = ME/(7r²)</w:t>
      </w:r>
    </w:p>
    <w:p w14:paraId="489309A3" w14:textId="57CF0CA1" w:rsidR="003139FB" w:rsidRDefault="003139FB" w:rsidP="00151BF3">
      <w:pPr>
        <w:rPr>
          <w:b/>
          <w:bCs/>
        </w:rPr>
      </w:pPr>
      <w:r>
        <w:t xml:space="preserve">= 4.685 × 10⁷ × 2.5 / 7 = 1.673 × 10⁷ µSv/h </w:t>
      </w:r>
      <w:r w:rsidRPr="008E721C">
        <w:rPr>
          <w:b/>
          <w:bCs/>
        </w:rPr>
        <w:t>≈ 16.7 Sv/h</w:t>
      </w:r>
    </w:p>
    <w:p w14:paraId="335DFBDC" w14:textId="77777777" w:rsidR="00066CC2" w:rsidRDefault="00066CC2" w:rsidP="00151BF3"/>
    <w:p w14:paraId="33F728E3" w14:textId="05417A34" w:rsidR="00970F18" w:rsidRDefault="003139FB" w:rsidP="00151BF3">
      <w:pPr>
        <w:pStyle w:val="Heading8"/>
      </w:pPr>
      <w:r>
        <w:t>Phase 1</w:t>
      </w:r>
      <w:r w:rsidR="00183C23">
        <w:t xml:space="preserve"> -</w:t>
      </w:r>
      <w:r>
        <w:t xml:space="preserve"> threshold</w:t>
      </w:r>
    </w:p>
    <w:p w14:paraId="0A3FC1B5" w14:textId="4F4648EB" w:rsidR="002A5E1F" w:rsidRPr="002A5E1F" w:rsidRDefault="002A5E1F" w:rsidP="002A5E1F">
      <w:pPr>
        <w:pStyle w:val="Heading8"/>
        <w:numPr>
          <w:ilvl w:val="0"/>
          <w:numId w:val="0"/>
        </w:numPr>
        <w:rPr>
          <w:b w:val="0"/>
          <w:iCs w:val="0"/>
          <w:sz w:val="24"/>
        </w:rPr>
      </w:pPr>
      <w:r w:rsidRPr="002A5E1F">
        <w:rPr>
          <w:b w:val="0"/>
          <w:iCs w:val="0"/>
          <w:sz w:val="24"/>
        </w:rPr>
        <w:t>r = 2.5 m, transmission 4 to 8 per cent, duration 45 to 60 s</w:t>
      </w:r>
    </w:p>
    <w:p w14:paraId="13C99E7E" w14:textId="77777777" w:rsidR="00F924C1" w:rsidRDefault="002A5E1F" w:rsidP="002A5E1F">
      <w:pPr>
        <w:pStyle w:val="Heading8"/>
        <w:numPr>
          <w:ilvl w:val="0"/>
          <w:numId w:val="0"/>
        </w:numPr>
        <w:rPr>
          <w:b w:val="0"/>
          <w:iCs w:val="0"/>
          <w:sz w:val="24"/>
        </w:rPr>
      </w:pPr>
      <w:r w:rsidRPr="002A5E1F">
        <w:rPr>
          <w:b w:val="0"/>
          <w:iCs w:val="0"/>
          <w:sz w:val="24"/>
        </w:rPr>
        <w:t>Unshielded dose rate at 2.5 m:</w:t>
      </w:r>
    </w:p>
    <w:p w14:paraId="007BC150" w14:textId="3F72C3CA" w:rsidR="002A5E1F" w:rsidRPr="002A5E1F" w:rsidRDefault="002A5E1F" w:rsidP="002A5E1F">
      <w:pPr>
        <w:pStyle w:val="Heading8"/>
        <w:numPr>
          <w:ilvl w:val="0"/>
          <w:numId w:val="0"/>
        </w:numPr>
        <w:rPr>
          <w:b w:val="0"/>
          <w:iCs w:val="0"/>
          <w:sz w:val="24"/>
        </w:rPr>
      </w:pPr>
      <w:r w:rsidRPr="002A5E1F">
        <w:rPr>
          <w:b w:val="0"/>
          <w:iCs w:val="0"/>
          <w:sz w:val="24"/>
        </w:rPr>
        <w:t>Ḋ</w:t>
      </w:r>
      <w:r w:rsidRPr="002A5E1F">
        <w:rPr>
          <w:rFonts w:ascii="Cambria Math" w:hAnsi="Cambria Math" w:cs="Cambria Math"/>
          <w:b w:val="0"/>
          <w:iCs w:val="0"/>
          <w:sz w:val="24"/>
        </w:rPr>
        <w:t>₂</w:t>
      </w:r>
      <w:r w:rsidRPr="002A5E1F">
        <w:rPr>
          <w:b w:val="0"/>
          <w:iCs w:val="0"/>
          <w:sz w:val="24"/>
        </w:rPr>
        <w:t>.</w:t>
      </w:r>
      <w:r w:rsidRPr="002A5E1F">
        <w:rPr>
          <w:rFonts w:ascii="Cambria Math" w:hAnsi="Cambria Math" w:cs="Cambria Math"/>
          <w:b w:val="0"/>
          <w:iCs w:val="0"/>
          <w:sz w:val="24"/>
        </w:rPr>
        <w:t>₅</w:t>
      </w:r>
      <w:r w:rsidRPr="002A5E1F">
        <w:rPr>
          <w:b w:val="0"/>
          <w:iCs w:val="0"/>
          <w:sz w:val="24"/>
        </w:rPr>
        <w:t xml:space="preserve"> = 14345 / 2.5</w:t>
      </w:r>
      <w:r w:rsidRPr="002A5E1F">
        <w:rPr>
          <w:rFonts w:cs="Arial"/>
          <w:b w:val="0"/>
          <w:iCs w:val="0"/>
          <w:sz w:val="24"/>
        </w:rPr>
        <w:t>²</w:t>
      </w:r>
      <w:r w:rsidRPr="002A5E1F">
        <w:rPr>
          <w:b w:val="0"/>
          <w:iCs w:val="0"/>
          <w:sz w:val="24"/>
        </w:rPr>
        <w:t xml:space="preserve"> = 14345 / 6.25 = </w:t>
      </w:r>
      <w:r w:rsidRPr="00616662">
        <w:rPr>
          <w:bCs/>
          <w:iCs w:val="0"/>
          <w:sz w:val="24"/>
        </w:rPr>
        <w:t>2295 mSv/h</w:t>
      </w:r>
    </w:p>
    <w:p w14:paraId="6DE7F228" w14:textId="77777777" w:rsidR="00F924C1" w:rsidRDefault="002A5E1F" w:rsidP="002A5E1F">
      <w:pPr>
        <w:pStyle w:val="Heading8"/>
        <w:numPr>
          <w:ilvl w:val="0"/>
          <w:numId w:val="0"/>
        </w:numPr>
        <w:rPr>
          <w:b w:val="0"/>
          <w:iCs w:val="0"/>
          <w:sz w:val="24"/>
        </w:rPr>
      </w:pPr>
      <w:r w:rsidRPr="002A5E1F">
        <w:rPr>
          <w:b w:val="0"/>
          <w:iCs w:val="0"/>
          <w:sz w:val="24"/>
        </w:rPr>
        <w:lastRenderedPageBreak/>
        <w:t xml:space="preserve">Attenuated dose rate: </w:t>
      </w:r>
    </w:p>
    <w:p w14:paraId="575C9F22" w14:textId="323D47B1" w:rsidR="00F924C1" w:rsidRDefault="002A5E1F" w:rsidP="002A5E1F">
      <w:pPr>
        <w:pStyle w:val="Heading8"/>
        <w:numPr>
          <w:ilvl w:val="0"/>
          <w:numId w:val="0"/>
        </w:numPr>
        <w:rPr>
          <w:b w:val="0"/>
          <w:iCs w:val="0"/>
          <w:sz w:val="24"/>
        </w:rPr>
      </w:pPr>
      <w:r w:rsidRPr="002A5E1F">
        <w:rPr>
          <w:b w:val="0"/>
          <w:iCs w:val="0"/>
          <w:sz w:val="24"/>
        </w:rPr>
        <w:t xml:space="preserve">Lower: 2295 × 0.04 = </w:t>
      </w:r>
      <w:r w:rsidRPr="00F924C1">
        <w:rPr>
          <w:bCs/>
          <w:iCs w:val="0"/>
          <w:sz w:val="24"/>
        </w:rPr>
        <w:t>91.8 mSv/h</w:t>
      </w:r>
    </w:p>
    <w:p w14:paraId="5C28AA10" w14:textId="4E65CB83" w:rsidR="002A5E1F" w:rsidRPr="002A5E1F" w:rsidRDefault="002A5E1F" w:rsidP="002A5E1F">
      <w:pPr>
        <w:pStyle w:val="Heading8"/>
        <w:numPr>
          <w:ilvl w:val="0"/>
          <w:numId w:val="0"/>
        </w:numPr>
        <w:rPr>
          <w:b w:val="0"/>
          <w:iCs w:val="0"/>
          <w:sz w:val="24"/>
        </w:rPr>
      </w:pPr>
      <w:r w:rsidRPr="002A5E1F">
        <w:rPr>
          <w:b w:val="0"/>
          <w:iCs w:val="0"/>
          <w:sz w:val="24"/>
        </w:rPr>
        <w:t xml:space="preserve">Upper: 2295 × 0.08 = </w:t>
      </w:r>
      <w:r w:rsidRPr="00616662">
        <w:rPr>
          <w:bCs/>
          <w:iCs w:val="0"/>
          <w:sz w:val="24"/>
        </w:rPr>
        <w:t>183.6 mSv/h</w:t>
      </w:r>
    </w:p>
    <w:p w14:paraId="5F2ABA4D" w14:textId="77777777" w:rsidR="00584D65" w:rsidRDefault="002A5E1F" w:rsidP="002A5E1F">
      <w:pPr>
        <w:pStyle w:val="Heading8"/>
        <w:numPr>
          <w:ilvl w:val="0"/>
          <w:numId w:val="0"/>
        </w:numPr>
        <w:rPr>
          <w:b w:val="0"/>
          <w:iCs w:val="0"/>
          <w:sz w:val="24"/>
        </w:rPr>
      </w:pPr>
      <w:r w:rsidRPr="002A5E1F">
        <w:rPr>
          <w:b w:val="0"/>
          <w:iCs w:val="0"/>
          <w:sz w:val="24"/>
        </w:rPr>
        <w:t xml:space="preserve">Dose (rate × duration): </w:t>
      </w:r>
    </w:p>
    <w:p w14:paraId="1BC03C6D" w14:textId="5DB6F1C4" w:rsidR="00584D65" w:rsidRDefault="002A5E1F" w:rsidP="002A5E1F">
      <w:pPr>
        <w:pStyle w:val="Heading8"/>
        <w:numPr>
          <w:ilvl w:val="0"/>
          <w:numId w:val="0"/>
        </w:numPr>
        <w:rPr>
          <w:b w:val="0"/>
          <w:iCs w:val="0"/>
          <w:sz w:val="24"/>
        </w:rPr>
      </w:pPr>
      <w:r w:rsidRPr="002A5E1F">
        <w:rPr>
          <w:b w:val="0"/>
          <w:iCs w:val="0"/>
          <w:sz w:val="24"/>
        </w:rPr>
        <w:t xml:space="preserve">Lower bound: 91.8 mSv/h × (45/3600) h = 91.8 × 0.01250 = </w:t>
      </w:r>
      <w:r w:rsidRPr="00584D65">
        <w:rPr>
          <w:bCs/>
          <w:iCs w:val="0"/>
          <w:sz w:val="24"/>
        </w:rPr>
        <w:t>1.15 mSv</w:t>
      </w:r>
    </w:p>
    <w:p w14:paraId="1D80EF42" w14:textId="018EC8B8" w:rsidR="00584D65" w:rsidRDefault="002A5E1F" w:rsidP="002A5E1F">
      <w:pPr>
        <w:pStyle w:val="Heading8"/>
        <w:numPr>
          <w:ilvl w:val="0"/>
          <w:numId w:val="0"/>
        </w:numPr>
        <w:rPr>
          <w:b w:val="0"/>
          <w:iCs w:val="0"/>
          <w:sz w:val="24"/>
        </w:rPr>
      </w:pPr>
      <w:r w:rsidRPr="002A5E1F">
        <w:rPr>
          <w:b w:val="0"/>
          <w:iCs w:val="0"/>
          <w:sz w:val="24"/>
        </w:rPr>
        <w:t xml:space="preserve">Upper bound: 183.6 mSv/h × (60/3600) h = 183.6 × 0.01667 = </w:t>
      </w:r>
      <w:r w:rsidRPr="00584D65">
        <w:rPr>
          <w:bCs/>
          <w:iCs w:val="0"/>
          <w:sz w:val="24"/>
        </w:rPr>
        <w:t>3.06 mSv</w:t>
      </w:r>
    </w:p>
    <w:p w14:paraId="103F9716" w14:textId="546F1DB5" w:rsidR="002A5E1F" w:rsidRDefault="002A5E1F" w:rsidP="002A5E1F">
      <w:pPr>
        <w:pStyle w:val="Heading8"/>
        <w:numPr>
          <w:ilvl w:val="0"/>
          <w:numId w:val="0"/>
        </w:numPr>
        <w:rPr>
          <w:bCs/>
          <w:iCs w:val="0"/>
          <w:sz w:val="24"/>
        </w:rPr>
      </w:pPr>
      <w:r w:rsidRPr="002A5E1F">
        <w:rPr>
          <w:b w:val="0"/>
          <w:iCs w:val="0"/>
          <w:sz w:val="24"/>
        </w:rPr>
        <w:t xml:space="preserve">Mid-range: ≈ </w:t>
      </w:r>
      <w:r w:rsidRPr="00616662">
        <w:rPr>
          <w:bCs/>
          <w:iCs w:val="0"/>
          <w:sz w:val="24"/>
        </w:rPr>
        <w:t>2 mSv</w:t>
      </w:r>
    </w:p>
    <w:p w14:paraId="5BD4578F" w14:textId="77777777" w:rsidR="00066CC2" w:rsidRPr="00066CC2" w:rsidRDefault="00066CC2" w:rsidP="00066CC2"/>
    <w:p w14:paraId="375959C6" w14:textId="3E777671" w:rsidR="005A19F5" w:rsidRDefault="003139FB" w:rsidP="002A5E1F">
      <w:pPr>
        <w:pStyle w:val="Heading8"/>
      </w:pPr>
      <w:r>
        <w:t>Phase 2</w:t>
      </w:r>
      <w:r w:rsidR="00183C23">
        <w:t xml:space="preserve"> -</w:t>
      </w:r>
      <w:r>
        <w:t xml:space="preserve"> closer inspection</w:t>
      </w:r>
    </w:p>
    <w:p w14:paraId="354FEECD" w14:textId="6D6096D1" w:rsidR="00616662" w:rsidRDefault="00616662" w:rsidP="00616662">
      <w:r>
        <w:t>r = 1.2 m, transmission 12 to 20 per cent, duration 10 to 20 s</w:t>
      </w:r>
    </w:p>
    <w:p w14:paraId="197E7DEC" w14:textId="77777777" w:rsidR="00294250" w:rsidRDefault="00616662" w:rsidP="00616662">
      <w:r>
        <w:t xml:space="preserve">Unshielded dose rate at 1.2 m: </w:t>
      </w:r>
    </w:p>
    <w:p w14:paraId="60A966E6" w14:textId="7FABEC22" w:rsidR="00616662" w:rsidRDefault="00616662" w:rsidP="00616662">
      <w:r>
        <w:t>Ḋ</w:t>
      </w:r>
      <w:r>
        <w:rPr>
          <w:rFonts w:ascii="Cambria Math" w:hAnsi="Cambria Math" w:cs="Cambria Math"/>
        </w:rPr>
        <w:t>₁</w:t>
      </w:r>
      <w:r>
        <w:t>.</w:t>
      </w:r>
      <w:r>
        <w:rPr>
          <w:rFonts w:ascii="Cambria Math" w:hAnsi="Cambria Math" w:cs="Cambria Math"/>
        </w:rPr>
        <w:t>₂</w:t>
      </w:r>
      <w:r>
        <w:t xml:space="preserve"> = 14345 / 1.2</w:t>
      </w:r>
      <w:r>
        <w:rPr>
          <w:rFonts w:cs="Arial"/>
        </w:rPr>
        <w:t>²</w:t>
      </w:r>
      <w:r>
        <w:t xml:space="preserve"> = 14345 / 1.44 = </w:t>
      </w:r>
      <w:r w:rsidRPr="00294250">
        <w:rPr>
          <w:b/>
          <w:bCs/>
        </w:rPr>
        <w:t>9960 mSv/h</w:t>
      </w:r>
    </w:p>
    <w:p w14:paraId="5E93596B" w14:textId="77777777" w:rsidR="00294250" w:rsidRDefault="00616662" w:rsidP="00616662">
      <w:r>
        <w:t xml:space="preserve">Attenuated dose rate: </w:t>
      </w:r>
    </w:p>
    <w:p w14:paraId="303ECB4A" w14:textId="1CCD00FF" w:rsidR="00294250" w:rsidRDefault="00616662" w:rsidP="00616662">
      <w:r>
        <w:t xml:space="preserve">Lower: 9960 × 0.12 = </w:t>
      </w:r>
      <w:r w:rsidRPr="00294250">
        <w:rPr>
          <w:b/>
          <w:bCs/>
        </w:rPr>
        <w:t>1195 mSv/h</w:t>
      </w:r>
      <w:r>
        <w:t xml:space="preserve"> </w:t>
      </w:r>
    </w:p>
    <w:p w14:paraId="1305BBD2" w14:textId="4B412248" w:rsidR="00616662" w:rsidRDefault="00616662" w:rsidP="00616662">
      <w:r>
        <w:t xml:space="preserve">Upper: 9960 × 0.20 = </w:t>
      </w:r>
      <w:r w:rsidRPr="00294250">
        <w:rPr>
          <w:b/>
          <w:bCs/>
        </w:rPr>
        <w:t>1992 mSv/h</w:t>
      </w:r>
    </w:p>
    <w:p w14:paraId="0F3E494A" w14:textId="472283FD" w:rsidR="00751809" w:rsidRDefault="00616662" w:rsidP="00616662">
      <w:r>
        <w:t>Dose (rate × duration):</w:t>
      </w:r>
    </w:p>
    <w:p w14:paraId="6775B7D9" w14:textId="08778CC8" w:rsidR="00751809" w:rsidRDefault="00616662" w:rsidP="00616662">
      <w:r>
        <w:t>Lower bound: 1195 mSv/h × (10/3600) h = 1</w:t>
      </w:r>
      <w:r w:rsidR="00795EDF">
        <w:t>1</w:t>
      </w:r>
      <w:r>
        <w:t xml:space="preserve">95 × 0.00278 = </w:t>
      </w:r>
      <w:r w:rsidRPr="00751809">
        <w:rPr>
          <w:b/>
          <w:bCs/>
        </w:rPr>
        <w:t>3.32 mSv</w:t>
      </w:r>
      <w:r>
        <w:t xml:space="preserve"> </w:t>
      </w:r>
    </w:p>
    <w:p w14:paraId="660E8B45" w14:textId="5947C8A2" w:rsidR="00751809" w:rsidRDefault="00616662" w:rsidP="00616662">
      <w:r>
        <w:t xml:space="preserve">Upper bound: 1992 mSv/h × (20/3600) h = 1992 × 0.00556 = </w:t>
      </w:r>
      <w:r w:rsidRPr="00751809">
        <w:rPr>
          <w:b/>
          <w:bCs/>
        </w:rPr>
        <w:t>11.1 mSv</w:t>
      </w:r>
      <w:r>
        <w:t xml:space="preserve"> </w:t>
      </w:r>
    </w:p>
    <w:p w14:paraId="4561C0F1" w14:textId="2A1AED4E" w:rsidR="003139FB" w:rsidRDefault="00616662" w:rsidP="00616662">
      <w:pPr>
        <w:rPr>
          <w:b/>
          <w:bCs/>
        </w:rPr>
      </w:pPr>
      <w:r>
        <w:t xml:space="preserve">Mid-range: ≈ </w:t>
      </w:r>
      <w:r w:rsidRPr="00751809">
        <w:rPr>
          <w:b/>
          <w:bCs/>
        </w:rPr>
        <w:t>5.0 mSv</w:t>
      </w:r>
    </w:p>
    <w:p w14:paraId="575AEBAE" w14:textId="77777777" w:rsidR="00066CC2" w:rsidRDefault="00066CC2" w:rsidP="00616662"/>
    <w:p w14:paraId="7D0EB7EA" w14:textId="18F4770F" w:rsidR="005A19F5" w:rsidRDefault="003139FB" w:rsidP="00151BF3">
      <w:pPr>
        <w:pStyle w:val="Heading8"/>
      </w:pPr>
      <w:r>
        <w:t>Total</w:t>
      </w:r>
    </w:p>
    <w:p w14:paraId="50033B02" w14:textId="77777777" w:rsidR="006C72B3" w:rsidRDefault="006C72B3" w:rsidP="005A19F5">
      <w:r w:rsidRPr="006C72B3">
        <w:t xml:space="preserve">Summed over both phases: </w:t>
      </w:r>
    </w:p>
    <w:p w14:paraId="1E0CFD2F" w14:textId="3CE79FE4" w:rsidR="006C72B3" w:rsidRDefault="006C72B3" w:rsidP="005A19F5">
      <w:r w:rsidRPr="006C72B3">
        <w:t xml:space="preserve">Lower bound: 1.15 + 3.32 = </w:t>
      </w:r>
      <w:r w:rsidRPr="006C72B3">
        <w:rPr>
          <w:b/>
          <w:bCs/>
        </w:rPr>
        <w:t>4.</w:t>
      </w:r>
      <w:r w:rsidR="00BC0EC8">
        <w:rPr>
          <w:b/>
          <w:bCs/>
        </w:rPr>
        <w:t>5</w:t>
      </w:r>
      <w:r w:rsidRPr="006C72B3">
        <w:rPr>
          <w:b/>
          <w:bCs/>
        </w:rPr>
        <w:t xml:space="preserve"> mSv</w:t>
      </w:r>
    </w:p>
    <w:p w14:paraId="54B698C7" w14:textId="6087F495" w:rsidR="006C72B3" w:rsidRDefault="006C72B3" w:rsidP="005A19F5">
      <w:r w:rsidRPr="006C72B3">
        <w:lastRenderedPageBreak/>
        <w:t xml:space="preserve">Upper bound: 3.06 + 11.1 = </w:t>
      </w:r>
      <w:r w:rsidRPr="006C72B3">
        <w:rPr>
          <w:b/>
          <w:bCs/>
        </w:rPr>
        <w:t>14.1 mSv</w:t>
      </w:r>
    </w:p>
    <w:p w14:paraId="099B736C" w14:textId="4A2AEECA" w:rsidR="006C72B3" w:rsidRDefault="006C72B3" w:rsidP="005A19F5">
      <w:r w:rsidRPr="006C72B3">
        <w:t xml:space="preserve">Mid-range estimate: ≈ </w:t>
      </w:r>
      <w:r w:rsidRPr="006C72B3">
        <w:rPr>
          <w:b/>
          <w:bCs/>
        </w:rPr>
        <w:t>7.0 mSv</w:t>
      </w:r>
    </w:p>
    <w:p w14:paraId="5B2EF0E4" w14:textId="1D30AC23" w:rsidR="006C72B3" w:rsidRDefault="006C72B3" w:rsidP="005A19F5">
      <w:r w:rsidRPr="006C72B3">
        <w:t>Measured values:</w:t>
      </w:r>
    </w:p>
    <w:p w14:paraId="45788ECF" w14:textId="30808D5D" w:rsidR="006C72B3" w:rsidRDefault="006C72B3" w:rsidP="005A19F5">
      <w:r w:rsidRPr="006C72B3">
        <w:t>EPD 14.8 mSv (chest)</w:t>
      </w:r>
    </w:p>
    <w:p w14:paraId="7CA9C5E3" w14:textId="4EBBFEF4" w:rsidR="006C72B3" w:rsidRDefault="006C72B3" w:rsidP="005A19F5">
      <w:r w:rsidRPr="006C72B3">
        <w:t>TLD 18.9 mSv (waist)</w:t>
      </w:r>
    </w:p>
    <w:p w14:paraId="26B26856" w14:textId="1E4A890E" w:rsidR="006C72B3" w:rsidRDefault="006C72B3" w:rsidP="005A19F5">
      <w:r w:rsidRPr="006C72B3">
        <w:t>Maximum recorded dose rate 1250 mSv/h</w:t>
      </w:r>
    </w:p>
    <w:p w14:paraId="268AB7EE" w14:textId="24DF1C39" w:rsidR="003139FB" w:rsidRDefault="006C72B3" w:rsidP="005A19F5">
      <w:r w:rsidRPr="006C72B3">
        <w:t>within the predicted inspection-phase range of 119</w:t>
      </w:r>
      <w:r w:rsidR="00EB4276">
        <w:t>5</w:t>
      </w:r>
      <w:r w:rsidRPr="006C72B3">
        <w:t xml:space="preserve"> to 1992 mSv/h</w:t>
      </w:r>
    </w:p>
    <w:p w14:paraId="1293987F" w14:textId="77777777" w:rsidR="00331F62" w:rsidRDefault="00331F62" w:rsidP="005A19F5"/>
    <w:p w14:paraId="047AFB8A" w14:textId="755CC462" w:rsidR="005A19F5" w:rsidRDefault="003139FB" w:rsidP="00151BF3">
      <w:pPr>
        <w:pStyle w:val="Heading8"/>
      </w:pPr>
      <w:r>
        <w:t>HVL</w:t>
      </w:r>
    </w:p>
    <w:p w14:paraId="2E3B0FDC" w14:textId="77777777" w:rsidR="00BC2F2B" w:rsidRDefault="003139FB" w:rsidP="005A19F5">
      <w:r>
        <w:t xml:space="preserve">Phase 1: </w:t>
      </w:r>
    </w:p>
    <w:p w14:paraId="0797D8F0" w14:textId="4F7085DD" w:rsidR="00BC2F2B" w:rsidRDefault="003139FB" w:rsidP="005A19F5">
      <w:r>
        <w:t>4 to 8 per cent transmission = 3.6 to 4.6 HVL</w:t>
      </w:r>
    </w:p>
    <w:p w14:paraId="6C64D513" w14:textId="77777777" w:rsidR="00BC2F2B" w:rsidRDefault="003139FB" w:rsidP="005A19F5">
      <w:r>
        <w:t xml:space="preserve">Lead HVL 1.2 cm gives 4.3 to 5.5 cm lead; </w:t>
      </w:r>
    </w:p>
    <w:p w14:paraId="4160D063" w14:textId="5401243A" w:rsidR="00BC2F2B" w:rsidRDefault="003139FB" w:rsidP="005A19F5">
      <w:r>
        <w:t>concrete HVL 6.6 cm gives 24 to 30 cm</w:t>
      </w:r>
    </w:p>
    <w:p w14:paraId="0D4C2495" w14:textId="77777777" w:rsidR="00BC2F2B" w:rsidRDefault="003139FB" w:rsidP="005A19F5">
      <w:r>
        <w:t xml:space="preserve">Phase 2: </w:t>
      </w:r>
    </w:p>
    <w:p w14:paraId="6513C647" w14:textId="1C75A671" w:rsidR="00BC6706" w:rsidRDefault="003139FB" w:rsidP="000C57CA">
      <w:r>
        <w:t>12 to 20 per cent transmission = 2.3 to 3.0 HVL = 2.8 to 3.6 cm lead equivalent</w:t>
      </w:r>
      <w:bookmarkEnd w:id="28"/>
    </w:p>
    <w:p w14:paraId="12FC692F" w14:textId="30959AB8" w:rsidR="003F1E92" w:rsidRDefault="003F1E92" w:rsidP="000C57CA">
      <w:r>
        <w:t xml:space="preserve">Sourced from </w:t>
      </w:r>
      <w:r>
        <w:fldChar w:fldCharType="begin"/>
      </w:r>
      <w:r>
        <w:instrText xml:space="preserve"> ADDIN ZOTERO_ITEM CSL_CITATION {"citationID":"jYSmxR9R","properties":{"unsorted":false,"formattedCitation":"(OSHA, 2026)","plainCitation":"(OSHA, 2026)","noteIndex":0},"citationItems":[{"id":563,"uris":["http://zotero.org/users/local/kxeNHLpj/items/NK5MTGIT"],"itemData":{"id":563,"type":"webpage","title":"Ionizing Radiation - Introduction to Ionizing Radiation - Shielding Layer Examples | Occupational Safety and Health Administration","URL":"https://www.osha.gov/ionizing-radiation/introduction/shielding-layer-examples","author":[{"literal":"OSHA"}],"issued":{"date-parts":[["2026"]]}}}],"schema":"https://github.com/citation-style-language/schema/raw/master/csl-citation.json"} </w:instrText>
      </w:r>
      <w:r>
        <w:fldChar w:fldCharType="separate"/>
      </w:r>
      <w:r w:rsidRPr="003F1E92">
        <w:rPr>
          <w:rFonts w:cs="Arial"/>
        </w:rPr>
        <w:t>(OSHA, 2026)</w:t>
      </w:r>
      <w:r>
        <w:fldChar w:fldCharType="end"/>
      </w:r>
      <w:r>
        <w:t>.</w:t>
      </w:r>
    </w:p>
    <w:sectPr w:rsidR="003F1E92" w:rsidSect="000D3AB7">
      <w:headerReference w:type="default" r:id="rId16"/>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B98E7" w14:textId="77777777" w:rsidR="00665ECA" w:rsidRDefault="00665ECA">
      <w:r>
        <w:separator/>
      </w:r>
    </w:p>
  </w:endnote>
  <w:endnote w:type="continuationSeparator" w:id="0">
    <w:p w14:paraId="328CA089" w14:textId="77777777" w:rsidR="00665ECA" w:rsidRDefault="00665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7480C" w14:textId="77777777" w:rsidR="00665ECA" w:rsidRDefault="00665ECA">
      <w:r>
        <w:separator/>
      </w:r>
    </w:p>
  </w:footnote>
  <w:footnote w:type="continuationSeparator" w:id="0">
    <w:p w14:paraId="5766F61A" w14:textId="77777777" w:rsidR="00665ECA" w:rsidRDefault="00665E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A4862"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FE9A" w14:textId="77777777" w:rsidR="00D0075B" w:rsidRDefault="00D0075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01E877CC"/>
    <w:lvl w:ilvl="0">
      <w:start w:val="1"/>
      <w:numFmt w:val="decimal"/>
      <w:pStyle w:val="Heading1"/>
      <w:suff w:val="space"/>
      <w:lvlText w:val="%1"/>
      <w:lvlJc w:val="left"/>
      <w:pPr>
        <w:ind w:left="432" w:hanging="432"/>
      </w:pPr>
      <w:rPr>
        <w:rFonts w:ascii="Arial" w:hAnsi="Arial" w:cs="Arial"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ascii="Arial" w:hAnsi="Arial" w:cs="Arial"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6758"/>
    <w:rsid w:val="00011A7A"/>
    <w:rsid w:val="000146A5"/>
    <w:rsid w:val="00015A13"/>
    <w:rsid w:val="00016BC8"/>
    <w:rsid w:val="00021487"/>
    <w:rsid w:val="000257AA"/>
    <w:rsid w:val="0003188E"/>
    <w:rsid w:val="00045D6F"/>
    <w:rsid w:val="00062E15"/>
    <w:rsid w:val="00063401"/>
    <w:rsid w:val="00063CEE"/>
    <w:rsid w:val="00065259"/>
    <w:rsid w:val="00065A60"/>
    <w:rsid w:val="00066CC2"/>
    <w:rsid w:val="00067512"/>
    <w:rsid w:val="00070693"/>
    <w:rsid w:val="00071CD5"/>
    <w:rsid w:val="00081C72"/>
    <w:rsid w:val="00086305"/>
    <w:rsid w:val="00097727"/>
    <w:rsid w:val="000A4407"/>
    <w:rsid w:val="000B5634"/>
    <w:rsid w:val="000B6677"/>
    <w:rsid w:val="000C57CA"/>
    <w:rsid w:val="000C6559"/>
    <w:rsid w:val="000D3236"/>
    <w:rsid w:val="000D3AB7"/>
    <w:rsid w:val="000E1E14"/>
    <w:rsid w:val="000E5531"/>
    <w:rsid w:val="000F3FC7"/>
    <w:rsid w:val="000F5578"/>
    <w:rsid w:val="0011317E"/>
    <w:rsid w:val="00126903"/>
    <w:rsid w:val="00130109"/>
    <w:rsid w:val="00132B6A"/>
    <w:rsid w:val="00132F30"/>
    <w:rsid w:val="00145332"/>
    <w:rsid w:val="001507DE"/>
    <w:rsid w:val="00151BF3"/>
    <w:rsid w:val="00171953"/>
    <w:rsid w:val="001769DC"/>
    <w:rsid w:val="00183C23"/>
    <w:rsid w:val="00184873"/>
    <w:rsid w:val="001850E2"/>
    <w:rsid w:val="00187AAB"/>
    <w:rsid w:val="001945D9"/>
    <w:rsid w:val="00196CAA"/>
    <w:rsid w:val="001A14C9"/>
    <w:rsid w:val="001A1552"/>
    <w:rsid w:val="001A406C"/>
    <w:rsid w:val="001B0633"/>
    <w:rsid w:val="001B12BE"/>
    <w:rsid w:val="001B63F7"/>
    <w:rsid w:val="001C1A69"/>
    <w:rsid w:val="001C2208"/>
    <w:rsid w:val="001C23E5"/>
    <w:rsid w:val="001D1974"/>
    <w:rsid w:val="001D2FAF"/>
    <w:rsid w:val="001D636A"/>
    <w:rsid w:val="001D7982"/>
    <w:rsid w:val="001E00D5"/>
    <w:rsid w:val="001E388D"/>
    <w:rsid w:val="001E6249"/>
    <w:rsid w:val="001E7302"/>
    <w:rsid w:val="001F1539"/>
    <w:rsid w:val="001F3055"/>
    <w:rsid w:val="001F41DE"/>
    <w:rsid w:val="001F7800"/>
    <w:rsid w:val="001F7EBB"/>
    <w:rsid w:val="00202BB3"/>
    <w:rsid w:val="00204473"/>
    <w:rsid w:val="00207684"/>
    <w:rsid w:val="002121F3"/>
    <w:rsid w:val="00224C6D"/>
    <w:rsid w:val="00224E7F"/>
    <w:rsid w:val="00230B99"/>
    <w:rsid w:val="00232B80"/>
    <w:rsid w:val="00234FB9"/>
    <w:rsid w:val="00243313"/>
    <w:rsid w:val="00245DA7"/>
    <w:rsid w:val="00246995"/>
    <w:rsid w:val="0025099B"/>
    <w:rsid w:val="00267F4D"/>
    <w:rsid w:val="00273412"/>
    <w:rsid w:val="00274F08"/>
    <w:rsid w:val="0027558C"/>
    <w:rsid w:val="00283142"/>
    <w:rsid w:val="00285034"/>
    <w:rsid w:val="00294250"/>
    <w:rsid w:val="002A5491"/>
    <w:rsid w:val="002A5E1F"/>
    <w:rsid w:val="002A7DD0"/>
    <w:rsid w:val="002B0693"/>
    <w:rsid w:val="002B133F"/>
    <w:rsid w:val="002B7456"/>
    <w:rsid w:val="002B7B28"/>
    <w:rsid w:val="002D05CE"/>
    <w:rsid w:val="002D4A7B"/>
    <w:rsid w:val="002E2CFF"/>
    <w:rsid w:val="002F4365"/>
    <w:rsid w:val="002F7211"/>
    <w:rsid w:val="00302AE7"/>
    <w:rsid w:val="00304798"/>
    <w:rsid w:val="003139FB"/>
    <w:rsid w:val="00331F62"/>
    <w:rsid w:val="003437E0"/>
    <w:rsid w:val="0034513F"/>
    <w:rsid w:val="003478CF"/>
    <w:rsid w:val="003500A4"/>
    <w:rsid w:val="00351E83"/>
    <w:rsid w:val="00353550"/>
    <w:rsid w:val="003550A0"/>
    <w:rsid w:val="003551A3"/>
    <w:rsid w:val="003561DB"/>
    <w:rsid w:val="0035720C"/>
    <w:rsid w:val="00361EFD"/>
    <w:rsid w:val="00362EA2"/>
    <w:rsid w:val="00363D81"/>
    <w:rsid w:val="0037068D"/>
    <w:rsid w:val="00372935"/>
    <w:rsid w:val="00386105"/>
    <w:rsid w:val="00393F05"/>
    <w:rsid w:val="003A1DDE"/>
    <w:rsid w:val="003A3000"/>
    <w:rsid w:val="003A477D"/>
    <w:rsid w:val="003A5815"/>
    <w:rsid w:val="003B075E"/>
    <w:rsid w:val="003B1C9F"/>
    <w:rsid w:val="003B2155"/>
    <w:rsid w:val="003D39C1"/>
    <w:rsid w:val="003D50A8"/>
    <w:rsid w:val="003E685E"/>
    <w:rsid w:val="003F1E92"/>
    <w:rsid w:val="003F423F"/>
    <w:rsid w:val="003F67A2"/>
    <w:rsid w:val="004015E2"/>
    <w:rsid w:val="00404309"/>
    <w:rsid w:val="0041685B"/>
    <w:rsid w:val="00423DB3"/>
    <w:rsid w:val="004264D6"/>
    <w:rsid w:val="004377EF"/>
    <w:rsid w:val="00442628"/>
    <w:rsid w:val="00445061"/>
    <w:rsid w:val="00445556"/>
    <w:rsid w:val="004476C0"/>
    <w:rsid w:val="004534AC"/>
    <w:rsid w:val="00460314"/>
    <w:rsid w:val="0046152D"/>
    <w:rsid w:val="00470B42"/>
    <w:rsid w:val="004747AF"/>
    <w:rsid w:val="0049076B"/>
    <w:rsid w:val="004A1164"/>
    <w:rsid w:val="004A133A"/>
    <w:rsid w:val="004A3715"/>
    <w:rsid w:val="004A3973"/>
    <w:rsid w:val="004B5597"/>
    <w:rsid w:val="004B5D2E"/>
    <w:rsid w:val="004C03F0"/>
    <w:rsid w:val="004C2C9C"/>
    <w:rsid w:val="004D265B"/>
    <w:rsid w:val="004D3C06"/>
    <w:rsid w:val="004D5EBD"/>
    <w:rsid w:val="004E36AE"/>
    <w:rsid w:val="004E7AF1"/>
    <w:rsid w:val="005037DD"/>
    <w:rsid w:val="005064F6"/>
    <w:rsid w:val="005125CD"/>
    <w:rsid w:val="0051275B"/>
    <w:rsid w:val="005134B3"/>
    <w:rsid w:val="0052247A"/>
    <w:rsid w:val="005244BB"/>
    <w:rsid w:val="00524E57"/>
    <w:rsid w:val="00527573"/>
    <w:rsid w:val="005304A9"/>
    <w:rsid w:val="00540465"/>
    <w:rsid w:val="00541950"/>
    <w:rsid w:val="00543179"/>
    <w:rsid w:val="00543743"/>
    <w:rsid w:val="00547EA4"/>
    <w:rsid w:val="005528A4"/>
    <w:rsid w:val="00570478"/>
    <w:rsid w:val="00571D27"/>
    <w:rsid w:val="005800F4"/>
    <w:rsid w:val="00581D92"/>
    <w:rsid w:val="00584D65"/>
    <w:rsid w:val="005911E9"/>
    <w:rsid w:val="005A12AA"/>
    <w:rsid w:val="005A19F5"/>
    <w:rsid w:val="005A29B0"/>
    <w:rsid w:val="005B01CF"/>
    <w:rsid w:val="005B4C4C"/>
    <w:rsid w:val="005C0AF1"/>
    <w:rsid w:val="005C6FA2"/>
    <w:rsid w:val="005D4968"/>
    <w:rsid w:val="005D68D1"/>
    <w:rsid w:val="005E3ACA"/>
    <w:rsid w:val="005E4B39"/>
    <w:rsid w:val="005F6AA1"/>
    <w:rsid w:val="00600F1E"/>
    <w:rsid w:val="006159AA"/>
    <w:rsid w:val="00616662"/>
    <w:rsid w:val="00620197"/>
    <w:rsid w:val="00623A81"/>
    <w:rsid w:val="00626744"/>
    <w:rsid w:val="0062728E"/>
    <w:rsid w:val="006342AB"/>
    <w:rsid w:val="00640FA8"/>
    <w:rsid w:val="00641342"/>
    <w:rsid w:val="006454D8"/>
    <w:rsid w:val="0065601E"/>
    <w:rsid w:val="00656DFA"/>
    <w:rsid w:val="006573D9"/>
    <w:rsid w:val="006575E8"/>
    <w:rsid w:val="00657951"/>
    <w:rsid w:val="00665ECA"/>
    <w:rsid w:val="00670828"/>
    <w:rsid w:val="00671FA2"/>
    <w:rsid w:val="00684F95"/>
    <w:rsid w:val="00685088"/>
    <w:rsid w:val="00693975"/>
    <w:rsid w:val="006A19EC"/>
    <w:rsid w:val="006A3182"/>
    <w:rsid w:val="006A797F"/>
    <w:rsid w:val="006B7CDF"/>
    <w:rsid w:val="006C6C98"/>
    <w:rsid w:val="006C72B3"/>
    <w:rsid w:val="006D680A"/>
    <w:rsid w:val="006E3C0C"/>
    <w:rsid w:val="006E7473"/>
    <w:rsid w:val="006F48A8"/>
    <w:rsid w:val="006F6038"/>
    <w:rsid w:val="006F6F09"/>
    <w:rsid w:val="00700D30"/>
    <w:rsid w:val="0070144B"/>
    <w:rsid w:val="00703AB7"/>
    <w:rsid w:val="0070544E"/>
    <w:rsid w:val="00706FC0"/>
    <w:rsid w:val="007125B1"/>
    <w:rsid w:val="00720589"/>
    <w:rsid w:val="007240B6"/>
    <w:rsid w:val="00735256"/>
    <w:rsid w:val="00742766"/>
    <w:rsid w:val="00747900"/>
    <w:rsid w:val="0075020C"/>
    <w:rsid w:val="00750826"/>
    <w:rsid w:val="00751809"/>
    <w:rsid w:val="00751BC0"/>
    <w:rsid w:val="00773C2C"/>
    <w:rsid w:val="0078022D"/>
    <w:rsid w:val="00780750"/>
    <w:rsid w:val="00785E1C"/>
    <w:rsid w:val="00791A92"/>
    <w:rsid w:val="00792A54"/>
    <w:rsid w:val="00795AC0"/>
    <w:rsid w:val="00795EDF"/>
    <w:rsid w:val="007A5657"/>
    <w:rsid w:val="007B3FDA"/>
    <w:rsid w:val="007B6385"/>
    <w:rsid w:val="007D48F0"/>
    <w:rsid w:val="007E1FB6"/>
    <w:rsid w:val="007F0255"/>
    <w:rsid w:val="007F10F9"/>
    <w:rsid w:val="007F186D"/>
    <w:rsid w:val="007F5C55"/>
    <w:rsid w:val="00801843"/>
    <w:rsid w:val="00806B8E"/>
    <w:rsid w:val="00807610"/>
    <w:rsid w:val="00807CDF"/>
    <w:rsid w:val="00821488"/>
    <w:rsid w:val="00830238"/>
    <w:rsid w:val="00832787"/>
    <w:rsid w:val="00833618"/>
    <w:rsid w:val="00835E1B"/>
    <w:rsid w:val="00837448"/>
    <w:rsid w:val="008428F4"/>
    <w:rsid w:val="00842AAC"/>
    <w:rsid w:val="008462C0"/>
    <w:rsid w:val="00851ADB"/>
    <w:rsid w:val="00875B58"/>
    <w:rsid w:val="00876ECB"/>
    <w:rsid w:val="0088087A"/>
    <w:rsid w:val="00884ECE"/>
    <w:rsid w:val="008906BD"/>
    <w:rsid w:val="00890BF3"/>
    <w:rsid w:val="008A022F"/>
    <w:rsid w:val="008A58DD"/>
    <w:rsid w:val="008B72AE"/>
    <w:rsid w:val="008B731F"/>
    <w:rsid w:val="008C00C2"/>
    <w:rsid w:val="008C50C7"/>
    <w:rsid w:val="008C56B9"/>
    <w:rsid w:val="008D00C5"/>
    <w:rsid w:val="008D0F71"/>
    <w:rsid w:val="008D182F"/>
    <w:rsid w:val="008D1F23"/>
    <w:rsid w:val="008D5D60"/>
    <w:rsid w:val="008D5DD7"/>
    <w:rsid w:val="008D5E4C"/>
    <w:rsid w:val="008E5A35"/>
    <w:rsid w:val="008E721C"/>
    <w:rsid w:val="008E7822"/>
    <w:rsid w:val="008F0A2B"/>
    <w:rsid w:val="008F2598"/>
    <w:rsid w:val="00910FE4"/>
    <w:rsid w:val="00915EAB"/>
    <w:rsid w:val="00922BCA"/>
    <w:rsid w:val="0092524F"/>
    <w:rsid w:val="00925B40"/>
    <w:rsid w:val="009263E0"/>
    <w:rsid w:val="009330E2"/>
    <w:rsid w:val="0093381A"/>
    <w:rsid w:val="00934287"/>
    <w:rsid w:val="00937BFE"/>
    <w:rsid w:val="009404A4"/>
    <w:rsid w:val="0094060A"/>
    <w:rsid w:val="00941D35"/>
    <w:rsid w:val="009504C2"/>
    <w:rsid w:val="00953B70"/>
    <w:rsid w:val="00956A52"/>
    <w:rsid w:val="00960257"/>
    <w:rsid w:val="009616E1"/>
    <w:rsid w:val="00965CD1"/>
    <w:rsid w:val="00970F18"/>
    <w:rsid w:val="00973E0B"/>
    <w:rsid w:val="00974BD2"/>
    <w:rsid w:val="00975404"/>
    <w:rsid w:val="009879B3"/>
    <w:rsid w:val="0099110B"/>
    <w:rsid w:val="00991B49"/>
    <w:rsid w:val="0099376D"/>
    <w:rsid w:val="009946ED"/>
    <w:rsid w:val="00995B4F"/>
    <w:rsid w:val="00996FFA"/>
    <w:rsid w:val="009A2B8D"/>
    <w:rsid w:val="009A4C86"/>
    <w:rsid w:val="009A7C61"/>
    <w:rsid w:val="009B4E30"/>
    <w:rsid w:val="009B52E2"/>
    <w:rsid w:val="009B68EF"/>
    <w:rsid w:val="009B6CAA"/>
    <w:rsid w:val="009B6E51"/>
    <w:rsid w:val="009B7734"/>
    <w:rsid w:val="009C5396"/>
    <w:rsid w:val="009D6CB0"/>
    <w:rsid w:val="009F42D6"/>
    <w:rsid w:val="009F4F9E"/>
    <w:rsid w:val="009F6D49"/>
    <w:rsid w:val="009F79B9"/>
    <w:rsid w:val="00A0329E"/>
    <w:rsid w:val="00A066DF"/>
    <w:rsid w:val="00A128AB"/>
    <w:rsid w:val="00A226AF"/>
    <w:rsid w:val="00A22D3E"/>
    <w:rsid w:val="00A242D1"/>
    <w:rsid w:val="00A259D4"/>
    <w:rsid w:val="00A25E3F"/>
    <w:rsid w:val="00A33D5D"/>
    <w:rsid w:val="00A36F61"/>
    <w:rsid w:val="00A50379"/>
    <w:rsid w:val="00A633BD"/>
    <w:rsid w:val="00A651C5"/>
    <w:rsid w:val="00A66351"/>
    <w:rsid w:val="00A916EE"/>
    <w:rsid w:val="00A95671"/>
    <w:rsid w:val="00A966B6"/>
    <w:rsid w:val="00AA09B4"/>
    <w:rsid w:val="00AA1E42"/>
    <w:rsid w:val="00AA2009"/>
    <w:rsid w:val="00AA4D83"/>
    <w:rsid w:val="00AA61F1"/>
    <w:rsid w:val="00AD1A00"/>
    <w:rsid w:val="00AD6D75"/>
    <w:rsid w:val="00AE2A4A"/>
    <w:rsid w:val="00AE480E"/>
    <w:rsid w:val="00AF5D8F"/>
    <w:rsid w:val="00B03D9F"/>
    <w:rsid w:val="00B03DCB"/>
    <w:rsid w:val="00B1530F"/>
    <w:rsid w:val="00B17824"/>
    <w:rsid w:val="00B20072"/>
    <w:rsid w:val="00B20B2C"/>
    <w:rsid w:val="00B2492B"/>
    <w:rsid w:val="00B30745"/>
    <w:rsid w:val="00B40908"/>
    <w:rsid w:val="00B413BD"/>
    <w:rsid w:val="00B516D8"/>
    <w:rsid w:val="00B53E08"/>
    <w:rsid w:val="00B62048"/>
    <w:rsid w:val="00B765F2"/>
    <w:rsid w:val="00B77263"/>
    <w:rsid w:val="00B8752D"/>
    <w:rsid w:val="00B91F18"/>
    <w:rsid w:val="00B92A66"/>
    <w:rsid w:val="00B96699"/>
    <w:rsid w:val="00B9798F"/>
    <w:rsid w:val="00BA0D4C"/>
    <w:rsid w:val="00BA279E"/>
    <w:rsid w:val="00BA5321"/>
    <w:rsid w:val="00BC00B2"/>
    <w:rsid w:val="00BC0EC8"/>
    <w:rsid w:val="00BC2F2B"/>
    <w:rsid w:val="00BC4978"/>
    <w:rsid w:val="00BC6706"/>
    <w:rsid w:val="00BD2A70"/>
    <w:rsid w:val="00BE0719"/>
    <w:rsid w:val="00BE1C94"/>
    <w:rsid w:val="00BE77DE"/>
    <w:rsid w:val="00BF2653"/>
    <w:rsid w:val="00BF2F32"/>
    <w:rsid w:val="00BF4B1B"/>
    <w:rsid w:val="00BF5778"/>
    <w:rsid w:val="00C04DD4"/>
    <w:rsid w:val="00C10332"/>
    <w:rsid w:val="00C10701"/>
    <w:rsid w:val="00C17FB4"/>
    <w:rsid w:val="00C23009"/>
    <w:rsid w:val="00C27103"/>
    <w:rsid w:val="00C32EC8"/>
    <w:rsid w:val="00C43375"/>
    <w:rsid w:val="00C4482E"/>
    <w:rsid w:val="00C44DF7"/>
    <w:rsid w:val="00C46892"/>
    <w:rsid w:val="00C473DF"/>
    <w:rsid w:val="00C52F9C"/>
    <w:rsid w:val="00C53066"/>
    <w:rsid w:val="00C53236"/>
    <w:rsid w:val="00C626AF"/>
    <w:rsid w:val="00C62DD8"/>
    <w:rsid w:val="00C658CA"/>
    <w:rsid w:val="00C71D1F"/>
    <w:rsid w:val="00C81B24"/>
    <w:rsid w:val="00C82E8D"/>
    <w:rsid w:val="00C90A14"/>
    <w:rsid w:val="00C92729"/>
    <w:rsid w:val="00CA47D2"/>
    <w:rsid w:val="00CA7853"/>
    <w:rsid w:val="00CA7AF4"/>
    <w:rsid w:val="00CB2651"/>
    <w:rsid w:val="00CC21F1"/>
    <w:rsid w:val="00CD24E7"/>
    <w:rsid w:val="00CD2B67"/>
    <w:rsid w:val="00CD5AB9"/>
    <w:rsid w:val="00CD6BE3"/>
    <w:rsid w:val="00CD7166"/>
    <w:rsid w:val="00CE3F44"/>
    <w:rsid w:val="00CF66E5"/>
    <w:rsid w:val="00CF6AA9"/>
    <w:rsid w:val="00D0075B"/>
    <w:rsid w:val="00D00922"/>
    <w:rsid w:val="00D03E8E"/>
    <w:rsid w:val="00D04795"/>
    <w:rsid w:val="00D135C3"/>
    <w:rsid w:val="00D147B3"/>
    <w:rsid w:val="00D20282"/>
    <w:rsid w:val="00D233FE"/>
    <w:rsid w:val="00D234C6"/>
    <w:rsid w:val="00D23D5B"/>
    <w:rsid w:val="00D30A2C"/>
    <w:rsid w:val="00D333B2"/>
    <w:rsid w:val="00D34064"/>
    <w:rsid w:val="00D351A6"/>
    <w:rsid w:val="00D3724C"/>
    <w:rsid w:val="00D507DF"/>
    <w:rsid w:val="00D52AC3"/>
    <w:rsid w:val="00D54B4D"/>
    <w:rsid w:val="00D560C1"/>
    <w:rsid w:val="00D67906"/>
    <w:rsid w:val="00D85F6D"/>
    <w:rsid w:val="00D87D03"/>
    <w:rsid w:val="00D9625D"/>
    <w:rsid w:val="00DA25B7"/>
    <w:rsid w:val="00DA28B2"/>
    <w:rsid w:val="00DA7B8C"/>
    <w:rsid w:val="00DB0932"/>
    <w:rsid w:val="00DB4149"/>
    <w:rsid w:val="00DB7B76"/>
    <w:rsid w:val="00DC101A"/>
    <w:rsid w:val="00DC1780"/>
    <w:rsid w:val="00DC63BA"/>
    <w:rsid w:val="00DC6E45"/>
    <w:rsid w:val="00DD3DA3"/>
    <w:rsid w:val="00DD4258"/>
    <w:rsid w:val="00DE4B07"/>
    <w:rsid w:val="00DF6781"/>
    <w:rsid w:val="00E025DC"/>
    <w:rsid w:val="00E02B9E"/>
    <w:rsid w:val="00E054E5"/>
    <w:rsid w:val="00E06505"/>
    <w:rsid w:val="00E147FA"/>
    <w:rsid w:val="00E16B63"/>
    <w:rsid w:val="00E17857"/>
    <w:rsid w:val="00E17D7B"/>
    <w:rsid w:val="00E24910"/>
    <w:rsid w:val="00E25CE3"/>
    <w:rsid w:val="00E27131"/>
    <w:rsid w:val="00E27644"/>
    <w:rsid w:val="00E3465D"/>
    <w:rsid w:val="00E367E5"/>
    <w:rsid w:val="00E37F83"/>
    <w:rsid w:val="00E43C75"/>
    <w:rsid w:val="00E52910"/>
    <w:rsid w:val="00E5385A"/>
    <w:rsid w:val="00E53D4B"/>
    <w:rsid w:val="00E60686"/>
    <w:rsid w:val="00E60CA9"/>
    <w:rsid w:val="00E66614"/>
    <w:rsid w:val="00E71C90"/>
    <w:rsid w:val="00E7247E"/>
    <w:rsid w:val="00E73641"/>
    <w:rsid w:val="00E75826"/>
    <w:rsid w:val="00E8030E"/>
    <w:rsid w:val="00E81DD4"/>
    <w:rsid w:val="00E94F51"/>
    <w:rsid w:val="00E94FC1"/>
    <w:rsid w:val="00EA3654"/>
    <w:rsid w:val="00EB08B9"/>
    <w:rsid w:val="00EB311A"/>
    <w:rsid w:val="00EB4276"/>
    <w:rsid w:val="00EB47D6"/>
    <w:rsid w:val="00EC42E2"/>
    <w:rsid w:val="00EC4663"/>
    <w:rsid w:val="00EC473B"/>
    <w:rsid w:val="00EC4829"/>
    <w:rsid w:val="00EC746C"/>
    <w:rsid w:val="00EE07F2"/>
    <w:rsid w:val="00EE5B29"/>
    <w:rsid w:val="00EF21A6"/>
    <w:rsid w:val="00EF35D7"/>
    <w:rsid w:val="00EF5C69"/>
    <w:rsid w:val="00F15523"/>
    <w:rsid w:val="00F16E24"/>
    <w:rsid w:val="00F2159F"/>
    <w:rsid w:val="00F240E1"/>
    <w:rsid w:val="00F32ADB"/>
    <w:rsid w:val="00F33B50"/>
    <w:rsid w:val="00F4072F"/>
    <w:rsid w:val="00F44E18"/>
    <w:rsid w:val="00F4584C"/>
    <w:rsid w:val="00F468FF"/>
    <w:rsid w:val="00F4729A"/>
    <w:rsid w:val="00F509C2"/>
    <w:rsid w:val="00F53D6C"/>
    <w:rsid w:val="00F551D0"/>
    <w:rsid w:val="00F65825"/>
    <w:rsid w:val="00F70D29"/>
    <w:rsid w:val="00F718E3"/>
    <w:rsid w:val="00F72FA5"/>
    <w:rsid w:val="00F73103"/>
    <w:rsid w:val="00F73DA6"/>
    <w:rsid w:val="00F811CA"/>
    <w:rsid w:val="00F84DA7"/>
    <w:rsid w:val="00F86DFA"/>
    <w:rsid w:val="00F924C1"/>
    <w:rsid w:val="00FA46DB"/>
    <w:rsid w:val="00FA55B5"/>
    <w:rsid w:val="00FA6815"/>
    <w:rsid w:val="00FA7F7D"/>
    <w:rsid w:val="00FB6B73"/>
    <w:rsid w:val="00FB6BE4"/>
    <w:rsid w:val="00FC036C"/>
    <w:rsid w:val="00FC64EC"/>
    <w:rsid w:val="00FD50FB"/>
    <w:rsid w:val="00FD5192"/>
    <w:rsid w:val="00FE373D"/>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CD5AB9"/>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2526</TotalTime>
  <Pages>18</Pages>
  <Words>5788</Words>
  <Characters>32995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38706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Ian Dodd (2313448)</cp:lastModifiedBy>
  <cp:revision>218</cp:revision>
  <dcterms:created xsi:type="dcterms:W3CDTF">2023-09-19T08:06:00Z</dcterms:created>
  <dcterms:modified xsi:type="dcterms:W3CDTF">2026-09-04T13:01:00Z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ZOTERO_PREF_1">
    <vt:lpwstr>&lt;data data-version="3" zotero-version="9.0.6"&gt;&lt;session id="OxQPQfAD"/&gt;&lt;style id="http://www.zotero.org/styles/harvard-cite-them-right" locale="en-GB" hasBibliography="1" bibliographyStyleHasBeenSet="1"/&gt;&lt;prefs&gt;&lt;pref name="fieldType" value="Field"/&gt;&lt;pref n</vt:lpwstr>
  </property>
  <property fmtid="{D5CDD505-2E9C-101B-9397-08002B2CF9AE}" pid="15" name="ZOTERO_PREF_2">
    <vt:lpwstr>ame="automaticJournalAbbreviations" value="true"/&gt;&lt;/prefs&gt;&lt;/data&gt;</vt:lpwstr>
  </property>
</Properties>
</file>