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9ACBF" w14:textId="4E0505D0" w:rsidR="00BA338E" w:rsidRPr="001F6AE2" w:rsidRDefault="00AA692F" w:rsidP="008D54F0">
      <w:pPr>
        <w:jc w:val="center"/>
        <w:rPr>
          <w:b/>
          <w:sz w:val="72"/>
          <w:szCs w:val="72"/>
        </w:rPr>
      </w:pPr>
      <w:r w:rsidRPr="001F6AE2">
        <w:rPr>
          <w:b/>
          <w:sz w:val="72"/>
          <w:szCs w:val="72"/>
        </w:rPr>
        <w:t>BMHP</w:t>
      </w:r>
      <w:r w:rsidR="008D54F0" w:rsidRPr="001F6AE2">
        <w:rPr>
          <w:b/>
          <w:sz w:val="72"/>
          <w:szCs w:val="72"/>
        </w:rPr>
        <w:t xml:space="preserve">5014 </w:t>
      </w:r>
      <w:r w:rsidRPr="001F6AE2">
        <w:rPr>
          <w:b/>
          <w:sz w:val="72"/>
          <w:szCs w:val="72"/>
        </w:rPr>
        <w:t>Changemakers: Creativity and Value Creation</w:t>
      </w:r>
    </w:p>
    <w:p w14:paraId="368D225A" w14:textId="77777777" w:rsidR="008D54F0" w:rsidRPr="001F6AE2" w:rsidRDefault="008D54F0" w:rsidP="008D54F0">
      <w:pPr>
        <w:jc w:val="center"/>
        <w:rPr>
          <w:b/>
          <w:sz w:val="72"/>
          <w:szCs w:val="72"/>
        </w:rPr>
      </w:pPr>
    </w:p>
    <w:p w14:paraId="52D9BD4E" w14:textId="4990ACE0" w:rsidR="007958CB" w:rsidRPr="001F6AE2" w:rsidRDefault="007958CB" w:rsidP="00F45B7D">
      <w:pPr>
        <w:jc w:val="center"/>
        <w:rPr>
          <w:b/>
          <w:bCs/>
          <w:sz w:val="72"/>
          <w:szCs w:val="72"/>
        </w:rPr>
      </w:pPr>
      <w:r w:rsidRPr="001F6AE2">
        <w:rPr>
          <w:b/>
          <w:bCs/>
          <w:sz w:val="72"/>
          <w:szCs w:val="72"/>
        </w:rPr>
        <w:t>Component 2: Written Assignment (Report)</w:t>
      </w:r>
    </w:p>
    <w:p w14:paraId="42059612" w14:textId="05F81456" w:rsidR="00F45B7D" w:rsidRPr="001F6AE2" w:rsidRDefault="00F45B7D" w:rsidP="00F45B7D">
      <w:pPr>
        <w:jc w:val="center"/>
        <w:rPr>
          <w:b/>
          <w:bCs/>
          <w:sz w:val="72"/>
          <w:szCs w:val="72"/>
        </w:rPr>
      </w:pPr>
      <w:r w:rsidRPr="001F6AE2">
        <w:rPr>
          <w:b/>
          <w:bCs/>
          <w:sz w:val="72"/>
          <w:szCs w:val="72"/>
        </w:rPr>
        <w:t>Lecturer</w:t>
      </w:r>
      <w:r w:rsidR="00A430CD" w:rsidRPr="001F6AE2">
        <w:rPr>
          <w:b/>
          <w:bCs/>
          <w:sz w:val="72"/>
          <w:szCs w:val="72"/>
        </w:rPr>
        <w:t>: Danielle Dunne</w:t>
      </w:r>
    </w:p>
    <w:p w14:paraId="04AD9AB7" w14:textId="15E13F3D" w:rsidR="00A430CD" w:rsidRPr="001F6AE2" w:rsidRDefault="001F6AE2" w:rsidP="00F45B7D">
      <w:pPr>
        <w:jc w:val="center"/>
        <w:rPr>
          <w:b/>
          <w:bCs/>
          <w:sz w:val="72"/>
          <w:szCs w:val="72"/>
        </w:rPr>
      </w:pPr>
      <w:r w:rsidRPr="001F6AE2">
        <w:rPr>
          <w:b/>
          <w:bCs/>
          <w:sz w:val="72"/>
          <w:szCs w:val="72"/>
        </w:rPr>
        <w:t>Student number: 2411425</w:t>
      </w:r>
    </w:p>
    <w:p w14:paraId="0E3BD302" w14:textId="77777777" w:rsidR="00032941" w:rsidRDefault="00032941"/>
    <w:p w14:paraId="3C3264C8" w14:textId="770B795D" w:rsidR="00BA338E" w:rsidRDefault="00032941">
      <w:r w:rsidRPr="001D12B5">
        <w:lastRenderedPageBreak/>
        <w:drawing>
          <wp:anchor distT="0" distB="0" distL="114300" distR="114300" simplePos="0" relativeHeight="251658240" behindDoc="0" locked="0" layoutInCell="1" allowOverlap="1" wp14:anchorId="12606B81" wp14:editId="281AAEB2">
            <wp:simplePos x="0" y="0"/>
            <wp:positionH relativeFrom="column">
              <wp:posOffset>56271</wp:posOffset>
            </wp:positionH>
            <wp:positionV relativeFrom="paragraph">
              <wp:posOffset>365418</wp:posOffset>
            </wp:positionV>
            <wp:extent cx="5731510" cy="8107045"/>
            <wp:effectExtent l="0" t="0" r="2540" b="8255"/>
            <wp:wrapSquare wrapText="bothSides"/>
            <wp:docPr id="1100305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305204"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anchor>
        </w:drawing>
      </w:r>
    </w:p>
    <w:p w14:paraId="66FA8812" w14:textId="5815FA53" w:rsidR="00D52A0D" w:rsidRDefault="007C32F7">
      <w:r>
        <w:lastRenderedPageBreak/>
        <w:t>Health and social care systems within the UK are increasingly under pressure due to workforce shortages, rising demand and the growing complexity of patient needs. A key issue underpinning these challenges is the fragmentation between services, which often results in individuals struggling to access appropriate support in a timely and efficient manner. The concept of OneDoor proposes an integrated community health and social care hub designed to provide a single</w:t>
      </w:r>
      <w:r w:rsidR="00A1455A">
        <w:t xml:space="preserve">, accessible entry point for individuals requiring both medical and non-medical support. </w:t>
      </w:r>
    </w:p>
    <w:p w14:paraId="11A6DC6D" w14:textId="578F96EF" w:rsidR="00A1455A" w:rsidRDefault="00A1455A">
      <w:r>
        <w:t xml:space="preserve">At present, many individuals access GP services for concerns that are not strictly medical but instead relate to wider social determinants of health such as loneliness, financial instability, housing insecurity, or mild to moderate mental health difficulties. According to NHS England, a significant a proportion of GP appointments are linked to these non-clinical issues, placing considerable strain on primary </w:t>
      </w:r>
      <w:r w:rsidR="00F52E04">
        <w:t xml:space="preserve">care services (NHS England 2019). This contributes to increased pressure on healthcare professionals, </w:t>
      </w:r>
      <w:r w:rsidR="00EE4F0C">
        <w:t xml:space="preserve">reduced appointment availability, and longer waiting times. </w:t>
      </w:r>
    </w:p>
    <w:p w14:paraId="1DDF8F54" w14:textId="77777777" w:rsidR="00EB1B50" w:rsidRDefault="00EE4F0C">
      <w:r>
        <w:t xml:space="preserve">OneDoor directly addresses this gap by transforming traditional GP surgeries into multi-agency wellbeing hubs, where health and social care services are co-located coordinated. This aligns with the strategic direction outlined in the NHS Long Term Plan, which emphasises prevention, early intervention and </w:t>
      </w:r>
      <w:r w:rsidR="00EB1B50">
        <w:t xml:space="preserve">greater integration across services. (NHS England, 2019). Furthermore, the development of Integrated Care Systems (ICSs) across England supports collaborative working between healthcare providers, local authorities and voluntary organisations, making OneDoor both a timely and feasible innovation. </w:t>
      </w:r>
    </w:p>
    <w:p w14:paraId="069AA6B9" w14:textId="77777777" w:rsidR="00C45EB3" w:rsidRDefault="00EB1B50">
      <w:r>
        <w:t xml:space="preserve">The primary target audience for OneDoor includes adults experiencing social isolation, mild to moderate mental health difficulties, and those facing financial or housing challenges. These groups are often disproportionately affected </w:t>
      </w:r>
      <w:r w:rsidR="00C45EB3">
        <w:t xml:space="preserve">by health inequalities and may face barriers when attempting to navigate complex service systems. By providing a single point of access, OneDoor reduces these barriers and ensures individuals are directed to the most appropriate support at an early stage. </w:t>
      </w:r>
    </w:p>
    <w:p w14:paraId="609C12A7" w14:textId="1C74FBB3" w:rsidR="00EE4F0C" w:rsidRDefault="00C45EB3">
      <w:r>
        <w:t xml:space="preserve">For example, an individual presenting with stress related to financial difficulties could be referred directly to a financial advice service or social prescriber, rather than occupying a GP appointment unnecessarily. Similarly, individuals experiencing loneliness could be connected with some community support groups, which are known to improve mental wellbeing and reduce demand on healthcare services (The King’s Fund 2020). This approach reflects a person -centred model of care, which prioritises the holistic needs of the individual rather than focusing solely on clinical symptoms. </w:t>
      </w:r>
    </w:p>
    <w:p w14:paraId="52371423" w14:textId="5621886D" w:rsidR="00C45EB3" w:rsidRDefault="00C45EB3">
      <w:r>
        <w:t xml:space="preserve">The impact of OneDoor </w:t>
      </w:r>
      <w:r w:rsidR="00BC7A14">
        <w:t xml:space="preserve">extends beyond individual outcomes to benefit the wider health and social care system. By reducing unnecessary GP appointments, healthcare professionals </w:t>
      </w:r>
      <w:proofErr w:type="gramStart"/>
      <w:r w:rsidR="00BC7A14">
        <w:t>are able to</w:t>
      </w:r>
      <w:proofErr w:type="gramEnd"/>
      <w:r w:rsidR="00BC7A14">
        <w:t xml:space="preserve"> focus on patients with more complex medical needs, thereby </w:t>
      </w:r>
      <w:r w:rsidR="00BC7A14">
        <w:lastRenderedPageBreak/>
        <w:t xml:space="preserve">improving efficiency and quality of care. Additionally, early intervention in social issues can prevent escalation into more serious health conditions, ultimately reducing long-term costs for the NHS and local authorities. </w:t>
      </w:r>
    </w:p>
    <w:p w14:paraId="2436AC4F" w14:textId="79BAF3F2" w:rsidR="00BC7A14" w:rsidRDefault="00BC7A14">
      <w:r>
        <w:t xml:space="preserve">Implementation of OneDoor would take place within community-based GP settings, supported by a multidisciplinary team including GPs, social prescribers, mental health practitioners and representatives from voluntary and community sector organisations. This reflects the principles of multi-agency working </w:t>
      </w:r>
      <w:r w:rsidR="008B143F">
        <w:t xml:space="preserve">which is widely recognised as essential for effective health and social care delivery </w:t>
      </w:r>
    </w:p>
    <w:p w14:paraId="1211ED2F" w14:textId="77777777" w:rsidR="008B143F" w:rsidRDefault="008B143F" w:rsidP="008B143F">
      <w:r w:rsidRPr="000A1E84">
        <w:t>From a regulatory perspective, OneDoor would operate within established UK frameworks to ensure safe and ethical practice. Compliance with the Data Protection Act 2018 and UK GDPR is essential to maintain patient confidentiality when using shared electronic care records. Additionally, services would be regulated by the Care Quality Commission (CQC), ensuring that standards of safety, effectiveness, and patient-centred care are upheld (Care Quality Commission, 2023). The Equality Act 2010 would further ensure that services are inclusive and accessible to all individuals, regardless of background or circumstance.</w:t>
      </w:r>
    </w:p>
    <w:p w14:paraId="5250D617" w14:textId="0C0BBB03" w:rsidR="008B143F" w:rsidRDefault="00D53EB3" w:rsidP="008B143F">
      <w:r>
        <w:t>Technology plays a crucial role in enhancing the effectiveness of OneDoor. The integration of a digital triage and referral system allows individuals to be efficiently directed to the most appropriate service, reduce delays and improving communication between professionals. Shared electronic care records enable seamless information sharing across services, supporting continuity of care and reducing duplication</w:t>
      </w:r>
      <w:r w:rsidR="003C4339">
        <w:t xml:space="preserve">. Additionally, the optional use of patient app provides individuals with greater control over their care, allowing them to track appointments and access relevant support services. </w:t>
      </w:r>
    </w:p>
    <w:p w14:paraId="03E98356" w14:textId="160DD80C" w:rsidR="003C4339" w:rsidRDefault="003C4339" w:rsidP="008B143F">
      <w:r>
        <w:t xml:space="preserve">However, it is important to acknowledge potential </w:t>
      </w:r>
      <w:r w:rsidR="00FC7CE9">
        <w:t xml:space="preserve">challenges associated with implementation. These may include initial funding requirements, workforce training, and ensuring effective collaboration between organisations with differing priorities. Despite these challenges, the long-term benefits of improved efficiency, reduced demand on acute services and enhanced patient outcomes provide a strong justification for investment. </w:t>
      </w:r>
    </w:p>
    <w:p w14:paraId="3E2C7D31" w14:textId="5514B342" w:rsidR="00FC7CE9" w:rsidRDefault="00FC7CE9" w:rsidP="00FC7CE9">
      <w:r w:rsidRPr="00FC7CE9">
        <w:t xml:space="preserve">Public participation and dissemination are essential to </w:t>
      </w:r>
      <w:r w:rsidRPr="00FC7CE9">
        <w:t>OneDoor’s</w:t>
      </w:r>
      <w:r w:rsidRPr="00FC7CE9">
        <w:t xml:space="preserve"> success.</w:t>
      </w:r>
      <w:r>
        <w:t xml:space="preserve"> The innovation would be promoted through NHS and local authority campaigns, as well as digital platforms and social media to reach a broader audience. Partnerships with charities and voluntary organisations would further support outreach, particularly among vulnerable populations </w:t>
      </w:r>
      <w:r w:rsidR="00AF7BF2">
        <w:t xml:space="preserve">who may be less likely to engage with traditional healthcare services. Community outreach events also provide an opportunity to raise awareness and encourage public involvement. </w:t>
      </w:r>
    </w:p>
    <w:p w14:paraId="46B53FDA" w14:textId="77777777" w:rsidR="00F75C06" w:rsidRDefault="00AF7BF2" w:rsidP="008B143F">
      <w:r>
        <w:lastRenderedPageBreak/>
        <w:t>Encouraging public engagement is particularly important as OneDoor is designed not only as a service but as a community-centred initiative. By involving the public in its development and utilisation, the model promotes a sense of ownership and empowerment, which</w:t>
      </w:r>
      <w:r w:rsidR="00BF7FD7">
        <w:t xml:space="preserve"> is essential for improving long-term health outcomes. When individuals are supported to access the right services at the right time</w:t>
      </w:r>
      <w:r w:rsidR="007C638C">
        <w:t xml:space="preserve">, they are </w:t>
      </w:r>
      <w:r w:rsidR="00F75C06">
        <w:t>more likely to experience improved wellbeing and reduced reliance on crisis interventions.</w:t>
      </w:r>
    </w:p>
    <w:p w14:paraId="0CB07C75" w14:textId="77777777" w:rsidR="008A3ACB" w:rsidRDefault="00F75C06" w:rsidP="008B143F">
      <w:r>
        <w:t>In conclusion, OneDoor represents an innovative yet practical approach to addressing key challenges within the UK health and social care system. By providing a single integrated point of access to both medical and social support, it reduces fragmentation, improves efficiency, and enhances patient experience. Most importantly</w:t>
      </w:r>
      <w:r w:rsidR="008A3ACB">
        <w:t xml:space="preserve">, it recognises that health is not determined solely by medical factors, but by a complex interaction of social, economic and environmental influences. </w:t>
      </w:r>
    </w:p>
    <w:p w14:paraId="39F8C3BE" w14:textId="77777777" w:rsidR="008A3ACB" w:rsidRPr="000A1E84" w:rsidRDefault="008A3ACB" w:rsidP="008A3ACB">
      <w:r w:rsidRPr="000A1E84">
        <w:t>As demand on services continues to rise, solutions such as OneDoor are essential to ensure the sustainability of the NHS and the wellbeing of the population. By investing in integrated, preventative, and person-centred models of care, we can create a system that is not only more efficient, but also more equitable and responsive to the needs of the communities it serves.</w:t>
      </w:r>
    </w:p>
    <w:p w14:paraId="6261A138" w14:textId="77777777" w:rsidR="0051614F" w:rsidRDefault="0051614F" w:rsidP="008B143F"/>
    <w:p w14:paraId="0D7AA99C" w14:textId="77777777" w:rsidR="0051614F" w:rsidRDefault="0051614F" w:rsidP="008B143F"/>
    <w:p w14:paraId="0B17510D" w14:textId="77777777" w:rsidR="0051614F" w:rsidRDefault="0051614F" w:rsidP="008B143F"/>
    <w:p w14:paraId="7970C2D0" w14:textId="77777777" w:rsidR="0051614F" w:rsidRDefault="0051614F" w:rsidP="008B143F"/>
    <w:p w14:paraId="5FC75D09" w14:textId="77777777" w:rsidR="0051614F" w:rsidRDefault="0051614F" w:rsidP="008B143F"/>
    <w:p w14:paraId="5180C9E5" w14:textId="77777777" w:rsidR="0051614F" w:rsidRDefault="0051614F" w:rsidP="008B143F"/>
    <w:p w14:paraId="055A717A" w14:textId="77777777" w:rsidR="0051614F" w:rsidRDefault="0051614F" w:rsidP="008B143F"/>
    <w:p w14:paraId="5979F09F" w14:textId="77777777" w:rsidR="0051614F" w:rsidRDefault="0051614F" w:rsidP="008B143F"/>
    <w:p w14:paraId="428A922A" w14:textId="77777777" w:rsidR="0051614F" w:rsidRDefault="0051614F" w:rsidP="008B143F"/>
    <w:p w14:paraId="4524CC37" w14:textId="77777777" w:rsidR="0051614F" w:rsidRDefault="0051614F" w:rsidP="008B143F"/>
    <w:p w14:paraId="3E43B3FE" w14:textId="77777777" w:rsidR="0051614F" w:rsidRDefault="0051614F" w:rsidP="008B143F"/>
    <w:p w14:paraId="762D7C1E" w14:textId="77777777" w:rsidR="0051614F" w:rsidRDefault="0051614F" w:rsidP="008B143F"/>
    <w:p w14:paraId="6BEFB189" w14:textId="77777777" w:rsidR="0051614F" w:rsidRDefault="0051614F" w:rsidP="008B143F"/>
    <w:p w14:paraId="3046F473" w14:textId="77777777" w:rsidR="0051614F" w:rsidRDefault="0051614F" w:rsidP="008B143F"/>
    <w:p w14:paraId="4051E7DC" w14:textId="77777777" w:rsidR="0051614F" w:rsidRDefault="0051614F" w:rsidP="008B143F"/>
    <w:p w14:paraId="6527EFF0" w14:textId="77777777" w:rsidR="0051614F" w:rsidRDefault="0051614F" w:rsidP="008B143F">
      <w:r>
        <w:lastRenderedPageBreak/>
        <w:t>References</w:t>
      </w:r>
    </w:p>
    <w:p w14:paraId="260E4915" w14:textId="77777777" w:rsidR="0000224A" w:rsidRDefault="0094244D" w:rsidP="008B143F">
      <w:r w:rsidRPr="0094244D">
        <w:t xml:space="preserve">Care Quality Commission (2023) </w:t>
      </w:r>
      <w:r w:rsidRPr="0094244D">
        <w:rPr>
          <w:i/>
          <w:iCs/>
        </w:rPr>
        <w:t>How CQC regulates services</w:t>
      </w:r>
      <w:r w:rsidRPr="0094244D">
        <w:t>. Available at:</w:t>
      </w:r>
      <w:r w:rsidR="0000224A" w:rsidRPr="0000224A">
        <w:t xml:space="preserve"> </w:t>
      </w:r>
      <w:hyperlink r:id="rId7" w:history="1">
        <w:r w:rsidR="0000224A" w:rsidRPr="00D86802">
          <w:rPr>
            <w:rStyle w:val="Hyperlink"/>
          </w:rPr>
          <w:t>https://www.cqc.org.uk/about-us/how-we-do-our-job</w:t>
        </w:r>
      </w:hyperlink>
      <w:r w:rsidR="0000224A">
        <w:t xml:space="preserve"> (Accessed 12 March 2026) </w:t>
      </w:r>
    </w:p>
    <w:p w14:paraId="0D44E8FE" w14:textId="29448F73" w:rsidR="00AA2B3E" w:rsidRDefault="00562EE7" w:rsidP="008B143F">
      <w:r w:rsidRPr="00562EE7">
        <w:t xml:space="preserve">NHS England (2019) </w:t>
      </w:r>
      <w:r w:rsidRPr="00562EE7">
        <w:rPr>
          <w:i/>
          <w:iCs/>
        </w:rPr>
        <w:t>The NHS Long Term Plan</w:t>
      </w:r>
      <w:r w:rsidRPr="00562EE7">
        <w:t>. Available at:</w:t>
      </w:r>
      <w:r w:rsidRPr="00562EE7">
        <w:t xml:space="preserve"> </w:t>
      </w:r>
      <w:hyperlink r:id="rId8" w:history="1">
        <w:r w:rsidR="003B5588" w:rsidRPr="00D86802">
          <w:rPr>
            <w:rStyle w:val="Hyperlink"/>
          </w:rPr>
          <w:t>https://webarchive.nationalarchives.gov.uk/ukgwa/20250707103655/https://www.longtermplan.nhs.uk/</w:t>
        </w:r>
      </w:hyperlink>
      <w:r w:rsidR="003B5588">
        <w:t xml:space="preserve"> </w:t>
      </w:r>
      <w:r w:rsidR="00AA2B3E">
        <w:t xml:space="preserve">(Accessed 13 March 2026) </w:t>
      </w:r>
    </w:p>
    <w:p w14:paraId="201ED804" w14:textId="516CA9D0" w:rsidR="00AA2B3E" w:rsidRDefault="005D1B46" w:rsidP="008B143F">
      <w:r w:rsidRPr="005D1B46">
        <w:t xml:space="preserve">The King’s Fund (2020) </w:t>
      </w:r>
      <w:r w:rsidRPr="005D1B46">
        <w:rPr>
          <w:i/>
          <w:iCs/>
        </w:rPr>
        <w:t>Social prescribing and community-based support</w:t>
      </w:r>
      <w:r w:rsidRPr="005D1B46">
        <w:t>. Available at:</w:t>
      </w:r>
      <w:r w:rsidR="00101427">
        <w:t xml:space="preserve"> </w:t>
      </w:r>
      <w:hyperlink r:id="rId9" w:history="1">
        <w:r w:rsidR="00353A8F" w:rsidRPr="00D86802">
          <w:rPr>
            <w:rStyle w:val="Hyperlink"/>
          </w:rPr>
          <w:t>https://www.kingsfund.org.uk/insight-and-analysis/blogs/social-prescribing-nhs-facilities</w:t>
        </w:r>
      </w:hyperlink>
      <w:r w:rsidR="00353A8F">
        <w:t xml:space="preserve"> </w:t>
      </w:r>
      <w:r w:rsidR="00374492">
        <w:t xml:space="preserve">(Accessed </w:t>
      </w:r>
      <w:r w:rsidR="002A3CFC">
        <w:t xml:space="preserve">13 March 2026) </w:t>
      </w:r>
    </w:p>
    <w:p w14:paraId="56FE238F" w14:textId="2CB19649" w:rsidR="00F212F2" w:rsidRDefault="00F212F2" w:rsidP="008B143F">
      <w:r w:rsidRPr="00F212F2">
        <w:t xml:space="preserve">UK Government (2018) </w:t>
      </w:r>
      <w:r w:rsidRPr="00F212F2">
        <w:rPr>
          <w:i/>
          <w:iCs/>
        </w:rPr>
        <w:t>Data Protection Act 2018</w:t>
      </w:r>
      <w:r w:rsidRPr="00F212F2">
        <w:t>. Available at:</w:t>
      </w:r>
      <w:r w:rsidR="00447A21" w:rsidRPr="00447A21">
        <w:t xml:space="preserve"> </w:t>
      </w:r>
      <w:hyperlink r:id="rId10" w:history="1">
        <w:r w:rsidR="00447A21" w:rsidRPr="00D86802">
          <w:rPr>
            <w:rStyle w:val="Hyperlink"/>
          </w:rPr>
          <w:t>https://www.legislation.gov.uk/ukpga/2018/12/contents</w:t>
        </w:r>
      </w:hyperlink>
      <w:r w:rsidR="00447A21">
        <w:t xml:space="preserve"> (Accessed 16 March 2026) </w:t>
      </w:r>
    </w:p>
    <w:p w14:paraId="14F6A4FB" w14:textId="31076AEB" w:rsidR="00447A21" w:rsidRDefault="005002F9" w:rsidP="008B143F">
      <w:r w:rsidRPr="005002F9">
        <w:t xml:space="preserve">UK Government (2010) </w:t>
      </w:r>
      <w:r w:rsidRPr="005002F9">
        <w:rPr>
          <w:i/>
          <w:iCs/>
        </w:rPr>
        <w:t>Equality Act 2010</w:t>
      </w:r>
      <w:r w:rsidRPr="005002F9">
        <w:t>. Available at:</w:t>
      </w:r>
      <w:r w:rsidR="00321E68" w:rsidRPr="00321E68">
        <w:t xml:space="preserve"> </w:t>
      </w:r>
      <w:hyperlink r:id="rId11" w:history="1">
        <w:r w:rsidR="00321E68" w:rsidRPr="00D86802">
          <w:rPr>
            <w:rStyle w:val="Hyperlink"/>
          </w:rPr>
          <w:t>https://www.legislation.gov.uk/ukpga/2010/15/contents</w:t>
        </w:r>
      </w:hyperlink>
      <w:r w:rsidR="00321E68">
        <w:t xml:space="preserve"> </w:t>
      </w:r>
      <w:r w:rsidR="00321E68">
        <w:t>(Accessed 16 March 2026)</w:t>
      </w:r>
    </w:p>
    <w:p w14:paraId="2A0BC87A" w14:textId="77777777" w:rsidR="00321E68" w:rsidRDefault="00321E68" w:rsidP="008B143F"/>
    <w:p w14:paraId="423E13F5" w14:textId="77777777" w:rsidR="002A3CFC" w:rsidRDefault="002A3CFC" w:rsidP="008B143F"/>
    <w:p w14:paraId="46BBA8C3" w14:textId="1793698C" w:rsidR="00FC7CE9" w:rsidRPr="000A1E84" w:rsidRDefault="00BF7FD7" w:rsidP="008B143F">
      <w:r>
        <w:t xml:space="preserve">                                                                                                                                                                                                                                                                                                                                                                                                                                                                                                                                                                                                                                                                                                                                                                                                                                                                                                                                                                                                                                                                                                                                                                                                                                                                                                                                                                                                        </w:t>
      </w:r>
    </w:p>
    <w:p w14:paraId="2F0B9494" w14:textId="77777777" w:rsidR="008B143F" w:rsidRDefault="008B143F"/>
    <w:p w14:paraId="428F8D89" w14:textId="77777777" w:rsidR="00C45EB3" w:rsidRDefault="00C45EB3"/>
    <w:sectPr w:rsidR="00C45E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DFA65" w14:textId="77777777" w:rsidR="00F51EA4" w:rsidRDefault="00F51EA4" w:rsidP="00032941">
      <w:pPr>
        <w:spacing w:after="0" w:line="240" w:lineRule="auto"/>
      </w:pPr>
      <w:r>
        <w:separator/>
      </w:r>
    </w:p>
  </w:endnote>
  <w:endnote w:type="continuationSeparator" w:id="0">
    <w:p w14:paraId="7BA9E512" w14:textId="77777777" w:rsidR="00F51EA4" w:rsidRDefault="00F51EA4" w:rsidP="00032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DBCBFA" w14:textId="77777777" w:rsidR="00F51EA4" w:rsidRDefault="00F51EA4" w:rsidP="00032941">
      <w:pPr>
        <w:spacing w:after="0" w:line="240" w:lineRule="auto"/>
      </w:pPr>
      <w:r>
        <w:separator/>
      </w:r>
    </w:p>
  </w:footnote>
  <w:footnote w:type="continuationSeparator" w:id="0">
    <w:p w14:paraId="41543CDA" w14:textId="77777777" w:rsidR="00F51EA4" w:rsidRDefault="00F51EA4" w:rsidP="000329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2F7"/>
    <w:rsid w:val="0000224A"/>
    <w:rsid w:val="00032941"/>
    <w:rsid w:val="00101427"/>
    <w:rsid w:val="001D12B5"/>
    <w:rsid w:val="001F6AE2"/>
    <w:rsid w:val="002A3CFC"/>
    <w:rsid w:val="00321E68"/>
    <w:rsid w:val="00353A8F"/>
    <w:rsid w:val="00374492"/>
    <w:rsid w:val="003B5588"/>
    <w:rsid w:val="003C4339"/>
    <w:rsid w:val="00447A21"/>
    <w:rsid w:val="005002F9"/>
    <w:rsid w:val="00505D19"/>
    <w:rsid w:val="0051614F"/>
    <w:rsid w:val="00562EE7"/>
    <w:rsid w:val="005D1B46"/>
    <w:rsid w:val="007958CB"/>
    <w:rsid w:val="007C32F7"/>
    <w:rsid w:val="007C638C"/>
    <w:rsid w:val="008A3ACB"/>
    <w:rsid w:val="008B143F"/>
    <w:rsid w:val="008D54F0"/>
    <w:rsid w:val="0094244D"/>
    <w:rsid w:val="009549A1"/>
    <w:rsid w:val="00A1455A"/>
    <w:rsid w:val="00A430CD"/>
    <w:rsid w:val="00AA2B3E"/>
    <w:rsid w:val="00AA692F"/>
    <w:rsid w:val="00AF7BF2"/>
    <w:rsid w:val="00BA338E"/>
    <w:rsid w:val="00BC7A14"/>
    <w:rsid w:val="00BF7FD7"/>
    <w:rsid w:val="00C45EB3"/>
    <w:rsid w:val="00D52A0D"/>
    <w:rsid w:val="00D53EB3"/>
    <w:rsid w:val="00DB0DF7"/>
    <w:rsid w:val="00E423FE"/>
    <w:rsid w:val="00EB1B50"/>
    <w:rsid w:val="00EE4F0C"/>
    <w:rsid w:val="00F212F2"/>
    <w:rsid w:val="00F45B7D"/>
    <w:rsid w:val="00F51EA4"/>
    <w:rsid w:val="00F52E04"/>
    <w:rsid w:val="00F75C06"/>
    <w:rsid w:val="00FC7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93A24"/>
  <w15:chartTrackingRefBased/>
  <w15:docId w15:val="{4C69C19F-2860-440E-BCA2-7C3CCE933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32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32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32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32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32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32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32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32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32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2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32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32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32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32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32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32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32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32F7"/>
    <w:rPr>
      <w:rFonts w:eastAsiaTheme="majorEastAsia" w:cstheme="majorBidi"/>
      <w:color w:val="272727" w:themeColor="text1" w:themeTint="D8"/>
    </w:rPr>
  </w:style>
  <w:style w:type="paragraph" w:styleId="Title">
    <w:name w:val="Title"/>
    <w:basedOn w:val="Normal"/>
    <w:next w:val="Normal"/>
    <w:link w:val="TitleChar"/>
    <w:uiPriority w:val="10"/>
    <w:qFormat/>
    <w:rsid w:val="007C32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32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32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32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32F7"/>
    <w:pPr>
      <w:spacing w:before="160"/>
      <w:jc w:val="center"/>
    </w:pPr>
    <w:rPr>
      <w:i/>
      <w:iCs/>
      <w:color w:val="404040" w:themeColor="text1" w:themeTint="BF"/>
    </w:rPr>
  </w:style>
  <w:style w:type="character" w:customStyle="1" w:styleId="QuoteChar">
    <w:name w:val="Quote Char"/>
    <w:basedOn w:val="DefaultParagraphFont"/>
    <w:link w:val="Quote"/>
    <w:uiPriority w:val="29"/>
    <w:rsid w:val="007C32F7"/>
    <w:rPr>
      <w:i/>
      <w:iCs/>
      <w:color w:val="404040" w:themeColor="text1" w:themeTint="BF"/>
    </w:rPr>
  </w:style>
  <w:style w:type="paragraph" w:styleId="ListParagraph">
    <w:name w:val="List Paragraph"/>
    <w:basedOn w:val="Normal"/>
    <w:uiPriority w:val="34"/>
    <w:qFormat/>
    <w:rsid w:val="007C32F7"/>
    <w:pPr>
      <w:ind w:left="720"/>
      <w:contextualSpacing/>
    </w:pPr>
  </w:style>
  <w:style w:type="character" w:styleId="IntenseEmphasis">
    <w:name w:val="Intense Emphasis"/>
    <w:basedOn w:val="DefaultParagraphFont"/>
    <w:uiPriority w:val="21"/>
    <w:qFormat/>
    <w:rsid w:val="007C32F7"/>
    <w:rPr>
      <w:i/>
      <w:iCs/>
      <w:color w:val="0F4761" w:themeColor="accent1" w:themeShade="BF"/>
    </w:rPr>
  </w:style>
  <w:style w:type="paragraph" w:styleId="IntenseQuote">
    <w:name w:val="Intense Quote"/>
    <w:basedOn w:val="Normal"/>
    <w:next w:val="Normal"/>
    <w:link w:val="IntenseQuoteChar"/>
    <w:uiPriority w:val="30"/>
    <w:qFormat/>
    <w:rsid w:val="007C32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32F7"/>
    <w:rPr>
      <w:i/>
      <w:iCs/>
      <w:color w:val="0F4761" w:themeColor="accent1" w:themeShade="BF"/>
    </w:rPr>
  </w:style>
  <w:style w:type="character" w:styleId="IntenseReference">
    <w:name w:val="Intense Reference"/>
    <w:basedOn w:val="DefaultParagraphFont"/>
    <w:uiPriority w:val="32"/>
    <w:qFormat/>
    <w:rsid w:val="007C32F7"/>
    <w:rPr>
      <w:b/>
      <w:bCs/>
      <w:smallCaps/>
      <w:color w:val="0F4761" w:themeColor="accent1" w:themeShade="BF"/>
      <w:spacing w:val="5"/>
    </w:rPr>
  </w:style>
  <w:style w:type="character" w:styleId="Hyperlink">
    <w:name w:val="Hyperlink"/>
    <w:basedOn w:val="DefaultParagraphFont"/>
    <w:uiPriority w:val="99"/>
    <w:unhideWhenUsed/>
    <w:rsid w:val="0000224A"/>
    <w:rPr>
      <w:color w:val="467886" w:themeColor="hyperlink"/>
      <w:u w:val="single"/>
    </w:rPr>
  </w:style>
  <w:style w:type="character" w:styleId="UnresolvedMention">
    <w:name w:val="Unresolved Mention"/>
    <w:basedOn w:val="DefaultParagraphFont"/>
    <w:uiPriority w:val="99"/>
    <w:semiHidden/>
    <w:unhideWhenUsed/>
    <w:rsid w:val="0000224A"/>
    <w:rPr>
      <w:color w:val="605E5C"/>
      <w:shd w:val="clear" w:color="auto" w:fill="E1DFDD"/>
    </w:rPr>
  </w:style>
  <w:style w:type="paragraph" w:styleId="Header">
    <w:name w:val="header"/>
    <w:basedOn w:val="Normal"/>
    <w:link w:val="HeaderChar"/>
    <w:uiPriority w:val="99"/>
    <w:unhideWhenUsed/>
    <w:rsid w:val="00032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941"/>
  </w:style>
  <w:style w:type="paragraph" w:styleId="Footer">
    <w:name w:val="footer"/>
    <w:basedOn w:val="Normal"/>
    <w:link w:val="FooterChar"/>
    <w:uiPriority w:val="99"/>
    <w:unhideWhenUsed/>
    <w:rsid w:val="00032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9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nationalarchives.gov.uk/ukgwa/20250707103655/https://www.longtermplan.nhs.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qc.org.uk/about-us/how-we-do-our-job"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10/15/contents" TargetMode="External"/><Relationship Id="rId5" Type="http://schemas.openxmlformats.org/officeDocument/2006/relationships/endnotes" Target="endnotes.xml"/><Relationship Id="rId10" Type="http://schemas.openxmlformats.org/officeDocument/2006/relationships/hyperlink" Target="https://www.legislation.gov.uk/ukpga/2018/12/contents" TargetMode="External"/><Relationship Id="rId4" Type="http://schemas.openxmlformats.org/officeDocument/2006/relationships/footnotes" Target="footnotes.xml"/><Relationship Id="rId9" Type="http://schemas.openxmlformats.org/officeDocument/2006/relationships/hyperlink" Target="https://www.kingsfund.org.uk/insight-and-analysis/blogs/social-prescribing-nhs-faci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297</TotalTime>
  <Pages>6</Pages>
  <Words>1485</Words>
  <Characters>8469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adejoke adozi</dc:creator>
  <cp:keywords/>
  <dc:description/>
  <cp:lastModifiedBy>adejoke adozi</cp:lastModifiedBy>
  <cp:revision>26</cp:revision>
  <dcterms:created xsi:type="dcterms:W3CDTF">2026-03-30T08:43:00Z</dcterms:created>
  <dcterms:modified xsi:type="dcterms:W3CDTF">2026-03-30T13:50:00Z</dcterms:modified>
</cp:coreProperties>
</file>