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3D96474" w14:textId="77777777" w:rsidR="007F0CE8" w:rsidRDefault="007F0CE8" w:rsidP="007F0CE8">
      <w:pPr>
        <w:spacing w:before="212"/>
        <w:jc w:val="center"/>
        <w:rPr>
          <w:rFonts w:ascii="Arial"/>
          <w:b/>
          <w:sz w:val="56"/>
        </w:rPr>
      </w:pPr>
      <w:r>
        <w:rPr>
          <w:rFonts w:ascii="Arial"/>
          <w:b/>
          <w:noProof/>
          <w:sz w:val="56"/>
        </w:rPr>
        <w:drawing>
          <wp:inline distT="0" distB="0" distL="0" distR="0" wp14:anchorId="7D92A728" wp14:editId="7E23B08C">
            <wp:extent cx="3524324" cy="1404938"/>
            <wp:effectExtent l="0" t="0" r="0" b="5080"/>
            <wp:docPr id="4" name="Picture 4" descr="A close-up of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A close-up of black text&#10;&#10;AI-generated content may be incorrect."/>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535284" cy="1409307"/>
                    </a:xfrm>
                    <a:prstGeom prst="rect">
                      <a:avLst/>
                    </a:prstGeom>
                    <a:noFill/>
                  </pic:spPr>
                </pic:pic>
              </a:graphicData>
            </a:graphic>
          </wp:inline>
        </w:drawing>
      </w:r>
    </w:p>
    <w:p w14:paraId="75EFBD02" w14:textId="77777777" w:rsidR="007F0CE8" w:rsidRPr="0066224E" w:rsidRDefault="007F0CE8" w:rsidP="007F0CE8">
      <w:pPr>
        <w:spacing w:before="212"/>
        <w:jc w:val="center"/>
        <w:rPr>
          <w:rFonts w:ascii="Arial"/>
          <w:b/>
          <w:sz w:val="36"/>
          <w:szCs w:val="36"/>
        </w:rPr>
      </w:pPr>
    </w:p>
    <w:p w14:paraId="0932F422" w14:textId="77777777" w:rsidR="007F0CE8" w:rsidRDefault="007F0CE8" w:rsidP="007F0CE8">
      <w:pPr>
        <w:spacing w:before="212"/>
        <w:rPr>
          <w:rFonts w:ascii="Arial"/>
          <w:b/>
          <w:sz w:val="56"/>
        </w:rPr>
      </w:pPr>
    </w:p>
    <w:p w14:paraId="02CC8051" w14:textId="689746A6" w:rsidR="007F0CE8" w:rsidRPr="00AD6D49" w:rsidRDefault="007F0CE8" w:rsidP="007F0CE8">
      <w:pPr>
        <w:spacing w:before="212"/>
        <w:rPr>
          <w:rFonts w:ascii="Arial"/>
          <w:b/>
          <w:sz w:val="48"/>
          <w:szCs w:val="48"/>
          <w:lang w:val="fr-FR"/>
        </w:rPr>
      </w:pPr>
      <w:r w:rsidRPr="00AD6D49">
        <w:rPr>
          <w:rFonts w:ascii="Arial"/>
          <w:b/>
          <w:sz w:val="48"/>
          <w:szCs w:val="48"/>
          <w:lang w:val="fr-FR"/>
        </w:rPr>
        <w:t xml:space="preserve">MODULE </w:t>
      </w:r>
      <w:proofErr w:type="gramStart"/>
      <w:r w:rsidRPr="00AD6D49">
        <w:rPr>
          <w:rFonts w:ascii="Arial"/>
          <w:b/>
          <w:sz w:val="48"/>
          <w:szCs w:val="48"/>
          <w:lang w:val="fr-FR"/>
        </w:rPr>
        <w:t>CODE:</w:t>
      </w:r>
      <w:proofErr w:type="gramEnd"/>
      <w:r w:rsidRPr="00AD6D49">
        <w:rPr>
          <w:rFonts w:ascii="Arial"/>
          <w:b/>
          <w:sz w:val="48"/>
          <w:szCs w:val="48"/>
          <w:lang w:val="fr-FR"/>
        </w:rPr>
        <w:t xml:space="preserve"> ECDE701</w:t>
      </w:r>
      <w:r>
        <w:rPr>
          <w:rFonts w:ascii="Arial"/>
          <w:b/>
          <w:sz w:val="48"/>
          <w:szCs w:val="48"/>
          <w:lang w:val="fr-FR"/>
        </w:rPr>
        <w:t>3</w:t>
      </w:r>
    </w:p>
    <w:p w14:paraId="7A634D3C" w14:textId="77777777" w:rsidR="007F0CE8" w:rsidRPr="00AD6D49" w:rsidRDefault="007F0CE8" w:rsidP="007F0CE8">
      <w:pPr>
        <w:spacing w:before="212"/>
        <w:rPr>
          <w:rFonts w:ascii="Arial"/>
          <w:b/>
          <w:sz w:val="48"/>
          <w:szCs w:val="48"/>
          <w:lang w:val="fr-FR"/>
        </w:rPr>
      </w:pPr>
    </w:p>
    <w:p w14:paraId="4E96DE46" w14:textId="2D3C3CAA" w:rsidR="007F0CE8" w:rsidRPr="00AD6D49" w:rsidRDefault="007F0CE8" w:rsidP="007F0CE8">
      <w:pPr>
        <w:spacing w:before="212"/>
        <w:rPr>
          <w:rFonts w:ascii="Arial"/>
          <w:b/>
          <w:sz w:val="48"/>
          <w:szCs w:val="48"/>
          <w:lang w:val="fr-FR"/>
        </w:rPr>
      </w:pPr>
      <w:r w:rsidRPr="00AD6D49">
        <w:rPr>
          <w:rFonts w:ascii="Arial"/>
          <w:b/>
          <w:sz w:val="48"/>
          <w:szCs w:val="48"/>
          <w:lang w:val="fr-FR"/>
        </w:rPr>
        <w:t xml:space="preserve">ASSESSMENT </w:t>
      </w:r>
      <w:proofErr w:type="gramStart"/>
      <w:r w:rsidRPr="00AD6D49">
        <w:rPr>
          <w:rFonts w:ascii="Arial"/>
          <w:b/>
          <w:sz w:val="48"/>
          <w:szCs w:val="48"/>
          <w:lang w:val="fr-FR"/>
        </w:rPr>
        <w:t>COMPONENT:</w:t>
      </w:r>
      <w:proofErr w:type="gramEnd"/>
      <w:r w:rsidRPr="00AD6D49">
        <w:rPr>
          <w:rFonts w:ascii="Arial"/>
          <w:b/>
          <w:sz w:val="48"/>
          <w:szCs w:val="48"/>
          <w:lang w:val="fr-FR"/>
        </w:rPr>
        <w:t xml:space="preserve"> </w:t>
      </w:r>
      <w:r>
        <w:rPr>
          <w:rFonts w:ascii="Arial"/>
          <w:b/>
          <w:sz w:val="48"/>
          <w:szCs w:val="48"/>
          <w:lang w:val="fr-FR"/>
        </w:rPr>
        <w:t>2</w:t>
      </w:r>
    </w:p>
    <w:p w14:paraId="0CDA0E5B" w14:textId="77777777" w:rsidR="007F0CE8" w:rsidRPr="00AD6D49" w:rsidRDefault="007F0CE8" w:rsidP="007F0CE8">
      <w:pPr>
        <w:spacing w:before="7"/>
        <w:jc w:val="center"/>
        <w:rPr>
          <w:rFonts w:ascii="Arial"/>
          <w:b/>
          <w:sz w:val="44"/>
          <w:lang w:val="fr-FR"/>
        </w:rPr>
      </w:pPr>
    </w:p>
    <w:p w14:paraId="24657441" w14:textId="77777777" w:rsidR="007F0CE8" w:rsidRPr="00E0469B" w:rsidRDefault="007F0CE8" w:rsidP="007F0CE8">
      <w:pPr>
        <w:spacing w:before="3"/>
        <w:rPr>
          <w:rFonts w:ascii="Arial"/>
          <w:b/>
          <w:sz w:val="48"/>
          <w:szCs w:val="48"/>
          <w:lang w:val="nl-NL"/>
        </w:rPr>
      </w:pPr>
      <w:r w:rsidRPr="00E0469B">
        <w:rPr>
          <w:rFonts w:ascii="Arial"/>
          <w:b/>
          <w:sz w:val="48"/>
          <w:szCs w:val="48"/>
          <w:lang w:val="nl-NL"/>
        </w:rPr>
        <w:t>STUDENT NAME: Katy Bernardelli</w:t>
      </w:r>
    </w:p>
    <w:p w14:paraId="6329A81E" w14:textId="77777777" w:rsidR="007F0CE8" w:rsidRPr="00E0469B" w:rsidRDefault="007F0CE8" w:rsidP="007F0CE8">
      <w:pPr>
        <w:spacing w:before="3"/>
        <w:rPr>
          <w:rFonts w:ascii="Arial"/>
          <w:b/>
          <w:sz w:val="48"/>
          <w:szCs w:val="48"/>
          <w:lang w:val="nl-NL"/>
        </w:rPr>
      </w:pPr>
    </w:p>
    <w:p w14:paraId="5023842E" w14:textId="77777777" w:rsidR="007F0CE8" w:rsidRPr="00C834F4" w:rsidRDefault="007F0CE8" w:rsidP="007F0CE8">
      <w:pPr>
        <w:spacing w:before="3"/>
        <w:rPr>
          <w:rFonts w:ascii="Arial"/>
          <w:b/>
          <w:sz w:val="48"/>
          <w:szCs w:val="48"/>
          <w:lang w:val="nl-NL"/>
        </w:rPr>
      </w:pPr>
      <w:r w:rsidRPr="00C834F4">
        <w:rPr>
          <w:rFonts w:ascii="Arial"/>
          <w:b/>
          <w:sz w:val="48"/>
          <w:szCs w:val="48"/>
          <w:lang w:val="nl-NL"/>
        </w:rPr>
        <w:t xml:space="preserve">STUDENT NUMBER: </w:t>
      </w:r>
      <w:r>
        <w:rPr>
          <w:rFonts w:ascii="Arial"/>
          <w:b/>
          <w:sz w:val="48"/>
          <w:szCs w:val="48"/>
          <w:lang w:val="nl-NL"/>
        </w:rPr>
        <w:t>2311581</w:t>
      </w:r>
    </w:p>
    <w:p w14:paraId="60DB7BA6" w14:textId="77777777" w:rsidR="00693900" w:rsidRDefault="00693900" w:rsidP="00693900">
      <w:pPr>
        <w:rPr>
          <w:lang w:val="nl-NL"/>
        </w:rPr>
      </w:pPr>
    </w:p>
    <w:p w14:paraId="23377833" w14:textId="77777777" w:rsidR="007F0CE8" w:rsidRDefault="007F0CE8" w:rsidP="00693900">
      <w:pPr>
        <w:rPr>
          <w:lang w:val="nl-NL"/>
        </w:rPr>
      </w:pPr>
    </w:p>
    <w:p w14:paraId="19EDD94B" w14:textId="77777777" w:rsidR="007F0CE8" w:rsidRDefault="007F0CE8" w:rsidP="00693900">
      <w:pPr>
        <w:rPr>
          <w:lang w:val="nl-NL"/>
        </w:rPr>
      </w:pPr>
    </w:p>
    <w:p w14:paraId="60B36ABC" w14:textId="77777777" w:rsidR="007F0CE8" w:rsidRDefault="007F0CE8" w:rsidP="00693900">
      <w:pPr>
        <w:rPr>
          <w:lang w:val="nl-NL"/>
        </w:rPr>
      </w:pPr>
    </w:p>
    <w:p w14:paraId="08F4AD45" w14:textId="77777777" w:rsidR="007F0CE8" w:rsidRDefault="007F0CE8" w:rsidP="00693900">
      <w:pPr>
        <w:rPr>
          <w:lang w:val="nl-NL"/>
        </w:rPr>
      </w:pPr>
    </w:p>
    <w:p w14:paraId="1B612DB9" w14:textId="7A23E201" w:rsidR="007F0CE8" w:rsidRDefault="007F0CE8">
      <w:pPr>
        <w:rPr>
          <w:lang w:val="nl-NL"/>
        </w:rPr>
      </w:pPr>
      <w:r>
        <w:rPr>
          <w:lang w:val="nl-NL"/>
        </w:rPr>
        <w:br w:type="page"/>
      </w:r>
    </w:p>
    <w:p w14:paraId="4DA22B5C" w14:textId="77777777" w:rsidR="007F0CE8" w:rsidRPr="007F0CE8" w:rsidRDefault="007F0CE8" w:rsidP="00693900">
      <w:pPr>
        <w:rPr>
          <w:lang w:val="nl-NL"/>
        </w:rPr>
      </w:pPr>
    </w:p>
    <w:sdt>
      <w:sdtPr>
        <w:id w:val="638545166"/>
        <w:docPartObj>
          <w:docPartGallery w:val="Table of Contents"/>
          <w:docPartUnique/>
        </w:docPartObj>
      </w:sdtPr>
      <w:sdtEndPr>
        <w:rPr>
          <w:b/>
          <w:bCs/>
          <w:caps w:val="0"/>
          <w:noProof/>
          <w:color w:val="auto"/>
          <w:spacing w:val="0"/>
          <w:sz w:val="22"/>
          <w:szCs w:val="22"/>
        </w:rPr>
      </w:sdtEndPr>
      <w:sdtContent>
        <w:p w14:paraId="4598E193" w14:textId="26B54440" w:rsidR="00693900" w:rsidRDefault="00693900">
          <w:pPr>
            <w:pStyle w:val="TOCHeading"/>
          </w:pPr>
          <w:r>
            <w:t>Table of Contents</w:t>
          </w:r>
        </w:p>
        <w:p w14:paraId="0F4F3E5B" w14:textId="29DDFE3A"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r>
            <w:rPr>
              <w:b w:val="0"/>
              <w:bCs w:val="0"/>
            </w:rPr>
            <w:fldChar w:fldCharType="begin"/>
          </w:r>
          <w:r>
            <w:instrText xml:space="preserve"> TOC \o "1-3" \h \z \u </w:instrText>
          </w:r>
          <w:r>
            <w:rPr>
              <w:b w:val="0"/>
              <w:bCs w:val="0"/>
            </w:rPr>
            <w:fldChar w:fldCharType="separate"/>
          </w:r>
          <w:hyperlink w:anchor="_Toc229750428" w:history="1">
            <w:r w:rsidRPr="007875A7">
              <w:rPr>
                <w:rStyle w:val="Hyperlink"/>
                <w:noProof/>
                <w:lang w:val="en-US"/>
              </w:rPr>
              <w:t>Exploring Academics’ perceptions of Education for Sustainable Development and its role in a history degree: policy-drive</w:t>
            </w:r>
            <w:r w:rsidRPr="007875A7">
              <w:rPr>
                <w:rStyle w:val="Hyperlink"/>
                <w:noProof/>
                <w:lang w:val="en-US"/>
              </w:rPr>
              <w:t>n</w:t>
            </w:r>
            <w:r w:rsidRPr="007875A7">
              <w:rPr>
                <w:rStyle w:val="Hyperlink"/>
                <w:noProof/>
                <w:lang w:val="en-US"/>
              </w:rPr>
              <w:t xml:space="preserve"> implementation, or accidental embedding?</w:t>
            </w:r>
            <w:r>
              <w:rPr>
                <w:noProof/>
                <w:webHidden/>
              </w:rPr>
              <w:tab/>
            </w:r>
            <w:r>
              <w:rPr>
                <w:noProof/>
                <w:webHidden/>
              </w:rPr>
              <w:fldChar w:fldCharType="begin"/>
            </w:r>
            <w:r>
              <w:rPr>
                <w:noProof/>
                <w:webHidden/>
              </w:rPr>
              <w:instrText xml:space="preserve"> PAGEREF _Toc229750428 \h </w:instrText>
            </w:r>
            <w:r>
              <w:rPr>
                <w:noProof/>
                <w:webHidden/>
              </w:rPr>
            </w:r>
            <w:r>
              <w:rPr>
                <w:noProof/>
                <w:webHidden/>
              </w:rPr>
              <w:fldChar w:fldCharType="separate"/>
            </w:r>
            <w:r>
              <w:rPr>
                <w:noProof/>
                <w:webHidden/>
              </w:rPr>
              <w:t>1</w:t>
            </w:r>
            <w:r>
              <w:rPr>
                <w:noProof/>
                <w:webHidden/>
              </w:rPr>
              <w:fldChar w:fldCharType="end"/>
            </w:r>
          </w:hyperlink>
        </w:p>
        <w:p w14:paraId="6E17D20B" w14:textId="6AA1C8B1"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29" w:history="1">
            <w:r w:rsidRPr="007875A7">
              <w:rPr>
                <w:rStyle w:val="Hyperlink"/>
                <w:noProof/>
                <w:lang w:val="en-US"/>
              </w:rPr>
              <w:t>1. INTROD</w:t>
            </w:r>
            <w:r w:rsidRPr="007875A7">
              <w:rPr>
                <w:rStyle w:val="Hyperlink"/>
                <w:noProof/>
                <w:lang w:val="en-US"/>
              </w:rPr>
              <w:t>U</w:t>
            </w:r>
            <w:r w:rsidRPr="007875A7">
              <w:rPr>
                <w:rStyle w:val="Hyperlink"/>
                <w:noProof/>
                <w:lang w:val="en-US"/>
              </w:rPr>
              <w:t>CTI</w:t>
            </w:r>
            <w:r w:rsidRPr="007875A7">
              <w:rPr>
                <w:rStyle w:val="Hyperlink"/>
                <w:noProof/>
                <w:lang w:val="en-US"/>
              </w:rPr>
              <w:t>O</w:t>
            </w:r>
            <w:r w:rsidRPr="007875A7">
              <w:rPr>
                <w:rStyle w:val="Hyperlink"/>
                <w:noProof/>
                <w:lang w:val="en-US"/>
              </w:rPr>
              <w:t>N</w:t>
            </w:r>
            <w:r>
              <w:rPr>
                <w:noProof/>
                <w:webHidden/>
              </w:rPr>
              <w:tab/>
            </w:r>
            <w:r>
              <w:rPr>
                <w:noProof/>
                <w:webHidden/>
              </w:rPr>
              <w:fldChar w:fldCharType="begin"/>
            </w:r>
            <w:r>
              <w:rPr>
                <w:noProof/>
                <w:webHidden/>
              </w:rPr>
              <w:instrText xml:space="preserve"> PAGEREF _Toc229750429 \h </w:instrText>
            </w:r>
            <w:r>
              <w:rPr>
                <w:noProof/>
                <w:webHidden/>
              </w:rPr>
            </w:r>
            <w:r>
              <w:rPr>
                <w:noProof/>
                <w:webHidden/>
              </w:rPr>
              <w:fldChar w:fldCharType="separate"/>
            </w:r>
            <w:r>
              <w:rPr>
                <w:noProof/>
                <w:webHidden/>
              </w:rPr>
              <w:t>1</w:t>
            </w:r>
            <w:r>
              <w:rPr>
                <w:noProof/>
                <w:webHidden/>
              </w:rPr>
              <w:fldChar w:fldCharType="end"/>
            </w:r>
          </w:hyperlink>
        </w:p>
        <w:p w14:paraId="22E1D78D" w14:textId="37F11DD4"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30" w:history="1">
            <w:r w:rsidRPr="007875A7">
              <w:rPr>
                <w:rStyle w:val="Hyperlink"/>
                <w:noProof/>
                <w:lang w:val="en-US"/>
              </w:rPr>
              <w:t xml:space="preserve">2. REVIEW </w:t>
            </w:r>
            <w:r w:rsidRPr="007875A7">
              <w:rPr>
                <w:rStyle w:val="Hyperlink"/>
                <w:noProof/>
                <w:lang w:val="en-US"/>
              </w:rPr>
              <w:t>O</w:t>
            </w:r>
            <w:r w:rsidRPr="007875A7">
              <w:rPr>
                <w:rStyle w:val="Hyperlink"/>
                <w:noProof/>
                <w:lang w:val="en-US"/>
              </w:rPr>
              <w:t>F THE LITERATU</w:t>
            </w:r>
            <w:r w:rsidRPr="007875A7">
              <w:rPr>
                <w:rStyle w:val="Hyperlink"/>
                <w:noProof/>
                <w:lang w:val="en-US"/>
              </w:rPr>
              <w:t>R</w:t>
            </w:r>
            <w:r w:rsidRPr="007875A7">
              <w:rPr>
                <w:rStyle w:val="Hyperlink"/>
                <w:noProof/>
                <w:lang w:val="en-US"/>
              </w:rPr>
              <w:t>E</w:t>
            </w:r>
            <w:r>
              <w:rPr>
                <w:noProof/>
                <w:webHidden/>
              </w:rPr>
              <w:tab/>
            </w:r>
            <w:r>
              <w:rPr>
                <w:noProof/>
                <w:webHidden/>
              </w:rPr>
              <w:fldChar w:fldCharType="begin"/>
            </w:r>
            <w:r>
              <w:rPr>
                <w:noProof/>
                <w:webHidden/>
              </w:rPr>
              <w:instrText xml:space="preserve"> PAGEREF _Toc229750430 \h </w:instrText>
            </w:r>
            <w:r>
              <w:rPr>
                <w:noProof/>
                <w:webHidden/>
              </w:rPr>
            </w:r>
            <w:r>
              <w:rPr>
                <w:noProof/>
                <w:webHidden/>
              </w:rPr>
              <w:fldChar w:fldCharType="separate"/>
            </w:r>
            <w:r>
              <w:rPr>
                <w:noProof/>
                <w:webHidden/>
              </w:rPr>
              <w:t>3</w:t>
            </w:r>
            <w:r>
              <w:rPr>
                <w:noProof/>
                <w:webHidden/>
              </w:rPr>
              <w:fldChar w:fldCharType="end"/>
            </w:r>
          </w:hyperlink>
        </w:p>
        <w:p w14:paraId="4D16F0BF" w14:textId="2BEBCA18" w:rsidR="00693900" w:rsidRDefault="00693900">
          <w:pPr>
            <w:pStyle w:val="TOC3"/>
            <w:tabs>
              <w:tab w:val="right" w:leader="dot" w:pos="9350"/>
            </w:tabs>
            <w:rPr>
              <w:rFonts w:eastAsiaTheme="minorEastAsia" w:cstheme="minorBidi"/>
              <w:noProof/>
              <w:kern w:val="2"/>
              <w:sz w:val="24"/>
              <w14:ligatures w14:val="standardContextual"/>
            </w:rPr>
          </w:pPr>
          <w:hyperlink w:anchor="_Toc229750431" w:history="1">
            <w:r w:rsidRPr="007875A7">
              <w:rPr>
                <w:rStyle w:val="Hyperlink"/>
                <w:noProof/>
                <w:lang w:val="en-US"/>
              </w:rPr>
              <w:t>2.1 HISTORY AS A DISCIPLINE OF COMPLEXITY</w:t>
            </w:r>
            <w:r>
              <w:rPr>
                <w:noProof/>
                <w:webHidden/>
              </w:rPr>
              <w:tab/>
            </w:r>
            <w:r>
              <w:rPr>
                <w:noProof/>
                <w:webHidden/>
              </w:rPr>
              <w:fldChar w:fldCharType="begin"/>
            </w:r>
            <w:r>
              <w:rPr>
                <w:noProof/>
                <w:webHidden/>
              </w:rPr>
              <w:instrText xml:space="preserve"> PAGEREF _Toc229750431 \h </w:instrText>
            </w:r>
            <w:r>
              <w:rPr>
                <w:noProof/>
                <w:webHidden/>
              </w:rPr>
            </w:r>
            <w:r>
              <w:rPr>
                <w:noProof/>
                <w:webHidden/>
              </w:rPr>
              <w:fldChar w:fldCharType="separate"/>
            </w:r>
            <w:r>
              <w:rPr>
                <w:noProof/>
                <w:webHidden/>
              </w:rPr>
              <w:t>3</w:t>
            </w:r>
            <w:r>
              <w:rPr>
                <w:noProof/>
                <w:webHidden/>
              </w:rPr>
              <w:fldChar w:fldCharType="end"/>
            </w:r>
          </w:hyperlink>
        </w:p>
        <w:p w14:paraId="041EB5E5" w14:textId="24B6215E" w:rsidR="00693900" w:rsidRDefault="00693900">
          <w:pPr>
            <w:pStyle w:val="TOC3"/>
            <w:tabs>
              <w:tab w:val="right" w:leader="dot" w:pos="9350"/>
            </w:tabs>
            <w:rPr>
              <w:rFonts w:eastAsiaTheme="minorEastAsia" w:cstheme="minorBidi"/>
              <w:noProof/>
              <w:kern w:val="2"/>
              <w:sz w:val="24"/>
              <w14:ligatures w14:val="standardContextual"/>
            </w:rPr>
          </w:pPr>
          <w:hyperlink w:anchor="_Toc229750432" w:history="1">
            <w:r w:rsidRPr="007875A7">
              <w:rPr>
                <w:rStyle w:val="Hyperlink"/>
                <w:noProof/>
                <w:lang w:val="en-US"/>
              </w:rPr>
              <w:t>2.2 SUSTAINABILITY, HIGHER EDUCATION, AND THE CHALLENGE OF COMPLEXITY</w:t>
            </w:r>
            <w:r>
              <w:rPr>
                <w:noProof/>
                <w:webHidden/>
              </w:rPr>
              <w:tab/>
            </w:r>
            <w:r>
              <w:rPr>
                <w:noProof/>
                <w:webHidden/>
              </w:rPr>
              <w:fldChar w:fldCharType="begin"/>
            </w:r>
            <w:r>
              <w:rPr>
                <w:noProof/>
                <w:webHidden/>
              </w:rPr>
              <w:instrText xml:space="preserve"> PAGEREF _Toc229750432 \h </w:instrText>
            </w:r>
            <w:r>
              <w:rPr>
                <w:noProof/>
                <w:webHidden/>
              </w:rPr>
            </w:r>
            <w:r>
              <w:rPr>
                <w:noProof/>
                <w:webHidden/>
              </w:rPr>
              <w:fldChar w:fldCharType="separate"/>
            </w:r>
            <w:r>
              <w:rPr>
                <w:noProof/>
                <w:webHidden/>
              </w:rPr>
              <w:t>5</w:t>
            </w:r>
            <w:r>
              <w:rPr>
                <w:noProof/>
                <w:webHidden/>
              </w:rPr>
              <w:fldChar w:fldCharType="end"/>
            </w:r>
          </w:hyperlink>
        </w:p>
        <w:p w14:paraId="2934B1E3" w14:textId="5A120BC1" w:rsidR="00693900" w:rsidRDefault="00693900">
          <w:pPr>
            <w:pStyle w:val="TOC3"/>
            <w:tabs>
              <w:tab w:val="right" w:leader="dot" w:pos="9350"/>
            </w:tabs>
            <w:rPr>
              <w:rFonts w:eastAsiaTheme="minorEastAsia" w:cstheme="minorBidi"/>
              <w:noProof/>
              <w:kern w:val="2"/>
              <w:sz w:val="24"/>
              <w14:ligatures w14:val="standardContextual"/>
            </w:rPr>
          </w:pPr>
          <w:hyperlink w:anchor="_Toc229750433" w:history="1">
            <w:r w:rsidRPr="007875A7">
              <w:rPr>
                <w:rStyle w:val="Hyperlink"/>
                <w:noProof/>
                <w:lang w:val="en-US"/>
              </w:rPr>
              <w:t>2.3 ESD IN U.K. HIGHER EDUCATION: POLICY DRIVERS AND QUALITY FRAMEWORKS</w:t>
            </w:r>
            <w:r>
              <w:rPr>
                <w:noProof/>
                <w:webHidden/>
              </w:rPr>
              <w:tab/>
            </w:r>
            <w:r>
              <w:rPr>
                <w:noProof/>
                <w:webHidden/>
              </w:rPr>
              <w:fldChar w:fldCharType="begin"/>
            </w:r>
            <w:r>
              <w:rPr>
                <w:noProof/>
                <w:webHidden/>
              </w:rPr>
              <w:instrText xml:space="preserve"> PAGEREF _Toc229750433 \h </w:instrText>
            </w:r>
            <w:r>
              <w:rPr>
                <w:noProof/>
                <w:webHidden/>
              </w:rPr>
            </w:r>
            <w:r>
              <w:rPr>
                <w:noProof/>
                <w:webHidden/>
              </w:rPr>
              <w:fldChar w:fldCharType="separate"/>
            </w:r>
            <w:r>
              <w:rPr>
                <w:noProof/>
                <w:webHidden/>
              </w:rPr>
              <w:t>6</w:t>
            </w:r>
            <w:r>
              <w:rPr>
                <w:noProof/>
                <w:webHidden/>
              </w:rPr>
              <w:fldChar w:fldCharType="end"/>
            </w:r>
          </w:hyperlink>
        </w:p>
        <w:p w14:paraId="659924EF" w14:textId="702FA4E8" w:rsidR="00693900" w:rsidRDefault="00693900">
          <w:pPr>
            <w:pStyle w:val="TOC3"/>
            <w:tabs>
              <w:tab w:val="right" w:leader="dot" w:pos="9350"/>
            </w:tabs>
            <w:rPr>
              <w:rFonts w:eastAsiaTheme="minorEastAsia" w:cstheme="minorBidi"/>
              <w:noProof/>
              <w:kern w:val="2"/>
              <w:sz w:val="24"/>
              <w14:ligatures w14:val="standardContextual"/>
            </w:rPr>
          </w:pPr>
          <w:hyperlink w:anchor="_Toc229750434" w:history="1">
            <w:r w:rsidRPr="007875A7">
              <w:rPr>
                <w:rStyle w:val="Hyperlink"/>
                <w:noProof/>
                <w:lang w:val="en-US"/>
              </w:rPr>
              <w:t>2.4 ACADEMICS’ PERCEPTIONS OF ESD</w:t>
            </w:r>
            <w:r>
              <w:rPr>
                <w:noProof/>
                <w:webHidden/>
              </w:rPr>
              <w:tab/>
            </w:r>
            <w:r>
              <w:rPr>
                <w:noProof/>
                <w:webHidden/>
              </w:rPr>
              <w:fldChar w:fldCharType="begin"/>
            </w:r>
            <w:r>
              <w:rPr>
                <w:noProof/>
                <w:webHidden/>
              </w:rPr>
              <w:instrText xml:space="preserve"> PAGEREF _Toc229750434 \h </w:instrText>
            </w:r>
            <w:r>
              <w:rPr>
                <w:noProof/>
                <w:webHidden/>
              </w:rPr>
            </w:r>
            <w:r>
              <w:rPr>
                <w:noProof/>
                <w:webHidden/>
              </w:rPr>
              <w:fldChar w:fldCharType="separate"/>
            </w:r>
            <w:r>
              <w:rPr>
                <w:noProof/>
                <w:webHidden/>
              </w:rPr>
              <w:t>7</w:t>
            </w:r>
            <w:r>
              <w:rPr>
                <w:noProof/>
                <w:webHidden/>
              </w:rPr>
              <w:fldChar w:fldCharType="end"/>
            </w:r>
          </w:hyperlink>
        </w:p>
        <w:p w14:paraId="3F2ACC00" w14:textId="2FC86D4A" w:rsidR="00693900" w:rsidRDefault="00693900">
          <w:pPr>
            <w:pStyle w:val="TOC3"/>
            <w:tabs>
              <w:tab w:val="right" w:leader="dot" w:pos="9350"/>
            </w:tabs>
            <w:rPr>
              <w:rFonts w:eastAsiaTheme="minorEastAsia" w:cstheme="minorBidi"/>
              <w:noProof/>
              <w:kern w:val="2"/>
              <w:sz w:val="24"/>
              <w14:ligatures w14:val="standardContextual"/>
            </w:rPr>
          </w:pPr>
          <w:hyperlink w:anchor="_Toc229750435" w:history="1">
            <w:r w:rsidRPr="007875A7">
              <w:rPr>
                <w:rStyle w:val="Hyperlink"/>
                <w:noProof/>
                <w:lang w:val="en-US"/>
              </w:rPr>
              <w:t>2.5 EVOLVING APPROACHES TO HISTORY TEACHING IN HIGHER EDUCATION</w:t>
            </w:r>
            <w:r>
              <w:rPr>
                <w:noProof/>
                <w:webHidden/>
              </w:rPr>
              <w:tab/>
            </w:r>
            <w:r>
              <w:rPr>
                <w:noProof/>
                <w:webHidden/>
              </w:rPr>
              <w:fldChar w:fldCharType="begin"/>
            </w:r>
            <w:r>
              <w:rPr>
                <w:noProof/>
                <w:webHidden/>
              </w:rPr>
              <w:instrText xml:space="preserve"> PAGEREF _Toc229750435 \h </w:instrText>
            </w:r>
            <w:r>
              <w:rPr>
                <w:noProof/>
                <w:webHidden/>
              </w:rPr>
            </w:r>
            <w:r>
              <w:rPr>
                <w:noProof/>
                <w:webHidden/>
              </w:rPr>
              <w:fldChar w:fldCharType="separate"/>
            </w:r>
            <w:r>
              <w:rPr>
                <w:noProof/>
                <w:webHidden/>
              </w:rPr>
              <w:t>10</w:t>
            </w:r>
            <w:r>
              <w:rPr>
                <w:noProof/>
                <w:webHidden/>
              </w:rPr>
              <w:fldChar w:fldCharType="end"/>
            </w:r>
          </w:hyperlink>
        </w:p>
        <w:p w14:paraId="67E0FA68" w14:textId="4CA27A4C" w:rsidR="00693900" w:rsidRDefault="00693900">
          <w:pPr>
            <w:pStyle w:val="TOC3"/>
            <w:tabs>
              <w:tab w:val="right" w:leader="dot" w:pos="9350"/>
            </w:tabs>
            <w:rPr>
              <w:rFonts w:eastAsiaTheme="minorEastAsia" w:cstheme="minorBidi"/>
              <w:noProof/>
              <w:kern w:val="2"/>
              <w:sz w:val="24"/>
              <w14:ligatures w14:val="standardContextual"/>
            </w:rPr>
          </w:pPr>
          <w:hyperlink w:anchor="_Toc229750436" w:history="1">
            <w:r w:rsidRPr="007875A7">
              <w:rPr>
                <w:rStyle w:val="Hyperlink"/>
                <w:noProof/>
                <w:lang w:val="en-US"/>
              </w:rPr>
              <w:t>2.6 ESD AND HISTORY: THE STATE OF THE FIELD</w:t>
            </w:r>
            <w:r>
              <w:rPr>
                <w:noProof/>
                <w:webHidden/>
              </w:rPr>
              <w:tab/>
            </w:r>
            <w:r>
              <w:rPr>
                <w:noProof/>
                <w:webHidden/>
              </w:rPr>
              <w:fldChar w:fldCharType="begin"/>
            </w:r>
            <w:r>
              <w:rPr>
                <w:noProof/>
                <w:webHidden/>
              </w:rPr>
              <w:instrText xml:space="preserve"> PAGEREF _Toc229750436 \h </w:instrText>
            </w:r>
            <w:r>
              <w:rPr>
                <w:noProof/>
                <w:webHidden/>
              </w:rPr>
            </w:r>
            <w:r>
              <w:rPr>
                <w:noProof/>
                <w:webHidden/>
              </w:rPr>
              <w:fldChar w:fldCharType="separate"/>
            </w:r>
            <w:r>
              <w:rPr>
                <w:noProof/>
                <w:webHidden/>
              </w:rPr>
              <w:t>11</w:t>
            </w:r>
            <w:r>
              <w:rPr>
                <w:noProof/>
                <w:webHidden/>
              </w:rPr>
              <w:fldChar w:fldCharType="end"/>
            </w:r>
          </w:hyperlink>
        </w:p>
        <w:p w14:paraId="3CF362E4" w14:textId="32E5B1B5" w:rsidR="00693900" w:rsidRDefault="00693900">
          <w:pPr>
            <w:pStyle w:val="TOC3"/>
            <w:tabs>
              <w:tab w:val="right" w:leader="dot" w:pos="9350"/>
            </w:tabs>
            <w:rPr>
              <w:rFonts w:eastAsiaTheme="minorEastAsia" w:cstheme="minorBidi"/>
              <w:noProof/>
              <w:kern w:val="2"/>
              <w:sz w:val="24"/>
              <w14:ligatures w14:val="standardContextual"/>
            </w:rPr>
          </w:pPr>
          <w:hyperlink w:anchor="_Toc229750437" w:history="1">
            <w:r w:rsidRPr="007875A7">
              <w:rPr>
                <w:rStyle w:val="Hyperlink"/>
                <w:noProof/>
                <w:lang w:val="en-US"/>
              </w:rPr>
              <w:t>2.7 SUMMARY: THE GAP IN THE LITERATURE</w:t>
            </w:r>
            <w:r>
              <w:rPr>
                <w:noProof/>
                <w:webHidden/>
              </w:rPr>
              <w:tab/>
            </w:r>
            <w:r>
              <w:rPr>
                <w:noProof/>
                <w:webHidden/>
              </w:rPr>
              <w:fldChar w:fldCharType="begin"/>
            </w:r>
            <w:r>
              <w:rPr>
                <w:noProof/>
                <w:webHidden/>
              </w:rPr>
              <w:instrText xml:space="preserve"> PAGEREF _Toc229750437 \h </w:instrText>
            </w:r>
            <w:r>
              <w:rPr>
                <w:noProof/>
                <w:webHidden/>
              </w:rPr>
            </w:r>
            <w:r>
              <w:rPr>
                <w:noProof/>
                <w:webHidden/>
              </w:rPr>
              <w:fldChar w:fldCharType="separate"/>
            </w:r>
            <w:r>
              <w:rPr>
                <w:noProof/>
                <w:webHidden/>
              </w:rPr>
              <w:t>12</w:t>
            </w:r>
            <w:r>
              <w:rPr>
                <w:noProof/>
                <w:webHidden/>
              </w:rPr>
              <w:fldChar w:fldCharType="end"/>
            </w:r>
          </w:hyperlink>
        </w:p>
        <w:p w14:paraId="60258903" w14:textId="7F2897F5"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38" w:history="1">
            <w:r w:rsidRPr="007875A7">
              <w:rPr>
                <w:rStyle w:val="Hyperlink"/>
                <w:noProof/>
                <w:lang w:val="en-US"/>
              </w:rPr>
              <w:t>3. METHODOLOGY</w:t>
            </w:r>
            <w:r>
              <w:rPr>
                <w:noProof/>
                <w:webHidden/>
              </w:rPr>
              <w:tab/>
            </w:r>
            <w:r>
              <w:rPr>
                <w:noProof/>
                <w:webHidden/>
              </w:rPr>
              <w:fldChar w:fldCharType="begin"/>
            </w:r>
            <w:r>
              <w:rPr>
                <w:noProof/>
                <w:webHidden/>
              </w:rPr>
              <w:instrText xml:space="preserve"> PAGEREF _Toc229750438 \h </w:instrText>
            </w:r>
            <w:r>
              <w:rPr>
                <w:noProof/>
                <w:webHidden/>
              </w:rPr>
            </w:r>
            <w:r>
              <w:rPr>
                <w:noProof/>
                <w:webHidden/>
              </w:rPr>
              <w:fldChar w:fldCharType="separate"/>
            </w:r>
            <w:r>
              <w:rPr>
                <w:noProof/>
                <w:webHidden/>
              </w:rPr>
              <w:t>13</w:t>
            </w:r>
            <w:r>
              <w:rPr>
                <w:noProof/>
                <w:webHidden/>
              </w:rPr>
              <w:fldChar w:fldCharType="end"/>
            </w:r>
          </w:hyperlink>
        </w:p>
        <w:p w14:paraId="1B061D2C" w14:textId="559F01E1" w:rsidR="00693900" w:rsidRDefault="00693900">
          <w:pPr>
            <w:pStyle w:val="TOC3"/>
            <w:tabs>
              <w:tab w:val="right" w:leader="dot" w:pos="9350"/>
            </w:tabs>
            <w:rPr>
              <w:rFonts w:eastAsiaTheme="minorEastAsia" w:cstheme="minorBidi"/>
              <w:noProof/>
              <w:kern w:val="2"/>
              <w:sz w:val="24"/>
              <w14:ligatures w14:val="standardContextual"/>
            </w:rPr>
          </w:pPr>
          <w:hyperlink w:anchor="_Toc229750439" w:history="1">
            <w:r w:rsidRPr="007875A7">
              <w:rPr>
                <w:rStyle w:val="Hyperlink"/>
                <w:noProof/>
                <w:lang w:val="en-US"/>
              </w:rPr>
              <w:t>3.1 RESEARCH CONTEXT</w:t>
            </w:r>
            <w:r>
              <w:rPr>
                <w:noProof/>
                <w:webHidden/>
              </w:rPr>
              <w:tab/>
            </w:r>
            <w:r>
              <w:rPr>
                <w:noProof/>
                <w:webHidden/>
              </w:rPr>
              <w:fldChar w:fldCharType="begin"/>
            </w:r>
            <w:r>
              <w:rPr>
                <w:noProof/>
                <w:webHidden/>
              </w:rPr>
              <w:instrText xml:space="preserve"> PAGEREF _Toc229750439 \h </w:instrText>
            </w:r>
            <w:r>
              <w:rPr>
                <w:noProof/>
                <w:webHidden/>
              </w:rPr>
            </w:r>
            <w:r>
              <w:rPr>
                <w:noProof/>
                <w:webHidden/>
              </w:rPr>
              <w:fldChar w:fldCharType="separate"/>
            </w:r>
            <w:r>
              <w:rPr>
                <w:noProof/>
                <w:webHidden/>
              </w:rPr>
              <w:t>13</w:t>
            </w:r>
            <w:r>
              <w:rPr>
                <w:noProof/>
                <w:webHidden/>
              </w:rPr>
              <w:fldChar w:fldCharType="end"/>
            </w:r>
          </w:hyperlink>
        </w:p>
        <w:p w14:paraId="5499D5BC" w14:textId="40C3D9F7" w:rsidR="00693900" w:rsidRDefault="00693900">
          <w:pPr>
            <w:pStyle w:val="TOC3"/>
            <w:tabs>
              <w:tab w:val="right" w:leader="dot" w:pos="9350"/>
            </w:tabs>
            <w:rPr>
              <w:rFonts w:eastAsiaTheme="minorEastAsia" w:cstheme="minorBidi"/>
              <w:noProof/>
              <w:kern w:val="2"/>
              <w:sz w:val="24"/>
              <w14:ligatures w14:val="standardContextual"/>
            </w:rPr>
          </w:pPr>
          <w:hyperlink w:anchor="_Toc229750440" w:history="1">
            <w:r w:rsidRPr="007875A7">
              <w:rPr>
                <w:rStyle w:val="Hyperlink"/>
                <w:noProof/>
                <w:lang w:val="en-US"/>
              </w:rPr>
              <w:t>3.2 METHODOLOGY</w:t>
            </w:r>
            <w:r>
              <w:rPr>
                <w:noProof/>
                <w:webHidden/>
              </w:rPr>
              <w:tab/>
            </w:r>
            <w:r>
              <w:rPr>
                <w:noProof/>
                <w:webHidden/>
              </w:rPr>
              <w:fldChar w:fldCharType="begin"/>
            </w:r>
            <w:r>
              <w:rPr>
                <w:noProof/>
                <w:webHidden/>
              </w:rPr>
              <w:instrText xml:space="preserve"> PAGEREF _Toc229750440 \h </w:instrText>
            </w:r>
            <w:r>
              <w:rPr>
                <w:noProof/>
                <w:webHidden/>
              </w:rPr>
            </w:r>
            <w:r>
              <w:rPr>
                <w:noProof/>
                <w:webHidden/>
              </w:rPr>
              <w:fldChar w:fldCharType="separate"/>
            </w:r>
            <w:r>
              <w:rPr>
                <w:noProof/>
                <w:webHidden/>
              </w:rPr>
              <w:t>17</w:t>
            </w:r>
            <w:r>
              <w:rPr>
                <w:noProof/>
                <w:webHidden/>
              </w:rPr>
              <w:fldChar w:fldCharType="end"/>
            </w:r>
          </w:hyperlink>
        </w:p>
        <w:p w14:paraId="2CA96258" w14:textId="39958D65" w:rsidR="00693900" w:rsidRDefault="00693900">
          <w:pPr>
            <w:pStyle w:val="TOC3"/>
            <w:tabs>
              <w:tab w:val="right" w:leader="dot" w:pos="9350"/>
            </w:tabs>
            <w:rPr>
              <w:rFonts w:eastAsiaTheme="minorEastAsia" w:cstheme="minorBidi"/>
              <w:noProof/>
              <w:kern w:val="2"/>
              <w:sz w:val="24"/>
              <w14:ligatures w14:val="standardContextual"/>
            </w:rPr>
          </w:pPr>
          <w:hyperlink w:anchor="_Toc229750441" w:history="1">
            <w:r w:rsidRPr="007875A7">
              <w:rPr>
                <w:rStyle w:val="Hyperlink"/>
                <w:noProof/>
                <w:lang w:val="en-US"/>
              </w:rPr>
              <w:t>3.3 RESEARCH METHODS</w:t>
            </w:r>
            <w:r>
              <w:rPr>
                <w:noProof/>
                <w:webHidden/>
              </w:rPr>
              <w:tab/>
            </w:r>
            <w:r>
              <w:rPr>
                <w:noProof/>
                <w:webHidden/>
              </w:rPr>
              <w:fldChar w:fldCharType="begin"/>
            </w:r>
            <w:r>
              <w:rPr>
                <w:noProof/>
                <w:webHidden/>
              </w:rPr>
              <w:instrText xml:space="preserve"> PAGEREF _Toc229750441 \h </w:instrText>
            </w:r>
            <w:r>
              <w:rPr>
                <w:noProof/>
                <w:webHidden/>
              </w:rPr>
            </w:r>
            <w:r>
              <w:rPr>
                <w:noProof/>
                <w:webHidden/>
              </w:rPr>
              <w:fldChar w:fldCharType="separate"/>
            </w:r>
            <w:r>
              <w:rPr>
                <w:noProof/>
                <w:webHidden/>
              </w:rPr>
              <w:t>20</w:t>
            </w:r>
            <w:r>
              <w:rPr>
                <w:noProof/>
                <w:webHidden/>
              </w:rPr>
              <w:fldChar w:fldCharType="end"/>
            </w:r>
          </w:hyperlink>
        </w:p>
        <w:p w14:paraId="792E83A9" w14:textId="6D555E4B" w:rsidR="00693900" w:rsidRDefault="00693900">
          <w:pPr>
            <w:pStyle w:val="TOC3"/>
            <w:tabs>
              <w:tab w:val="right" w:leader="dot" w:pos="9350"/>
            </w:tabs>
            <w:rPr>
              <w:rFonts w:eastAsiaTheme="minorEastAsia" w:cstheme="minorBidi"/>
              <w:noProof/>
              <w:kern w:val="2"/>
              <w:sz w:val="24"/>
              <w14:ligatures w14:val="standardContextual"/>
            </w:rPr>
          </w:pPr>
          <w:hyperlink w:anchor="_Toc229750442" w:history="1">
            <w:r w:rsidRPr="007875A7">
              <w:rPr>
                <w:rStyle w:val="Hyperlink"/>
                <w:noProof/>
                <w:lang w:val="en-US"/>
              </w:rPr>
              <w:t>3.4 DATA ANALYSIS AND PRESENTATION OF FINDINGS</w:t>
            </w:r>
            <w:r>
              <w:rPr>
                <w:noProof/>
                <w:webHidden/>
              </w:rPr>
              <w:tab/>
            </w:r>
            <w:r>
              <w:rPr>
                <w:noProof/>
                <w:webHidden/>
              </w:rPr>
              <w:fldChar w:fldCharType="begin"/>
            </w:r>
            <w:r>
              <w:rPr>
                <w:noProof/>
                <w:webHidden/>
              </w:rPr>
              <w:instrText xml:space="preserve"> PAGEREF _Toc229750442 \h </w:instrText>
            </w:r>
            <w:r>
              <w:rPr>
                <w:noProof/>
                <w:webHidden/>
              </w:rPr>
            </w:r>
            <w:r>
              <w:rPr>
                <w:noProof/>
                <w:webHidden/>
              </w:rPr>
              <w:fldChar w:fldCharType="separate"/>
            </w:r>
            <w:r>
              <w:rPr>
                <w:noProof/>
                <w:webHidden/>
              </w:rPr>
              <w:t>29</w:t>
            </w:r>
            <w:r>
              <w:rPr>
                <w:noProof/>
                <w:webHidden/>
              </w:rPr>
              <w:fldChar w:fldCharType="end"/>
            </w:r>
          </w:hyperlink>
        </w:p>
        <w:p w14:paraId="087DE55B" w14:textId="0961C73E"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43" w:history="1">
            <w:r w:rsidRPr="007875A7">
              <w:rPr>
                <w:rStyle w:val="Hyperlink"/>
                <w:noProof/>
                <w:lang w:val="en-US"/>
              </w:rPr>
              <w:t>4. FINDINGS</w:t>
            </w:r>
            <w:r>
              <w:rPr>
                <w:noProof/>
                <w:webHidden/>
              </w:rPr>
              <w:tab/>
            </w:r>
            <w:r>
              <w:rPr>
                <w:noProof/>
                <w:webHidden/>
              </w:rPr>
              <w:fldChar w:fldCharType="begin"/>
            </w:r>
            <w:r>
              <w:rPr>
                <w:noProof/>
                <w:webHidden/>
              </w:rPr>
              <w:instrText xml:space="preserve"> PAGEREF _Toc229750443 \h </w:instrText>
            </w:r>
            <w:r>
              <w:rPr>
                <w:noProof/>
                <w:webHidden/>
              </w:rPr>
            </w:r>
            <w:r>
              <w:rPr>
                <w:noProof/>
                <w:webHidden/>
              </w:rPr>
              <w:fldChar w:fldCharType="separate"/>
            </w:r>
            <w:r>
              <w:rPr>
                <w:noProof/>
                <w:webHidden/>
              </w:rPr>
              <w:t>32</w:t>
            </w:r>
            <w:r>
              <w:rPr>
                <w:noProof/>
                <w:webHidden/>
              </w:rPr>
              <w:fldChar w:fldCharType="end"/>
            </w:r>
          </w:hyperlink>
        </w:p>
        <w:p w14:paraId="60D48A61" w14:textId="3BC79E2C" w:rsidR="00693900" w:rsidRDefault="00693900">
          <w:pPr>
            <w:pStyle w:val="TOC3"/>
            <w:tabs>
              <w:tab w:val="right" w:leader="dot" w:pos="9350"/>
            </w:tabs>
            <w:rPr>
              <w:rFonts w:eastAsiaTheme="minorEastAsia" w:cstheme="minorBidi"/>
              <w:noProof/>
              <w:kern w:val="2"/>
              <w:sz w:val="24"/>
              <w14:ligatures w14:val="standardContextual"/>
            </w:rPr>
          </w:pPr>
          <w:hyperlink w:anchor="_Toc229750444" w:history="1">
            <w:r w:rsidRPr="007875A7">
              <w:rPr>
                <w:rStyle w:val="Hyperlink"/>
                <w:noProof/>
                <w:lang w:val="en-US"/>
              </w:rPr>
              <w:t>4.1 PARTICIPANT RECRUITMENT AND RESPONSE</w:t>
            </w:r>
            <w:r>
              <w:rPr>
                <w:noProof/>
                <w:webHidden/>
              </w:rPr>
              <w:tab/>
            </w:r>
            <w:r>
              <w:rPr>
                <w:noProof/>
                <w:webHidden/>
              </w:rPr>
              <w:fldChar w:fldCharType="begin"/>
            </w:r>
            <w:r>
              <w:rPr>
                <w:noProof/>
                <w:webHidden/>
              </w:rPr>
              <w:instrText xml:space="preserve"> PAGEREF _Toc229750444 \h </w:instrText>
            </w:r>
            <w:r>
              <w:rPr>
                <w:noProof/>
                <w:webHidden/>
              </w:rPr>
            </w:r>
            <w:r>
              <w:rPr>
                <w:noProof/>
                <w:webHidden/>
              </w:rPr>
              <w:fldChar w:fldCharType="separate"/>
            </w:r>
            <w:r>
              <w:rPr>
                <w:noProof/>
                <w:webHidden/>
              </w:rPr>
              <w:t>32</w:t>
            </w:r>
            <w:r>
              <w:rPr>
                <w:noProof/>
                <w:webHidden/>
              </w:rPr>
              <w:fldChar w:fldCharType="end"/>
            </w:r>
          </w:hyperlink>
        </w:p>
        <w:p w14:paraId="54CD9F87" w14:textId="06A57CD8" w:rsidR="00693900" w:rsidRDefault="00693900">
          <w:pPr>
            <w:pStyle w:val="TOC3"/>
            <w:tabs>
              <w:tab w:val="right" w:leader="dot" w:pos="9350"/>
            </w:tabs>
            <w:rPr>
              <w:rFonts w:eastAsiaTheme="minorEastAsia" w:cstheme="minorBidi"/>
              <w:noProof/>
              <w:kern w:val="2"/>
              <w:sz w:val="24"/>
              <w14:ligatures w14:val="standardContextual"/>
            </w:rPr>
          </w:pPr>
          <w:hyperlink w:anchor="_Toc229750445" w:history="1">
            <w:r w:rsidRPr="007875A7">
              <w:rPr>
                <w:rStyle w:val="Hyperlink"/>
                <w:noProof/>
                <w:lang w:val="en-US"/>
              </w:rPr>
              <w:t>4.2 FACTOR EXTRACTION</w:t>
            </w:r>
            <w:r>
              <w:rPr>
                <w:noProof/>
                <w:webHidden/>
              </w:rPr>
              <w:tab/>
            </w:r>
            <w:r>
              <w:rPr>
                <w:noProof/>
                <w:webHidden/>
              </w:rPr>
              <w:fldChar w:fldCharType="begin"/>
            </w:r>
            <w:r>
              <w:rPr>
                <w:noProof/>
                <w:webHidden/>
              </w:rPr>
              <w:instrText xml:space="preserve"> PAGEREF _Toc229750445 \h </w:instrText>
            </w:r>
            <w:r>
              <w:rPr>
                <w:noProof/>
                <w:webHidden/>
              </w:rPr>
            </w:r>
            <w:r>
              <w:rPr>
                <w:noProof/>
                <w:webHidden/>
              </w:rPr>
              <w:fldChar w:fldCharType="separate"/>
            </w:r>
            <w:r>
              <w:rPr>
                <w:noProof/>
                <w:webHidden/>
              </w:rPr>
              <w:t>33</w:t>
            </w:r>
            <w:r>
              <w:rPr>
                <w:noProof/>
                <w:webHidden/>
              </w:rPr>
              <w:fldChar w:fldCharType="end"/>
            </w:r>
          </w:hyperlink>
        </w:p>
        <w:p w14:paraId="6F6DD448" w14:textId="1351616F" w:rsidR="00693900" w:rsidRDefault="00693900">
          <w:pPr>
            <w:pStyle w:val="TOC3"/>
            <w:tabs>
              <w:tab w:val="right" w:leader="dot" w:pos="9350"/>
            </w:tabs>
            <w:rPr>
              <w:rFonts w:eastAsiaTheme="minorEastAsia" w:cstheme="minorBidi"/>
              <w:noProof/>
              <w:kern w:val="2"/>
              <w:sz w:val="24"/>
              <w14:ligatures w14:val="standardContextual"/>
            </w:rPr>
          </w:pPr>
          <w:hyperlink w:anchor="_Toc229750446" w:history="1">
            <w:r w:rsidRPr="007875A7">
              <w:rPr>
                <w:rStyle w:val="Hyperlink"/>
                <w:noProof/>
                <w:lang w:val="en-US"/>
              </w:rPr>
              <w:t>4.3 FACTOR 1: ‘HISTORY IS ALREADY A SUSTAINABILITY DISCIPLINE – WE JUST HAVEN’T NAMED IT’</w:t>
            </w:r>
            <w:r>
              <w:rPr>
                <w:noProof/>
                <w:webHidden/>
              </w:rPr>
              <w:tab/>
            </w:r>
            <w:r>
              <w:rPr>
                <w:noProof/>
                <w:webHidden/>
              </w:rPr>
              <w:fldChar w:fldCharType="begin"/>
            </w:r>
            <w:r>
              <w:rPr>
                <w:noProof/>
                <w:webHidden/>
              </w:rPr>
              <w:instrText xml:space="preserve"> PAGEREF _Toc229750446 \h </w:instrText>
            </w:r>
            <w:r>
              <w:rPr>
                <w:noProof/>
                <w:webHidden/>
              </w:rPr>
            </w:r>
            <w:r>
              <w:rPr>
                <w:noProof/>
                <w:webHidden/>
              </w:rPr>
              <w:fldChar w:fldCharType="separate"/>
            </w:r>
            <w:r>
              <w:rPr>
                <w:noProof/>
                <w:webHidden/>
              </w:rPr>
              <w:t>34</w:t>
            </w:r>
            <w:r>
              <w:rPr>
                <w:noProof/>
                <w:webHidden/>
              </w:rPr>
              <w:fldChar w:fldCharType="end"/>
            </w:r>
          </w:hyperlink>
        </w:p>
        <w:p w14:paraId="6375D0FB" w14:textId="6FF8FCDD" w:rsidR="00693900" w:rsidRDefault="00693900">
          <w:pPr>
            <w:pStyle w:val="TOC3"/>
            <w:tabs>
              <w:tab w:val="right" w:leader="dot" w:pos="9350"/>
            </w:tabs>
            <w:rPr>
              <w:rFonts w:eastAsiaTheme="minorEastAsia" w:cstheme="minorBidi"/>
              <w:noProof/>
              <w:kern w:val="2"/>
              <w:sz w:val="24"/>
              <w14:ligatures w14:val="standardContextual"/>
            </w:rPr>
          </w:pPr>
          <w:hyperlink w:anchor="_Toc229750447" w:history="1">
            <w:r w:rsidRPr="007875A7">
              <w:rPr>
                <w:rStyle w:val="Hyperlink"/>
                <w:noProof/>
                <w:lang w:val="en-US"/>
              </w:rPr>
              <w:t>4.4 FACTOR 2: ‘HISTORY MUST ACTIVELY CHANGE TO ENGAGE WITH SUSTAINABILITY – AND WE NEED SUPPORT TO DO IT’</w:t>
            </w:r>
            <w:r>
              <w:rPr>
                <w:noProof/>
                <w:webHidden/>
              </w:rPr>
              <w:tab/>
            </w:r>
            <w:r>
              <w:rPr>
                <w:noProof/>
                <w:webHidden/>
              </w:rPr>
              <w:fldChar w:fldCharType="begin"/>
            </w:r>
            <w:r>
              <w:rPr>
                <w:noProof/>
                <w:webHidden/>
              </w:rPr>
              <w:instrText xml:space="preserve"> PAGEREF _Toc229750447 \h </w:instrText>
            </w:r>
            <w:r>
              <w:rPr>
                <w:noProof/>
                <w:webHidden/>
              </w:rPr>
            </w:r>
            <w:r>
              <w:rPr>
                <w:noProof/>
                <w:webHidden/>
              </w:rPr>
              <w:fldChar w:fldCharType="separate"/>
            </w:r>
            <w:r>
              <w:rPr>
                <w:noProof/>
                <w:webHidden/>
              </w:rPr>
              <w:t>40</w:t>
            </w:r>
            <w:r>
              <w:rPr>
                <w:noProof/>
                <w:webHidden/>
              </w:rPr>
              <w:fldChar w:fldCharType="end"/>
            </w:r>
          </w:hyperlink>
        </w:p>
        <w:p w14:paraId="39DF0C91" w14:textId="11DEA62E" w:rsidR="00693900" w:rsidRDefault="00693900">
          <w:pPr>
            <w:pStyle w:val="TOC3"/>
            <w:tabs>
              <w:tab w:val="right" w:leader="dot" w:pos="9350"/>
            </w:tabs>
            <w:rPr>
              <w:rFonts w:eastAsiaTheme="minorEastAsia" w:cstheme="minorBidi"/>
              <w:noProof/>
              <w:kern w:val="2"/>
              <w:sz w:val="24"/>
              <w14:ligatures w14:val="standardContextual"/>
            </w:rPr>
          </w:pPr>
          <w:hyperlink w:anchor="_Toc229750448" w:history="1">
            <w:r w:rsidRPr="007875A7">
              <w:rPr>
                <w:rStyle w:val="Hyperlink"/>
                <w:noProof/>
                <w:lang w:val="en-US"/>
              </w:rPr>
              <w:t>4.5 CONSENSUS STATEMENTS</w:t>
            </w:r>
            <w:r>
              <w:rPr>
                <w:noProof/>
                <w:webHidden/>
              </w:rPr>
              <w:tab/>
            </w:r>
            <w:r>
              <w:rPr>
                <w:noProof/>
                <w:webHidden/>
              </w:rPr>
              <w:fldChar w:fldCharType="begin"/>
            </w:r>
            <w:r>
              <w:rPr>
                <w:noProof/>
                <w:webHidden/>
              </w:rPr>
              <w:instrText xml:space="preserve"> PAGEREF _Toc229750448 \h </w:instrText>
            </w:r>
            <w:r>
              <w:rPr>
                <w:noProof/>
                <w:webHidden/>
              </w:rPr>
            </w:r>
            <w:r>
              <w:rPr>
                <w:noProof/>
                <w:webHidden/>
              </w:rPr>
              <w:fldChar w:fldCharType="separate"/>
            </w:r>
            <w:r>
              <w:rPr>
                <w:noProof/>
                <w:webHidden/>
              </w:rPr>
              <w:t>43</w:t>
            </w:r>
            <w:r>
              <w:rPr>
                <w:noProof/>
                <w:webHidden/>
              </w:rPr>
              <w:fldChar w:fldCharType="end"/>
            </w:r>
          </w:hyperlink>
        </w:p>
        <w:p w14:paraId="3CF1F948" w14:textId="1DCCDDD8"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49" w:history="1">
            <w:r w:rsidRPr="007875A7">
              <w:rPr>
                <w:rStyle w:val="Hyperlink"/>
                <w:noProof/>
                <w:lang w:val="en-US"/>
              </w:rPr>
              <w:t>5. DISCUSSION</w:t>
            </w:r>
            <w:r>
              <w:rPr>
                <w:noProof/>
                <w:webHidden/>
              </w:rPr>
              <w:tab/>
            </w:r>
            <w:r>
              <w:rPr>
                <w:noProof/>
                <w:webHidden/>
              </w:rPr>
              <w:fldChar w:fldCharType="begin"/>
            </w:r>
            <w:r>
              <w:rPr>
                <w:noProof/>
                <w:webHidden/>
              </w:rPr>
              <w:instrText xml:space="preserve"> PAGEREF _Toc229750449 \h </w:instrText>
            </w:r>
            <w:r>
              <w:rPr>
                <w:noProof/>
                <w:webHidden/>
              </w:rPr>
            </w:r>
            <w:r>
              <w:rPr>
                <w:noProof/>
                <w:webHidden/>
              </w:rPr>
              <w:fldChar w:fldCharType="separate"/>
            </w:r>
            <w:r>
              <w:rPr>
                <w:noProof/>
                <w:webHidden/>
              </w:rPr>
              <w:t>43</w:t>
            </w:r>
            <w:r>
              <w:rPr>
                <w:noProof/>
                <w:webHidden/>
              </w:rPr>
              <w:fldChar w:fldCharType="end"/>
            </w:r>
          </w:hyperlink>
        </w:p>
        <w:p w14:paraId="29F51A7F" w14:textId="32FEE8C0" w:rsidR="00693900" w:rsidRDefault="00693900">
          <w:pPr>
            <w:pStyle w:val="TOC3"/>
            <w:tabs>
              <w:tab w:val="right" w:leader="dot" w:pos="9350"/>
            </w:tabs>
            <w:rPr>
              <w:rFonts w:eastAsiaTheme="minorEastAsia" w:cstheme="minorBidi"/>
              <w:noProof/>
              <w:kern w:val="2"/>
              <w:sz w:val="24"/>
              <w14:ligatures w14:val="standardContextual"/>
            </w:rPr>
          </w:pPr>
          <w:hyperlink w:anchor="_Toc229750450" w:history="1">
            <w:r w:rsidRPr="007875A7">
              <w:rPr>
                <w:rStyle w:val="Hyperlink"/>
                <w:noProof/>
                <w:lang w:val="en-US"/>
              </w:rPr>
              <w:t>5.1 HISTORY’S EPISTEMOLOGICAL ALIGNMENT WITH SUSTAINABILITY: CONFIRMED BUT CONTESTED</w:t>
            </w:r>
            <w:r>
              <w:rPr>
                <w:noProof/>
                <w:webHidden/>
              </w:rPr>
              <w:tab/>
            </w:r>
            <w:r>
              <w:rPr>
                <w:noProof/>
                <w:webHidden/>
              </w:rPr>
              <w:fldChar w:fldCharType="begin"/>
            </w:r>
            <w:r>
              <w:rPr>
                <w:noProof/>
                <w:webHidden/>
              </w:rPr>
              <w:instrText xml:space="preserve"> PAGEREF _Toc229750450 \h </w:instrText>
            </w:r>
            <w:r>
              <w:rPr>
                <w:noProof/>
                <w:webHidden/>
              </w:rPr>
            </w:r>
            <w:r>
              <w:rPr>
                <w:noProof/>
                <w:webHidden/>
              </w:rPr>
              <w:fldChar w:fldCharType="separate"/>
            </w:r>
            <w:r>
              <w:rPr>
                <w:noProof/>
                <w:webHidden/>
              </w:rPr>
              <w:t>43</w:t>
            </w:r>
            <w:r>
              <w:rPr>
                <w:noProof/>
                <w:webHidden/>
              </w:rPr>
              <w:fldChar w:fldCharType="end"/>
            </w:r>
          </w:hyperlink>
        </w:p>
        <w:p w14:paraId="3B063DB9" w14:textId="7A064080" w:rsidR="00693900" w:rsidRDefault="00693900">
          <w:pPr>
            <w:pStyle w:val="TOC3"/>
            <w:tabs>
              <w:tab w:val="right" w:leader="dot" w:pos="9350"/>
            </w:tabs>
            <w:rPr>
              <w:rFonts w:eastAsiaTheme="minorEastAsia" w:cstheme="minorBidi"/>
              <w:noProof/>
              <w:kern w:val="2"/>
              <w:sz w:val="24"/>
              <w14:ligatures w14:val="standardContextual"/>
            </w:rPr>
          </w:pPr>
          <w:hyperlink w:anchor="_Toc229750451" w:history="1">
            <w:r w:rsidRPr="007875A7">
              <w:rPr>
                <w:rStyle w:val="Hyperlink"/>
                <w:noProof/>
                <w:lang w:val="en-US"/>
              </w:rPr>
              <w:t>5.2 ORGANIC EMBEDDING VERSUS DELIBERATE INTEGRATION: THE CENTRAL TENSION</w:t>
            </w:r>
            <w:r>
              <w:rPr>
                <w:noProof/>
                <w:webHidden/>
              </w:rPr>
              <w:tab/>
            </w:r>
            <w:r>
              <w:rPr>
                <w:noProof/>
                <w:webHidden/>
              </w:rPr>
              <w:fldChar w:fldCharType="begin"/>
            </w:r>
            <w:r>
              <w:rPr>
                <w:noProof/>
                <w:webHidden/>
              </w:rPr>
              <w:instrText xml:space="preserve"> PAGEREF _Toc229750451 \h </w:instrText>
            </w:r>
            <w:r>
              <w:rPr>
                <w:noProof/>
                <w:webHidden/>
              </w:rPr>
            </w:r>
            <w:r>
              <w:rPr>
                <w:noProof/>
                <w:webHidden/>
              </w:rPr>
              <w:fldChar w:fldCharType="separate"/>
            </w:r>
            <w:r>
              <w:rPr>
                <w:noProof/>
                <w:webHidden/>
              </w:rPr>
              <w:t>44</w:t>
            </w:r>
            <w:r>
              <w:rPr>
                <w:noProof/>
                <w:webHidden/>
              </w:rPr>
              <w:fldChar w:fldCharType="end"/>
            </w:r>
          </w:hyperlink>
        </w:p>
        <w:p w14:paraId="797AB5E6" w14:textId="65BB64D4" w:rsidR="00693900" w:rsidRDefault="00693900">
          <w:pPr>
            <w:pStyle w:val="TOC3"/>
            <w:tabs>
              <w:tab w:val="right" w:leader="dot" w:pos="9350"/>
            </w:tabs>
            <w:rPr>
              <w:rFonts w:eastAsiaTheme="minorEastAsia" w:cstheme="minorBidi"/>
              <w:noProof/>
              <w:kern w:val="2"/>
              <w:sz w:val="24"/>
              <w14:ligatures w14:val="standardContextual"/>
            </w:rPr>
          </w:pPr>
          <w:hyperlink w:anchor="_Toc229750452" w:history="1">
            <w:r w:rsidRPr="007875A7">
              <w:rPr>
                <w:rStyle w:val="Hyperlink"/>
                <w:noProof/>
                <w:lang w:val="en-US"/>
              </w:rPr>
              <w:t>5.3 THE ‘FUZZINESS’ OF SUSTAINABILITY: OBSTACLE OR ASSET?</w:t>
            </w:r>
            <w:r>
              <w:rPr>
                <w:noProof/>
                <w:webHidden/>
              </w:rPr>
              <w:tab/>
            </w:r>
            <w:r>
              <w:rPr>
                <w:noProof/>
                <w:webHidden/>
              </w:rPr>
              <w:fldChar w:fldCharType="begin"/>
            </w:r>
            <w:r>
              <w:rPr>
                <w:noProof/>
                <w:webHidden/>
              </w:rPr>
              <w:instrText xml:space="preserve"> PAGEREF _Toc229750452 \h </w:instrText>
            </w:r>
            <w:r>
              <w:rPr>
                <w:noProof/>
                <w:webHidden/>
              </w:rPr>
            </w:r>
            <w:r>
              <w:rPr>
                <w:noProof/>
                <w:webHidden/>
              </w:rPr>
              <w:fldChar w:fldCharType="separate"/>
            </w:r>
            <w:r>
              <w:rPr>
                <w:noProof/>
                <w:webHidden/>
              </w:rPr>
              <w:t>46</w:t>
            </w:r>
            <w:r>
              <w:rPr>
                <w:noProof/>
                <w:webHidden/>
              </w:rPr>
              <w:fldChar w:fldCharType="end"/>
            </w:r>
          </w:hyperlink>
        </w:p>
        <w:p w14:paraId="73A134A2" w14:textId="7380F70A" w:rsidR="00693900" w:rsidRDefault="00693900">
          <w:pPr>
            <w:pStyle w:val="TOC3"/>
            <w:tabs>
              <w:tab w:val="right" w:leader="dot" w:pos="9350"/>
            </w:tabs>
            <w:rPr>
              <w:rFonts w:eastAsiaTheme="minorEastAsia" w:cstheme="minorBidi"/>
              <w:noProof/>
              <w:kern w:val="2"/>
              <w:sz w:val="24"/>
              <w14:ligatures w14:val="standardContextual"/>
            </w:rPr>
          </w:pPr>
          <w:hyperlink w:anchor="_Toc229750453" w:history="1">
            <w:r w:rsidRPr="007875A7">
              <w:rPr>
                <w:rStyle w:val="Hyperlink"/>
                <w:noProof/>
                <w:lang w:val="en-US"/>
              </w:rPr>
              <w:t>5.4 BARRIERS TO ENGAGEMENT: RESOURCES, TRAINING AND INSTITUTIONAL FRAMING</w:t>
            </w:r>
            <w:r>
              <w:rPr>
                <w:noProof/>
                <w:webHidden/>
              </w:rPr>
              <w:tab/>
            </w:r>
            <w:r>
              <w:rPr>
                <w:noProof/>
                <w:webHidden/>
              </w:rPr>
              <w:fldChar w:fldCharType="begin"/>
            </w:r>
            <w:r>
              <w:rPr>
                <w:noProof/>
                <w:webHidden/>
              </w:rPr>
              <w:instrText xml:space="preserve"> PAGEREF _Toc229750453 \h </w:instrText>
            </w:r>
            <w:r>
              <w:rPr>
                <w:noProof/>
                <w:webHidden/>
              </w:rPr>
            </w:r>
            <w:r>
              <w:rPr>
                <w:noProof/>
                <w:webHidden/>
              </w:rPr>
              <w:fldChar w:fldCharType="separate"/>
            </w:r>
            <w:r>
              <w:rPr>
                <w:noProof/>
                <w:webHidden/>
              </w:rPr>
              <w:t>46</w:t>
            </w:r>
            <w:r>
              <w:rPr>
                <w:noProof/>
                <w:webHidden/>
              </w:rPr>
              <w:fldChar w:fldCharType="end"/>
            </w:r>
          </w:hyperlink>
        </w:p>
        <w:p w14:paraId="0A6D2344" w14:textId="45C856D6" w:rsidR="00693900" w:rsidRDefault="00693900">
          <w:pPr>
            <w:pStyle w:val="TOC3"/>
            <w:tabs>
              <w:tab w:val="right" w:leader="dot" w:pos="9350"/>
            </w:tabs>
            <w:rPr>
              <w:rFonts w:eastAsiaTheme="minorEastAsia" w:cstheme="minorBidi"/>
              <w:noProof/>
              <w:kern w:val="2"/>
              <w:sz w:val="24"/>
              <w14:ligatures w14:val="standardContextual"/>
            </w:rPr>
          </w:pPr>
          <w:hyperlink w:anchor="_Toc229750454" w:history="1">
            <w:r w:rsidRPr="007875A7">
              <w:rPr>
                <w:rStyle w:val="Hyperlink"/>
                <w:noProof/>
                <w:lang w:val="en-US"/>
              </w:rPr>
              <w:t>5.5 IMPLICATIONS FOR PRACTICE</w:t>
            </w:r>
            <w:r>
              <w:rPr>
                <w:noProof/>
                <w:webHidden/>
              </w:rPr>
              <w:tab/>
            </w:r>
            <w:r>
              <w:rPr>
                <w:noProof/>
                <w:webHidden/>
              </w:rPr>
              <w:fldChar w:fldCharType="begin"/>
            </w:r>
            <w:r>
              <w:rPr>
                <w:noProof/>
                <w:webHidden/>
              </w:rPr>
              <w:instrText xml:space="preserve"> PAGEREF _Toc229750454 \h </w:instrText>
            </w:r>
            <w:r>
              <w:rPr>
                <w:noProof/>
                <w:webHidden/>
              </w:rPr>
            </w:r>
            <w:r>
              <w:rPr>
                <w:noProof/>
                <w:webHidden/>
              </w:rPr>
              <w:fldChar w:fldCharType="separate"/>
            </w:r>
            <w:r>
              <w:rPr>
                <w:noProof/>
                <w:webHidden/>
              </w:rPr>
              <w:t>47</w:t>
            </w:r>
            <w:r>
              <w:rPr>
                <w:noProof/>
                <w:webHidden/>
              </w:rPr>
              <w:fldChar w:fldCharType="end"/>
            </w:r>
          </w:hyperlink>
        </w:p>
        <w:p w14:paraId="17EE9749" w14:textId="021A1F8E"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55" w:history="1">
            <w:r w:rsidRPr="007875A7">
              <w:rPr>
                <w:rStyle w:val="Hyperlink"/>
                <w:noProof/>
                <w:lang w:val="en-US"/>
              </w:rPr>
              <w:t>6.    CONCLUSION</w:t>
            </w:r>
            <w:r>
              <w:rPr>
                <w:noProof/>
                <w:webHidden/>
              </w:rPr>
              <w:tab/>
            </w:r>
            <w:r>
              <w:rPr>
                <w:noProof/>
                <w:webHidden/>
              </w:rPr>
              <w:fldChar w:fldCharType="begin"/>
            </w:r>
            <w:r>
              <w:rPr>
                <w:noProof/>
                <w:webHidden/>
              </w:rPr>
              <w:instrText xml:space="preserve"> PAGEREF _Toc229750455 \h </w:instrText>
            </w:r>
            <w:r>
              <w:rPr>
                <w:noProof/>
                <w:webHidden/>
              </w:rPr>
            </w:r>
            <w:r>
              <w:rPr>
                <w:noProof/>
                <w:webHidden/>
              </w:rPr>
              <w:fldChar w:fldCharType="separate"/>
            </w:r>
            <w:r>
              <w:rPr>
                <w:noProof/>
                <w:webHidden/>
              </w:rPr>
              <w:t>48</w:t>
            </w:r>
            <w:r>
              <w:rPr>
                <w:noProof/>
                <w:webHidden/>
              </w:rPr>
              <w:fldChar w:fldCharType="end"/>
            </w:r>
          </w:hyperlink>
        </w:p>
        <w:p w14:paraId="372E8C1C" w14:textId="1000B528"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56" w:history="1">
            <w:r w:rsidRPr="007875A7">
              <w:rPr>
                <w:rStyle w:val="Hyperlink"/>
                <w:noProof/>
                <w:lang w:val="en-US"/>
              </w:rPr>
              <w:t>REFERENCES</w:t>
            </w:r>
            <w:r>
              <w:rPr>
                <w:noProof/>
                <w:webHidden/>
              </w:rPr>
              <w:tab/>
            </w:r>
            <w:r>
              <w:rPr>
                <w:noProof/>
                <w:webHidden/>
              </w:rPr>
              <w:fldChar w:fldCharType="begin"/>
            </w:r>
            <w:r>
              <w:rPr>
                <w:noProof/>
                <w:webHidden/>
              </w:rPr>
              <w:instrText xml:space="preserve"> PAGEREF _Toc229750456 \h </w:instrText>
            </w:r>
            <w:r>
              <w:rPr>
                <w:noProof/>
                <w:webHidden/>
              </w:rPr>
            </w:r>
            <w:r>
              <w:rPr>
                <w:noProof/>
                <w:webHidden/>
              </w:rPr>
              <w:fldChar w:fldCharType="separate"/>
            </w:r>
            <w:r>
              <w:rPr>
                <w:noProof/>
                <w:webHidden/>
              </w:rPr>
              <w:t>51</w:t>
            </w:r>
            <w:r>
              <w:rPr>
                <w:noProof/>
                <w:webHidden/>
              </w:rPr>
              <w:fldChar w:fldCharType="end"/>
            </w:r>
          </w:hyperlink>
        </w:p>
        <w:p w14:paraId="0FC1D7AE" w14:textId="59DD151A"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hyperlink w:anchor="_Toc229750457" w:history="1">
            <w:r w:rsidRPr="007875A7">
              <w:rPr>
                <w:rStyle w:val="Hyperlink"/>
                <w:noProof/>
              </w:rPr>
              <w:t>Appendix 1: Creating the Concourse</w:t>
            </w:r>
            <w:r>
              <w:rPr>
                <w:noProof/>
                <w:webHidden/>
              </w:rPr>
              <w:tab/>
            </w:r>
            <w:r>
              <w:rPr>
                <w:noProof/>
                <w:webHidden/>
              </w:rPr>
              <w:fldChar w:fldCharType="begin"/>
            </w:r>
            <w:r>
              <w:rPr>
                <w:noProof/>
                <w:webHidden/>
              </w:rPr>
              <w:instrText xml:space="preserve"> PAGEREF _Toc229750457 \h </w:instrText>
            </w:r>
            <w:r>
              <w:rPr>
                <w:noProof/>
                <w:webHidden/>
              </w:rPr>
            </w:r>
            <w:r>
              <w:rPr>
                <w:noProof/>
                <w:webHidden/>
              </w:rPr>
              <w:fldChar w:fldCharType="separate"/>
            </w:r>
            <w:r>
              <w:rPr>
                <w:noProof/>
                <w:webHidden/>
              </w:rPr>
              <w:t>58</w:t>
            </w:r>
            <w:r>
              <w:rPr>
                <w:noProof/>
                <w:webHidden/>
              </w:rPr>
              <w:fldChar w:fldCharType="end"/>
            </w:r>
          </w:hyperlink>
        </w:p>
        <w:p w14:paraId="1A7BE8F5" w14:textId="61388430" w:rsidR="00693900" w:rsidRDefault="00693900">
          <w:pPr>
            <w:pStyle w:val="TOC1"/>
            <w:tabs>
              <w:tab w:val="left" w:pos="3768"/>
              <w:tab w:val="right" w:leader="dot" w:pos="9350"/>
            </w:tabs>
            <w:rPr>
              <w:rFonts w:eastAsiaTheme="minorEastAsia" w:cstheme="minorBidi"/>
              <w:b w:val="0"/>
              <w:bCs w:val="0"/>
              <w:i w:val="0"/>
              <w:iCs w:val="0"/>
              <w:noProof/>
              <w:kern w:val="2"/>
              <w:szCs w:val="24"/>
              <w14:ligatures w14:val="standardContextual"/>
            </w:rPr>
          </w:pPr>
          <w:hyperlink w:anchor="_Toc229750458" w:history="1">
            <w:r w:rsidRPr="007875A7">
              <w:rPr>
                <w:rStyle w:val="Hyperlink"/>
                <w:noProof/>
              </w:rPr>
              <w:t xml:space="preserve">Gemini ‘Deep Research’ Report  </w:t>
            </w:r>
            <w:r>
              <w:rPr>
                <w:rFonts w:eastAsiaTheme="minorEastAsia" w:cstheme="minorBidi"/>
                <w:b w:val="0"/>
                <w:bCs w:val="0"/>
                <w:i w:val="0"/>
                <w:iCs w:val="0"/>
                <w:noProof/>
                <w:kern w:val="2"/>
                <w:szCs w:val="24"/>
                <w14:ligatures w14:val="standardContextual"/>
              </w:rPr>
              <w:tab/>
            </w:r>
            <w:r w:rsidRPr="007875A7">
              <w:rPr>
                <w:rStyle w:val="Hyperlink"/>
                <w:noProof/>
              </w:rPr>
              <w:t>06-10-2025</w:t>
            </w:r>
            <w:r>
              <w:rPr>
                <w:noProof/>
                <w:webHidden/>
              </w:rPr>
              <w:tab/>
            </w:r>
            <w:r>
              <w:rPr>
                <w:noProof/>
                <w:webHidden/>
              </w:rPr>
              <w:fldChar w:fldCharType="begin"/>
            </w:r>
            <w:r>
              <w:rPr>
                <w:noProof/>
                <w:webHidden/>
              </w:rPr>
              <w:instrText xml:space="preserve"> PAGEREF _Toc229750458 \h </w:instrText>
            </w:r>
            <w:r>
              <w:rPr>
                <w:noProof/>
                <w:webHidden/>
              </w:rPr>
            </w:r>
            <w:r>
              <w:rPr>
                <w:noProof/>
                <w:webHidden/>
              </w:rPr>
              <w:fldChar w:fldCharType="separate"/>
            </w:r>
            <w:r>
              <w:rPr>
                <w:noProof/>
                <w:webHidden/>
              </w:rPr>
              <w:t>60</w:t>
            </w:r>
            <w:r>
              <w:rPr>
                <w:noProof/>
                <w:webHidden/>
              </w:rPr>
              <w:fldChar w:fldCharType="end"/>
            </w:r>
          </w:hyperlink>
        </w:p>
        <w:p w14:paraId="1EA4C211" w14:textId="7636D411"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hyperlink w:anchor="_Toc229750459" w:history="1">
            <w:r w:rsidRPr="007875A7">
              <w:rPr>
                <w:rStyle w:val="Hyperlink"/>
                <w:noProof/>
              </w:rPr>
              <w:t>Disciplinary Integrity and Didactic Imperatives: A Spectrum of Perspectives from UK University History Lecturers on Education for Sustainability</w:t>
            </w:r>
            <w:r>
              <w:rPr>
                <w:noProof/>
                <w:webHidden/>
              </w:rPr>
              <w:tab/>
            </w:r>
            <w:r>
              <w:rPr>
                <w:noProof/>
                <w:webHidden/>
              </w:rPr>
              <w:fldChar w:fldCharType="begin"/>
            </w:r>
            <w:r>
              <w:rPr>
                <w:noProof/>
                <w:webHidden/>
              </w:rPr>
              <w:instrText xml:space="preserve"> PAGEREF _Toc229750459 \h </w:instrText>
            </w:r>
            <w:r>
              <w:rPr>
                <w:noProof/>
                <w:webHidden/>
              </w:rPr>
            </w:r>
            <w:r>
              <w:rPr>
                <w:noProof/>
                <w:webHidden/>
              </w:rPr>
              <w:fldChar w:fldCharType="separate"/>
            </w:r>
            <w:r>
              <w:rPr>
                <w:noProof/>
                <w:webHidden/>
              </w:rPr>
              <w:t>60</w:t>
            </w:r>
            <w:r>
              <w:rPr>
                <w:noProof/>
                <w:webHidden/>
              </w:rPr>
              <w:fldChar w:fldCharType="end"/>
            </w:r>
          </w:hyperlink>
        </w:p>
        <w:p w14:paraId="31B5CF75" w14:textId="324856F5"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60" w:history="1">
            <w:r w:rsidRPr="007875A7">
              <w:rPr>
                <w:rStyle w:val="Hyperlink"/>
                <w:noProof/>
              </w:rPr>
              <w:t>Section 1: The Mandate for Education for Sustainability in UK Higher Education</w:t>
            </w:r>
            <w:r>
              <w:rPr>
                <w:noProof/>
                <w:webHidden/>
              </w:rPr>
              <w:tab/>
            </w:r>
            <w:r>
              <w:rPr>
                <w:noProof/>
                <w:webHidden/>
              </w:rPr>
              <w:fldChar w:fldCharType="begin"/>
            </w:r>
            <w:r>
              <w:rPr>
                <w:noProof/>
                <w:webHidden/>
              </w:rPr>
              <w:instrText xml:space="preserve"> PAGEREF _Toc229750460 \h </w:instrText>
            </w:r>
            <w:r>
              <w:rPr>
                <w:noProof/>
                <w:webHidden/>
              </w:rPr>
            </w:r>
            <w:r>
              <w:rPr>
                <w:noProof/>
                <w:webHidden/>
              </w:rPr>
              <w:fldChar w:fldCharType="separate"/>
            </w:r>
            <w:r>
              <w:rPr>
                <w:noProof/>
                <w:webHidden/>
              </w:rPr>
              <w:t>60</w:t>
            </w:r>
            <w:r>
              <w:rPr>
                <w:noProof/>
                <w:webHidden/>
              </w:rPr>
              <w:fldChar w:fldCharType="end"/>
            </w:r>
          </w:hyperlink>
        </w:p>
        <w:p w14:paraId="26E487B5" w14:textId="6214BA71" w:rsidR="00693900" w:rsidRDefault="00693900">
          <w:pPr>
            <w:pStyle w:val="TOC3"/>
            <w:tabs>
              <w:tab w:val="right" w:leader="dot" w:pos="9350"/>
            </w:tabs>
            <w:rPr>
              <w:rFonts w:eastAsiaTheme="minorEastAsia" w:cstheme="minorBidi"/>
              <w:noProof/>
              <w:kern w:val="2"/>
              <w:sz w:val="24"/>
              <w14:ligatures w14:val="standardContextual"/>
            </w:rPr>
          </w:pPr>
          <w:hyperlink w:anchor="_Toc229750461" w:history="1">
            <w:r w:rsidRPr="007875A7">
              <w:rPr>
                <w:rStyle w:val="Hyperlink"/>
                <w:b/>
                <w:bCs/>
                <w:noProof/>
              </w:rPr>
              <w:t>1.1 Defining Education for Sustainability: A Holistic, Transformative Agenda</w:t>
            </w:r>
            <w:r>
              <w:rPr>
                <w:noProof/>
                <w:webHidden/>
              </w:rPr>
              <w:tab/>
            </w:r>
            <w:r>
              <w:rPr>
                <w:noProof/>
                <w:webHidden/>
              </w:rPr>
              <w:fldChar w:fldCharType="begin"/>
            </w:r>
            <w:r>
              <w:rPr>
                <w:noProof/>
                <w:webHidden/>
              </w:rPr>
              <w:instrText xml:space="preserve"> PAGEREF _Toc229750461 \h </w:instrText>
            </w:r>
            <w:r>
              <w:rPr>
                <w:noProof/>
                <w:webHidden/>
              </w:rPr>
            </w:r>
            <w:r>
              <w:rPr>
                <w:noProof/>
                <w:webHidden/>
              </w:rPr>
              <w:fldChar w:fldCharType="separate"/>
            </w:r>
            <w:r>
              <w:rPr>
                <w:noProof/>
                <w:webHidden/>
              </w:rPr>
              <w:t>60</w:t>
            </w:r>
            <w:r>
              <w:rPr>
                <w:noProof/>
                <w:webHidden/>
              </w:rPr>
              <w:fldChar w:fldCharType="end"/>
            </w:r>
          </w:hyperlink>
        </w:p>
        <w:p w14:paraId="2836FA2E" w14:textId="7B30D5FB" w:rsidR="00693900" w:rsidRDefault="00693900">
          <w:pPr>
            <w:pStyle w:val="TOC3"/>
            <w:tabs>
              <w:tab w:val="right" w:leader="dot" w:pos="9350"/>
            </w:tabs>
            <w:rPr>
              <w:rFonts w:eastAsiaTheme="minorEastAsia" w:cstheme="minorBidi"/>
              <w:noProof/>
              <w:kern w:val="2"/>
              <w:sz w:val="24"/>
              <w14:ligatures w14:val="standardContextual"/>
            </w:rPr>
          </w:pPr>
          <w:hyperlink w:anchor="_Toc229750462" w:history="1">
            <w:r w:rsidRPr="007875A7">
              <w:rPr>
                <w:rStyle w:val="Hyperlink"/>
                <w:noProof/>
              </w:rPr>
              <w:t>1.2 The Competency Framework: A New Didactic Architecture</w:t>
            </w:r>
            <w:r>
              <w:rPr>
                <w:noProof/>
                <w:webHidden/>
              </w:rPr>
              <w:tab/>
            </w:r>
            <w:r>
              <w:rPr>
                <w:noProof/>
                <w:webHidden/>
              </w:rPr>
              <w:fldChar w:fldCharType="begin"/>
            </w:r>
            <w:r>
              <w:rPr>
                <w:noProof/>
                <w:webHidden/>
              </w:rPr>
              <w:instrText xml:space="preserve"> PAGEREF _Toc229750462 \h </w:instrText>
            </w:r>
            <w:r>
              <w:rPr>
                <w:noProof/>
                <w:webHidden/>
              </w:rPr>
            </w:r>
            <w:r>
              <w:rPr>
                <w:noProof/>
                <w:webHidden/>
              </w:rPr>
              <w:fldChar w:fldCharType="separate"/>
            </w:r>
            <w:r>
              <w:rPr>
                <w:noProof/>
                <w:webHidden/>
              </w:rPr>
              <w:t>61</w:t>
            </w:r>
            <w:r>
              <w:rPr>
                <w:noProof/>
                <w:webHidden/>
              </w:rPr>
              <w:fldChar w:fldCharType="end"/>
            </w:r>
          </w:hyperlink>
        </w:p>
        <w:p w14:paraId="60287EDE" w14:textId="31A70AAA"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63" w:history="1">
            <w:r w:rsidRPr="007875A7">
              <w:rPr>
                <w:rStyle w:val="Hyperlink"/>
                <w:noProof/>
              </w:rPr>
              <w:t>Section 2: The Disciplinary Identity of History in the UK Academy</w:t>
            </w:r>
            <w:r>
              <w:rPr>
                <w:noProof/>
                <w:webHidden/>
              </w:rPr>
              <w:tab/>
            </w:r>
            <w:r>
              <w:rPr>
                <w:noProof/>
                <w:webHidden/>
              </w:rPr>
              <w:fldChar w:fldCharType="begin"/>
            </w:r>
            <w:r>
              <w:rPr>
                <w:noProof/>
                <w:webHidden/>
              </w:rPr>
              <w:instrText xml:space="preserve"> PAGEREF _Toc229750463 \h </w:instrText>
            </w:r>
            <w:r>
              <w:rPr>
                <w:noProof/>
                <w:webHidden/>
              </w:rPr>
            </w:r>
            <w:r>
              <w:rPr>
                <w:noProof/>
                <w:webHidden/>
              </w:rPr>
              <w:fldChar w:fldCharType="separate"/>
            </w:r>
            <w:r>
              <w:rPr>
                <w:noProof/>
                <w:webHidden/>
              </w:rPr>
              <w:t>62</w:t>
            </w:r>
            <w:r>
              <w:rPr>
                <w:noProof/>
                <w:webHidden/>
              </w:rPr>
              <w:fldChar w:fldCharType="end"/>
            </w:r>
          </w:hyperlink>
        </w:p>
        <w:p w14:paraId="0C97E16B" w14:textId="6A24C032" w:rsidR="00693900" w:rsidRDefault="00693900">
          <w:pPr>
            <w:pStyle w:val="TOC3"/>
            <w:tabs>
              <w:tab w:val="right" w:leader="dot" w:pos="9350"/>
            </w:tabs>
            <w:rPr>
              <w:rFonts w:eastAsiaTheme="minorEastAsia" w:cstheme="minorBidi"/>
              <w:noProof/>
              <w:kern w:val="2"/>
              <w:sz w:val="24"/>
              <w14:ligatures w14:val="standardContextual"/>
            </w:rPr>
          </w:pPr>
          <w:hyperlink w:anchor="_Toc229750464" w:history="1">
            <w:r w:rsidRPr="007875A7">
              <w:rPr>
                <w:rStyle w:val="Hyperlink"/>
                <w:b/>
                <w:bCs/>
                <w:noProof/>
              </w:rPr>
              <w:t>2.1 The QAA Subject Benchmark Statement: Defining the Discipline</w:t>
            </w:r>
            <w:r>
              <w:rPr>
                <w:noProof/>
                <w:webHidden/>
              </w:rPr>
              <w:tab/>
            </w:r>
            <w:r>
              <w:rPr>
                <w:noProof/>
                <w:webHidden/>
              </w:rPr>
              <w:fldChar w:fldCharType="begin"/>
            </w:r>
            <w:r>
              <w:rPr>
                <w:noProof/>
                <w:webHidden/>
              </w:rPr>
              <w:instrText xml:space="preserve"> PAGEREF _Toc229750464 \h </w:instrText>
            </w:r>
            <w:r>
              <w:rPr>
                <w:noProof/>
                <w:webHidden/>
              </w:rPr>
            </w:r>
            <w:r>
              <w:rPr>
                <w:noProof/>
                <w:webHidden/>
              </w:rPr>
              <w:fldChar w:fldCharType="separate"/>
            </w:r>
            <w:r>
              <w:rPr>
                <w:noProof/>
                <w:webHidden/>
              </w:rPr>
              <w:t>62</w:t>
            </w:r>
            <w:r>
              <w:rPr>
                <w:noProof/>
                <w:webHidden/>
              </w:rPr>
              <w:fldChar w:fldCharType="end"/>
            </w:r>
          </w:hyperlink>
        </w:p>
        <w:p w14:paraId="39AF8663" w14:textId="321E0D61" w:rsidR="00693900" w:rsidRDefault="00693900">
          <w:pPr>
            <w:pStyle w:val="TOC3"/>
            <w:tabs>
              <w:tab w:val="right" w:leader="dot" w:pos="9350"/>
            </w:tabs>
            <w:rPr>
              <w:rFonts w:eastAsiaTheme="minorEastAsia" w:cstheme="minorBidi"/>
              <w:noProof/>
              <w:kern w:val="2"/>
              <w:sz w:val="24"/>
              <w14:ligatures w14:val="standardContextual"/>
            </w:rPr>
          </w:pPr>
          <w:hyperlink w:anchor="_Toc229750465" w:history="1">
            <w:r w:rsidRPr="007875A7">
              <w:rPr>
                <w:rStyle w:val="Hyperlink"/>
                <w:b/>
                <w:bCs/>
                <w:noProof/>
              </w:rPr>
              <w:t>2.2 The Specter of Presentism: The Historian's Cardinal Sin</w:t>
            </w:r>
            <w:r>
              <w:rPr>
                <w:noProof/>
                <w:webHidden/>
              </w:rPr>
              <w:tab/>
            </w:r>
            <w:r>
              <w:rPr>
                <w:noProof/>
                <w:webHidden/>
              </w:rPr>
              <w:fldChar w:fldCharType="begin"/>
            </w:r>
            <w:r>
              <w:rPr>
                <w:noProof/>
                <w:webHidden/>
              </w:rPr>
              <w:instrText xml:space="preserve"> PAGEREF _Toc229750465 \h </w:instrText>
            </w:r>
            <w:r>
              <w:rPr>
                <w:noProof/>
                <w:webHidden/>
              </w:rPr>
            </w:r>
            <w:r>
              <w:rPr>
                <w:noProof/>
                <w:webHidden/>
              </w:rPr>
              <w:fldChar w:fldCharType="separate"/>
            </w:r>
            <w:r>
              <w:rPr>
                <w:noProof/>
                <w:webHidden/>
              </w:rPr>
              <w:t>62</w:t>
            </w:r>
            <w:r>
              <w:rPr>
                <w:noProof/>
                <w:webHidden/>
              </w:rPr>
              <w:fldChar w:fldCharType="end"/>
            </w:r>
          </w:hyperlink>
        </w:p>
        <w:p w14:paraId="1DC34681" w14:textId="3C4B71F6" w:rsidR="00693900" w:rsidRDefault="00693900">
          <w:pPr>
            <w:pStyle w:val="TOC3"/>
            <w:tabs>
              <w:tab w:val="right" w:leader="dot" w:pos="9350"/>
            </w:tabs>
            <w:rPr>
              <w:rFonts w:eastAsiaTheme="minorEastAsia" w:cstheme="minorBidi"/>
              <w:noProof/>
              <w:kern w:val="2"/>
              <w:sz w:val="24"/>
              <w14:ligatures w14:val="standardContextual"/>
            </w:rPr>
          </w:pPr>
          <w:hyperlink w:anchor="_Toc229750466" w:history="1">
            <w:r w:rsidRPr="007875A7">
              <w:rPr>
                <w:rStyle w:val="Hyperlink"/>
                <w:b/>
                <w:bCs/>
                <w:noProof/>
              </w:rPr>
              <w:t>2.3 Professional Standards and Ethics</w:t>
            </w:r>
            <w:r>
              <w:rPr>
                <w:noProof/>
                <w:webHidden/>
              </w:rPr>
              <w:tab/>
            </w:r>
            <w:r>
              <w:rPr>
                <w:noProof/>
                <w:webHidden/>
              </w:rPr>
              <w:fldChar w:fldCharType="begin"/>
            </w:r>
            <w:r>
              <w:rPr>
                <w:noProof/>
                <w:webHidden/>
              </w:rPr>
              <w:instrText xml:space="preserve"> PAGEREF _Toc229750466 \h </w:instrText>
            </w:r>
            <w:r>
              <w:rPr>
                <w:noProof/>
                <w:webHidden/>
              </w:rPr>
            </w:r>
            <w:r>
              <w:rPr>
                <w:noProof/>
                <w:webHidden/>
              </w:rPr>
              <w:fldChar w:fldCharType="separate"/>
            </w:r>
            <w:r>
              <w:rPr>
                <w:noProof/>
                <w:webHidden/>
              </w:rPr>
              <w:t>63</w:t>
            </w:r>
            <w:r>
              <w:rPr>
                <w:noProof/>
                <w:webHidden/>
              </w:rPr>
              <w:fldChar w:fldCharType="end"/>
            </w:r>
          </w:hyperlink>
        </w:p>
        <w:p w14:paraId="677481BA" w14:textId="3624F4DC"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67" w:history="1">
            <w:r w:rsidRPr="007875A7">
              <w:rPr>
                <w:rStyle w:val="Hyperlink"/>
                <w:noProof/>
              </w:rPr>
              <w:t>Section 3: A Spectrum of Perspectives: History Lecturers on Education for Sustainability</w:t>
            </w:r>
            <w:r>
              <w:rPr>
                <w:noProof/>
                <w:webHidden/>
              </w:rPr>
              <w:tab/>
            </w:r>
            <w:r>
              <w:rPr>
                <w:noProof/>
                <w:webHidden/>
              </w:rPr>
              <w:fldChar w:fldCharType="begin"/>
            </w:r>
            <w:r>
              <w:rPr>
                <w:noProof/>
                <w:webHidden/>
              </w:rPr>
              <w:instrText xml:space="preserve"> PAGEREF _Toc229750467 \h </w:instrText>
            </w:r>
            <w:r>
              <w:rPr>
                <w:noProof/>
                <w:webHidden/>
              </w:rPr>
            </w:r>
            <w:r>
              <w:rPr>
                <w:noProof/>
                <w:webHidden/>
              </w:rPr>
              <w:fldChar w:fldCharType="separate"/>
            </w:r>
            <w:r>
              <w:rPr>
                <w:noProof/>
                <w:webHidden/>
              </w:rPr>
              <w:t>63</w:t>
            </w:r>
            <w:r>
              <w:rPr>
                <w:noProof/>
                <w:webHidden/>
              </w:rPr>
              <w:fldChar w:fldCharType="end"/>
            </w:r>
          </w:hyperlink>
        </w:p>
        <w:p w14:paraId="7BA1A59E" w14:textId="1AC97BE2" w:rsidR="00693900" w:rsidRDefault="00693900">
          <w:pPr>
            <w:pStyle w:val="TOC3"/>
            <w:tabs>
              <w:tab w:val="right" w:leader="dot" w:pos="9350"/>
            </w:tabs>
            <w:rPr>
              <w:rFonts w:eastAsiaTheme="minorEastAsia" w:cstheme="minorBidi"/>
              <w:noProof/>
              <w:kern w:val="2"/>
              <w:sz w:val="24"/>
              <w14:ligatures w14:val="standardContextual"/>
            </w:rPr>
          </w:pPr>
          <w:hyperlink w:anchor="_Toc229750468" w:history="1">
            <w:r w:rsidRPr="007875A7">
              <w:rPr>
                <w:rStyle w:val="Hyperlink"/>
                <w:b/>
                <w:bCs/>
                <w:noProof/>
              </w:rPr>
              <w:t>3.1 The Disciplinary Purist (The Skeptic)</w:t>
            </w:r>
            <w:r>
              <w:rPr>
                <w:noProof/>
                <w:webHidden/>
              </w:rPr>
              <w:tab/>
            </w:r>
            <w:r>
              <w:rPr>
                <w:noProof/>
                <w:webHidden/>
              </w:rPr>
              <w:fldChar w:fldCharType="begin"/>
            </w:r>
            <w:r>
              <w:rPr>
                <w:noProof/>
                <w:webHidden/>
              </w:rPr>
              <w:instrText xml:space="preserve"> PAGEREF _Toc229750468 \h </w:instrText>
            </w:r>
            <w:r>
              <w:rPr>
                <w:noProof/>
                <w:webHidden/>
              </w:rPr>
            </w:r>
            <w:r>
              <w:rPr>
                <w:noProof/>
                <w:webHidden/>
              </w:rPr>
              <w:fldChar w:fldCharType="separate"/>
            </w:r>
            <w:r>
              <w:rPr>
                <w:noProof/>
                <w:webHidden/>
              </w:rPr>
              <w:t>64</w:t>
            </w:r>
            <w:r>
              <w:rPr>
                <w:noProof/>
                <w:webHidden/>
              </w:rPr>
              <w:fldChar w:fldCharType="end"/>
            </w:r>
          </w:hyperlink>
        </w:p>
        <w:p w14:paraId="035B9191" w14:textId="7285B492" w:rsidR="00693900" w:rsidRDefault="00693900">
          <w:pPr>
            <w:pStyle w:val="TOC3"/>
            <w:tabs>
              <w:tab w:val="right" w:leader="dot" w:pos="9350"/>
            </w:tabs>
            <w:rPr>
              <w:rFonts w:eastAsiaTheme="minorEastAsia" w:cstheme="minorBidi"/>
              <w:noProof/>
              <w:kern w:val="2"/>
              <w:sz w:val="24"/>
              <w14:ligatures w14:val="standardContextual"/>
            </w:rPr>
          </w:pPr>
          <w:hyperlink w:anchor="_Toc229750469" w:history="1">
            <w:r w:rsidRPr="007875A7">
              <w:rPr>
                <w:rStyle w:val="Hyperlink"/>
                <w:b/>
                <w:bCs/>
                <w:noProof/>
              </w:rPr>
              <w:t>3.2 The Pragmatic Accommodator (The Compliant)</w:t>
            </w:r>
            <w:r>
              <w:rPr>
                <w:noProof/>
                <w:webHidden/>
              </w:rPr>
              <w:tab/>
            </w:r>
            <w:r>
              <w:rPr>
                <w:noProof/>
                <w:webHidden/>
              </w:rPr>
              <w:fldChar w:fldCharType="begin"/>
            </w:r>
            <w:r>
              <w:rPr>
                <w:noProof/>
                <w:webHidden/>
              </w:rPr>
              <w:instrText xml:space="preserve"> PAGEREF _Toc229750469 \h </w:instrText>
            </w:r>
            <w:r>
              <w:rPr>
                <w:noProof/>
                <w:webHidden/>
              </w:rPr>
            </w:r>
            <w:r>
              <w:rPr>
                <w:noProof/>
                <w:webHidden/>
              </w:rPr>
              <w:fldChar w:fldCharType="separate"/>
            </w:r>
            <w:r>
              <w:rPr>
                <w:noProof/>
                <w:webHidden/>
              </w:rPr>
              <w:t>64</w:t>
            </w:r>
            <w:r>
              <w:rPr>
                <w:noProof/>
                <w:webHidden/>
              </w:rPr>
              <w:fldChar w:fldCharType="end"/>
            </w:r>
          </w:hyperlink>
        </w:p>
        <w:p w14:paraId="6AEC2231" w14:textId="10D26F9A" w:rsidR="00693900" w:rsidRDefault="00693900">
          <w:pPr>
            <w:pStyle w:val="TOC3"/>
            <w:tabs>
              <w:tab w:val="right" w:leader="dot" w:pos="9350"/>
            </w:tabs>
            <w:rPr>
              <w:rFonts w:eastAsiaTheme="minorEastAsia" w:cstheme="minorBidi"/>
              <w:noProof/>
              <w:kern w:val="2"/>
              <w:sz w:val="24"/>
              <w14:ligatures w14:val="standardContextual"/>
            </w:rPr>
          </w:pPr>
          <w:hyperlink w:anchor="_Toc229750470" w:history="1">
            <w:r w:rsidRPr="007875A7">
              <w:rPr>
                <w:rStyle w:val="Hyperlink"/>
                <w:b/>
                <w:bCs/>
                <w:noProof/>
              </w:rPr>
              <w:t>3.3 The Cautious Integrator (The Engaged)</w:t>
            </w:r>
            <w:r>
              <w:rPr>
                <w:noProof/>
                <w:webHidden/>
              </w:rPr>
              <w:tab/>
            </w:r>
            <w:r>
              <w:rPr>
                <w:noProof/>
                <w:webHidden/>
              </w:rPr>
              <w:fldChar w:fldCharType="begin"/>
            </w:r>
            <w:r>
              <w:rPr>
                <w:noProof/>
                <w:webHidden/>
              </w:rPr>
              <w:instrText xml:space="preserve"> PAGEREF _Toc229750470 \h </w:instrText>
            </w:r>
            <w:r>
              <w:rPr>
                <w:noProof/>
                <w:webHidden/>
              </w:rPr>
            </w:r>
            <w:r>
              <w:rPr>
                <w:noProof/>
                <w:webHidden/>
              </w:rPr>
              <w:fldChar w:fldCharType="separate"/>
            </w:r>
            <w:r>
              <w:rPr>
                <w:noProof/>
                <w:webHidden/>
              </w:rPr>
              <w:t>65</w:t>
            </w:r>
            <w:r>
              <w:rPr>
                <w:noProof/>
                <w:webHidden/>
              </w:rPr>
              <w:fldChar w:fldCharType="end"/>
            </w:r>
          </w:hyperlink>
        </w:p>
        <w:p w14:paraId="7FE8ACAE" w14:textId="296ACC0E" w:rsidR="00693900" w:rsidRDefault="00693900">
          <w:pPr>
            <w:pStyle w:val="TOC3"/>
            <w:tabs>
              <w:tab w:val="right" w:leader="dot" w:pos="9350"/>
            </w:tabs>
            <w:rPr>
              <w:rFonts w:eastAsiaTheme="minorEastAsia" w:cstheme="minorBidi"/>
              <w:noProof/>
              <w:kern w:val="2"/>
              <w:sz w:val="24"/>
              <w14:ligatures w14:val="standardContextual"/>
            </w:rPr>
          </w:pPr>
          <w:hyperlink w:anchor="_Toc229750471" w:history="1">
            <w:r w:rsidRPr="007875A7">
              <w:rPr>
                <w:rStyle w:val="Hyperlink"/>
                <w:b/>
                <w:bCs/>
                <w:noProof/>
              </w:rPr>
              <w:t>3.4 The Environmental Historian (The Specialist)</w:t>
            </w:r>
            <w:r>
              <w:rPr>
                <w:noProof/>
                <w:webHidden/>
              </w:rPr>
              <w:tab/>
            </w:r>
            <w:r>
              <w:rPr>
                <w:noProof/>
                <w:webHidden/>
              </w:rPr>
              <w:fldChar w:fldCharType="begin"/>
            </w:r>
            <w:r>
              <w:rPr>
                <w:noProof/>
                <w:webHidden/>
              </w:rPr>
              <w:instrText xml:space="preserve"> PAGEREF _Toc229750471 \h </w:instrText>
            </w:r>
            <w:r>
              <w:rPr>
                <w:noProof/>
                <w:webHidden/>
              </w:rPr>
            </w:r>
            <w:r>
              <w:rPr>
                <w:noProof/>
                <w:webHidden/>
              </w:rPr>
              <w:fldChar w:fldCharType="separate"/>
            </w:r>
            <w:r>
              <w:rPr>
                <w:noProof/>
                <w:webHidden/>
              </w:rPr>
              <w:t>65</w:t>
            </w:r>
            <w:r>
              <w:rPr>
                <w:noProof/>
                <w:webHidden/>
              </w:rPr>
              <w:fldChar w:fldCharType="end"/>
            </w:r>
          </w:hyperlink>
        </w:p>
        <w:p w14:paraId="1C358B38" w14:textId="34F59A54" w:rsidR="00693900" w:rsidRDefault="00693900">
          <w:pPr>
            <w:pStyle w:val="TOC3"/>
            <w:tabs>
              <w:tab w:val="right" w:leader="dot" w:pos="9350"/>
            </w:tabs>
            <w:rPr>
              <w:rFonts w:eastAsiaTheme="minorEastAsia" w:cstheme="minorBidi"/>
              <w:noProof/>
              <w:kern w:val="2"/>
              <w:sz w:val="24"/>
              <w14:ligatures w14:val="standardContextual"/>
            </w:rPr>
          </w:pPr>
          <w:hyperlink w:anchor="_Toc229750472" w:history="1">
            <w:r w:rsidRPr="007875A7">
              <w:rPr>
                <w:rStyle w:val="Hyperlink"/>
                <w:b/>
                <w:bCs/>
                <w:noProof/>
              </w:rPr>
              <w:t>3.5 The Public Historian / Activist Scholar (The Advocate)</w:t>
            </w:r>
            <w:r>
              <w:rPr>
                <w:noProof/>
                <w:webHidden/>
              </w:rPr>
              <w:tab/>
            </w:r>
            <w:r>
              <w:rPr>
                <w:noProof/>
                <w:webHidden/>
              </w:rPr>
              <w:fldChar w:fldCharType="begin"/>
            </w:r>
            <w:r>
              <w:rPr>
                <w:noProof/>
                <w:webHidden/>
              </w:rPr>
              <w:instrText xml:space="preserve"> PAGEREF _Toc229750472 \h </w:instrText>
            </w:r>
            <w:r>
              <w:rPr>
                <w:noProof/>
                <w:webHidden/>
              </w:rPr>
            </w:r>
            <w:r>
              <w:rPr>
                <w:noProof/>
                <w:webHidden/>
              </w:rPr>
              <w:fldChar w:fldCharType="separate"/>
            </w:r>
            <w:r>
              <w:rPr>
                <w:noProof/>
                <w:webHidden/>
              </w:rPr>
              <w:t>66</w:t>
            </w:r>
            <w:r>
              <w:rPr>
                <w:noProof/>
                <w:webHidden/>
              </w:rPr>
              <w:fldChar w:fldCharType="end"/>
            </w:r>
          </w:hyperlink>
        </w:p>
        <w:p w14:paraId="4D2AAE7F" w14:textId="058BF0BD"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73" w:history="1">
            <w:r w:rsidRPr="007875A7">
              <w:rPr>
                <w:rStyle w:val="Hyperlink"/>
                <w:noProof/>
              </w:rPr>
              <w:t>Section 4: Analysis of Core Tensions and Synergies</w:t>
            </w:r>
            <w:r>
              <w:rPr>
                <w:noProof/>
                <w:webHidden/>
              </w:rPr>
              <w:tab/>
            </w:r>
            <w:r>
              <w:rPr>
                <w:noProof/>
                <w:webHidden/>
              </w:rPr>
              <w:fldChar w:fldCharType="begin"/>
            </w:r>
            <w:r>
              <w:rPr>
                <w:noProof/>
                <w:webHidden/>
              </w:rPr>
              <w:instrText xml:space="preserve"> PAGEREF _Toc229750473 \h </w:instrText>
            </w:r>
            <w:r>
              <w:rPr>
                <w:noProof/>
                <w:webHidden/>
              </w:rPr>
            </w:r>
            <w:r>
              <w:rPr>
                <w:noProof/>
                <w:webHidden/>
              </w:rPr>
              <w:fldChar w:fldCharType="separate"/>
            </w:r>
            <w:r>
              <w:rPr>
                <w:noProof/>
                <w:webHidden/>
              </w:rPr>
              <w:t>66</w:t>
            </w:r>
            <w:r>
              <w:rPr>
                <w:noProof/>
                <w:webHidden/>
              </w:rPr>
              <w:fldChar w:fldCharType="end"/>
            </w:r>
          </w:hyperlink>
        </w:p>
        <w:p w14:paraId="79751F17" w14:textId="4B48AA3F" w:rsidR="00693900" w:rsidRDefault="00693900">
          <w:pPr>
            <w:pStyle w:val="TOC3"/>
            <w:tabs>
              <w:tab w:val="right" w:leader="dot" w:pos="9350"/>
            </w:tabs>
            <w:rPr>
              <w:rFonts w:eastAsiaTheme="minorEastAsia" w:cstheme="minorBidi"/>
              <w:noProof/>
              <w:kern w:val="2"/>
              <w:sz w:val="24"/>
              <w14:ligatures w14:val="standardContextual"/>
            </w:rPr>
          </w:pPr>
          <w:hyperlink w:anchor="_Toc229750474" w:history="1">
            <w:r w:rsidRPr="007875A7">
              <w:rPr>
                <w:rStyle w:val="Hyperlink"/>
                <w:b/>
                <w:bCs/>
                <w:noProof/>
              </w:rPr>
              <w:t>4.1 Key Tensions: A Disciplinary Standoff</w:t>
            </w:r>
            <w:r>
              <w:rPr>
                <w:noProof/>
                <w:webHidden/>
              </w:rPr>
              <w:tab/>
            </w:r>
            <w:r>
              <w:rPr>
                <w:noProof/>
                <w:webHidden/>
              </w:rPr>
              <w:fldChar w:fldCharType="begin"/>
            </w:r>
            <w:r>
              <w:rPr>
                <w:noProof/>
                <w:webHidden/>
              </w:rPr>
              <w:instrText xml:space="preserve"> PAGEREF _Toc229750474 \h </w:instrText>
            </w:r>
            <w:r>
              <w:rPr>
                <w:noProof/>
                <w:webHidden/>
              </w:rPr>
            </w:r>
            <w:r>
              <w:rPr>
                <w:noProof/>
                <w:webHidden/>
              </w:rPr>
              <w:fldChar w:fldCharType="separate"/>
            </w:r>
            <w:r>
              <w:rPr>
                <w:noProof/>
                <w:webHidden/>
              </w:rPr>
              <w:t>66</w:t>
            </w:r>
            <w:r>
              <w:rPr>
                <w:noProof/>
                <w:webHidden/>
              </w:rPr>
              <w:fldChar w:fldCharType="end"/>
            </w:r>
          </w:hyperlink>
        </w:p>
        <w:p w14:paraId="1D36B735" w14:textId="5BF7A8C5" w:rsidR="00693900" w:rsidRDefault="00693900">
          <w:pPr>
            <w:pStyle w:val="TOC3"/>
            <w:tabs>
              <w:tab w:val="right" w:leader="dot" w:pos="9350"/>
            </w:tabs>
            <w:rPr>
              <w:rFonts w:eastAsiaTheme="minorEastAsia" w:cstheme="minorBidi"/>
              <w:noProof/>
              <w:kern w:val="2"/>
              <w:sz w:val="24"/>
              <w14:ligatures w14:val="standardContextual"/>
            </w:rPr>
          </w:pPr>
          <w:hyperlink w:anchor="_Toc229750475" w:history="1">
            <w:r w:rsidRPr="007875A7">
              <w:rPr>
                <w:rStyle w:val="Hyperlink"/>
                <w:b/>
                <w:bCs/>
                <w:noProof/>
              </w:rPr>
              <w:t>4.2 Key Synergies: Finding Common Ground</w:t>
            </w:r>
            <w:r>
              <w:rPr>
                <w:noProof/>
                <w:webHidden/>
              </w:rPr>
              <w:tab/>
            </w:r>
            <w:r>
              <w:rPr>
                <w:noProof/>
                <w:webHidden/>
              </w:rPr>
              <w:fldChar w:fldCharType="begin"/>
            </w:r>
            <w:r>
              <w:rPr>
                <w:noProof/>
                <w:webHidden/>
              </w:rPr>
              <w:instrText xml:space="preserve"> PAGEREF _Toc229750475 \h </w:instrText>
            </w:r>
            <w:r>
              <w:rPr>
                <w:noProof/>
                <w:webHidden/>
              </w:rPr>
            </w:r>
            <w:r>
              <w:rPr>
                <w:noProof/>
                <w:webHidden/>
              </w:rPr>
              <w:fldChar w:fldCharType="separate"/>
            </w:r>
            <w:r>
              <w:rPr>
                <w:noProof/>
                <w:webHidden/>
              </w:rPr>
              <w:t>67</w:t>
            </w:r>
            <w:r>
              <w:rPr>
                <w:noProof/>
                <w:webHidden/>
              </w:rPr>
              <w:fldChar w:fldCharType="end"/>
            </w:r>
          </w:hyperlink>
        </w:p>
        <w:p w14:paraId="571F3DDA" w14:textId="2C15246A"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76" w:history="1">
            <w:r w:rsidRPr="007875A7">
              <w:rPr>
                <w:rStyle w:val="Hyperlink"/>
                <w:noProof/>
              </w:rPr>
              <w:t>Section 5: Implications for Curriculum Development and Institutional Dialogue</w:t>
            </w:r>
            <w:r>
              <w:rPr>
                <w:noProof/>
                <w:webHidden/>
              </w:rPr>
              <w:tab/>
            </w:r>
            <w:r>
              <w:rPr>
                <w:noProof/>
                <w:webHidden/>
              </w:rPr>
              <w:fldChar w:fldCharType="begin"/>
            </w:r>
            <w:r>
              <w:rPr>
                <w:noProof/>
                <w:webHidden/>
              </w:rPr>
              <w:instrText xml:space="preserve"> PAGEREF _Toc229750476 \h </w:instrText>
            </w:r>
            <w:r>
              <w:rPr>
                <w:noProof/>
                <w:webHidden/>
              </w:rPr>
            </w:r>
            <w:r>
              <w:rPr>
                <w:noProof/>
                <w:webHidden/>
              </w:rPr>
              <w:fldChar w:fldCharType="separate"/>
            </w:r>
            <w:r>
              <w:rPr>
                <w:noProof/>
                <w:webHidden/>
              </w:rPr>
              <w:t>69</w:t>
            </w:r>
            <w:r>
              <w:rPr>
                <w:noProof/>
                <w:webHidden/>
              </w:rPr>
              <w:fldChar w:fldCharType="end"/>
            </w:r>
          </w:hyperlink>
        </w:p>
        <w:p w14:paraId="6494A69D" w14:textId="4B2A08D1" w:rsidR="00693900" w:rsidRDefault="00693900">
          <w:pPr>
            <w:pStyle w:val="TOC3"/>
            <w:tabs>
              <w:tab w:val="right" w:leader="dot" w:pos="9350"/>
            </w:tabs>
            <w:rPr>
              <w:rFonts w:eastAsiaTheme="minorEastAsia" w:cstheme="minorBidi"/>
              <w:noProof/>
              <w:kern w:val="2"/>
              <w:sz w:val="24"/>
              <w14:ligatures w14:val="standardContextual"/>
            </w:rPr>
          </w:pPr>
          <w:hyperlink w:anchor="_Toc229750477" w:history="1">
            <w:r w:rsidRPr="007875A7">
              <w:rPr>
                <w:rStyle w:val="Hyperlink"/>
                <w:b/>
                <w:bCs/>
                <w:noProof/>
              </w:rPr>
              <w:t>5.1 For Curriculum Designers and History Departments</w:t>
            </w:r>
            <w:r>
              <w:rPr>
                <w:noProof/>
                <w:webHidden/>
              </w:rPr>
              <w:tab/>
            </w:r>
            <w:r>
              <w:rPr>
                <w:noProof/>
                <w:webHidden/>
              </w:rPr>
              <w:fldChar w:fldCharType="begin"/>
            </w:r>
            <w:r>
              <w:rPr>
                <w:noProof/>
                <w:webHidden/>
              </w:rPr>
              <w:instrText xml:space="preserve"> PAGEREF _Toc229750477 \h </w:instrText>
            </w:r>
            <w:r>
              <w:rPr>
                <w:noProof/>
                <w:webHidden/>
              </w:rPr>
            </w:r>
            <w:r>
              <w:rPr>
                <w:noProof/>
                <w:webHidden/>
              </w:rPr>
              <w:fldChar w:fldCharType="separate"/>
            </w:r>
            <w:r>
              <w:rPr>
                <w:noProof/>
                <w:webHidden/>
              </w:rPr>
              <w:t>69</w:t>
            </w:r>
            <w:r>
              <w:rPr>
                <w:noProof/>
                <w:webHidden/>
              </w:rPr>
              <w:fldChar w:fldCharType="end"/>
            </w:r>
          </w:hyperlink>
        </w:p>
        <w:p w14:paraId="35C8CDBF" w14:textId="0C3B1AFB" w:rsidR="00693900" w:rsidRDefault="00693900">
          <w:pPr>
            <w:pStyle w:val="TOC3"/>
            <w:tabs>
              <w:tab w:val="right" w:leader="dot" w:pos="9350"/>
            </w:tabs>
            <w:rPr>
              <w:rFonts w:eastAsiaTheme="minorEastAsia" w:cstheme="minorBidi"/>
              <w:noProof/>
              <w:kern w:val="2"/>
              <w:sz w:val="24"/>
              <w14:ligatures w14:val="standardContextual"/>
            </w:rPr>
          </w:pPr>
          <w:hyperlink w:anchor="_Toc229750478" w:history="1">
            <w:r w:rsidRPr="007875A7">
              <w:rPr>
                <w:rStyle w:val="Hyperlink"/>
                <w:b/>
                <w:bCs/>
                <w:noProof/>
              </w:rPr>
              <w:t>5.2 For Institutional Leaders and Policy Makers</w:t>
            </w:r>
            <w:r>
              <w:rPr>
                <w:noProof/>
                <w:webHidden/>
              </w:rPr>
              <w:tab/>
            </w:r>
            <w:r>
              <w:rPr>
                <w:noProof/>
                <w:webHidden/>
              </w:rPr>
              <w:fldChar w:fldCharType="begin"/>
            </w:r>
            <w:r>
              <w:rPr>
                <w:noProof/>
                <w:webHidden/>
              </w:rPr>
              <w:instrText xml:space="preserve"> PAGEREF _Toc229750478 \h </w:instrText>
            </w:r>
            <w:r>
              <w:rPr>
                <w:noProof/>
                <w:webHidden/>
              </w:rPr>
            </w:r>
            <w:r>
              <w:rPr>
                <w:noProof/>
                <w:webHidden/>
              </w:rPr>
              <w:fldChar w:fldCharType="separate"/>
            </w:r>
            <w:r>
              <w:rPr>
                <w:noProof/>
                <w:webHidden/>
              </w:rPr>
              <w:t>70</w:t>
            </w:r>
            <w:r>
              <w:rPr>
                <w:noProof/>
                <w:webHidden/>
              </w:rPr>
              <w:fldChar w:fldCharType="end"/>
            </w:r>
          </w:hyperlink>
        </w:p>
        <w:p w14:paraId="7389E3C3" w14:textId="1A283991"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79" w:history="1">
            <w:r w:rsidRPr="007875A7">
              <w:rPr>
                <w:rStyle w:val="Hyperlink"/>
                <w:noProof/>
              </w:rPr>
              <w:t>List of Sources Used by Google GEmini</w:t>
            </w:r>
            <w:r>
              <w:rPr>
                <w:noProof/>
                <w:webHidden/>
              </w:rPr>
              <w:tab/>
            </w:r>
            <w:r>
              <w:rPr>
                <w:noProof/>
                <w:webHidden/>
              </w:rPr>
              <w:fldChar w:fldCharType="begin"/>
            </w:r>
            <w:r>
              <w:rPr>
                <w:noProof/>
                <w:webHidden/>
              </w:rPr>
              <w:instrText xml:space="preserve"> PAGEREF _Toc229750479 \h </w:instrText>
            </w:r>
            <w:r>
              <w:rPr>
                <w:noProof/>
                <w:webHidden/>
              </w:rPr>
            </w:r>
            <w:r>
              <w:rPr>
                <w:noProof/>
                <w:webHidden/>
              </w:rPr>
              <w:fldChar w:fldCharType="separate"/>
            </w:r>
            <w:r>
              <w:rPr>
                <w:noProof/>
                <w:webHidden/>
              </w:rPr>
              <w:t>70</w:t>
            </w:r>
            <w:r>
              <w:rPr>
                <w:noProof/>
                <w:webHidden/>
              </w:rPr>
              <w:fldChar w:fldCharType="end"/>
            </w:r>
          </w:hyperlink>
        </w:p>
        <w:p w14:paraId="0BF3A5B5" w14:textId="54A0EBB4"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hyperlink w:anchor="_Toc229750480" w:history="1">
            <w:r w:rsidRPr="007875A7">
              <w:rPr>
                <w:rStyle w:val="Hyperlink"/>
                <w:noProof/>
              </w:rPr>
              <w:t>Appendix 2: The Concourse – statements generated from the Google Gemini ‘Deep Research’ report, Notebook LM and Google Gemini’s Canvas tool.</w:t>
            </w:r>
            <w:r>
              <w:rPr>
                <w:noProof/>
                <w:webHidden/>
              </w:rPr>
              <w:tab/>
            </w:r>
            <w:r>
              <w:rPr>
                <w:noProof/>
                <w:webHidden/>
              </w:rPr>
              <w:fldChar w:fldCharType="begin"/>
            </w:r>
            <w:r>
              <w:rPr>
                <w:noProof/>
                <w:webHidden/>
              </w:rPr>
              <w:instrText xml:space="preserve"> PAGEREF _Toc229750480 \h </w:instrText>
            </w:r>
            <w:r>
              <w:rPr>
                <w:noProof/>
                <w:webHidden/>
              </w:rPr>
            </w:r>
            <w:r>
              <w:rPr>
                <w:noProof/>
                <w:webHidden/>
              </w:rPr>
              <w:fldChar w:fldCharType="separate"/>
            </w:r>
            <w:r>
              <w:rPr>
                <w:noProof/>
                <w:webHidden/>
              </w:rPr>
              <w:t>73</w:t>
            </w:r>
            <w:r>
              <w:rPr>
                <w:noProof/>
                <w:webHidden/>
              </w:rPr>
              <w:fldChar w:fldCharType="end"/>
            </w:r>
          </w:hyperlink>
        </w:p>
        <w:p w14:paraId="1D28B998" w14:textId="76C81254"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81" w:history="1">
            <w:r w:rsidRPr="007875A7">
              <w:rPr>
                <w:rStyle w:val="Hyperlink"/>
                <w:noProof/>
              </w:rPr>
              <w:t>Gemini concourse generated from Deep Research report</w:t>
            </w:r>
            <w:r>
              <w:rPr>
                <w:noProof/>
                <w:webHidden/>
              </w:rPr>
              <w:tab/>
            </w:r>
            <w:r>
              <w:rPr>
                <w:noProof/>
                <w:webHidden/>
              </w:rPr>
              <w:fldChar w:fldCharType="begin"/>
            </w:r>
            <w:r>
              <w:rPr>
                <w:noProof/>
                <w:webHidden/>
              </w:rPr>
              <w:instrText xml:space="preserve"> PAGEREF _Toc229750481 \h </w:instrText>
            </w:r>
            <w:r>
              <w:rPr>
                <w:noProof/>
                <w:webHidden/>
              </w:rPr>
            </w:r>
            <w:r>
              <w:rPr>
                <w:noProof/>
                <w:webHidden/>
              </w:rPr>
              <w:fldChar w:fldCharType="separate"/>
            </w:r>
            <w:r>
              <w:rPr>
                <w:noProof/>
                <w:webHidden/>
              </w:rPr>
              <w:t>73</w:t>
            </w:r>
            <w:r>
              <w:rPr>
                <w:noProof/>
                <w:webHidden/>
              </w:rPr>
              <w:fldChar w:fldCharType="end"/>
            </w:r>
          </w:hyperlink>
        </w:p>
        <w:p w14:paraId="3E64AF78" w14:textId="2252300C"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82" w:history="1">
            <w:r w:rsidRPr="007875A7">
              <w:rPr>
                <w:rStyle w:val="Hyperlink"/>
                <w:rFonts w:eastAsia="Times New Roman" w:cs="Arial"/>
                <w:noProof/>
              </w:rPr>
              <w:t>Expanded Concourse of Statements</w:t>
            </w:r>
            <w:r>
              <w:rPr>
                <w:noProof/>
                <w:webHidden/>
              </w:rPr>
              <w:tab/>
            </w:r>
            <w:r>
              <w:rPr>
                <w:noProof/>
                <w:webHidden/>
              </w:rPr>
              <w:fldChar w:fldCharType="begin"/>
            </w:r>
            <w:r>
              <w:rPr>
                <w:noProof/>
                <w:webHidden/>
              </w:rPr>
              <w:instrText xml:space="preserve"> PAGEREF _Toc229750482 \h </w:instrText>
            </w:r>
            <w:r>
              <w:rPr>
                <w:noProof/>
                <w:webHidden/>
              </w:rPr>
            </w:r>
            <w:r>
              <w:rPr>
                <w:noProof/>
                <w:webHidden/>
              </w:rPr>
              <w:fldChar w:fldCharType="separate"/>
            </w:r>
            <w:r>
              <w:rPr>
                <w:noProof/>
                <w:webHidden/>
              </w:rPr>
              <w:t>73</w:t>
            </w:r>
            <w:r>
              <w:rPr>
                <w:noProof/>
                <w:webHidden/>
              </w:rPr>
              <w:fldChar w:fldCharType="end"/>
            </w:r>
          </w:hyperlink>
        </w:p>
        <w:p w14:paraId="37AC71BA" w14:textId="07C9A4D4"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83" w:history="1">
            <w:r w:rsidRPr="007875A7">
              <w:rPr>
                <w:rStyle w:val="Hyperlink"/>
                <w:noProof/>
              </w:rPr>
              <w:t>Notebook LM concourse from literature review sources</w:t>
            </w:r>
            <w:r>
              <w:rPr>
                <w:noProof/>
                <w:webHidden/>
              </w:rPr>
              <w:tab/>
            </w:r>
            <w:r>
              <w:rPr>
                <w:noProof/>
                <w:webHidden/>
              </w:rPr>
              <w:fldChar w:fldCharType="begin"/>
            </w:r>
            <w:r>
              <w:rPr>
                <w:noProof/>
                <w:webHidden/>
              </w:rPr>
              <w:instrText xml:space="preserve"> PAGEREF _Toc229750483 \h </w:instrText>
            </w:r>
            <w:r>
              <w:rPr>
                <w:noProof/>
                <w:webHidden/>
              </w:rPr>
            </w:r>
            <w:r>
              <w:rPr>
                <w:noProof/>
                <w:webHidden/>
              </w:rPr>
              <w:fldChar w:fldCharType="separate"/>
            </w:r>
            <w:r>
              <w:rPr>
                <w:noProof/>
                <w:webHidden/>
              </w:rPr>
              <w:t>75</w:t>
            </w:r>
            <w:r>
              <w:rPr>
                <w:noProof/>
                <w:webHidden/>
              </w:rPr>
              <w:fldChar w:fldCharType="end"/>
            </w:r>
          </w:hyperlink>
        </w:p>
        <w:p w14:paraId="6D93ABF5" w14:textId="6DAAB65B"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84" w:history="1">
            <w:r w:rsidRPr="007875A7">
              <w:rPr>
                <w:rStyle w:val="Hyperlink"/>
                <w:rFonts w:eastAsia="Times New Roman"/>
                <w:noProof/>
              </w:rPr>
              <w:t>Concourse of Statements for a Q-Methodology Study on History Lecturers and EfS</w:t>
            </w:r>
            <w:r>
              <w:rPr>
                <w:noProof/>
                <w:webHidden/>
              </w:rPr>
              <w:tab/>
            </w:r>
            <w:r>
              <w:rPr>
                <w:noProof/>
                <w:webHidden/>
              </w:rPr>
              <w:fldChar w:fldCharType="begin"/>
            </w:r>
            <w:r>
              <w:rPr>
                <w:noProof/>
                <w:webHidden/>
              </w:rPr>
              <w:instrText xml:space="preserve"> PAGEREF _Toc229750484 \h </w:instrText>
            </w:r>
            <w:r>
              <w:rPr>
                <w:noProof/>
                <w:webHidden/>
              </w:rPr>
            </w:r>
            <w:r>
              <w:rPr>
                <w:noProof/>
                <w:webHidden/>
              </w:rPr>
              <w:fldChar w:fldCharType="separate"/>
            </w:r>
            <w:r>
              <w:rPr>
                <w:noProof/>
                <w:webHidden/>
              </w:rPr>
              <w:t>75</w:t>
            </w:r>
            <w:r>
              <w:rPr>
                <w:noProof/>
                <w:webHidden/>
              </w:rPr>
              <w:fldChar w:fldCharType="end"/>
            </w:r>
          </w:hyperlink>
        </w:p>
        <w:p w14:paraId="5538C978" w14:textId="5077B179" w:rsidR="00693900" w:rsidRDefault="00693900">
          <w:pPr>
            <w:pStyle w:val="TOC3"/>
            <w:tabs>
              <w:tab w:val="right" w:leader="dot" w:pos="9350"/>
            </w:tabs>
            <w:rPr>
              <w:rFonts w:eastAsiaTheme="minorEastAsia" w:cstheme="minorBidi"/>
              <w:noProof/>
              <w:kern w:val="2"/>
              <w:sz w:val="24"/>
              <w14:ligatures w14:val="standardContextual"/>
            </w:rPr>
          </w:pPr>
          <w:hyperlink w:anchor="_Toc229750485" w:history="1">
            <w:r w:rsidRPr="007875A7">
              <w:rPr>
                <w:rStyle w:val="Hyperlink"/>
                <w:rFonts w:eastAsia="Times New Roman"/>
                <w:b/>
                <w:bCs/>
                <w:noProof/>
              </w:rPr>
              <w:t>I. The Nature and Relevance of Education for Sustainability (EfS) in History</w:t>
            </w:r>
            <w:r>
              <w:rPr>
                <w:noProof/>
                <w:webHidden/>
              </w:rPr>
              <w:tab/>
            </w:r>
            <w:r>
              <w:rPr>
                <w:noProof/>
                <w:webHidden/>
              </w:rPr>
              <w:fldChar w:fldCharType="begin"/>
            </w:r>
            <w:r>
              <w:rPr>
                <w:noProof/>
                <w:webHidden/>
              </w:rPr>
              <w:instrText xml:space="preserve"> PAGEREF _Toc229750485 \h </w:instrText>
            </w:r>
            <w:r>
              <w:rPr>
                <w:noProof/>
                <w:webHidden/>
              </w:rPr>
            </w:r>
            <w:r>
              <w:rPr>
                <w:noProof/>
                <w:webHidden/>
              </w:rPr>
              <w:fldChar w:fldCharType="separate"/>
            </w:r>
            <w:r>
              <w:rPr>
                <w:noProof/>
                <w:webHidden/>
              </w:rPr>
              <w:t>75</w:t>
            </w:r>
            <w:r>
              <w:rPr>
                <w:noProof/>
                <w:webHidden/>
              </w:rPr>
              <w:fldChar w:fldCharType="end"/>
            </w:r>
          </w:hyperlink>
        </w:p>
        <w:p w14:paraId="7E95D6FC" w14:textId="295E2B65" w:rsidR="00693900" w:rsidRDefault="00693900">
          <w:pPr>
            <w:pStyle w:val="TOC3"/>
            <w:tabs>
              <w:tab w:val="right" w:leader="dot" w:pos="9350"/>
            </w:tabs>
            <w:rPr>
              <w:rFonts w:eastAsiaTheme="minorEastAsia" w:cstheme="minorBidi"/>
              <w:noProof/>
              <w:kern w:val="2"/>
              <w:sz w:val="24"/>
              <w14:ligatures w14:val="standardContextual"/>
            </w:rPr>
          </w:pPr>
          <w:hyperlink w:anchor="_Toc229750486" w:history="1">
            <w:r w:rsidRPr="007875A7">
              <w:rPr>
                <w:rStyle w:val="Hyperlink"/>
                <w:rFonts w:eastAsia="Times New Roman"/>
                <w:b/>
                <w:bCs/>
                <w:noProof/>
              </w:rPr>
              <w:t>II. Pedagogical Approaches and Curriculum Design</w:t>
            </w:r>
            <w:r>
              <w:rPr>
                <w:noProof/>
                <w:webHidden/>
              </w:rPr>
              <w:tab/>
            </w:r>
            <w:r>
              <w:rPr>
                <w:noProof/>
                <w:webHidden/>
              </w:rPr>
              <w:fldChar w:fldCharType="begin"/>
            </w:r>
            <w:r>
              <w:rPr>
                <w:noProof/>
                <w:webHidden/>
              </w:rPr>
              <w:instrText xml:space="preserve"> PAGEREF _Toc229750486 \h </w:instrText>
            </w:r>
            <w:r>
              <w:rPr>
                <w:noProof/>
                <w:webHidden/>
              </w:rPr>
            </w:r>
            <w:r>
              <w:rPr>
                <w:noProof/>
                <w:webHidden/>
              </w:rPr>
              <w:fldChar w:fldCharType="separate"/>
            </w:r>
            <w:r>
              <w:rPr>
                <w:noProof/>
                <w:webHidden/>
              </w:rPr>
              <w:t>76</w:t>
            </w:r>
            <w:r>
              <w:rPr>
                <w:noProof/>
                <w:webHidden/>
              </w:rPr>
              <w:fldChar w:fldCharType="end"/>
            </w:r>
          </w:hyperlink>
        </w:p>
        <w:p w14:paraId="55656BF2" w14:textId="2F76F832" w:rsidR="00693900" w:rsidRDefault="00693900">
          <w:pPr>
            <w:pStyle w:val="TOC3"/>
            <w:tabs>
              <w:tab w:val="right" w:leader="dot" w:pos="9350"/>
            </w:tabs>
            <w:rPr>
              <w:rFonts w:eastAsiaTheme="minorEastAsia" w:cstheme="minorBidi"/>
              <w:noProof/>
              <w:kern w:val="2"/>
              <w:sz w:val="24"/>
              <w14:ligatures w14:val="standardContextual"/>
            </w:rPr>
          </w:pPr>
          <w:hyperlink w:anchor="_Toc229750487" w:history="1">
            <w:r w:rsidRPr="007875A7">
              <w:rPr>
                <w:rStyle w:val="Hyperlink"/>
                <w:rFonts w:eastAsia="Times New Roman"/>
                <w:b/>
                <w:bCs/>
                <w:noProof/>
              </w:rPr>
              <w:t>III. Institutional and Structural Barriers</w:t>
            </w:r>
            <w:r>
              <w:rPr>
                <w:noProof/>
                <w:webHidden/>
              </w:rPr>
              <w:tab/>
            </w:r>
            <w:r>
              <w:rPr>
                <w:noProof/>
                <w:webHidden/>
              </w:rPr>
              <w:fldChar w:fldCharType="begin"/>
            </w:r>
            <w:r>
              <w:rPr>
                <w:noProof/>
                <w:webHidden/>
              </w:rPr>
              <w:instrText xml:space="preserve"> PAGEREF _Toc229750487 \h </w:instrText>
            </w:r>
            <w:r>
              <w:rPr>
                <w:noProof/>
                <w:webHidden/>
              </w:rPr>
            </w:r>
            <w:r>
              <w:rPr>
                <w:noProof/>
                <w:webHidden/>
              </w:rPr>
              <w:fldChar w:fldCharType="separate"/>
            </w:r>
            <w:r>
              <w:rPr>
                <w:noProof/>
                <w:webHidden/>
              </w:rPr>
              <w:t>76</w:t>
            </w:r>
            <w:r>
              <w:rPr>
                <w:noProof/>
                <w:webHidden/>
              </w:rPr>
              <w:fldChar w:fldCharType="end"/>
            </w:r>
          </w:hyperlink>
        </w:p>
        <w:p w14:paraId="2EEAFA0F" w14:textId="144FF296"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88" w:history="1">
            <w:r w:rsidRPr="007875A7">
              <w:rPr>
                <w:rStyle w:val="Hyperlink"/>
                <w:noProof/>
              </w:rPr>
              <w:t>Statements from Gemini interactive (‘Canvas’) tool generated as the first iteration of the online Q-sort</w:t>
            </w:r>
            <w:r>
              <w:rPr>
                <w:noProof/>
                <w:webHidden/>
              </w:rPr>
              <w:tab/>
            </w:r>
            <w:r>
              <w:rPr>
                <w:noProof/>
                <w:webHidden/>
              </w:rPr>
              <w:fldChar w:fldCharType="begin"/>
            </w:r>
            <w:r>
              <w:rPr>
                <w:noProof/>
                <w:webHidden/>
              </w:rPr>
              <w:instrText xml:space="preserve"> PAGEREF _Toc229750488 \h </w:instrText>
            </w:r>
            <w:r>
              <w:rPr>
                <w:noProof/>
                <w:webHidden/>
              </w:rPr>
            </w:r>
            <w:r>
              <w:rPr>
                <w:noProof/>
                <w:webHidden/>
              </w:rPr>
              <w:fldChar w:fldCharType="separate"/>
            </w:r>
            <w:r>
              <w:rPr>
                <w:noProof/>
                <w:webHidden/>
              </w:rPr>
              <w:t>77</w:t>
            </w:r>
            <w:r>
              <w:rPr>
                <w:noProof/>
                <w:webHidden/>
              </w:rPr>
              <w:fldChar w:fldCharType="end"/>
            </w:r>
          </w:hyperlink>
        </w:p>
        <w:p w14:paraId="0787CE72" w14:textId="37FC37EA"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hyperlink w:anchor="_Toc229750489" w:history="1">
            <w:r w:rsidRPr="007875A7">
              <w:rPr>
                <w:rStyle w:val="Hyperlink"/>
                <w:noProof/>
              </w:rPr>
              <w:t>Appendix 3: The</w:t>
            </w:r>
            <w:r w:rsidRPr="007875A7">
              <w:rPr>
                <w:rStyle w:val="Hyperlink"/>
                <w:noProof/>
              </w:rPr>
              <w:t xml:space="preserve"> </w:t>
            </w:r>
            <w:r w:rsidRPr="007875A7">
              <w:rPr>
                <w:rStyle w:val="Hyperlink"/>
                <w:noProof/>
              </w:rPr>
              <w:t>Q-set</w:t>
            </w:r>
            <w:r>
              <w:rPr>
                <w:noProof/>
                <w:webHidden/>
              </w:rPr>
              <w:tab/>
            </w:r>
            <w:r>
              <w:rPr>
                <w:noProof/>
                <w:webHidden/>
              </w:rPr>
              <w:fldChar w:fldCharType="begin"/>
            </w:r>
            <w:r>
              <w:rPr>
                <w:noProof/>
                <w:webHidden/>
              </w:rPr>
              <w:instrText xml:space="preserve"> PAGEREF _Toc229750489 \h </w:instrText>
            </w:r>
            <w:r>
              <w:rPr>
                <w:noProof/>
                <w:webHidden/>
              </w:rPr>
            </w:r>
            <w:r>
              <w:rPr>
                <w:noProof/>
                <w:webHidden/>
              </w:rPr>
              <w:fldChar w:fldCharType="separate"/>
            </w:r>
            <w:r>
              <w:rPr>
                <w:noProof/>
                <w:webHidden/>
              </w:rPr>
              <w:t>79</w:t>
            </w:r>
            <w:r>
              <w:rPr>
                <w:noProof/>
                <w:webHidden/>
              </w:rPr>
              <w:fldChar w:fldCharType="end"/>
            </w:r>
          </w:hyperlink>
        </w:p>
        <w:p w14:paraId="00079959" w14:textId="48A36225" w:rsidR="00693900" w:rsidRDefault="00693900">
          <w:pPr>
            <w:pStyle w:val="TOC2"/>
            <w:tabs>
              <w:tab w:val="right" w:leader="dot" w:pos="9350"/>
            </w:tabs>
            <w:rPr>
              <w:rFonts w:eastAsiaTheme="minorEastAsia" w:cstheme="minorBidi"/>
              <w:b w:val="0"/>
              <w:bCs w:val="0"/>
              <w:noProof/>
              <w:kern w:val="2"/>
              <w:sz w:val="24"/>
              <w:szCs w:val="24"/>
              <w14:ligatures w14:val="standardContextual"/>
            </w:rPr>
          </w:pPr>
          <w:hyperlink w:anchor="_Toc229750490" w:history="1">
            <w:r w:rsidRPr="007875A7">
              <w:rPr>
                <w:rStyle w:val="Hyperlink"/>
                <w:noProof/>
              </w:rPr>
              <w:t>Q-Set</w:t>
            </w:r>
            <w:r>
              <w:rPr>
                <w:noProof/>
                <w:webHidden/>
              </w:rPr>
              <w:tab/>
            </w:r>
            <w:r>
              <w:rPr>
                <w:noProof/>
                <w:webHidden/>
              </w:rPr>
              <w:fldChar w:fldCharType="begin"/>
            </w:r>
            <w:r>
              <w:rPr>
                <w:noProof/>
                <w:webHidden/>
              </w:rPr>
              <w:instrText xml:space="preserve"> PAGEREF _Toc229750490 \h </w:instrText>
            </w:r>
            <w:r>
              <w:rPr>
                <w:noProof/>
                <w:webHidden/>
              </w:rPr>
            </w:r>
            <w:r>
              <w:rPr>
                <w:noProof/>
                <w:webHidden/>
              </w:rPr>
              <w:fldChar w:fldCharType="separate"/>
            </w:r>
            <w:r>
              <w:rPr>
                <w:noProof/>
                <w:webHidden/>
              </w:rPr>
              <w:t>79</w:t>
            </w:r>
            <w:r>
              <w:rPr>
                <w:noProof/>
                <w:webHidden/>
              </w:rPr>
              <w:fldChar w:fldCharType="end"/>
            </w:r>
          </w:hyperlink>
        </w:p>
        <w:p w14:paraId="3E92AC12" w14:textId="7212B711" w:rsidR="00693900" w:rsidRDefault="00693900">
          <w:pPr>
            <w:pStyle w:val="TOC1"/>
            <w:tabs>
              <w:tab w:val="right" w:leader="dot" w:pos="9350"/>
            </w:tabs>
            <w:rPr>
              <w:rFonts w:eastAsiaTheme="minorEastAsia" w:cstheme="minorBidi"/>
              <w:b w:val="0"/>
              <w:bCs w:val="0"/>
              <w:i w:val="0"/>
              <w:iCs w:val="0"/>
              <w:noProof/>
              <w:kern w:val="2"/>
              <w:szCs w:val="24"/>
              <w14:ligatures w14:val="standardContextual"/>
            </w:rPr>
          </w:pPr>
          <w:hyperlink w:anchor="_Toc229750491" w:history="1">
            <w:r w:rsidRPr="007875A7">
              <w:rPr>
                <w:rStyle w:val="Hyperlink"/>
                <w:noProof/>
              </w:rPr>
              <w:t>Appendix 4: The Online Tool</w:t>
            </w:r>
            <w:r>
              <w:rPr>
                <w:noProof/>
                <w:webHidden/>
              </w:rPr>
              <w:tab/>
            </w:r>
            <w:r>
              <w:rPr>
                <w:noProof/>
                <w:webHidden/>
              </w:rPr>
              <w:fldChar w:fldCharType="begin"/>
            </w:r>
            <w:r>
              <w:rPr>
                <w:noProof/>
                <w:webHidden/>
              </w:rPr>
              <w:instrText xml:space="preserve"> PAGEREF _Toc229750491 \h </w:instrText>
            </w:r>
            <w:r>
              <w:rPr>
                <w:noProof/>
                <w:webHidden/>
              </w:rPr>
            </w:r>
            <w:r>
              <w:rPr>
                <w:noProof/>
                <w:webHidden/>
              </w:rPr>
              <w:fldChar w:fldCharType="separate"/>
            </w:r>
            <w:r>
              <w:rPr>
                <w:noProof/>
                <w:webHidden/>
              </w:rPr>
              <w:t>81</w:t>
            </w:r>
            <w:r>
              <w:rPr>
                <w:noProof/>
                <w:webHidden/>
              </w:rPr>
              <w:fldChar w:fldCharType="end"/>
            </w:r>
          </w:hyperlink>
        </w:p>
        <w:p w14:paraId="151291E2" w14:textId="5305F5D8" w:rsidR="00693900" w:rsidRDefault="00693900">
          <w:r>
            <w:rPr>
              <w:b/>
              <w:bCs/>
              <w:noProof/>
            </w:rPr>
            <w:fldChar w:fldCharType="end"/>
          </w:r>
        </w:p>
      </w:sdtContent>
    </w:sdt>
    <w:p w14:paraId="0987E98A" w14:textId="6B7738C7" w:rsidR="00693900" w:rsidRDefault="00693900">
      <w:pPr>
        <w:pStyle w:val="TableofFigures"/>
        <w:tabs>
          <w:tab w:val="right" w:leader="dot" w:pos="9350"/>
        </w:tabs>
        <w:rPr>
          <w:noProof/>
        </w:rPr>
      </w:pPr>
      <w:r>
        <w:fldChar w:fldCharType="begin"/>
      </w:r>
      <w:r>
        <w:instrText xml:space="preserve"> TOC \h \z \c "Figure" </w:instrText>
      </w:r>
      <w:r>
        <w:fldChar w:fldCharType="separate"/>
      </w:r>
      <w:hyperlink w:anchor="_Toc229750649" w:history="1">
        <w:r w:rsidRPr="005211DA">
          <w:rPr>
            <w:rStyle w:val="Hyperlink"/>
            <w:noProof/>
          </w:rPr>
          <w:t>Figure 1: FLOWCHART TO DEMONSTRATE Q METHODOLOGY</w:t>
        </w:r>
        <w:r>
          <w:rPr>
            <w:noProof/>
            <w:webHidden/>
          </w:rPr>
          <w:tab/>
        </w:r>
        <w:r>
          <w:rPr>
            <w:noProof/>
            <w:webHidden/>
          </w:rPr>
          <w:fldChar w:fldCharType="begin"/>
        </w:r>
        <w:r>
          <w:rPr>
            <w:noProof/>
            <w:webHidden/>
          </w:rPr>
          <w:instrText xml:space="preserve"> PAGEREF _Toc229750649 \h </w:instrText>
        </w:r>
        <w:r>
          <w:rPr>
            <w:noProof/>
            <w:webHidden/>
          </w:rPr>
        </w:r>
        <w:r>
          <w:rPr>
            <w:noProof/>
            <w:webHidden/>
          </w:rPr>
          <w:fldChar w:fldCharType="separate"/>
        </w:r>
        <w:r>
          <w:rPr>
            <w:noProof/>
            <w:webHidden/>
          </w:rPr>
          <w:t>22</w:t>
        </w:r>
        <w:r>
          <w:rPr>
            <w:noProof/>
            <w:webHidden/>
          </w:rPr>
          <w:fldChar w:fldCharType="end"/>
        </w:r>
      </w:hyperlink>
    </w:p>
    <w:p w14:paraId="3E16FD65" w14:textId="7E326552" w:rsidR="00693900" w:rsidRDefault="00693900">
      <w:pPr>
        <w:pStyle w:val="TableofFigures"/>
        <w:tabs>
          <w:tab w:val="right" w:leader="dot" w:pos="9350"/>
        </w:tabs>
        <w:rPr>
          <w:noProof/>
        </w:rPr>
      </w:pPr>
      <w:hyperlink w:anchor="_Toc229750650" w:history="1">
        <w:r w:rsidRPr="005211DA">
          <w:rPr>
            <w:rStyle w:val="Hyperlink"/>
            <w:noProof/>
          </w:rPr>
          <w:t>Figure 2: COMPOSITE Q-SORT (FACTOR ARRAY) FOR FACTOR 1: ‘HISTORY IS ALREADY A SUSTAINABILITY DISCIPLINE’</w:t>
        </w:r>
        <w:r>
          <w:rPr>
            <w:noProof/>
            <w:webHidden/>
          </w:rPr>
          <w:tab/>
        </w:r>
        <w:r>
          <w:rPr>
            <w:noProof/>
            <w:webHidden/>
          </w:rPr>
          <w:fldChar w:fldCharType="begin"/>
        </w:r>
        <w:r>
          <w:rPr>
            <w:noProof/>
            <w:webHidden/>
          </w:rPr>
          <w:instrText xml:space="preserve"> PAGEREF _Toc229750650 \h </w:instrText>
        </w:r>
        <w:r>
          <w:rPr>
            <w:noProof/>
            <w:webHidden/>
          </w:rPr>
        </w:r>
        <w:r>
          <w:rPr>
            <w:noProof/>
            <w:webHidden/>
          </w:rPr>
          <w:fldChar w:fldCharType="separate"/>
        </w:r>
        <w:r>
          <w:rPr>
            <w:noProof/>
            <w:webHidden/>
          </w:rPr>
          <w:t>36</w:t>
        </w:r>
        <w:r>
          <w:rPr>
            <w:noProof/>
            <w:webHidden/>
          </w:rPr>
          <w:fldChar w:fldCharType="end"/>
        </w:r>
      </w:hyperlink>
    </w:p>
    <w:p w14:paraId="1303D041" w14:textId="564FB6FE" w:rsidR="00693900" w:rsidRDefault="00693900">
      <w:pPr>
        <w:pStyle w:val="TableofFigures"/>
        <w:tabs>
          <w:tab w:val="right" w:leader="dot" w:pos="9350"/>
        </w:tabs>
        <w:rPr>
          <w:noProof/>
        </w:rPr>
      </w:pPr>
      <w:hyperlink w:anchor="_Toc229750651" w:history="1">
        <w:r w:rsidRPr="005211DA">
          <w:rPr>
            <w:rStyle w:val="Hyperlink"/>
            <w:noProof/>
          </w:rPr>
          <w:t>Figure 3: COMPOSITE Q-SORT (FACTOR ARRAY) FOR FACTOR 2: ‘HISTORY MUST ACTVELY CHANGE TO ENGAGE WITH SUSTAINABILITY</w:t>
        </w:r>
        <w:r>
          <w:rPr>
            <w:noProof/>
            <w:webHidden/>
          </w:rPr>
          <w:tab/>
        </w:r>
        <w:r>
          <w:rPr>
            <w:noProof/>
            <w:webHidden/>
          </w:rPr>
          <w:fldChar w:fldCharType="begin"/>
        </w:r>
        <w:r>
          <w:rPr>
            <w:noProof/>
            <w:webHidden/>
          </w:rPr>
          <w:instrText xml:space="preserve"> PAGEREF _Toc229750651 \h </w:instrText>
        </w:r>
        <w:r>
          <w:rPr>
            <w:noProof/>
            <w:webHidden/>
          </w:rPr>
        </w:r>
        <w:r>
          <w:rPr>
            <w:noProof/>
            <w:webHidden/>
          </w:rPr>
          <w:fldChar w:fldCharType="separate"/>
        </w:r>
        <w:r>
          <w:rPr>
            <w:noProof/>
            <w:webHidden/>
          </w:rPr>
          <w:t>43</w:t>
        </w:r>
        <w:r>
          <w:rPr>
            <w:noProof/>
            <w:webHidden/>
          </w:rPr>
          <w:fldChar w:fldCharType="end"/>
        </w:r>
      </w:hyperlink>
    </w:p>
    <w:p w14:paraId="7CA6601C" w14:textId="77777777" w:rsidR="007F0CE8" w:rsidRDefault="00693900" w:rsidP="00693900">
      <w:pPr>
        <w:sectPr w:rsidR="007F0CE8" w:rsidSect="007F0CE8">
          <w:footerReference w:type="even" r:id="rId9"/>
          <w:footerReference w:type="default" r:id="rId10"/>
          <w:pgSz w:w="12240" w:h="15840"/>
          <w:pgMar w:top="1440" w:right="1440" w:bottom="1440" w:left="1440" w:header="720" w:footer="720" w:gutter="0"/>
          <w:pgNumType w:start="1"/>
          <w:cols w:space="720"/>
          <w:noEndnote/>
          <w:titlePg/>
        </w:sectPr>
      </w:pPr>
      <w:r>
        <w:fldChar w:fldCharType="end"/>
      </w:r>
    </w:p>
    <w:p w14:paraId="713F811B" w14:textId="2BB1E718" w:rsidR="00693900" w:rsidRDefault="00693900" w:rsidP="00693900"/>
    <w:p w14:paraId="18084028" w14:textId="7B6F2085" w:rsidR="00846D06" w:rsidRPr="00846D06" w:rsidRDefault="00846D06" w:rsidP="00FA0A77">
      <w:pPr>
        <w:pStyle w:val="Heading1"/>
        <w:rPr>
          <w:lang w:val="en-US"/>
        </w:rPr>
      </w:pPr>
      <w:bookmarkStart w:id="0" w:name="_Toc229750428"/>
      <w:r w:rsidRPr="00846D06">
        <w:rPr>
          <w:lang w:val="en-US"/>
        </w:rPr>
        <w:t>Exploring Academics’ perceptions of Education for Sustainable Development and its role in a history degree: policy-driven implementation, or accidental embedding?</w:t>
      </w:r>
      <w:bookmarkEnd w:id="0"/>
    </w:p>
    <w:p w14:paraId="0F91EC9E"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6C2F11B5" w14:textId="77777777" w:rsidR="00846D06" w:rsidRPr="00846D06" w:rsidRDefault="00846D06" w:rsidP="00846D06">
      <w:pPr>
        <w:pStyle w:val="Heading2"/>
        <w:rPr>
          <w:lang w:val="en-US"/>
        </w:rPr>
      </w:pPr>
      <w:bookmarkStart w:id="1" w:name="_Toc229750429"/>
      <w:r w:rsidRPr="00846D06">
        <w:rPr>
          <w:lang w:val="en-US"/>
        </w:rPr>
        <w:t>1. INTRODUCTION</w:t>
      </w:r>
      <w:bookmarkEnd w:id="1"/>
    </w:p>
    <w:p w14:paraId="64C74251"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Since the UN Decade of Education for Sustainable Development (UN DESD) (2005-2014), there has been pressure on universities to demonstrate engagement with sustainability both from a quality enhancement direction and from a </w:t>
      </w:r>
      <w:proofErr w:type="spellStart"/>
      <w:r w:rsidRPr="00846D06">
        <w:rPr>
          <w:rFonts w:asciiTheme="minorHAnsi" w:hAnsiTheme="minorHAnsi" w:cs="Helvetica"/>
          <w:color w:val="000000"/>
          <w:sz w:val="24"/>
          <w:szCs w:val="24"/>
          <w:lang w:val="en-US"/>
        </w:rPr>
        <w:t>commercialisation</w:t>
      </w:r>
      <w:proofErr w:type="spellEnd"/>
      <w:r w:rsidRPr="00846D06">
        <w:rPr>
          <w:rFonts w:asciiTheme="minorHAnsi" w:hAnsiTheme="minorHAnsi" w:cs="Helvetica"/>
          <w:color w:val="000000"/>
          <w:sz w:val="24"/>
          <w:szCs w:val="24"/>
          <w:lang w:val="en-US"/>
        </w:rPr>
        <w:t xml:space="preserve"> perspective (Fahey, 2018).  Guidance from the Quality Assurance Agency for Higher Education (QAA) in the form of a joint publication with Advance HE (Advance HE and QAA, 2021), along with revised </w:t>
      </w:r>
      <w:r w:rsidRPr="00846D06">
        <w:rPr>
          <w:rFonts w:asciiTheme="minorHAnsi" w:hAnsiTheme="minorHAnsi" w:cs="Helvetica"/>
          <w:i/>
          <w:iCs/>
          <w:color w:val="000000"/>
          <w:sz w:val="24"/>
          <w:szCs w:val="24"/>
          <w:lang w:val="en-US"/>
        </w:rPr>
        <w:t>Subject Benchmark Statements</w:t>
      </w:r>
      <w:r w:rsidRPr="00846D06">
        <w:rPr>
          <w:rFonts w:asciiTheme="minorHAnsi" w:hAnsiTheme="minorHAnsi" w:cs="Helvetica"/>
          <w:color w:val="000000"/>
          <w:sz w:val="24"/>
          <w:szCs w:val="24"/>
          <w:lang w:val="en-US"/>
        </w:rPr>
        <w:t xml:space="preserve"> (QAA, n.d.) call for Education for Sustainable Development (ESD) to be embedded in curriculum content and approaches to learning, teaching and assessment.  At the same time, there is considerable pressure through university league table rankings to prove institutional sustainability credentials (Atici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2020; Bautista-Puig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2022).</w:t>
      </w:r>
    </w:p>
    <w:p w14:paraId="4B47F71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While the pressure to embed ESD falls evenly across disciplines, there remains a disciplinary bias.  The subjects </w:t>
      </w:r>
      <w:proofErr w:type="gramStart"/>
      <w:r w:rsidRPr="00846D06">
        <w:rPr>
          <w:rFonts w:asciiTheme="minorHAnsi" w:hAnsiTheme="minorHAnsi" w:cs="Helvetica"/>
          <w:color w:val="000000"/>
          <w:sz w:val="24"/>
          <w:szCs w:val="24"/>
          <w:lang w:val="en-US"/>
        </w:rPr>
        <w:t>most commonly associated</w:t>
      </w:r>
      <w:proofErr w:type="gramEnd"/>
      <w:r w:rsidRPr="00846D06">
        <w:rPr>
          <w:rFonts w:asciiTheme="minorHAnsi" w:hAnsiTheme="minorHAnsi" w:cs="Helvetica"/>
          <w:color w:val="000000"/>
          <w:sz w:val="24"/>
          <w:szCs w:val="24"/>
          <w:lang w:val="en-US"/>
        </w:rPr>
        <w:t xml:space="preserve"> with sustainability in the literature – Geography, Environmental Science, Engineering, Architecture, Biological Sciences – are those with an obvious connection to environmental systems or the design of sustainable solutions (Advance HE and QAA, 2021; Vogel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2023).  For disciplines in the arts, humanities and social sciences, the relationship is less self-evident, and the perception that sustainability is not relevant to all subject areas has been identified as a significant barrier to engagement (2005; Cotton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2007; Dawe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w:t>
      </w:r>
    </w:p>
    <w:p w14:paraId="22DFFDA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History is a case in point.  As a graduate of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I can reflect that my own undergraduate experience, while intellectually formative, offered no explicit connection to sustainability and no obvious vocational direction.  The degree cultivated habits of mind – critical thinking, comfort with ambiguity, the weighing of contested evidence – but these were never framed as having relevance to the pressing global challenges that ESD seeks to address.  This experience is not unusual: History, along with other arts and humanities disciplines, has tended to be perceived as peripheral to the sustainability agenda (Brooks and Ryan, 2006; Christie et al., 2015).  Yet, as this study will argue, there are compelling reasons to believe that the epistemology of History is fundamentally aligned with the intellectual demands of sustainability – and that the apparent distance between the two may be more a failure of framing than of substance.</w:t>
      </w:r>
    </w:p>
    <w:p w14:paraId="0612117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research aims to investigate the perceptions of History lecturers at four U.K. universities concerning ESD and its role withing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w:t>
      </w:r>
      <w:proofErr w:type="spellStart"/>
      <w:r w:rsidRPr="00846D06">
        <w:rPr>
          <w:rFonts w:asciiTheme="minorHAnsi" w:hAnsiTheme="minorHAnsi" w:cs="Helvetica"/>
          <w:color w:val="000000"/>
          <w:sz w:val="24"/>
          <w:szCs w:val="24"/>
          <w:lang w:val="en-US"/>
        </w:rPr>
        <w:t>programme</w:t>
      </w:r>
      <w:proofErr w:type="spellEnd"/>
      <w:r w:rsidRPr="00846D06">
        <w:rPr>
          <w:rFonts w:asciiTheme="minorHAnsi" w:hAnsiTheme="minorHAnsi" w:cs="Helvetica"/>
          <w:color w:val="000000"/>
          <w:sz w:val="24"/>
          <w:szCs w:val="24"/>
          <w:lang w:val="en-US"/>
        </w:rPr>
        <w:t xml:space="preserve">.  Working as a Curriculum Development Specialist at a university with a strong reputation for sustainability education, I support course teams across disciplines in identifying and articulating connections to ESD.  This study is motivated by a professional conviction that such connections exist for all disciplines, including History, and by the need to understand how best to support academics in </w:t>
      </w:r>
      <w:proofErr w:type="spellStart"/>
      <w:r w:rsidRPr="00846D06">
        <w:rPr>
          <w:rFonts w:asciiTheme="minorHAnsi" w:hAnsiTheme="minorHAnsi" w:cs="Helvetica"/>
          <w:color w:val="000000"/>
          <w:sz w:val="24"/>
          <w:szCs w:val="24"/>
          <w:lang w:val="en-US"/>
        </w:rPr>
        <w:t>recognising</w:t>
      </w:r>
      <w:proofErr w:type="spellEnd"/>
      <w:r w:rsidRPr="00846D06">
        <w:rPr>
          <w:rFonts w:asciiTheme="minorHAnsi" w:hAnsiTheme="minorHAnsi" w:cs="Helvetica"/>
          <w:color w:val="000000"/>
          <w:sz w:val="24"/>
          <w:szCs w:val="24"/>
          <w:lang w:val="en-US"/>
        </w:rPr>
        <w:t xml:space="preserve"> and making use of them.  The literature review that follows will begin by examining the epistemology of History and its alignment with sustainability thinking, before situating this within the broader discourse on the purpose of higher education and the policy frameworks driving ESD.  Subsequent sections will review existing research on academics’ perceptions of ESD, the evolving pedagogy of History in higher education, and the limited literature connecting History to ESD directly.  The methodology, research methods, findings and conclusions of the study will then be presented.</w:t>
      </w:r>
    </w:p>
    <w:p w14:paraId="7E358F85" w14:textId="77777777" w:rsidR="00846D06" w:rsidRPr="00846D06" w:rsidRDefault="00846D06" w:rsidP="00846D06">
      <w:pPr>
        <w:pStyle w:val="Heading2"/>
        <w:rPr>
          <w:lang w:val="en-US"/>
        </w:rPr>
      </w:pPr>
      <w:bookmarkStart w:id="2" w:name="_Toc229750430"/>
      <w:r w:rsidRPr="00846D06">
        <w:rPr>
          <w:lang w:val="en-US"/>
        </w:rPr>
        <w:lastRenderedPageBreak/>
        <w:t>2. REVIEW OF THE LITERATURE</w:t>
      </w:r>
      <w:bookmarkEnd w:id="2"/>
    </w:p>
    <w:p w14:paraId="67CFDA79" w14:textId="77777777" w:rsidR="00846D06" w:rsidRPr="00846D06" w:rsidRDefault="00846D06" w:rsidP="00846D06">
      <w:pPr>
        <w:pStyle w:val="Heading3"/>
        <w:rPr>
          <w:lang w:val="en-US"/>
        </w:rPr>
      </w:pPr>
      <w:bookmarkStart w:id="3" w:name="_Toc229750431"/>
      <w:r w:rsidRPr="00846D06">
        <w:rPr>
          <w:lang w:val="en-US"/>
        </w:rPr>
        <w:t>2.1 HISTORY AS A DISCIPLINE OF COMPLEXITY</w:t>
      </w:r>
      <w:bookmarkEnd w:id="3"/>
    </w:p>
    <w:p w14:paraId="2BFD493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EEECD7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 a recent publication on the teaching of History in higher education, Dickinson (2025) searches for an ‘epistemology of History’ (p.17) and arrives at a strong conclusion: History as a discipline is defined not by methodological coherence but by its embrace of complexity and indeterminacy.  Because History is methodologically messy and lacks agreed-upon standards, Dickinson argues that educators should abandon the pursuit of epistemological coherence in </w:t>
      </w:r>
      <w:proofErr w:type="spellStart"/>
      <w:r w:rsidRPr="00846D06">
        <w:rPr>
          <w:rFonts w:asciiTheme="minorHAnsi" w:hAnsiTheme="minorHAnsi" w:cs="Helvetica"/>
          <w:color w:val="000000"/>
          <w:sz w:val="24"/>
          <w:szCs w:val="24"/>
          <w:lang w:val="en-US"/>
        </w:rPr>
        <w:t>favour</w:t>
      </w:r>
      <w:proofErr w:type="spellEnd"/>
      <w:r w:rsidRPr="00846D06">
        <w:rPr>
          <w:rFonts w:asciiTheme="minorHAnsi" w:hAnsiTheme="minorHAnsi" w:cs="Helvetica"/>
          <w:color w:val="000000"/>
          <w:sz w:val="24"/>
          <w:szCs w:val="24"/>
          <w:lang w:val="en-US"/>
        </w:rPr>
        <w:t xml:space="preserve"> of an ‘ethical definition’ (ibid. p12) that views past actors as fully human within a holistic context.  The result is a discipline that </w:t>
      </w:r>
      <w:r w:rsidRPr="00846D06">
        <w:rPr>
          <w:rFonts w:asciiTheme="minorHAnsi" w:hAnsiTheme="minorHAnsi" w:cs="Helvetica"/>
          <w:i/>
          <w:iCs/>
          <w:color w:val="000000"/>
          <w:sz w:val="24"/>
          <w:szCs w:val="24"/>
          <w:lang w:val="en-US"/>
        </w:rPr>
        <w:t>predisposes</w:t>
      </w:r>
      <w:r w:rsidRPr="00846D06">
        <w:rPr>
          <w:rFonts w:asciiTheme="minorHAnsi" w:hAnsiTheme="minorHAnsi" w:cs="Helvetica"/>
          <w:color w:val="000000"/>
          <w:sz w:val="24"/>
          <w:szCs w:val="24"/>
          <w:lang w:val="en-US"/>
        </w:rPr>
        <w:t xml:space="preserve"> its students ‘to accept and understand complexity and indeterminacy’ (ibid. p.183).  Students of History learn to navigate ambiguity, weigh contested evidence, hold multiple perspectives in tension, and resist the temptation of singular causal explanations.  These are not incidental by-products of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they are its core intellectual offering.</w:t>
      </w:r>
    </w:p>
    <w:p w14:paraId="1A4C820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matters because the challenges articulated by the United Nations Sustainable Development Goals (SDGs) – poverty, inequality, climate change, environmental degradation, peace and justice (UNESCO, 2017) – are not susceptible to neat technical fixes.  They are </w:t>
      </w:r>
      <w:proofErr w:type="spellStart"/>
      <w:r w:rsidRPr="00846D06">
        <w:rPr>
          <w:rFonts w:asciiTheme="minorHAnsi" w:hAnsiTheme="minorHAnsi" w:cs="Helvetica"/>
          <w:color w:val="000000"/>
          <w:sz w:val="24"/>
          <w:szCs w:val="24"/>
          <w:lang w:val="en-US"/>
        </w:rPr>
        <w:t>characterised</w:t>
      </w:r>
      <w:proofErr w:type="spellEnd"/>
      <w:r w:rsidRPr="00846D06">
        <w:rPr>
          <w:rFonts w:asciiTheme="minorHAnsi" w:hAnsiTheme="minorHAnsi" w:cs="Helvetica"/>
          <w:color w:val="000000"/>
          <w:sz w:val="24"/>
          <w:szCs w:val="24"/>
          <w:lang w:val="en-US"/>
        </w:rPr>
        <w:t xml:space="preserve"> by precisely the kind of complexity, contested values and entangled causation that historians are trained to interrogate.  There is, therefore, a compelling case to be made that History is an inherently sustainability-oriented discipline – not because it teaches students </w:t>
      </w:r>
      <w:r w:rsidRPr="00846D06">
        <w:rPr>
          <w:rFonts w:asciiTheme="minorHAnsi" w:hAnsiTheme="minorHAnsi" w:cs="Helvetica"/>
          <w:i/>
          <w:iCs/>
          <w:color w:val="000000"/>
          <w:sz w:val="24"/>
          <w:szCs w:val="24"/>
          <w:lang w:val="en-US"/>
        </w:rPr>
        <w:t>about</w:t>
      </w:r>
      <w:r w:rsidRPr="00846D06">
        <w:rPr>
          <w:rFonts w:asciiTheme="minorHAnsi" w:hAnsiTheme="minorHAnsi" w:cs="Helvetica"/>
          <w:color w:val="000000"/>
          <w:sz w:val="24"/>
          <w:szCs w:val="24"/>
          <w:lang w:val="en-US"/>
        </w:rPr>
        <w:t xml:space="preserve"> sustainability, but because it teaches them to </w:t>
      </w:r>
      <w:r w:rsidRPr="00846D06">
        <w:rPr>
          <w:rFonts w:asciiTheme="minorHAnsi" w:hAnsiTheme="minorHAnsi" w:cs="Helvetica"/>
          <w:i/>
          <w:iCs/>
          <w:color w:val="000000"/>
          <w:sz w:val="24"/>
          <w:szCs w:val="24"/>
          <w:lang w:val="en-US"/>
        </w:rPr>
        <w:t>think</w:t>
      </w:r>
      <w:r w:rsidRPr="00846D06">
        <w:rPr>
          <w:rFonts w:asciiTheme="minorHAnsi" w:hAnsiTheme="minorHAnsi" w:cs="Helvetica"/>
          <w:color w:val="000000"/>
          <w:sz w:val="24"/>
          <w:szCs w:val="24"/>
          <w:lang w:val="en-US"/>
        </w:rPr>
        <w:t xml:space="preserve"> in the ways that sustainability challenges demand.</w:t>
      </w:r>
    </w:p>
    <w:p w14:paraId="04252AC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There is recognition within higher education of the value of historical engagement with sustainability issues.  The Centre for World Environmental History at the University of Sussex, established to examine past human-environment interactions, exemplifies institutional recognition that historical inquiry has a distinctive contribution to make to environmental and sustainability scholarship.  Moreover, the 2006 report on Education for Sustainable Development (ESD) for the Higher Education Academy (HEA) Subject </w:t>
      </w:r>
      <w:proofErr w:type="spellStart"/>
      <w:r w:rsidRPr="00846D06">
        <w:rPr>
          <w:rFonts w:asciiTheme="minorHAnsi" w:hAnsiTheme="minorHAnsi" w:cs="Helvetica"/>
          <w:color w:val="000000"/>
          <w:sz w:val="24"/>
          <w:szCs w:val="24"/>
          <w:lang w:val="en-US"/>
        </w:rPr>
        <w:t>Centres</w:t>
      </w:r>
      <w:proofErr w:type="spellEnd"/>
      <w:r w:rsidRPr="00846D06">
        <w:rPr>
          <w:rFonts w:asciiTheme="minorHAnsi" w:hAnsiTheme="minorHAnsi" w:cs="Helvetica"/>
          <w:color w:val="000000"/>
          <w:sz w:val="24"/>
          <w:szCs w:val="24"/>
          <w:lang w:val="en-US"/>
        </w:rPr>
        <w:t xml:space="preserve"> for History, Classics and Archaeology (HCA) and Sociology, Anthropology and Politics (C-SAP) (Brooks and Ryan, 2006) found a significant number of Environmental History courses across the U.K., alongside individuals with research expertise in sustainability.  While dated, this report is interesting for its finding that academics in these disciplines understood the new expectations of ESD through the lens of a pre-existing focus on notions such as progress, nature, and power dynamics in past human-environment interactions – suggesting that historians had already been engaging with sustainability-related questions long before the language of ESD entered the quality assurance framework.</w:t>
      </w:r>
    </w:p>
    <w:p w14:paraId="20E7AF4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 highly significant finding of the Brooks and Ryan (2006) report is that ‘Our academics do not want the implicit to be made crudely explicit…’ (p.17).  This tension – between the organic alignment of History with sustainability thinking and the policy-driven demand for explicit ESD embedding – lies at the heart of this research.  If History already cultivates the habits of mind that ESD seeks to develop, what is the role of deliberate, labelled ESD provision within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w:t>
      </w:r>
      <w:proofErr w:type="spellStart"/>
      <w:r w:rsidRPr="00846D06">
        <w:rPr>
          <w:rFonts w:asciiTheme="minorHAnsi" w:hAnsiTheme="minorHAnsi" w:cs="Helvetica"/>
          <w:color w:val="000000"/>
          <w:sz w:val="24"/>
          <w:szCs w:val="24"/>
          <w:lang w:val="en-US"/>
        </w:rPr>
        <w:t>programme</w:t>
      </w:r>
      <w:proofErr w:type="spellEnd"/>
      <w:r w:rsidRPr="00846D06">
        <w:rPr>
          <w:rFonts w:asciiTheme="minorHAnsi" w:hAnsiTheme="minorHAnsi" w:cs="Helvetica"/>
          <w:color w:val="000000"/>
          <w:sz w:val="24"/>
          <w:szCs w:val="24"/>
          <w:lang w:val="en-US"/>
        </w:rPr>
        <w:t>?  And how do historians themselves perceive this question?</w:t>
      </w:r>
    </w:p>
    <w:p w14:paraId="733CD29E"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F68F9B2" w14:textId="77777777" w:rsidR="00846D06" w:rsidRPr="00846D06" w:rsidRDefault="00846D06" w:rsidP="00846D06">
      <w:pPr>
        <w:pStyle w:val="Heading3"/>
        <w:rPr>
          <w:lang w:val="en-US"/>
        </w:rPr>
      </w:pPr>
      <w:bookmarkStart w:id="4" w:name="_Toc229750432"/>
      <w:r w:rsidRPr="00846D06">
        <w:rPr>
          <w:lang w:val="en-US"/>
        </w:rPr>
        <w:t>2.2 SUSTAINABILITY, HIGHER EDUCATION, AND THE CHALLENGE OF COMPLEXITY</w:t>
      </w:r>
      <w:bookmarkEnd w:id="4"/>
    </w:p>
    <w:p w14:paraId="79401D11" w14:textId="77777777" w:rsidR="00846D06" w:rsidRPr="00846D06" w:rsidRDefault="00846D06" w:rsidP="00846D06">
      <w:pPr>
        <w:autoSpaceDE w:val="0"/>
        <w:autoSpaceDN w:val="0"/>
        <w:adjustRightInd w:val="0"/>
        <w:spacing w:after="266" w:line="336"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BA81BAC"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The alignment between History’s epistemology and the demands of sustainability can be situated within a broader discourse about the purpose of higher education.  Barnett’s (2004) influential concept of ‘</w:t>
      </w:r>
      <w:proofErr w:type="spellStart"/>
      <w:r w:rsidRPr="00846D06">
        <w:rPr>
          <w:rFonts w:asciiTheme="minorHAnsi" w:hAnsiTheme="minorHAnsi" w:cs="Helvetica"/>
          <w:color w:val="000000"/>
          <w:sz w:val="24"/>
          <w:szCs w:val="24"/>
          <w:lang w:val="en-US"/>
        </w:rPr>
        <w:t>supercomplexity</w:t>
      </w:r>
      <w:proofErr w:type="spellEnd"/>
      <w:r w:rsidRPr="00846D06">
        <w:rPr>
          <w:rFonts w:asciiTheme="minorHAnsi" w:hAnsiTheme="minorHAnsi" w:cs="Helvetica"/>
          <w:color w:val="000000"/>
          <w:sz w:val="24"/>
          <w:szCs w:val="24"/>
          <w:lang w:val="en-US"/>
        </w:rPr>
        <w:t xml:space="preserve">’ (p.71) argues that universities must prepare graduates not simply with knowledge or skills, but with the capacity to navigate a world of radical uncertainty where multiple frameworks of understanding compete and conflict.  </w:t>
      </w:r>
      <w:proofErr w:type="spellStart"/>
      <w:r w:rsidRPr="00846D06">
        <w:rPr>
          <w:rFonts w:asciiTheme="minorHAnsi" w:hAnsiTheme="minorHAnsi" w:cs="Helvetica"/>
          <w:color w:val="000000"/>
          <w:sz w:val="24"/>
          <w:szCs w:val="24"/>
          <w:lang w:val="en-US"/>
        </w:rPr>
        <w:t>Dall’Alba</w:t>
      </w:r>
      <w:proofErr w:type="spellEnd"/>
      <w:r w:rsidRPr="00846D06">
        <w:rPr>
          <w:rFonts w:asciiTheme="minorHAnsi" w:hAnsiTheme="minorHAnsi" w:cs="Helvetica"/>
          <w:color w:val="000000"/>
          <w:sz w:val="24"/>
          <w:szCs w:val="24"/>
          <w:lang w:val="en-US"/>
        </w:rPr>
        <w:t xml:space="preserve"> and Barnacle (2007) extend this argument, proposing a shift from the epistemological to the ontological purpose of higher education, drawing on Barnett’s ‘knowing, acting and being’ (p.679) framework.  The aim, in this view, is a transformative education producing individuals with the openness and vision to confront global and societal challenges.</w:t>
      </w:r>
    </w:p>
    <w:p w14:paraId="6B3A711F"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knowing, acting and being framework has achieved a strong association in recent years with ESD (Shephard, 2008; </w:t>
      </w:r>
      <w:proofErr w:type="spellStart"/>
      <w:r w:rsidRPr="00846D06">
        <w:rPr>
          <w:rFonts w:asciiTheme="minorHAnsi" w:hAnsiTheme="minorHAnsi" w:cs="Helvetica"/>
          <w:color w:val="000000"/>
          <w:sz w:val="24"/>
          <w:szCs w:val="24"/>
          <w:lang w:val="en-US"/>
        </w:rPr>
        <w:t>Sípos</w:t>
      </w:r>
      <w:proofErr w:type="spellEnd"/>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2008; Advance HE/QAA, 2021), which </w:t>
      </w:r>
      <w:proofErr w:type="spellStart"/>
      <w:r w:rsidRPr="00846D06">
        <w:rPr>
          <w:rFonts w:asciiTheme="minorHAnsi" w:hAnsiTheme="minorHAnsi" w:cs="Helvetica"/>
          <w:color w:val="000000"/>
          <w:sz w:val="24"/>
          <w:szCs w:val="24"/>
          <w:lang w:val="en-US"/>
        </w:rPr>
        <w:t>emphasises</w:t>
      </w:r>
      <w:proofErr w:type="spellEnd"/>
      <w:r w:rsidRPr="00846D06">
        <w:rPr>
          <w:rFonts w:asciiTheme="minorHAnsi" w:hAnsiTheme="minorHAnsi" w:cs="Helvetica"/>
          <w:color w:val="000000"/>
          <w:sz w:val="24"/>
          <w:szCs w:val="24"/>
          <w:lang w:val="en-US"/>
        </w:rPr>
        <w:t xml:space="preserve"> transformative learning, critical thinking, and the challenging of existing worldviews and norms.  ESD calls for individuals to take informed decisions and responsible actions for environmental integrity, economic viability and just societies for present and future generations (Cortese and Hatton, 2010; Zhou, 2024).  </w:t>
      </w:r>
      <w:proofErr w:type="spellStart"/>
      <w:r w:rsidRPr="00846D06">
        <w:rPr>
          <w:rFonts w:asciiTheme="minorHAnsi" w:hAnsiTheme="minorHAnsi" w:cs="Helvetica"/>
          <w:color w:val="000000"/>
          <w:sz w:val="24"/>
          <w:szCs w:val="24"/>
          <w:lang w:val="en-US"/>
        </w:rPr>
        <w:t>Sípos</w:t>
      </w:r>
      <w:proofErr w:type="spellEnd"/>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(2008) </w:t>
      </w:r>
      <w:proofErr w:type="spellStart"/>
      <w:r w:rsidRPr="00846D06">
        <w:rPr>
          <w:rFonts w:asciiTheme="minorHAnsi" w:hAnsiTheme="minorHAnsi" w:cs="Helvetica"/>
          <w:color w:val="000000"/>
          <w:sz w:val="24"/>
          <w:szCs w:val="24"/>
          <w:lang w:val="en-US"/>
        </w:rPr>
        <w:t>organise</w:t>
      </w:r>
      <w:proofErr w:type="spellEnd"/>
      <w:r w:rsidRPr="00846D06">
        <w:rPr>
          <w:rFonts w:asciiTheme="minorHAnsi" w:hAnsiTheme="minorHAnsi" w:cs="Helvetica"/>
          <w:color w:val="000000"/>
          <w:sz w:val="24"/>
          <w:szCs w:val="24"/>
          <w:lang w:val="en-US"/>
        </w:rPr>
        <w:t xml:space="preserve"> sustainability learning objectives as relating to head, heart and hands, or ‘cognitive, psychomotor and affective domains’ (p.77), while Shephard (2008) proposes that affective learning outcomes – necessitating the transformation of the individual – form ‘the essence of education for sustainability’ (p.88).</w:t>
      </w:r>
    </w:p>
    <w:p w14:paraId="3C1291B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What is notable about this discourse is how closely it echoes what Dickinson (2025) identifies as already happening within History.  The discipline’s emphasis on independent thinking, breadth and depth of inquiry, intellectual </w:t>
      </w:r>
      <w:proofErr w:type="spellStart"/>
      <w:r w:rsidRPr="00846D06">
        <w:rPr>
          <w:rFonts w:asciiTheme="minorHAnsi" w:hAnsiTheme="minorHAnsi" w:cs="Helvetica"/>
          <w:color w:val="000000"/>
          <w:sz w:val="24"/>
          <w:szCs w:val="24"/>
          <w:lang w:val="en-US"/>
        </w:rPr>
        <w:t>rigour</w:t>
      </w:r>
      <w:proofErr w:type="spellEnd"/>
      <w:r w:rsidRPr="00846D06">
        <w:rPr>
          <w:rFonts w:asciiTheme="minorHAnsi" w:hAnsiTheme="minorHAnsi" w:cs="Helvetica"/>
          <w:color w:val="000000"/>
          <w:sz w:val="24"/>
          <w:szCs w:val="24"/>
          <w:lang w:val="en-US"/>
        </w:rPr>
        <w:t xml:space="preserve">, flexibility, open-mindedness, and engagement with diverse perspectives maps directly onto the competencies that ESD </w:t>
      </w:r>
      <w:r w:rsidRPr="00846D06">
        <w:rPr>
          <w:rFonts w:asciiTheme="minorHAnsi" w:hAnsiTheme="minorHAnsi" w:cs="Helvetica"/>
          <w:color w:val="000000"/>
          <w:sz w:val="24"/>
          <w:szCs w:val="24"/>
          <w:lang w:val="en-US"/>
        </w:rPr>
        <w:lastRenderedPageBreak/>
        <w:t xml:space="preserve">seeks to cultivate.  The question is whether this alignment is </w:t>
      </w:r>
      <w:proofErr w:type="spellStart"/>
      <w:r w:rsidRPr="00846D06">
        <w:rPr>
          <w:rFonts w:asciiTheme="minorHAnsi" w:hAnsiTheme="minorHAnsi" w:cs="Helvetica"/>
          <w:color w:val="000000"/>
          <w:sz w:val="24"/>
          <w:szCs w:val="24"/>
          <w:lang w:val="en-US"/>
        </w:rPr>
        <w:t>recognised</w:t>
      </w:r>
      <w:proofErr w:type="spellEnd"/>
      <w:r w:rsidRPr="00846D06">
        <w:rPr>
          <w:rFonts w:asciiTheme="minorHAnsi" w:hAnsiTheme="minorHAnsi" w:cs="Helvetica"/>
          <w:color w:val="000000"/>
          <w:sz w:val="24"/>
          <w:szCs w:val="24"/>
          <w:lang w:val="en-US"/>
        </w:rPr>
        <w:t>, and whether it matters to historians that it be made visible.</w:t>
      </w:r>
    </w:p>
    <w:p w14:paraId="2F6D296B"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9DAC517" w14:textId="77777777" w:rsidR="00846D06" w:rsidRPr="00846D06" w:rsidRDefault="00846D06" w:rsidP="00846D06">
      <w:pPr>
        <w:pStyle w:val="Heading3"/>
        <w:rPr>
          <w:lang w:val="en-US"/>
        </w:rPr>
      </w:pPr>
      <w:bookmarkStart w:id="5" w:name="_Toc229750433"/>
      <w:r w:rsidRPr="00846D06">
        <w:rPr>
          <w:lang w:val="en-US"/>
        </w:rPr>
        <w:t>2.3 ESD IN U.K. HIGHER EDUCATION: POLICY DRIVERS AND QUALITY FRAMEWORKS</w:t>
      </w:r>
      <w:bookmarkEnd w:id="5"/>
    </w:p>
    <w:p w14:paraId="28C7C751"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3363E9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Since the UN Decade of Education for Sustainable Development (UN DESD) (2005-2014), there has been increasing pressure on U.K. universities to demonstrate engagement with sustainability.  The </w:t>
      </w:r>
      <w:r w:rsidRPr="00846D06">
        <w:rPr>
          <w:rFonts w:asciiTheme="minorHAnsi" w:hAnsiTheme="minorHAnsi" w:cs="Helvetica"/>
          <w:i/>
          <w:iCs/>
          <w:color w:val="000000"/>
          <w:sz w:val="24"/>
          <w:szCs w:val="24"/>
          <w:lang w:val="en-US"/>
        </w:rPr>
        <w:t>Advance HE/QAA Education for Sustainable Development Guidance</w:t>
      </w:r>
      <w:r w:rsidRPr="00846D06">
        <w:rPr>
          <w:rFonts w:asciiTheme="minorHAnsi" w:hAnsiTheme="minorHAnsi" w:cs="Helvetica"/>
          <w:color w:val="000000"/>
          <w:sz w:val="24"/>
          <w:szCs w:val="24"/>
          <w:lang w:val="en-US"/>
        </w:rPr>
        <w:t xml:space="preserve"> (Advance HE and QAA, 2021), first published in 2014 and substantially revised in 2021, has been particularly influential.  The </w:t>
      </w:r>
      <w:r w:rsidRPr="00846D06">
        <w:rPr>
          <w:rFonts w:asciiTheme="minorHAnsi" w:hAnsiTheme="minorHAnsi" w:cs="Helvetica"/>
          <w:i/>
          <w:iCs/>
          <w:color w:val="000000"/>
          <w:sz w:val="24"/>
          <w:szCs w:val="24"/>
          <w:lang w:val="en-US"/>
        </w:rPr>
        <w:t>Guidance</w:t>
      </w:r>
      <w:r w:rsidRPr="00846D06">
        <w:rPr>
          <w:rFonts w:asciiTheme="minorHAnsi" w:hAnsiTheme="minorHAnsi" w:cs="Helvetica"/>
          <w:color w:val="000000"/>
          <w:sz w:val="24"/>
          <w:szCs w:val="24"/>
          <w:lang w:val="en-US"/>
        </w:rPr>
        <w:t xml:space="preserve"> articulates the UNESCO eight ‘key competencies for sustainability’ (UNESCO, 2017) in the higher education context, </w:t>
      </w:r>
      <w:proofErr w:type="spellStart"/>
      <w:r w:rsidRPr="00846D06">
        <w:rPr>
          <w:rFonts w:asciiTheme="minorHAnsi" w:hAnsiTheme="minorHAnsi" w:cs="Helvetica"/>
          <w:color w:val="000000"/>
          <w:sz w:val="24"/>
          <w:szCs w:val="24"/>
          <w:lang w:val="en-US"/>
        </w:rPr>
        <w:t>emphasises</w:t>
      </w:r>
      <w:proofErr w:type="spellEnd"/>
      <w:r w:rsidRPr="00846D06">
        <w:rPr>
          <w:rFonts w:asciiTheme="minorHAnsi" w:hAnsiTheme="minorHAnsi" w:cs="Helvetica"/>
          <w:color w:val="000000"/>
          <w:sz w:val="24"/>
          <w:szCs w:val="24"/>
          <w:lang w:val="en-US"/>
        </w:rPr>
        <w:t xml:space="preserve"> the interdependence of environmental integrity, social justice and economic prosperity, and suggests ways in which ESD might be included in learning, teaching, and quality processes.  Internationally, it has been praised for its potential to influence change through quality assurance and enhancement processes (Janssens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2022).</w:t>
      </w:r>
    </w:p>
    <w:p w14:paraId="230C5B0F"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Of </w:t>
      </w:r>
      <w:proofErr w:type="gramStart"/>
      <w:r w:rsidRPr="00846D06">
        <w:rPr>
          <w:rFonts w:asciiTheme="minorHAnsi" w:hAnsiTheme="minorHAnsi" w:cs="Helvetica"/>
          <w:color w:val="000000"/>
          <w:sz w:val="24"/>
          <w:szCs w:val="24"/>
          <w:lang w:val="en-US"/>
        </w:rPr>
        <w:t>particular relevance</w:t>
      </w:r>
      <w:proofErr w:type="gramEnd"/>
      <w:r w:rsidRPr="00846D06">
        <w:rPr>
          <w:rFonts w:asciiTheme="minorHAnsi" w:hAnsiTheme="minorHAnsi" w:cs="Helvetica"/>
          <w:color w:val="000000"/>
          <w:sz w:val="24"/>
          <w:szCs w:val="24"/>
          <w:lang w:val="en-US"/>
        </w:rPr>
        <w:t xml:space="preserve"> to this study is the revised QAA </w:t>
      </w:r>
      <w:r w:rsidRPr="00846D06">
        <w:rPr>
          <w:rFonts w:asciiTheme="minorHAnsi" w:hAnsiTheme="minorHAnsi" w:cs="Helvetica"/>
          <w:i/>
          <w:iCs/>
          <w:color w:val="000000"/>
          <w:sz w:val="24"/>
          <w:szCs w:val="24"/>
          <w:lang w:val="en-US"/>
        </w:rPr>
        <w:t>Subject Benchmark Statement for History</w:t>
      </w:r>
      <w:r w:rsidRPr="00846D06">
        <w:rPr>
          <w:rFonts w:asciiTheme="minorHAnsi" w:hAnsiTheme="minorHAnsi" w:cs="Helvetica"/>
          <w:color w:val="000000"/>
          <w:sz w:val="24"/>
          <w:szCs w:val="24"/>
          <w:lang w:val="en-US"/>
        </w:rPr>
        <w:t xml:space="preserve"> (QAA, 2022), which makes explicit reference to sustainability as it relates to the discipline.  The </w:t>
      </w:r>
      <w:r w:rsidRPr="00846D06">
        <w:rPr>
          <w:rFonts w:asciiTheme="minorHAnsi" w:hAnsiTheme="minorHAnsi" w:cs="Helvetica"/>
          <w:i/>
          <w:iCs/>
          <w:color w:val="000000"/>
          <w:sz w:val="24"/>
          <w:szCs w:val="24"/>
          <w:lang w:val="en-US"/>
        </w:rPr>
        <w:t>Statement</w:t>
      </w:r>
      <w:r w:rsidRPr="00846D06">
        <w:rPr>
          <w:rFonts w:asciiTheme="minorHAnsi" w:hAnsiTheme="minorHAnsi" w:cs="Helvetica"/>
          <w:color w:val="000000"/>
          <w:sz w:val="24"/>
          <w:szCs w:val="24"/>
          <w:lang w:val="en-US"/>
        </w:rPr>
        <w:t xml:space="preserve"> identifies three areas of connection: disciplinary content, particularly Environmental History; engagement with heritage and conservation; and teaching methods that focus on examining change, causation and multi-perspectivity.  Ultimately, the </w:t>
      </w:r>
      <w:r w:rsidRPr="00846D06">
        <w:rPr>
          <w:rFonts w:asciiTheme="minorHAnsi" w:hAnsiTheme="minorHAnsi" w:cs="Helvetica"/>
          <w:i/>
          <w:iCs/>
          <w:color w:val="000000"/>
          <w:sz w:val="24"/>
          <w:szCs w:val="24"/>
          <w:lang w:val="en-US"/>
        </w:rPr>
        <w:t>Statement</w:t>
      </w:r>
      <w:r w:rsidRPr="00846D06">
        <w:rPr>
          <w:rFonts w:asciiTheme="minorHAnsi" w:hAnsiTheme="minorHAnsi" w:cs="Helvetica"/>
          <w:color w:val="000000"/>
          <w:sz w:val="24"/>
          <w:szCs w:val="24"/>
          <w:lang w:val="en-US"/>
        </w:rPr>
        <w:t xml:space="preserve"> concludes that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prepares graduates for complex current and future sustainability challenges requiring critical mindsets, flexibility, and multi-disciplinary approaches.  This is, in essence, a quality assurance validation of the argument advanced by Dickinson (2025) – that the </w:t>
      </w:r>
      <w:r w:rsidRPr="00846D06">
        <w:rPr>
          <w:rFonts w:asciiTheme="minorHAnsi" w:hAnsiTheme="minorHAnsi" w:cs="Helvetica"/>
          <w:color w:val="000000"/>
          <w:sz w:val="24"/>
          <w:szCs w:val="24"/>
          <w:lang w:val="en-US"/>
        </w:rPr>
        <w:lastRenderedPageBreak/>
        <w:t>epistemology of History is fundamentally aligned with the intellectual demands of sustainability.</w:t>
      </w:r>
    </w:p>
    <w:p w14:paraId="2C0E225F"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Yet the question remains: has this policy recognition translated into practice?  The evidence from the literature is limited and somewhat discouraging.  Research into the perceptions of historians regarding ESD remains strikingly scarce, and the isolated examples of dedicated modules or projects that exist – an interdisciplinary food systems module (Blodgett and Feld, 2021), a pilot study integrating historical content into ICT for Sustainability (Brooks et al., 2024) – are far too limited to suggest systematic disciplinary engagement with ESD.  This study aims to address that gap.</w:t>
      </w:r>
    </w:p>
    <w:p w14:paraId="35495AC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A2C239D" w14:textId="77777777" w:rsidR="00846D06" w:rsidRPr="00846D06" w:rsidRDefault="00846D06" w:rsidP="00846D06">
      <w:pPr>
        <w:pStyle w:val="Heading3"/>
        <w:rPr>
          <w:lang w:val="en-US"/>
        </w:rPr>
      </w:pPr>
      <w:bookmarkStart w:id="6" w:name="_Toc229750434"/>
      <w:r w:rsidRPr="00846D06">
        <w:rPr>
          <w:lang w:val="en-US"/>
        </w:rPr>
        <w:t>2.4 ACADEMICS’ PERCEPTIONS OF ESD</w:t>
      </w:r>
      <w:bookmarkEnd w:id="6"/>
    </w:p>
    <w:p w14:paraId="6A5F150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CB682F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Studies regarding the ways in which higher education practitioners perceive ESD have been relatively few.  An early study at Macquarie University (Australia) took a </w:t>
      </w:r>
      <w:proofErr w:type="spellStart"/>
      <w:r w:rsidRPr="00846D06">
        <w:rPr>
          <w:rFonts w:asciiTheme="minorHAnsi" w:hAnsiTheme="minorHAnsi" w:cs="Helvetica"/>
          <w:color w:val="000000"/>
          <w:sz w:val="24"/>
          <w:szCs w:val="24"/>
          <w:lang w:val="en-US"/>
        </w:rPr>
        <w:t>phenomenographic</w:t>
      </w:r>
      <w:proofErr w:type="spellEnd"/>
      <w:r w:rsidRPr="00846D06">
        <w:rPr>
          <w:rFonts w:asciiTheme="minorHAnsi" w:hAnsiTheme="minorHAnsi" w:cs="Helvetica"/>
          <w:color w:val="000000"/>
          <w:sz w:val="24"/>
          <w:szCs w:val="24"/>
          <w:lang w:val="en-US"/>
        </w:rPr>
        <w:t xml:space="preserve"> approach through interviews with 14 lecturers (Reid and </w:t>
      </w:r>
      <w:proofErr w:type="spellStart"/>
      <w:r w:rsidRPr="00846D06">
        <w:rPr>
          <w:rFonts w:asciiTheme="minorHAnsi" w:hAnsiTheme="minorHAnsi" w:cs="Helvetica"/>
          <w:color w:val="000000"/>
          <w:sz w:val="24"/>
          <w:szCs w:val="24"/>
          <w:lang w:val="en-US"/>
        </w:rPr>
        <w:t>Petocz</w:t>
      </w:r>
      <w:proofErr w:type="spellEnd"/>
      <w:r w:rsidRPr="00846D06">
        <w:rPr>
          <w:rFonts w:asciiTheme="minorHAnsi" w:hAnsiTheme="minorHAnsi" w:cs="Helvetica"/>
          <w:color w:val="000000"/>
          <w:sz w:val="24"/>
          <w:szCs w:val="24"/>
          <w:lang w:val="en-US"/>
        </w:rPr>
        <w:t xml:space="preserve">, 2006).  Sampling targeted early-career academics with an interest in sustainability-related action research, limiting the </w:t>
      </w:r>
      <w:proofErr w:type="spellStart"/>
      <w:r w:rsidRPr="00846D06">
        <w:rPr>
          <w:rFonts w:asciiTheme="minorHAnsi" w:hAnsiTheme="minorHAnsi" w:cs="Helvetica"/>
          <w:color w:val="000000"/>
          <w:sz w:val="24"/>
          <w:szCs w:val="24"/>
          <w:lang w:val="en-US"/>
        </w:rPr>
        <w:t>generalisability</w:t>
      </w:r>
      <w:proofErr w:type="spellEnd"/>
      <w:r w:rsidRPr="00846D06">
        <w:rPr>
          <w:rFonts w:asciiTheme="minorHAnsi" w:hAnsiTheme="minorHAnsi" w:cs="Helvetica"/>
          <w:color w:val="000000"/>
          <w:sz w:val="24"/>
          <w:szCs w:val="24"/>
          <w:lang w:val="en-US"/>
        </w:rPr>
        <w:t xml:space="preserve"> of the results.  Given the self-selection bias of the Macquarie study, it is surprising, therefore, that several participants nevertheless report difficulties with understanding the language of sustainability and sustainable development, with varying notions, including ‘keeping things going’, and the importance of recycling paper being mentioned.  While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lecturers from arts, humanities and social sciences were interviewed for the study, with experiences and understanding that may have relevance to this research, no historians took part.  A further serious limitation of the Macquarie study is that, while the authors state that the value of their research lies in </w:t>
      </w:r>
      <w:r w:rsidRPr="00846D06">
        <w:rPr>
          <w:rFonts w:asciiTheme="minorHAnsi" w:hAnsiTheme="minorHAnsi" w:cs="Helvetica"/>
          <w:color w:val="000000"/>
          <w:sz w:val="24"/>
          <w:szCs w:val="24"/>
          <w:lang w:val="en-US"/>
        </w:rPr>
        <w:lastRenderedPageBreak/>
        <w:t xml:space="preserve">its inclusion of academics from across a wide range of disciplines, rather than from the disciplines </w:t>
      </w:r>
      <w:proofErr w:type="gramStart"/>
      <w:r w:rsidRPr="00846D06">
        <w:rPr>
          <w:rFonts w:asciiTheme="minorHAnsi" w:hAnsiTheme="minorHAnsi" w:cs="Helvetica"/>
          <w:color w:val="000000"/>
          <w:sz w:val="24"/>
          <w:szCs w:val="24"/>
          <w:lang w:val="en-US"/>
        </w:rPr>
        <w:t>most commonly associated</w:t>
      </w:r>
      <w:proofErr w:type="gramEnd"/>
      <w:r w:rsidRPr="00846D06">
        <w:rPr>
          <w:rFonts w:asciiTheme="minorHAnsi" w:hAnsiTheme="minorHAnsi" w:cs="Helvetica"/>
          <w:color w:val="000000"/>
          <w:sz w:val="24"/>
          <w:szCs w:val="24"/>
          <w:lang w:val="en-US"/>
        </w:rPr>
        <w:t xml:space="preserve"> with sustainability and environmental education, they draw no conclusions regarding differing experiences and understandings dependent on discipline area.</w:t>
      </w:r>
    </w:p>
    <w:p w14:paraId="60CAF3E7"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Closer to home, a much-cited U.K. study was undertaken at the University of Plymouth, claiming to provide insights adaptable to other HEIs (Cotton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2007).  One insight of value to the present study was the emergence of the concept of ‘balance’ in academics’ understandings and descriptions of sustainability: the association of sustainability with human-nature interactions.  This human-nature interconnectedness will be referred to again in connection with the discipline of History.</w:t>
      </w:r>
    </w:p>
    <w:p w14:paraId="64FBCB45"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 later survey conducted in Australia called on academics from across disciplines and institutions country-wide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 aiming to explore the cross-disciplinary angle.  The main finding was that academics show general support for the integration of Education for Sustainability (</w:t>
      </w:r>
      <w:proofErr w:type="spellStart"/>
      <w:r w:rsidRPr="00846D06">
        <w:rPr>
          <w:rFonts w:asciiTheme="minorHAnsi" w:hAnsiTheme="minorHAnsi" w:cs="Helvetica"/>
          <w:color w:val="000000"/>
          <w:sz w:val="24"/>
          <w:szCs w:val="24"/>
          <w:lang w:val="en-US"/>
        </w:rPr>
        <w:t>EfS</w:t>
      </w:r>
      <w:proofErr w:type="spellEnd"/>
      <w:r w:rsidRPr="00846D06">
        <w:rPr>
          <w:rFonts w:asciiTheme="minorHAnsi" w:hAnsiTheme="minorHAnsi" w:cs="Helvetica"/>
          <w:color w:val="000000"/>
          <w:sz w:val="24"/>
          <w:szCs w:val="24"/>
          <w:lang w:val="en-US"/>
        </w:rPr>
        <w:t xml:space="preserve">) (the term overwhelmingly preferred in Australia) in higher education, though with variations in understandings of sustainability concepts.  A further finding is in strong alignment with several others looking at the barriers to embedding ESD in curricula (Dawe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2005; Lozano, 2006; Cebrián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2015).  That is, that overloaded curricula, a lack of institutional support, and the perception that sustainability is not relevant to all disciplines are very common themes.</w:t>
      </w:r>
    </w:p>
    <w:p w14:paraId="2AB1F48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Significantly, academics in creative disciplines showed more support, and perceived more relevance of </w:t>
      </w:r>
      <w:proofErr w:type="spellStart"/>
      <w:r w:rsidRPr="00846D06">
        <w:rPr>
          <w:rFonts w:asciiTheme="minorHAnsi" w:hAnsiTheme="minorHAnsi" w:cs="Helvetica"/>
          <w:color w:val="000000"/>
          <w:sz w:val="24"/>
          <w:szCs w:val="24"/>
          <w:lang w:val="en-US"/>
        </w:rPr>
        <w:t>EfS</w:t>
      </w:r>
      <w:proofErr w:type="spellEnd"/>
      <w:r w:rsidRPr="00846D06">
        <w:rPr>
          <w:rFonts w:asciiTheme="minorHAnsi" w:hAnsiTheme="minorHAnsi" w:cs="Helvetica"/>
          <w:color w:val="000000"/>
          <w:sz w:val="24"/>
          <w:szCs w:val="24"/>
          <w:lang w:val="en-US"/>
        </w:rPr>
        <w:t xml:space="preserve">, than those from Science, Technology, Engineering and Mathematics (STEM).  The authors conclude that the reasons for this lie in the worldviews of academics, claiming that the positivist, Cartesian epistemologies of scientists are less compatible with the somewhat ‘fuzzy’ concepts of sustainability education, while creatives, in embracing a postpositivist constructivist stance are more likely to also embrace </w:t>
      </w:r>
      <w:proofErr w:type="spellStart"/>
      <w:r w:rsidRPr="00846D06">
        <w:rPr>
          <w:rFonts w:asciiTheme="minorHAnsi" w:hAnsiTheme="minorHAnsi" w:cs="Helvetica"/>
          <w:color w:val="000000"/>
          <w:sz w:val="24"/>
          <w:szCs w:val="24"/>
          <w:lang w:val="en-US"/>
        </w:rPr>
        <w:lastRenderedPageBreak/>
        <w:t>EfS</w:t>
      </w:r>
      <w:proofErr w:type="spellEnd"/>
      <w:r w:rsidRPr="00846D06">
        <w:rPr>
          <w:rFonts w:asciiTheme="minorHAnsi" w:hAnsiTheme="minorHAnsi" w:cs="Helvetica"/>
          <w:color w:val="000000"/>
          <w:sz w:val="24"/>
          <w:szCs w:val="24"/>
          <w:lang w:val="en-US"/>
        </w:rPr>
        <w:t>.  However, since reference to worldviews appears to have been absent in the survey and the data gathered, this conclusion would appear to be purely speculative.  It is, nevertheless, a fascinating one, and suggests the value of including questions about epistemologies and values in further research in this area.</w:t>
      </w:r>
    </w:p>
    <w:p w14:paraId="07FFA0F0" w14:textId="77777777" w:rsid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 conclude by setting up the context for the present study:</w:t>
      </w:r>
    </w:p>
    <w:p w14:paraId="2C576AD1" w14:textId="2B90312F" w:rsidR="00846D06" w:rsidRPr="00846D06" w:rsidRDefault="00846D06" w:rsidP="00846D06">
      <w:pPr>
        <w:autoSpaceDE w:val="0"/>
        <w:autoSpaceDN w:val="0"/>
        <w:adjustRightInd w:val="0"/>
        <w:spacing w:after="266" w:line="480" w:lineRule="atLeast"/>
        <w:ind w:left="720"/>
        <w:rPr>
          <w:rFonts w:asciiTheme="minorHAnsi" w:hAnsiTheme="minorHAnsi" w:cs="Helvetica"/>
          <w:i/>
          <w:iCs/>
          <w:color w:val="000000"/>
          <w:sz w:val="24"/>
          <w:szCs w:val="24"/>
          <w:lang w:val="en-US"/>
        </w:rPr>
      </w:pPr>
      <w:r w:rsidRPr="00846D06">
        <w:rPr>
          <w:rFonts w:asciiTheme="minorHAnsi" w:hAnsiTheme="minorHAnsi" w:cs="Helvetica"/>
          <w:i/>
          <w:iCs/>
          <w:color w:val="000000"/>
          <w:sz w:val="24"/>
          <w:szCs w:val="24"/>
          <w:lang w:val="en-US"/>
        </w:rPr>
        <w:t xml:space="preserve">Future research should delve deeper into the nuances of the differences between disciplines.  By meeting academics within their disciplinary worldviews, the importance and application of </w:t>
      </w:r>
      <w:proofErr w:type="spellStart"/>
      <w:r w:rsidRPr="00846D06">
        <w:rPr>
          <w:rFonts w:asciiTheme="minorHAnsi" w:hAnsiTheme="minorHAnsi" w:cs="Helvetica"/>
          <w:i/>
          <w:iCs/>
          <w:color w:val="000000"/>
          <w:sz w:val="24"/>
          <w:szCs w:val="24"/>
          <w:lang w:val="en-US"/>
        </w:rPr>
        <w:t>EfS</w:t>
      </w:r>
      <w:proofErr w:type="spellEnd"/>
      <w:r w:rsidRPr="00846D06">
        <w:rPr>
          <w:rFonts w:asciiTheme="minorHAnsi" w:hAnsiTheme="minorHAnsi" w:cs="Helvetica"/>
          <w:i/>
          <w:iCs/>
          <w:color w:val="000000"/>
          <w:sz w:val="24"/>
          <w:szCs w:val="24"/>
          <w:lang w:val="en-US"/>
        </w:rPr>
        <w:t xml:space="preserve"> to their teaching and learning can be further developed.</w:t>
      </w:r>
    </w:p>
    <w:p w14:paraId="17C797B5" w14:textId="77777777" w:rsidR="00846D06" w:rsidRPr="00846D06" w:rsidRDefault="00846D06" w:rsidP="00846D06">
      <w:pPr>
        <w:autoSpaceDE w:val="0"/>
        <w:autoSpaceDN w:val="0"/>
        <w:adjustRightInd w:val="0"/>
        <w:spacing w:after="266" w:line="480" w:lineRule="atLeast"/>
        <w:ind w:left="2880" w:hanging="2880"/>
        <w:jc w:val="righ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w:t>
      </w:r>
    </w:p>
    <w:p w14:paraId="5F13ABFB" w14:textId="77777777" w:rsidR="00846D06" w:rsidRPr="00846D06" w:rsidRDefault="00846D06" w:rsidP="00846D06">
      <w:pPr>
        <w:autoSpaceDE w:val="0"/>
        <w:autoSpaceDN w:val="0"/>
        <w:adjustRightInd w:val="0"/>
        <w:spacing w:after="266" w:line="480" w:lineRule="atLeast"/>
        <w:jc w:val="both"/>
        <w:rPr>
          <w:rFonts w:asciiTheme="minorHAnsi" w:hAnsiTheme="minorHAnsi" w:cs="Helvetica"/>
          <w:color w:val="000000"/>
          <w:sz w:val="24"/>
          <w:szCs w:val="24"/>
          <w:lang w:val="en-US"/>
        </w:rPr>
      </w:pPr>
      <w:proofErr w:type="gramStart"/>
      <w:r w:rsidRPr="00846D06">
        <w:rPr>
          <w:rFonts w:asciiTheme="minorHAnsi" w:hAnsiTheme="minorHAnsi" w:cs="Helvetica"/>
          <w:color w:val="000000"/>
          <w:sz w:val="24"/>
          <w:szCs w:val="24"/>
          <w:lang w:val="en-US"/>
        </w:rPr>
        <w:t>With regard to</w:t>
      </w:r>
      <w:proofErr w:type="gramEnd"/>
      <w:r w:rsidRPr="00846D06">
        <w:rPr>
          <w:rFonts w:asciiTheme="minorHAnsi" w:hAnsiTheme="minorHAnsi" w:cs="Helvetica"/>
          <w:color w:val="000000"/>
          <w:sz w:val="24"/>
          <w:szCs w:val="24"/>
          <w:lang w:val="en-US"/>
        </w:rPr>
        <w:t xml:space="preserve"> disciplinary differences, there is an overall paucity of research into the attitudes towards, and perceptions of sustainability education.  Kemper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(2020) investigated marketing lecturers’ attitudes, and Lazzarini and Pérez-</w:t>
      </w:r>
      <w:proofErr w:type="spellStart"/>
      <w:r w:rsidRPr="00846D06">
        <w:rPr>
          <w:rFonts w:asciiTheme="minorHAnsi" w:hAnsiTheme="minorHAnsi" w:cs="Helvetica"/>
          <w:color w:val="000000"/>
          <w:sz w:val="24"/>
          <w:szCs w:val="24"/>
          <w:lang w:val="en-US"/>
        </w:rPr>
        <w:t>Foguet</w:t>
      </w:r>
      <w:proofErr w:type="spellEnd"/>
      <w:r w:rsidRPr="00846D06">
        <w:rPr>
          <w:rFonts w:asciiTheme="minorHAnsi" w:hAnsiTheme="minorHAnsi" w:cs="Helvetica"/>
          <w:color w:val="000000"/>
          <w:sz w:val="24"/>
          <w:szCs w:val="24"/>
          <w:lang w:val="en-US"/>
        </w:rPr>
        <w:t xml:space="preserve"> (2008) looked at engineers, while there have been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studies into teacher educators (</w:t>
      </w:r>
      <w:proofErr w:type="spellStart"/>
      <w:r w:rsidRPr="00846D06">
        <w:rPr>
          <w:rFonts w:asciiTheme="minorHAnsi" w:hAnsiTheme="minorHAnsi" w:cs="Helvetica"/>
          <w:color w:val="000000"/>
          <w:sz w:val="24"/>
          <w:szCs w:val="24"/>
          <w:lang w:val="en-US"/>
        </w:rPr>
        <w:t>Sinakou</w:t>
      </w:r>
      <w:proofErr w:type="spellEnd"/>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2018; Corres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2020; Goller and Rieckmann, 2022).  However, the field for further research into the stance of academics from all subject groups towards ESD is certainly wide open.</w:t>
      </w:r>
    </w:p>
    <w:p w14:paraId="10B9A2FD" w14:textId="77777777" w:rsid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One further study to note for its methodological approach is that of Shephard and Furnari (2013), who employed Q-Methodology, a research technique used to study participants’ subjectivity, involving the ranking and sorting of a series of statements (Sandling, n.d.).  The results of their study are fascinating for their readability, being presented as five narratives, allowing participants to speak in their own voices regarding their attitudes towards and perceptions of </w:t>
      </w:r>
      <w:proofErr w:type="spellStart"/>
      <w:r w:rsidRPr="00846D06">
        <w:rPr>
          <w:rFonts w:asciiTheme="minorHAnsi" w:hAnsiTheme="minorHAnsi" w:cs="Helvetica"/>
          <w:color w:val="000000"/>
          <w:sz w:val="24"/>
          <w:szCs w:val="24"/>
          <w:lang w:val="en-US"/>
        </w:rPr>
        <w:t>EfS</w:t>
      </w:r>
      <w:proofErr w:type="spellEnd"/>
      <w:r w:rsidRPr="00846D06">
        <w:rPr>
          <w:rFonts w:asciiTheme="minorHAnsi" w:hAnsiTheme="minorHAnsi" w:cs="Helvetica"/>
          <w:color w:val="000000"/>
          <w:sz w:val="24"/>
          <w:szCs w:val="24"/>
          <w:lang w:val="en-US"/>
        </w:rPr>
        <w:t xml:space="preserve">.  The conclusions suggested widespread support for the principles underlying </w:t>
      </w:r>
      <w:proofErr w:type="spellStart"/>
      <w:r w:rsidRPr="00846D06">
        <w:rPr>
          <w:rFonts w:asciiTheme="minorHAnsi" w:hAnsiTheme="minorHAnsi" w:cs="Helvetica"/>
          <w:color w:val="000000"/>
          <w:sz w:val="24"/>
          <w:szCs w:val="24"/>
          <w:lang w:val="en-US"/>
        </w:rPr>
        <w:t>EfS</w:t>
      </w:r>
      <w:proofErr w:type="spellEnd"/>
      <w:r w:rsidRPr="00846D06">
        <w:rPr>
          <w:rFonts w:asciiTheme="minorHAnsi" w:hAnsiTheme="minorHAnsi" w:cs="Helvetica"/>
          <w:color w:val="000000"/>
          <w:sz w:val="24"/>
          <w:szCs w:val="24"/>
          <w:lang w:val="en-US"/>
        </w:rPr>
        <w:t>:</w:t>
      </w:r>
    </w:p>
    <w:p w14:paraId="55A35238" w14:textId="1F61E8B8" w:rsidR="00846D06" w:rsidRPr="00846D06" w:rsidRDefault="00846D06" w:rsidP="00846D06">
      <w:pPr>
        <w:autoSpaceDE w:val="0"/>
        <w:autoSpaceDN w:val="0"/>
        <w:adjustRightInd w:val="0"/>
        <w:spacing w:after="266" w:line="480" w:lineRule="atLeast"/>
        <w:ind w:left="720"/>
        <w:rPr>
          <w:rFonts w:asciiTheme="minorHAnsi" w:hAnsiTheme="minorHAnsi" w:cs="Helvetica"/>
          <w:i/>
          <w:iCs/>
          <w:color w:val="000000"/>
          <w:sz w:val="24"/>
          <w:szCs w:val="24"/>
          <w:lang w:val="en-US"/>
        </w:rPr>
      </w:pPr>
      <w:r w:rsidRPr="00846D06">
        <w:rPr>
          <w:rFonts w:asciiTheme="minorHAnsi" w:hAnsiTheme="minorHAnsi" w:cs="Helvetica"/>
          <w:i/>
          <w:iCs/>
          <w:color w:val="000000"/>
          <w:sz w:val="24"/>
          <w:szCs w:val="24"/>
          <w:lang w:val="en-US"/>
        </w:rPr>
        <w:lastRenderedPageBreak/>
        <w:t>We all regard university education as a transformative experience that develops professionals who are also contributing members of society and we all think that academic staff in higher education have a unique role to fulfil in preparing educated citizens who can find solutions to the pressing problems of the day.</w:t>
      </w:r>
    </w:p>
    <w:p w14:paraId="0D5D54AC" w14:textId="4220D0A1" w:rsidR="00846D06" w:rsidRPr="00846D06" w:rsidRDefault="00846D06" w:rsidP="00846D06">
      <w:pPr>
        <w:autoSpaceDE w:val="0"/>
        <w:autoSpaceDN w:val="0"/>
        <w:adjustRightInd w:val="0"/>
        <w:spacing w:after="266" w:line="480" w:lineRule="atLeast"/>
        <w:ind w:left="960" w:right="120" w:hanging="960"/>
        <w:jc w:val="right"/>
        <w:rPr>
          <w:rFonts w:asciiTheme="minorHAnsi" w:hAnsiTheme="minorHAnsi" w:cs="Helvetica"/>
          <w:color w:val="000000"/>
          <w:sz w:val="24"/>
          <w:szCs w:val="24"/>
          <w:lang w:val="en-US"/>
        </w:rPr>
      </w:pPr>
      <w:r>
        <w:rPr>
          <w:rFonts w:asciiTheme="minorHAnsi" w:hAnsiTheme="minorHAnsi" w:cs="Helvetica"/>
          <w:i/>
          <w:iCs/>
          <w:color w:val="000000"/>
          <w:sz w:val="24"/>
          <w:szCs w:val="24"/>
          <w:lang w:val="en-US"/>
        </w:rPr>
        <w:t xml:space="preserve">  </w:t>
      </w:r>
      <w:r>
        <w:rPr>
          <w:rFonts w:asciiTheme="minorHAnsi" w:hAnsiTheme="minorHAnsi" w:cs="Helvetica"/>
          <w:i/>
          <w:iCs/>
          <w:color w:val="000000"/>
          <w:sz w:val="24"/>
          <w:szCs w:val="24"/>
          <w:lang w:val="en-US"/>
        </w:rPr>
        <w:tab/>
      </w:r>
      <w:r w:rsidRPr="00846D06">
        <w:rPr>
          <w:rFonts w:asciiTheme="minorHAnsi" w:hAnsiTheme="minorHAnsi" w:cs="Helvetica"/>
          <w:color w:val="000000"/>
          <w:sz w:val="24"/>
          <w:szCs w:val="24"/>
          <w:lang w:val="en-US"/>
        </w:rPr>
        <w:t>(Shephard and Furnari, 2013, p.1581)</w:t>
      </w:r>
    </w:p>
    <w:p w14:paraId="50860CCC" w14:textId="77777777" w:rsidR="00846D06" w:rsidRPr="00846D06" w:rsidRDefault="00846D06" w:rsidP="00846D06">
      <w:pPr>
        <w:autoSpaceDE w:val="0"/>
        <w:autoSpaceDN w:val="0"/>
        <w:adjustRightInd w:val="0"/>
        <w:spacing w:after="266" w:line="480" w:lineRule="atLeast"/>
        <w:ind w:left="960" w:hanging="960"/>
        <w:jc w:val="righ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1A5BE6F" w14:textId="77777777" w:rsidR="00846D06" w:rsidRPr="00846D06" w:rsidRDefault="00846D06" w:rsidP="00846D06">
      <w:pPr>
        <w:pStyle w:val="Heading3"/>
        <w:rPr>
          <w:lang w:val="en-US"/>
        </w:rPr>
      </w:pPr>
      <w:bookmarkStart w:id="7" w:name="_Toc229750435"/>
      <w:r w:rsidRPr="00846D06">
        <w:rPr>
          <w:lang w:val="en-US"/>
        </w:rPr>
        <w:t>2.5 EVOLVING APPROACHES TO HISTORY TEACHING IN HIGHER EDUCATION</w:t>
      </w:r>
      <w:bookmarkEnd w:id="7"/>
    </w:p>
    <w:p w14:paraId="0E877760"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DFB698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proofErr w:type="gramStart"/>
      <w:r w:rsidRPr="00846D06">
        <w:rPr>
          <w:rFonts w:asciiTheme="minorHAnsi" w:hAnsiTheme="minorHAnsi" w:cs="Helvetica"/>
          <w:color w:val="000000"/>
          <w:sz w:val="24"/>
          <w:szCs w:val="24"/>
          <w:lang w:val="en-US"/>
        </w:rPr>
        <w:t>With regard to</w:t>
      </w:r>
      <w:proofErr w:type="gramEnd"/>
      <w:r w:rsidRPr="00846D06">
        <w:rPr>
          <w:rFonts w:asciiTheme="minorHAnsi" w:hAnsiTheme="minorHAnsi" w:cs="Helvetica"/>
          <w:color w:val="000000"/>
          <w:sz w:val="24"/>
          <w:szCs w:val="24"/>
          <w:lang w:val="en-US"/>
        </w:rPr>
        <w:t xml:space="preserve"> the teaching and assessment of History in higher education, there does not appear to have been a wealth of peer-reviewed scholarship and debate (Booth and Nicholls, 2005).  This scarcity is itself relevant: it suggests that the discipline’s pedagogical evolution has been under-examined in formal research terms, reinforcing the case for the present study.</w:t>
      </w:r>
    </w:p>
    <w:p w14:paraId="310D319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What scholarship does exist points to significant change.  Booth (2008), focusing on the evolution of teaching on undergraduate History degree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in the U.K. context, documents an increased focus from the end of the twentieth century on cultural history, meaning, identity, representation, literature and linguistics, accompanied by greater use of group work, projects, portfolios and presentations in assessment. For Booth, this represents a move away from ‘large-scale narratives of growth and progress’ and a ‘rethinking of historical epistemologies and methodologies’ (ibid.).  The shift is significant for this study because it suggests that the pedagogical trajectory of History in higher education has, over several decades, been moving towards precisely the kind of complex, multi-perspectival, constructivist approaches that ESD advocates – a movement that </w:t>
      </w:r>
      <w:r w:rsidRPr="00846D06">
        <w:rPr>
          <w:rFonts w:asciiTheme="minorHAnsi" w:hAnsiTheme="minorHAnsi" w:cs="Helvetica"/>
          <w:color w:val="000000"/>
          <w:sz w:val="24"/>
          <w:szCs w:val="24"/>
          <w:lang w:val="en-US"/>
        </w:rPr>
        <w:lastRenderedPageBreak/>
        <w:t>predates and is largely independent of the ESD policy framework discussed in section 2.4 above.</w:t>
      </w:r>
    </w:p>
    <w:p w14:paraId="6234794C"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21E33B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BB31541" w14:textId="77777777" w:rsidR="00846D06" w:rsidRPr="00846D06" w:rsidRDefault="00846D06" w:rsidP="00846D06">
      <w:pPr>
        <w:pStyle w:val="Heading3"/>
        <w:rPr>
          <w:lang w:val="en-US"/>
        </w:rPr>
      </w:pPr>
      <w:bookmarkStart w:id="8" w:name="_Toc229750436"/>
      <w:r w:rsidRPr="00846D06">
        <w:rPr>
          <w:lang w:val="en-US"/>
        </w:rPr>
        <w:t>2.6 ESD AND HISTORY: THE STATE OF THE FIELD</w:t>
      </w:r>
      <w:bookmarkEnd w:id="8"/>
    </w:p>
    <w:p w14:paraId="10431850"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908634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As established at the outset of this review, there is a compelling alignment between the epistemology of History and the intellectual demands of sustainability, an alignment </w:t>
      </w:r>
      <w:proofErr w:type="spellStart"/>
      <w:r w:rsidRPr="00846D06">
        <w:rPr>
          <w:rFonts w:asciiTheme="minorHAnsi" w:hAnsiTheme="minorHAnsi" w:cs="Helvetica"/>
          <w:color w:val="000000"/>
          <w:sz w:val="24"/>
          <w:szCs w:val="24"/>
          <w:lang w:val="en-US"/>
        </w:rPr>
        <w:t>recognised</w:t>
      </w:r>
      <w:proofErr w:type="spellEnd"/>
      <w:r w:rsidRPr="00846D06">
        <w:rPr>
          <w:rFonts w:asciiTheme="minorHAnsi" w:hAnsiTheme="minorHAnsi" w:cs="Helvetica"/>
          <w:color w:val="000000"/>
          <w:sz w:val="24"/>
          <w:szCs w:val="24"/>
          <w:lang w:val="en-US"/>
        </w:rPr>
        <w:t xml:space="preserve"> in both the QAA </w:t>
      </w:r>
      <w:r w:rsidRPr="00846D06">
        <w:rPr>
          <w:rFonts w:asciiTheme="minorHAnsi" w:hAnsiTheme="minorHAnsi" w:cs="Helvetica"/>
          <w:i/>
          <w:iCs/>
          <w:color w:val="000000"/>
          <w:sz w:val="24"/>
          <w:szCs w:val="24"/>
          <w:lang w:val="en-US"/>
        </w:rPr>
        <w:t>Subject Benchmark Statement for History</w:t>
      </w:r>
      <w:r w:rsidRPr="00846D06">
        <w:rPr>
          <w:rFonts w:asciiTheme="minorHAnsi" w:hAnsiTheme="minorHAnsi" w:cs="Helvetica"/>
          <w:color w:val="000000"/>
          <w:sz w:val="24"/>
          <w:szCs w:val="24"/>
          <w:lang w:val="en-US"/>
        </w:rPr>
        <w:t xml:space="preserve"> (QAA, 2022) and the 2006 HEA Subject Centre report (Brooks and Ryan, 2006).  However, the extent to which this alignment has translated into deliberate, sustained engagement with ESD within History degree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remains an open question – and the evidence is thin.</w:t>
      </w:r>
    </w:p>
    <w:p w14:paraId="51D610DB"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Brooks and Ryan (2006) report, though significant in its findings, is limited both by its age and by its sample: only six historians participated, and these were selected because of their pre-existing research expertise and relevant course or module leadership.  It cannot, therefore, be taken as representative of the discipline more broadly.  The more recent examples identified through the Advance HE systematic literature review (Vogel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2023) – Jones (2020), who positions History in the broad context of institutional priorities as a ‘conservation and heritage management tool’ (p.58), and the interdisciplinary and pilot studies noted in section 2.3 above – remain isolated cases rather than evidence of a disciplinary trend.</w:t>
      </w:r>
    </w:p>
    <w:p w14:paraId="7FE32819" w14:textId="4C04B51A" w:rsidR="00846D06" w:rsidRPr="00846D06" w:rsidRDefault="00846D06" w:rsidP="00FA0A77">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Despite the apparent lack of an embedded approach to ESD within university History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it is possible to observe a move in the sustainability direction in the broader </w:t>
      </w:r>
      <w:r w:rsidRPr="00846D06">
        <w:rPr>
          <w:rFonts w:asciiTheme="minorHAnsi" w:hAnsiTheme="minorHAnsi" w:cs="Helvetica"/>
          <w:color w:val="000000"/>
          <w:sz w:val="24"/>
          <w:szCs w:val="24"/>
          <w:lang w:val="en-US"/>
        </w:rPr>
        <w:lastRenderedPageBreak/>
        <w:t xml:space="preserve">context of historical studies outside of higher education.  For example, the social philosopher Roman </w:t>
      </w:r>
      <w:proofErr w:type="spellStart"/>
      <w:r w:rsidRPr="00846D06">
        <w:rPr>
          <w:rFonts w:asciiTheme="minorHAnsi" w:hAnsiTheme="minorHAnsi" w:cs="Helvetica"/>
          <w:color w:val="000000"/>
          <w:sz w:val="24"/>
          <w:szCs w:val="24"/>
          <w:lang w:val="en-US"/>
        </w:rPr>
        <w:t>Krznaric</w:t>
      </w:r>
      <w:proofErr w:type="spellEnd"/>
      <w:r w:rsidRPr="00846D06">
        <w:rPr>
          <w:rFonts w:asciiTheme="minorHAnsi" w:hAnsiTheme="minorHAnsi" w:cs="Helvetica"/>
          <w:color w:val="000000"/>
          <w:sz w:val="24"/>
          <w:szCs w:val="24"/>
          <w:lang w:val="en-US"/>
        </w:rPr>
        <w:t xml:space="preserve">, in </w:t>
      </w:r>
      <w:r w:rsidRPr="00846D06">
        <w:rPr>
          <w:rFonts w:asciiTheme="minorHAnsi" w:hAnsiTheme="minorHAnsi" w:cs="Helvetica"/>
          <w:i/>
          <w:iCs/>
          <w:color w:val="000000"/>
          <w:sz w:val="24"/>
          <w:szCs w:val="24"/>
          <w:lang w:val="en-US"/>
        </w:rPr>
        <w:t>History for Tomorrow: Inspiration from the Past for the Future of Humanity</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Krznaric</w:t>
      </w:r>
      <w:proofErr w:type="spellEnd"/>
      <w:r w:rsidRPr="00846D06">
        <w:rPr>
          <w:rFonts w:asciiTheme="minorHAnsi" w:hAnsiTheme="minorHAnsi" w:cs="Helvetica"/>
          <w:color w:val="000000"/>
          <w:sz w:val="24"/>
          <w:szCs w:val="24"/>
          <w:lang w:val="en-US"/>
        </w:rPr>
        <w:t xml:space="preserve">, 2024), posits that the precautionary principle is only the tip of the iceberg when it comes to the lessons that can be learnt from the past.  In viewing history as a source of hope, </w:t>
      </w:r>
      <w:proofErr w:type="spellStart"/>
      <w:r w:rsidRPr="00846D06">
        <w:rPr>
          <w:rFonts w:asciiTheme="minorHAnsi" w:hAnsiTheme="minorHAnsi" w:cs="Helvetica"/>
          <w:color w:val="000000"/>
          <w:sz w:val="24"/>
          <w:szCs w:val="24"/>
          <w:lang w:val="en-US"/>
        </w:rPr>
        <w:t>Krznaric</w:t>
      </w:r>
      <w:proofErr w:type="spellEnd"/>
      <w:r w:rsidRPr="00846D06">
        <w:rPr>
          <w:rFonts w:asciiTheme="minorHAnsi" w:hAnsiTheme="minorHAnsi" w:cs="Helvetica"/>
          <w:color w:val="000000"/>
          <w:sz w:val="24"/>
          <w:szCs w:val="24"/>
          <w:lang w:val="en-US"/>
        </w:rPr>
        <w:t xml:space="preserve"> uncovers alternative, more viable models of democracy, the circular economy and conflict resolution, as well as precedents for disruptive technologies and ways of handling them.  Similarly, in </w:t>
      </w:r>
      <w:r w:rsidRPr="00846D06">
        <w:rPr>
          <w:rFonts w:asciiTheme="minorHAnsi" w:hAnsiTheme="minorHAnsi" w:cs="Helvetica"/>
          <w:i/>
          <w:iCs/>
          <w:color w:val="000000"/>
          <w:sz w:val="24"/>
          <w:szCs w:val="24"/>
          <w:lang w:val="en-US"/>
        </w:rPr>
        <w:t>The Green Ages</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Kehnel</w:t>
      </w:r>
      <w:proofErr w:type="spellEnd"/>
      <w:r w:rsidRPr="00846D06">
        <w:rPr>
          <w:rFonts w:asciiTheme="minorHAnsi" w:hAnsiTheme="minorHAnsi" w:cs="Helvetica"/>
          <w:color w:val="000000"/>
          <w:sz w:val="24"/>
          <w:szCs w:val="24"/>
          <w:lang w:val="en-US"/>
        </w:rPr>
        <w:t xml:space="preserve"> (2024) finds sustainable practices across the European medieval </w:t>
      </w:r>
      <w:proofErr w:type="gramStart"/>
      <w:r w:rsidRPr="00846D06">
        <w:rPr>
          <w:rFonts w:asciiTheme="minorHAnsi" w:hAnsiTheme="minorHAnsi" w:cs="Helvetica"/>
          <w:color w:val="000000"/>
          <w:sz w:val="24"/>
          <w:szCs w:val="24"/>
          <w:lang w:val="en-US"/>
        </w:rPr>
        <w:t>period, and</w:t>
      </w:r>
      <w:proofErr w:type="gramEnd"/>
      <w:r w:rsidRPr="00846D06">
        <w:rPr>
          <w:rFonts w:asciiTheme="minorHAnsi" w:hAnsiTheme="minorHAnsi" w:cs="Helvetica"/>
          <w:color w:val="000000"/>
          <w:sz w:val="24"/>
          <w:szCs w:val="24"/>
          <w:lang w:val="en-US"/>
        </w:rPr>
        <w:t xml:space="preserve"> argues that the problems of the modern world can be addressed by looking to the past.  Whether such authors are inspiring the design of History degree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in the U.K. remains to be discovered – and is precisely the kind of question this research is positioned to explore.</w:t>
      </w:r>
    </w:p>
    <w:p w14:paraId="4886498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62BFC962" w14:textId="77777777" w:rsidR="00846D06" w:rsidRPr="00846D06" w:rsidRDefault="00846D06" w:rsidP="00846D06">
      <w:pPr>
        <w:pStyle w:val="Heading3"/>
        <w:rPr>
          <w:lang w:val="en-US"/>
        </w:rPr>
      </w:pPr>
      <w:bookmarkStart w:id="9" w:name="_Toc229750437"/>
      <w:r w:rsidRPr="00846D06">
        <w:rPr>
          <w:lang w:val="en-US"/>
        </w:rPr>
        <w:t>2.7 SUMMARY: THE GAP IN THE LITERATURE</w:t>
      </w:r>
      <w:bookmarkEnd w:id="9"/>
    </w:p>
    <w:p w14:paraId="729DB2C7"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6E07800"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primary observation from this review of the literature on academics’ perceptions of ESD is that what is missing is a </w:t>
      </w:r>
      <w:r w:rsidRPr="00846D06">
        <w:rPr>
          <w:rFonts w:asciiTheme="minorHAnsi" w:hAnsiTheme="minorHAnsi" w:cs="Helvetica"/>
          <w:i/>
          <w:iCs/>
          <w:color w:val="000000"/>
          <w:sz w:val="24"/>
          <w:szCs w:val="24"/>
          <w:lang w:val="en-US"/>
        </w:rPr>
        <w:t>cross-institutional mono-disciplinary study</w:t>
      </w:r>
      <w:r w:rsidRPr="00846D06">
        <w:rPr>
          <w:rFonts w:asciiTheme="minorHAnsi" w:hAnsiTheme="minorHAnsi" w:cs="Helvetica"/>
          <w:color w:val="000000"/>
          <w:sz w:val="24"/>
          <w:szCs w:val="24"/>
          <w:lang w:val="en-US"/>
        </w:rPr>
        <w:t>.  This research will address this gap.  Additionally, three further omissions have been identified: a general scarcity of peer-reviewed scholarship; a tendency towards speculation and assertion; and a neglect of approaches that differ from standard surveys, interviews and reviews of validated course content.</w:t>
      </w:r>
    </w:p>
    <w:p w14:paraId="0C686DA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Firstly, prominent U.K.-specific literature generally consists of commissioned reports (see, for example, Dawe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2005; Brooks and Ryan, 2006; Tilbury, 2011; </w:t>
      </w:r>
      <w:proofErr w:type="spellStart"/>
      <w:r w:rsidRPr="00846D06">
        <w:rPr>
          <w:rFonts w:asciiTheme="minorHAnsi" w:hAnsiTheme="minorHAnsi" w:cs="Helvetica"/>
          <w:color w:val="000000"/>
          <w:sz w:val="24"/>
          <w:szCs w:val="24"/>
          <w:lang w:val="en-US"/>
        </w:rPr>
        <w:t>Fiselier</w:t>
      </w:r>
      <w:proofErr w:type="spellEnd"/>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2017; Zhou, 2024).  Moreover,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opinion-pieces </w:t>
      </w:r>
      <w:r w:rsidRPr="00846D06">
        <w:rPr>
          <w:rFonts w:asciiTheme="minorHAnsi" w:hAnsiTheme="minorHAnsi" w:cs="Helvetica"/>
          <w:i/>
          <w:iCs/>
          <w:color w:val="000000"/>
          <w:sz w:val="24"/>
          <w:szCs w:val="24"/>
          <w:lang w:val="en-US"/>
        </w:rPr>
        <w:t>urge action</w:t>
      </w:r>
      <w:r w:rsidRPr="00846D06">
        <w:rPr>
          <w:rFonts w:asciiTheme="minorHAnsi" w:hAnsiTheme="minorHAnsi" w:cs="Helvetica"/>
          <w:color w:val="000000"/>
          <w:sz w:val="24"/>
          <w:szCs w:val="24"/>
          <w:lang w:val="en-US"/>
        </w:rPr>
        <w:t xml:space="preserve">, as opposed to generating insights based on empirical research data (see, for example, Mair and Druckman, 2022; </w:t>
      </w:r>
      <w:r w:rsidRPr="00846D06">
        <w:rPr>
          <w:rFonts w:asciiTheme="minorHAnsi" w:hAnsiTheme="minorHAnsi" w:cs="Helvetica"/>
          <w:color w:val="000000"/>
          <w:sz w:val="24"/>
          <w:szCs w:val="24"/>
          <w:lang w:val="en-US"/>
        </w:rPr>
        <w:lastRenderedPageBreak/>
        <w:t xml:space="preserve">Ryan and Tilbury, 2013).  In addition, the chronological gap in publication since the end of the DESD (2005-2015) and the closure of the HEA Subject </w:t>
      </w:r>
      <w:proofErr w:type="spellStart"/>
      <w:r w:rsidRPr="00846D06">
        <w:rPr>
          <w:rFonts w:asciiTheme="minorHAnsi" w:hAnsiTheme="minorHAnsi" w:cs="Helvetica"/>
          <w:color w:val="000000"/>
          <w:sz w:val="24"/>
          <w:szCs w:val="24"/>
          <w:lang w:val="en-US"/>
        </w:rPr>
        <w:t>Centres</w:t>
      </w:r>
      <w:proofErr w:type="spellEnd"/>
      <w:r w:rsidRPr="00846D06">
        <w:rPr>
          <w:rFonts w:asciiTheme="minorHAnsi" w:hAnsiTheme="minorHAnsi" w:cs="Helvetica"/>
          <w:color w:val="000000"/>
          <w:sz w:val="24"/>
          <w:szCs w:val="24"/>
          <w:lang w:val="en-US"/>
        </w:rPr>
        <w:t xml:space="preserve"> (Chalkley and Sterling, 2011) is notable.</w:t>
      </w:r>
    </w:p>
    <w:p w14:paraId="1D431E0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Secondly, while fascinating theories have been raised about possible connections between disciplinary epistemologies and approaches to ESD, these have been based more on speculation than on findings.  Connections between historians’ traditional focus on progress, nature and human-environment interactions and their attitudes towards ESD require exploration through rigorously designed research instruments.</w:t>
      </w:r>
    </w:p>
    <w:p w14:paraId="32E37FCE"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Thirdly, there has been an overreliance on surveys and interviews, to the neglect of observational research, or mixed methods approaches, </w:t>
      </w:r>
      <w:proofErr w:type="gramStart"/>
      <w:r w:rsidRPr="00846D06">
        <w:rPr>
          <w:rFonts w:asciiTheme="minorHAnsi" w:hAnsiTheme="minorHAnsi" w:cs="Helvetica"/>
          <w:color w:val="000000"/>
          <w:sz w:val="24"/>
          <w:szCs w:val="24"/>
          <w:lang w:val="en-US"/>
        </w:rPr>
        <w:t>with the exception of</w:t>
      </w:r>
      <w:proofErr w:type="gramEnd"/>
      <w:r w:rsidRPr="00846D06">
        <w:rPr>
          <w:rFonts w:asciiTheme="minorHAnsi" w:hAnsiTheme="minorHAnsi" w:cs="Helvetica"/>
          <w:color w:val="000000"/>
          <w:sz w:val="24"/>
          <w:szCs w:val="24"/>
          <w:lang w:val="en-US"/>
        </w:rPr>
        <w:t xml:space="preserve"> Shephard and Furnari’s (2013) Q-methodological approach.  This study, therefore, aims to provide empirical data on the attitudes of academics working at multiple institutions towards ESD and its connection to History, taking inspiration from Shephard and Furnari, and using Q-Methodology to capture nuanced subjectivity.</w:t>
      </w:r>
    </w:p>
    <w:p w14:paraId="5CAAE171" w14:textId="77777777" w:rsidR="00846D06" w:rsidRPr="00846D06" w:rsidRDefault="00846D06" w:rsidP="00846D06">
      <w:pPr>
        <w:autoSpaceDE w:val="0"/>
        <w:autoSpaceDN w:val="0"/>
        <w:adjustRightInd w:val="0"/>
        <w:spacing w:after="266" w:line="240" w:lineRule="auto"/>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297A390" w14:textId="77777777" w:rsidR="00846D06" w:rsidRPr="00846D06" w:rsidRDefault="00846D06" w:rsidP="00846D06">
      <w:pPr>
        <w:autoSpaceDE w:val="0"/>
        <w:autoSpaceDN w:val="0"/>
        <w:adjustRightInd w:val="0"/>
        <w:spacing w:after="266" w:line="240" w:lineRule="auto"/>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E6A9A4A" w14:textId="77777777" w:rsidR="00846D06" w:rsidRPr="00846D06" w:rsidRDefault="00846D06" w:rsidP="00846D06">
      <w:pPr>
        <w:pStyle w:val="Heading2"/>
        <w:rPr>
          <w:lang w:val="en-US"/>
        </w:rPr>
      </w:pPr>
      <w:bookmarkStart w:id="10" w:name="_Toc229750438"/>
      <w:r w:rsidRPr="00846D06">
        <w:rPr>
          <w:lang w:val="en-US"/>
        </w:rPr>
        <w:t>3. METHODOLOGY</w:t>
      </w:r>
      <w:bookmarkEnd w:id="10"/>
    </w:p>
    <w:p w14:paraId="4AADCD97" w14:textId="77777777" w:rsidR="00846D06" w:rsidRPr="00846D06" w:rsidRDefault="00846D06" w:rsidP="00846D06">
      <w:pPr>
        <w:autoSpaceDE w:val="0"/>
        <w:autoSpaceDN w:val="0"/>
        <w:adjustRightInd w:val="0"/>
        <w:spacing w:after="266" w:line="240" w:lineRule="auto"/>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8B5095A" w14:textId="77777777" w:rsidR="00846D06" w:rsidRPr="00846D06" w:rsidRDefault="00846D06" w:rsidP="00846D06">
      <w:pPr>
        <w:pStyle w:val="Heading3"/>
        <w:rPr>
          <w:lang w:val="en-US"/>
        </w:rPr>
      </w:pPr>
      <w:bookmarkStart w:id="11" w:name="_Toc229750439"/>
      <w:r w:rsidRPr="00846D06">
        <w:rPr>
          <w:lang w:val="en-US"/>
        </w:rPr>
        <w:t>3.1 RESEARCH CONTEXT</w:t>
      </w:r>
      <w:bookmarkEnd w:id="11"/>
    </w:p>
    <w:p w14:paraId="24347FF6" w14:textId="77777777" w:rsidR="00846D06" w:rsidRPr="00846D06" w:rsidRDefault="00846D06" w:rsidP="00846D06">
      <w:pPr>
        <w:pStyle w:val="Heading4"/>
        <w:rPr>
          <w:lang w:val="en-US"/>
        </w:rPr>
      </w:pPr>
      <w:r w:rsidRPr="00846D06">
        <w:rPr>
          <w:lang w:val="en-US"/>
        </w:rPr>
        <w:t>3.1.1 RESEARCH AIMS</w:t>
      </w:r>
    </w:p>
    <w:p w14:paraId="0D1DD80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CF598A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research aims to investigate the perceptions of History lecturers regarding the integration of ESD within History degree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at four universities. Specifically, it </w:t>
      </w:r>
      <w:r w:rsidRPr="00846D06">
        <w:rPr>
          <w:rFonts w:asciiTheme="minorHAnsi" w:hAnsiTheme="minorHAnsi" w:cs="Helvetica"/>
          <w:color w:val="000000"/>
          <w:sz w:val="24"/>
          <w:szCs w:val="24"/>
          <w:lang w:val="en-US"/>
        </w:rPr>
        <w:lastRenderedPageBreak/>
        <w:t xml:space="preserve">seeks to determine both attitudes towards ESD and its compatibility with the discipline, and the extent to which ESD has been incorporated, or is perceived to have been incorporated, into the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on offer. Moreover, the research addresses the question of whether the incorporation of ESD </w:t>
      </w:r>
      <w:proofErr w:type="gramStart"/>
      <w:r w:rsidRPr="00846D06">
        <w:rPr>
          <w:rFonts w:asciiTheme="minorHAnsi" w:hAnsiTheme="minorHAnsi" w:cs="Helvetica"/>
          <w:color w:val="000000"/>
          <w:sz w:val="24"/>
          <w:szCs w:val="24"/>
          <w:lang w:val="en-US"/>
        </w:rPr>
        <w:t>is a result of strategy and policy drivers</w:t>
      </w:r>
      <w:proofErr w:type="gramEnd"/>
      <w:r w:rsidRPr="00846D06">
        <w:rPr>
          <w:rFonts w:asciiTheme="minorHAnsi" w:hAnsiTheme="minorHAnsi" w:cs="Helvetica"/>
          <w:color w:val="000000"/>
          <w:sz w:val="24"/>
          <w:szCs w:val="24"/>
          <w:lang w:val="en-US"/>
        </w:rPr>
        <w:t>, or if it has been embedded incidentally through other trends in higher education teaching and learning, including trends in the teaching of History.</w:t>
      </w:r>
    </w:p>
    <w:p w14:paraId="04EF02A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In brief, this research aims to investigate the perceptions of History lecturers at four U.K. universities concerning the broad role of Education for Sustainable Development (ESD) and its compatibility with the discipline.</w:t>
      </w:r>
    </w:p>
    <w:p w14:paraId="6045D0C1" w14:textId="77777777" w:rsidR="00846D06" w:rsidRPr="00846D06" w:rsidRDefault="00846D06" w:rsidP="00846D06">
      <w:pPr>
        <w:autoSpaceDE w:val="0"/>
        <w:autoSpaceDN w:val="0"/>
        <w:adjustRightInd w:val="0"/>
        <w:spacing w:after="266" w:line="480" w:lineRule="atLeast"/>
        <w:ind w:left="960" w:hanging="96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w:t>
      </w:r>
    </w:p>
    <w:p w14:paraId="71666144" w14:textId="77777777" w:rsidR="00846D06" w:rsidRPr="00846D06" w:rsidRDefault="00846D06" w:rsidP="00846D06">
      <w:pPr>
        <w:pStyle w:val="Heading4"/>
        <w:rPr>
          <w:lang w:val="en-US"/>
        </w:rPr>
      </w:pPr>
      <w:r w:rsidRPr="00846D06">
        <w:rPr>
          <w:lang w:val="en-US"/>
        </w:rPr>
        <w:t>3.1.2. RESEARCH QUESTION</w:t>
      </w:r>
    </w:p>
    <w:p w14:paraId="7FAE4FC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91617"/>
          <w:sz w:val="24"/>
          <w:szCs w:val="24"/>
          <w:lang w:val="en-US"/>
        </w:rPr>
        <w:t> </w:t>
      </w:r>
    </w:p>
    <w:p w14:paraId="5D37A304"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91617"/>
          <w:sz w:val="24"/>
          <w:szCs w:val="24"/>
          <w:lang w:val="en-US"/>
        </w:rPr>
        <w:t>In seeking to investigate the subjective worldviews and opinions of participants in the study, the following research question has been posed:</w:t>
      </w:r>
    </w:p>
    <w:p w14:paraId="3A75B7EE" w14:textId="77777777" w:rsidR="00846D06" w:rsidRPr="00846D06" w:rsidRDefault="00846D06" w:rsidP="00846D06">
      <w:pPr>
        <w:autoSpaceDE w:val="0"/>
        <w:autoSpaceDN w:val="0"/>
        <w:adjustRightInd w:val="0"/>
        <w:spacing w:after="266" w:line="480" w:lineRule="atLeast"/>
        <w:ind w:left="960" w:hanging="96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How do History lecturers at four United Kingdom (U.K.) universities perceive Education for Sustainable Development and its role within a </w:t>
      </w:r>
      <w:proofErr w:type="gramStart"/>
      <w:r w:rsidRPr="00846D06">
        <w:rPr>
          <w:rFonts w:asciiTheme="minorHAnsi" w:hAnsiTheme="minorHAnsi" w:cs="Helvetica"/>
          <w:i/>
          <w:iCs/>
          <w:color w:val="000000"/>
          <w:sz w:val="24"/>
          <w:szCs w:val="24"/>
          <w:lang w:val="en-US"/>
        </w:rPr>
        <w:t>History</w:t>
      </w:r>
      <w:proofErr w:type="gramEnd"/>
      <w:r w:rsidRPr="00846D06">
        <w:rPr>
          <w:rFonts w:asciiTheme="minorHAnsi" w:hAnsiTheme="minorHAnsi" w:cs="Helvetica"/>
          <w:i/>
          <w:iCs/>
          <w:color w:val="000000"/>
          <w:sz w:val="24"/>
          <w:szCs w:val="24"/>
          <w:lang w:val="en-US"/>
        </w:rPr>
        <w:t xml:space="preserve"> degree </w:t>
      </w:r>
      <w:proofErr w:type="spellStart"/>
      <w:r w:rsidRPr="00846D06">
        <w:rPr>
          <w:rFonts w:asciiTheme="minorHAnsi" w:hAnsiTheme="minorHAnsi" w:cs="Helvetica"/>
          <w:i/>
          <w:iCs/>
          <w:color w:val="000000"/>
          <w:sz w:val="24"/>
          <w:szCs w:val="24"/>
          <w:lang w:val="en-US"/>
        </w:rPr>
        <w:t>programme</w:t>
      </w:r>
      <w:proofErr w:type="spellEnd"/>
      <w:r w:rsidRPr="00846D06">
        <w:rPr>
          <w:rFonts w:asciiTheme="minorHAnsi" w:hAnsiTheme="minorHAnsi" w:cs="Helvetica"/>
          <w:i/>
          <w:iCs/>
          <w:color w:val="000000"/>
          <w:sz w:val="24"/>
          <w:szCs w:val="24"/>
          <w:lang w:val="en-US"/>
        </w:rPr>
        <w:t>?</w:t>
      </w:r>
    </w:p>
    <w:p w14:paraId="511DF961"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5F4E8DD" w14:textId="77777777" w:rsidR="00846D06" w:rsidRPr="00846D06" w:rsidRDefault="00846D06" w:rsidP="00846D06">
      <w:pPr>
        <w:pStyle w:val="Heading4"/>
        <w:rPr>
          <w:lang w:val="en-US"/>
        </w:rPr>
      </w:pPr>
      <w:r w:rsidRPr="00846D06">
        <w:rPr>
          <w:lang w:val="en-US"/>
        </w:rPr>
        <w:t>3.1.3 OBJECTIVES</w:t>
      </w:r>
    </w:p>
    <w:p w14:paraId="1F962BF9" w14:textId="77777777" w:rsidR="00846D06" w:rsidRPr="00846D06" w:rsidRDefault="00846D06" w:rsidP="00846D06">
      <w:pPr>
        <w:autoSpaceDE w:val="0"/>
        <w:autoSpaceDN w:val="0"/>
        <w:adjustRightInd w:val="0"/>
        <w:spacing w:after="266" w:line="336"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F21A015" w14:textId="77777777" w:rsidR="00846D06" w:rsidRPr="00846D06" w:rsidRDefault="00846D06" w:rsidP="00846D06">
      <w:pPr>
        <w:autoSpaceDE w:val="0"/>
        <w:autoSpaceDN w:val="0"/>
        <w:adjustRightInd w:val="0"/>
        <w:spacing w:after="266" w:line="336"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The research is approached with the following objectives:</w:t>
      </w:r>
    </w:p>
    <w:p w14:paraId="2807416A" w14:textId="77777777" w:rsidR="00846D06" w:rsidRPr="00846D06" w:rsidRDefault="00846D06" w:rsidP="00846D06">
      <w:pPr>
        <w:autoSpaceDE w:val="0"/>
        <w:autoSpaceDN w:val="0"/>
        <w:adjustRightInd w:val="0"/>
        <w:spacing w:after="320" w:line="480" w:lineRule="atLeast"/>
        <w:ind w:left="960" w:hanging="48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1.</w:t>
      </w:r>
      <w:r w:rsidRPr="00846D06">
        <w:rPr>
          <w:rFonts w:asciiTheme="minorHAnsi" w:hAnsiTheme="minorHAnsi" w:cs="Times New Roman"/>
          <w:color w:val="000000"/>
          <w:sz w:val="24"/>
          <w:szCs w:val="24"/>
          <w:lang w:val="en-US"/>
        </w:rPr>
        <w:t xml:space="preserve">        </w:t>
      </w:r>
      <w:r w:rsidRPr="00846D06">
        <w:rPr>
          <w:rFonts w:asciiTheme="minorHAnsi" w:hAnsiTheme="minorHAnsi" w:cs="Helvetica"/>
          <w:i/>
          <w:iCs/>
          <w:color w:val="000000"/>
          <w:sz w:val="24"/>
          <w:szCs w:val="24"/>
          <w:lang w:val="en-US"/>
        </w:rPr>
        <w:t xml:space="preserve">To explore the perceptions of History lecturers at four U.K. universities regarding Education for Sustainable Development (ESD) and its compatibility with the </w:t>
      </w:r>
      <w:r w:rsidRPr="00846D06">
        <w:rPr>
          <w:rFonts w:asciiTheme="minorHAnsi" w:hAnsiTheme="minorHAnsi" w:cs="Helvetica"/>
          <w:i/>
          <w:iCs/>
          <w:color w:val="000000"/>
          <w:sz w:val="24"/>
          <w:szCs w:val="24"/>
          <w:lang w:val="en-US"/>
        </w:rPr>
        <w:lastRenderedPageBreak/>
        <w:t>discipline, through a Q-Methodological approach using a Q-sort activity followed by semi-structured interviews.</w:t>
      </w:r>
    </w:p>
    <w:p w14:paraId="396535AF" w14:textId="77777777" w:rsidR="00846D06" w:rsidRDefault="00846D06" w:rsidP="00846D06">
      <w:pPr>
        <w:autoSpaceDE w:val="0"/>
        <w:autoSpaceDN w:val="0"/>
        <w:adjustRightInd w:val="0"/>
        <w:spacing w:after="320" w:line="480" w:lineRule="atLeast"/>
        <w:ind w:left="960" w:hanging="480"/>
        <w:rPr>
          <w:rFonts w:asciiTheme="minorHAnsi" w:hAnsiTheme="minorHAnsi" w:cs="Helvetica"/>
          <w:i/>
          <w:iCs/>
          <w:color w:val="000000"/>
          <w:sz w:val="24"/>
          <w:szCs w:val="24"/>
          <w:lang w:val="en-US"/>
        </w:rPr>
      </w:pPr>
      <w:r w:rsidRPr="00846D06">
        <w:rPr>
          <w:rFonts w:asciiTheme="minorHAnsi" w:hAnsiTheme="minorHAnsi" w:cs="Helvetica"/>
          <w:i/>
          <w:iCs/>
          <w:color w:val="000000"/>
          <w:sz w:val="24"/>
          <w:szCs w:val="24"/>
          <w:lang w:val="en-US"/>
        </w:rPr>
        <w:t>2.</w:t>
      </w:r>
      <w:r w:rsidRPr="00846D06">
        <w:rPr>
          <w:rFonts w:asciiTheme="minorHAnsi" w:hAnsiTheme="minorHAnsi" w:cs="Times New Roman"/>
          <w:color w:val="000000"/>
          <w:sz w:val="24"/>
          <w:szCs w:val="24"/>
          <w:lang w:val="en-US"/>
        </w:rPr>
        <w:t xml:space="preserve">        </w:t>
      </w:r>
      <w:r w:rsidRPr="00846D06">
        <w:rPr>
          <w:rFonts w:asciiTheme="minorHAnsi" w:hAnsiTheme="minorHAnsi" w:cs="Helvetica"/>
          <w:i/>
          <w:iCs/>
          <w:color w:val="000000"/>
          <w:sz w:val="24"/>
          <w:szCs w:val="24"/>
          <w:lang w:val="en-US"/>
        </w:rPr>
        <w:t xml:space="preserve">To explore the perceptions of History lecturers on how explicit ESD needs to be </w:t>
      </w:r>
      <w:proofErr w:type="gramStart"/>
      <w:r w:rsidRPr="00846D06">
        <w:rPr>
          <w:rFonts w:asciiTheme="minorHAnsi" w:hAnsiTheme="minorHAnsi" w:cs="Helvetica"/>
          <w:i/>
          <w:iCs/>
          <w:color w:val="000000"/>
          <w:sz w:val="24"/>
          <w:szCs w:val="24"/>
          <w:lang w:val="en-US"/>
        </w:rPr>
        <w:t>in order to</w:t>
      </w:r>
      <w:proofErr w:type="gramEnd"/>
      <w:r w:rsidRPr="00846D06">
        <w:rPr>
          <w:rFonts w:asciiTheme="minorHAnsi" w:hAnsiTheme="minorHAnsi" w:cs="Helvetica"/>
          <w:i/>
          <w:iCs/>
          <w:color w:val="000000"/>
          <w:sz w:val="24"/>
          <w:szCs w:val="24"/>
          <w:lang w:val="en-US"/>
        </w:rPr>
        <w:t xml:space="preserve"> impact student outcomes, through a Q-Methodological approach using a Q-sort activity followed by semi-structured interviews.</w:t>
      </w:r>
    </w:p>
    <w:p w14:paraId="43C67E74" w14:textId="77777777" w:rsidR="00846D06" w:rsidRPr="00846D06" w:rsidRDefault="00846D06" w:rsidP="00846D06">
      <w:pPr>
        <w:autoSpaceDE w:val="0"/>
        <w:autoSpaceDN w:val="0"/>
        <w:adjustRightInd w:val="0"/>
        <w:spacing w:after="320" w:line="480" w:lineRule="atLeast"/>
        <w:ind w:left="960" w:hanging="480"/>
        <w:rPr>
          <w:rFonts w:asciiTheme="minorHAnsi" w:hAnsiTheme="minorHAnsi" w:cs="Helvetica"/>
          <w:color w:val="000000"/>
          <w:sz w:val="24"/>
          <w:szCs w:val="24"/>
          <w:lang w:val="en-US"/>
        </w:rPr>
      </w:pPr>
    </w:p>
    <w:p w14:paraId="7AC93A8F" w14:textId="77777777" w:rsidR="00846D06" w:rsidRPr="00846D06" w:rsidRDefault="00846D06" w:rsidP="00846D06">
      <w:pPr>
        <w:pStyle w:val="Heading4"/>
        <w:rPr>
          <w:lang w:val="en-US"/>
        </w:rPr>
      </w:pPr>
      <w:r w:rsidRPr="00846D06">
        <w:rPr>
          <w:lang w:val="en-US"/>
        </w:rPr>
        <w:t>3.1.4 POSITIONALITY</w:t>
      </w:r>
    </w:p>
    <w:p w14:paraId="14D884C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16B61E5"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To situate this study in its context, my own positionality is crucial.  Ontologically, I hold a broadly relativist position: I understand individual realities as constructed through personal experience, context, and interpretation rather than as reflections of a single objective truth.  This is consistent with the social constructivist paradigm adopted for this study (see section 3.2.1).  However, my position is not one of unconstrained relativism.   I also hold the view that subjective experience, while individually constructed can – under the right conditions – be rendered observable and amenable to systematic comparison.  This epistemological conviction is what drew me to Q Methodology, originally conceived by William Stepehenson (1935) as a means of studying subjectivity empirically.  My philosophical stance, therefore, is that while there is no single reality to be uncovered in how historians perceive ESD, the </w:t>
      </w:r>
      <w:r w:rsidRPr="00846D06">
        <w:rPr>
          <w:rFonts w:asciiTheme="minorHAnsi" w:hAnsiTheme="minorHAnsi" w:cs="Helvetica"/>
          <w:i/>
          <w:iCs/>
          <w:color w:val="000000"/>
          <w:sz w:val="24"/>
          <w:szCs w:val="24"/>
          <w:lang w:val="en-US"/>
        </w:rPr>
        <w:t>structure</w:t>
      </w:r>
      <w:r w:rsidRPr="00846D06">
        <w:rPr>
          <w:rFonts w:asciiTheme="minorHAnsi" w:hAnsiTheme="minorHAnsi" w:cs="Helvetica"/>
          <w:color w:val="000000"/>
          <w:sz w:val="24"/>
          <w:szCs w:val="24"/>
          <w:lang w:val="en-US"/>
        </w:rPr>
        <w:t xml:space="preserve"> of their perspectives can be made visible through a carefully designed instrument – and that the patterns which emerge carry a form of validity that goes beyond anecdote or assertion.</w:t>
      </w:r>
    </w:p>
    <w:p w14:paraId="1F977B97"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 work as a Curriculum Development Specialist at a university with a strong institutional reputation for sustainability education, where my role involves providing resources and </w:t>
      </w:r>
      <w:r w:rsidRPr="00846D06">
        <w:rPr>
          <w:rFonts w:asciiTheme="minorHAnsi" w:hAnsiTheme="minorHAnsi" w:cs="Helvetica"/>
          <w:color w:val="000000"/>
          <w:sz w:val="24"/>
          <w:szCs w:val="24"/>
          <w:lang w:val="en-US"/>
        </w:rPr>
        <w:lastRenderedPageBreak/>
        <w:t xml:space="preserve">guidance for course teams undergoing revalidation.  A significant part of this work involves support for academics in identifying and articulating the connections between their disciplines and ESD.  I approach this research, therefore, with a professional conviction that there is a meaningful connection between ESD and all disciplines – including those, like History, where that connection may not be immediately obvious to practitioners.  This conviction is itself a potential source of bias, and it will be important throughout the research process to ‘make the familiar strange’ (Delamont and Atkinson, 2021, p.9), remaining open to the possibility that participants may not share this view, and that the data may challenge rather than confirm my assumptions.  It is hoped that the </w:t>
      </w:r>
      <w:proofErr w:type="gramStart"/>
      <w:r w:rsidRPr="00846D06">
        <w:rPr>
          <w:rFonts w:asciiTheme="minorHAnsi" w:hAnsiTheme="minorHAnsi" w:cs="Helvetica"/>
          <w:color w:val="000000"/>
          <w:sz w:val="24"/>
          <w:szCs w:val="24"/>
          <w:lang w:val="en-US"/>
        </w:rPr>
        <w:t>particular research</w:t>
      </w:r>
      <w:proofErr w:type="gramEnd"/>
      <w:r w:rsidRPr="00846D06">
        <w:rPr>
          <w:rFonts w:asciiTheme="minorHAnsi" w:hAnsiTheme="minorHAnsi" w:cs="Helvetica"/>
          <w:color w:val="000000"/>
          <w:sz w:val="24"/>
          <w:szCs w:val="24"/>
          <w:lang w:val="en-US"/>
        </w:rPr>
        <w:t xml:space="preserve"> approach and methods chosen – and </w:t>
      </w:r>
      <w:proofErr w:type="gramStart"/>
      <w:r w:rsidRPr="00846D06">
        <w:rPr>
          <w:rFonts w:asciiTheme="minorHAnsi" w:hAnsiTheme="minorHAnsi" w:cs="Helvetica"/>
          <w:color w:val="000000"/>
          <w:sz w:val="24"/>
          <w:szCs w:val="24"/>
          <w:lang w:val="en-US"/>
        </w:rPr>
        <w:t>in particular the</w:t>
      </w:r>
      <w:proofErr w:type="gramEnd"/>
      <w:r w:rsidRPr="00846D06">
        <w:rPr>
          <w:rFonts w:asciiTheme="minorHAnsi" w:hAnsiTheme="minorHAnsi" w:cs="Helvetica"/>
          <w:color w:val="000000"/>
          <w:sz w:val="24"/>
          <w:szCs w:val="24"/>
          <w:lang w:val="en-US"/>
        </w:rPr>
        <w:t xml:space="preserve"> systematic, empirical character of Q Methodology – will bring a necessary element of objectivity to a study conducted by a researcher who is not a disinterested observer.</w:t>
      </w:r>
    </w:p>
    <w:p w14:paraId="116D0AD4"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F45189F" w14:textId="77777777" w:rsidR="00846D06" w:rsidRPr="00846D06" w:rsidRDefault="00846D06" w:rsidP="00846D06">
      <w:pPr>
        <w:pStyle w:val="Heading4"/>
        <w:rPr>
          <w:lang w:val="en-US"/>
        </w:rPr>
      </w:pPr>
      <w:r w:rsidRPr="00846D06">
        <w:rPr>
          <w:lang w:val="en-US"/>
        </w:rPr>
        <w:t>3.1.5 IMPLICATIONS FOR PRACTICE</w:t>
      </w:r>
    </w:p>
    <w:p w14:paraId="38CE48AE" w14:textId="77777777" w:rsidR="00846D06" w:rsidRPr="00846D06" w:rsidRDefault="00846D06" w:rsidP="00846D06">
      <w:pPr>
        <w:autoSpaceDE w:val="0"/>
        <w:autoSpaceDN w:val="0"/>
        <w:adjustRightInd w:val="0"/>
        <w:spacing w:after="266" w:line="336"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CC7088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research has direct implications for professional practice.  The effectiveness of any support to academics around embedding ESD depends on a clear understanding of how academics within specific disciplines perceive it – whether they see ESD as relevant, whether they </w:t>
      </w:r>
      <w:proofErr w:type="spellStart"/>
      <w:r w:rsidRPr="00846D06">
        <w:rPr>
          <w:rFonts w:asciiTheme="minorHAnsi" w:hAnsiTheme="minorHAnsi" w:cs="Helvetica"/>
          <w:color w:val="000000"/>
          <w:sz w:val="24"/>
          <w:szCs w:val="24"/>
          <w:lang w:val="en-US"/>
        </w:rPr>
        <w:t>recognise</w:t>
      </w:r>
      <w:proofErr w:type="spellEnd"/>
      <w:r w:rsidRPr="00846D06">
        <w:rPr>
          <w:rFonts w:asciiTheme="minorHAnsi" w:hAnsiTheme="minorHAnsi" w:cs="Helvetica"/>
          <w:color w:val="000000"/>
          <w:sz w:val="24"/>
          <w:szCs w:val="24"/>
          <w:lang w:val="en-US"/>
        </w:rPr>
        <w:t xml:space="preserve"> existing connections, and whether they experience policy-driven ESD requirements as congruent with or disruptive to their disciplinary values and pedagogical traditions.  The findings of this study are intended to inform the design of resources and development of opportunities for History course </w:t>
      </w:r>
      <w:proofErr w:type="gramStart"/>
      <w:r w:rsidRPr="00846D06">
        <w:rPr>
          <w:rFonts w:asciiTheme="minorHAnsi" w:hAnsiTheme="minorHAnsi" w:cs="Helvetica"/>
          <w:color w:val="000000"/>
          <w:sz w:val="24"/>
          <w:szCs w:val="24"/>
          <w:lang w:val="en-US"/>
        </w:rPr>
        <w:t>teams, and</w:t>
      </w:r>
      <w:proofErr w:type="gramEnd"/>
      <w:r w:rsidRPr="00846D06">
        <w:rPr>
          <w:rFonts w:asciiTheme="minorHAnsi" w:hAnsiTheme="minorHAnsi" w:cs="Helvetica"/>
          <w:color w:val="000000"/>
          <w:sz w:val="24"/>
          <w:szCs w:val="24"/>
          <w:lang w:val="en-US"/>
        </w:rPr>
        <w:t xml:space="preserve"> may also offer transferable insights into how ESD support can be tailored to the epistemological and pedagogical character of other disciplines.</w:t>
      </w:r>
    </w:p>
    <w:p w14:paraId="5A9F5AFE"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E729957" w14:textId="77777777" w:rsidR="00846D06" w:rsidRPr="00846D06" w:rsidRDefault="00846D06" w:rsidP="00846D06">
      <w:pPr>
        <w:pStyle w:val="Heading3"/>
        <w:rPr>
          <w:lang w:val="en-US"/>
        </w:rPr>
      </w:pPr>
      <w:bookmarkStart w:id="12" w:name="_Toc229750440"/>
      <w:r w:rsidRPr="00846D06">
        <w:rPr>
          <w:lang w:val="en-US"/>
        </w:rPr>
        <w:lastRenderedPageBreak/>
        <w:t>3.2 METHODOLOGY</w:t>
      </w:r>
      <w:bookmarkEnd w:id="12"/>
    </w:p>
    <w:p w14:paraId="7D717AFD" w14:textId="77777777" w:rsidR="00846D06" w:rsidRPr="00846D06" w:rsidRDefault="00846D06" w:rsidP="00846D06">
      <w:pPr>
        <w:pStyle w:val="Heading4"/>
        <w:rPr>
          <w:lang w:val="en-US"/>
        </w:rPr>
      </w:pPr>
      <w:r w:rsidRPr="00846D06">
        <w:rPr>
          <w:lang w:val="en-US"/>
        </w:rPr>
        <w:t>3.2.1 SOCIAL CONSTRUCTIVISM AND THE STUDY OF SUBJECTIVITY</w:t>
      </w:r>
    </w:p>
    <w:p w14:paraId="05883AB1"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64058A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 approaching this research from an interpretivist-constructivist stance, I am seeking to explore meanings and realities as they are constructed by individuals from personal, lived experiences (Punch and Oancea, 2014; Creswell and Poth, 2023).  The acknowledgement that meanings and realities defy simple </w:t>
      </w:r>
      <w:proofErr w:type="spellStart"/>
      <w:r w:rsidRPr="00846D06">
        <w:rPr>
          <w:rFonts w:asciiTheme="minorHAnsi" w:hAnsiTheme="minorHAnsi" w:cs="Helvetica"/>
          <w:color w:val="000000"/>
          <w:sz w:val="24"/>
          <w:szCs w:val="24"/>
          <w:lang w:val="en-US"/>
        </w:rPr>
        <w:t>categorisation</w:t>
      </w:r>
      <w:proofErr w:type="spellEnd"/>
      <w:r w:rsidRPr="00846D06">
        <w:rPr>
          <w:rFonts w:asciiTheme="minorHAnsi" w:hAnsiTheme="minorHAnsi" w:cs="Helvetica"/>
          <w:color w:val="000000"/>
          <w:sz w:val="24"/>
          <w:szCs w:val="24"/>
          <w:lang w:val="en-US"/>
        </w:rPr>
        <w:t>, and are multiple, informs the social constructivist approach of seeking out a ‘complexity of views’ (Creswell and Poth, 2023, p.23).  While literature on the engagement and perceptions of historians regarding ESD has been sparse, it is the purpose of this study to explore those perceptions in full.  The social constructivist paradigm, therefore, achieves ‘compatibility and integrity’ (Punch and Oancea, 2014, p.18) between the research question and the methodological approach.</w:t>
      </w:r>
    </w:p>
    <w:p w14:paraId="7D964CB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A0A1C51"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0ED1170" w14:textId="77777777" w:rsidR="00846D06" w:rsidRPr="00846D06" w:rsidRDefault="00846D06" w:rsidP="00846D06">
      <w:pPr>
        <w:pStyle w:val="Heading4"/>
        <w:rPr>
          <w:lang w:val="en-US"/>
        </w:rPr>
      </w:pPr>
      <w:r w:rsidRPr="00846D06">
        <w:rPr>
          <w:lang w:val="en-US"/>
        </w:rPr>
        <w:t>3.2.2 Q METHODOLOGY: THE SCIENTIFIC STUDY OF SUBJECTIVITY</w:t>
      </w:r>
    </w:p>
    <w:p w14:paraId="61C2D080"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9C59E0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Q Methodology involves the sorting and ranking of a fixed number of statements that are supposed to represent the full range of possible subjective viewpoints on the topic being researched.  Conceived by Stephenson as an ‘objective (unbiased, empirically verifiable and repeatable) method for the study of subjectivity’ (Robbins and Krueger, 2000, p.637), there is widespread agreement that Q Methodology represents the scientific study of subjectivity (Brown, 1993; Watts, 2009; Davis, 2011; Coogan and Herrington, 2011;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xml:space="preserve">, 2016).  In </w:t>
      </w:r>
      <w:proofErr w:type="spellStart"/>
      <w:r w:rsidRPr="00846D06">
        <w:rPr>
          <w:rFonts w:asciiTheme="minorHAnsi" w:hAnsiTheme="minorHAnsi" w:cs="Helvetica"/>
          <w:color w:val="000000"/>
          <w:sz w:val="24"/>
          <w:szCs w:val="24"/>
          <w:lang w:val="en-US"/>
        </w:rPr>
        <w:t>summarising</w:t>
      </w:r>
      <w:proofErr w:type="spellEnd"/>
      <w:r w:rsidRPr="00846D06">
        <w:rPr>
          <w:rFonts w:asciiTheme="minorHAnsi" w:hAnsiTheme="minorHAnsi" w:cs="Helvetica"/>
          <w:color w:val="000000"/>
          <w:sz w:val="24"/>
          <w:szCs w:val="24"/>
          <w:lang w:val="en-US"/>
        </w:rPr>
        <w:t xml:space="preserve"> this position, Watts (2009) argues that Q Methodology </w:t>
      </w:r>
      <w:r w:rsidRPr="00846D06">
        <w:rPr>
          <w:rFonts w:asciiTheme="minorHAnsi" w:hAnsiTheme="minorHAnsi" w:cs="Helvetica"/>
          <w:color w:val="000000"/>
          <w:sz w:val="24"/>
          <w:szCs w:val="24"/>
          <w:lang w:val="en-US"/>
        </w:rPr>
        <w:lastRenderedPageBreak/>
        <w:t>locates ‘bodies-of-knowledge’ (p.43), rendering their structure observable and representing the ‘objective part of the subjective world’ (p.43).</w:t>
      </w:r>
    </w:p>
    <w:p w14:paraId="7D4C8972"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Stenner (2022) explicitly connects Q Methodology to constructivism in a discussion of the potential for an objective study of subjectivity: rather than relying on pre-existing frameworks, Q Methodology is about understanding how people actively create their own understanding of the world.  Similarly, Ramlo and Newman (2011), argue that the act of arranging statements in the Q sort process allows each participant to construct their own reality.  For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xml:space="preserve"> (2016), predefined operational definitions are not imposed on the statements in the Q set (the statements to be sorted).  Rather, statements are interpreted based on the participants’ own frames of reference.</w:t>
      </w:r>
    </w:p>
    <w:p w14:paraId="7C41D3DF"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Shaw (2023) coins the phrase ‘</w:t>
      </w:r>
      <w:proofErr w:type="spellStart"/>
      <w:r w:rsidRPr="00846D06">
        <w:rPr>
          <w:rFonts w:asciiTheme="minorHAnsi" w:hAnsiTheme="minorHAnsi" w:cs="Helvetica"/>
          <w:color w:val="000000"/>
          <w:sz w:val="24"/>
          <w:szCs w:val="24"/>
          <w:lang w:val="en-US"/>
        </w:rPr>
        <w:t>qualiquantilogical</w:t>
      </w:r>
      <w:proofErr w:type="spellEnd"/>
      <w:r w:rsidRPr="00846D06">
        <w:rPr>
          <w:rFonts w:asciiTheme="minorHAnsi" w:hAnsiTheme="minorHAnsi" w:cs="Helvetica"/>
          <w:color w:val="000000"/>
          <w:sz w:val="24"/>
          <w:szCs w:val="24"/>
          <w:lang w:val="en-US"/>
        </w:rPr>
        <w:t xml:space="preserve">’ (p.4) to describe the way in which Q Methodology uniquely blends rich qualitative data with rigorous statistical analysis.  Likewise, Walker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(2018) refer to the combination of the ‘rigor of statistical analysis with qualitative constructivist meaning making’ (p.452) in pointing out the way in which Q Methodology can relate to different epistemologies, though chiefly constructivism through its unique interplay of qualitative and quantitative elements.  A connection is made, therefore, to both qualitative and quantitative methods when discussing Q Methodology, and it is frequently classified as a combination of both (Brown, 1993; Coogan and Herrington, 2011;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xml:space="preserve">, 2016; Walker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2018; Shaw, 2023).</w:t>
      </w:r>
    </w:p>
    <w:p w14:paraId="0469FCC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1137EB6" w14:textId="77777777" w:rsidR="00846D06" w:rsidRPr="00846D06" w:rsidRDefault="00846D06" w:rsidP="00846D06">
      <w:pPr>
        <w:pStyle w:val="Heading4"/>
        <w:rPr>
          <w:lang w:val="en-US"/>
        </w:rPr>
      </w:pPr>
      <w:r w:rsidRPr="00846D06">
        <w:rPr>
          <w:lang w:val="en-US"/>
        </w:rPr>
        <w:t>3.2.3 Q METHODOLOGY: A WHOLE METHODOLOGY</w:t>
      </w:r>
    </w:p>
    <w:p w14:paraId="13F10834"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0D45E9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concept of </w:t>
      </w:r>
      <w:r w:rsidRPr="00846D06">
        <w:rPr>
          <w:rFonts w:asciiTheme="minorHAnsi" w:hAnsiTheme="minorHAnsi" w:cs="Helvetica"/>
          <w:i/>
          <w:iCs/>
          <w:color w:val="000000"/>
          <w:sz w:val="24"/>
          <w:szCs w:val="24"/>
          <w:lang w:val="en-US"/>
        </w:rPr>
        <w:t>operant subjectivity</w:t>
      </w:r>
      <w:r w:rsidRPr="00846D06">
        <w:rPr>
          <w:rFonts w:asciiTheme="minorHAnsi" w:hAnsiTheme="minorHAnsi" w:cs="Helvetica"/>
          <w:color w:val="000000"/>
          <w:sz w:val="24"/>
          <w:szCs w:val="24"/>
          <w:lang w:val="en-US"/>
        </w:rPr>
        <w:t xml:space="preserve"> – subjectivity that can be communicated or expressed operantly – lies at the heart of Q Methodology, and it is this concept that gives it its crucial </w:t>
      </w:r>
      <w:r w:rsidRPr="00846D06">
        <w:rPr>
          <w:rFonts w:asciiTheme="minorHAnsi" w:hAnsiTheme="minorHAnsi" w:cs="Helvetica"/>
          <w:color w:val="000000"/>
          <w:sz w:val="24"/>
          <w:szCs w:val="24"/>
          <w:lang w:val="en-US"/>
        </w:rPr>
        <w:lastRenderedPageBreak/>
        <w:t xml:space="preserve">distinctiveness from more traditional approaches to gathering data, such as questionnaires and surveys (Stephenson, 1953;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The notion of </w:t>
      </w:r>
      <w:r w:rsidRPr="00846D06">
        <w:rPr>
          <w:rFonts w:asciiTheme="minorHAnsi" w:hAnsiTheme="minorHAnsi" w:cs="Helvetica"/>
          <w:i/>
          <w:iCs/>
          <w:color w:val="000000"/>
          <w:sz w:val="24"/>
          <w:szCs w:val="24"/>
          <w:lang w:val="en-US"/>
        </w:rPr>
        <w:t xml:space="preserve">operant subjectivity </w:t>
      </w:r>
      <w:r w:rsidRPr="00846D06">
        <w:rPr>
          <w:rFonts w:asciiTheme="minorHAnsi" w:hAnsiTheme="minorHAnsi" w:cs="Helvetica"/>
          <w:color w:val="000000"/>
          <w:sz w:val="24"/>
          <w:szCs w:val="24"/>
          <w:lang w:val="en-US"/>
        </w:rPr>
        <w:t xml:space="preserve">underpins the consensus in the literature that Q Methodology is a whole methodology with its own distinct way of exploring human perspectives (Capdevila and Lazard, 2008), encompassing a broad theoretical framework, as opposed to representing a method or tool (Davis, </w:t>
      </w:r>
      <w:proofErr w:type="gramStart"/>
      <w:r w:rsidRPr="00846D06">
        <w:rPr>
          <w:rFonts w:asciiTheme="minorHAnsi" w:hAnsiTheme="minorHAnsi" w:cs="Helvetica"/>
          <w:color w:val="000000"/>
          <w:sz w:val="24"/>
          <w:szCs w:val="24"/>
          <w:lang w:val="en-US"/>
        </w:rPr>
        <w:t>2011;</w:t>
      </w:r>
      <w:proofErr w:type="gramEnd"/>
      <w:r w:rsidRPr="00846D06">
        <w:rPr>
          <w:rFonts w:asciiTheme="minorHAnsi" w:hAnsiTheme="minorHAnsi" w:cs="Helvetica"/>
          <w:color w:val="000000"/>
          <w:sz w:val="24"/>
          <w:szCs w:val="24"/>
          <w:lang w:val="en-US"/>
        </w:rPr>
        <w:t xml:space="preserve"> Brown. 1993; Capdevila and Lazard, 2008;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2016; Ramlo, 2023).</w:t>
      </w:r>
    </w:p>
    <w:p w14:paraId="0E3D034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The distinctive core of Q Methodology being the scientific study of subjectivity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xml:space="preserve">, 2016), it allows a </w:t>
      </w:r>
      <w:proofErr w:type="spellStart"/>
      <w:r w:rsidRPr="00846D06">
        <w:rPr>
          <w:rFonts w:asciiTheme="minorHAnsi" w:hAnsiTheme="minorHAnsi" w:cs="Helvetica"/>
          <w:color w:val="000000"/>
          <w:sz w:val="24"/>
          <w:szCs w:val="24"/>
          <w:lang w:val="en-US"/>
        </w:rPr>
        <w:t>democratised</w:t>
      </w:r>
      <w:proofErr w:type="spellEnd"/>
      <w:r w:rsidRPr="00846D06">
        <w:rPr>
          <w:rFonts w:asciiTheme="minorHAnsi" w:hAnsiTheme="minorHAnsi" w:cs="Helvetica"/>
          <w:color w:val="000000"/>
          <w:sz w:val="24"/>
          <w:szCs w:val="24"/>
          <w:lang w:val="en-US"/>
        </w:rPr>
        <w:t xml:space="preserve"> approach, with a shift in the researcher-researched power dynamic (Robbins and Krueger, 2000), that brings forwards </w:t>
      </w:r>
      <w:proofErr w:type="spellStart"/>
      <w:r w:rsidRPr="00846D06">
        <w:rPr>
          <w:rFonts w:asciiTheme="minorHAnsi" w:hAnsiTheme="minorHAnsi" w:cs="Helvetica"/>
          <w:color w:val="000000"/>
          <w:sz w:val="24"/>
          <w:szCs w:val="24"/>
          <w:lang w:val="en-US"/>
        </w:rPr>
        <w:t>marginalised</w:t>
      </w:r>
      <w:proofErr w:type="spellEnd"/>
      <w:r w:rsidRPr="00846D06">
        <w:rPr>
          <w:rFonts w:asciiTheme="minorHAnsi" w:hAnsiTheme="minorHAnsi" w:cs="Helvetica"/>
          <w:color w:val="000000"/>
          <w:sz w:val="24"/>
          <w:szCs w:val="24"/>
          <w:lang w:val="en-US"/>
        </w:rPr>
        <w:t xml:space="preserve"> voices (Capdevila and Lazard, 2008).  Harris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(2019) and Watts and Stenner (2012) </w:t>
      </w:r>
      <w:proofErr w:type="spellStart"/>
      <w:r w:rsidRPr="00846D06">
        <w:rPr>
          <w:rFonts w:asciiTheme="minorHAnsi" w:hAnsiTheme="minorHAnsi" w:cs="Helvetica"/>
          <w:color w:val="000000"/>
          <w:sz w:val="24"/>
          <w:szCs w:val="24"/>
          <w:lang w:val="en-US"/>
        </w:rPr>
        <w:t>emphasise</w:t>
      </w:r>
      <w:proofErr w:type="spellEnd"/>
      <w:r w:rsidRPr="00846D06">
        <w:rPr>
          <w:rFonts w:asciiTheme="minorHAnsi" w:hAnsiTheme="minorHAnsi" w:cs="Helvetica"/>
          <w:color w:val="000000"/>
          <w:sz w:val="24"/>
          <w:szCs w:val="24"/>
          <w:lang w:val="en-US"/>
        </w:rPr>
        <w:t xml:space="preserve"> the discovery and theory building role of Q Methodology, which is linked to the idea of uncovering distinct viewpoints and the abductive approach of forming explanations (Davis, 2011).  </w:t>
      </w:r>
    </w:p>
    <w:p w14:paraId="55B34E0C" w14:textId="1D070A0B"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An abductive approach, therefore, involves approaching the data with an awareness of existing theoretical explanations while remaining open to new or unexpected patterns that may demand novel interpretation</w:t>
      </w:r>
      <w:r w:rsidR="006B0708">
        <w:rPr>
          <w:rFonts w:asciiTheme="minorHAnsi" w:hAnsiTheme="minorHAnsi" w:cs="Helvetica"/>
          <w:color w:val="000000"/>
          <w:sz w:val="24"/>
          <w:szCs w:val="24"/>
          <w:lang w:val="en-US"/>
        </w:rPr>
        <w:t xml:space="preserve"> (</w:t>
      </w:r>
      <w:proofErr w:type="spellStart"/>
      <w:r w:rsidR="006B0708">
        <w:rPr>
          <w:rFonts w:asciiTheme="minorHAnsi" w:hAnsiTheme="minorHAnsi" w:cs="Helvetica"/>
          <w:color w:val="000000"/>
          <w:sz w:val="24"/>
          <w:szCs w:val="24"/>
          <w:lang w:val="en-US"/>
        </w:rPr>
        <w:t>Tavory</w:t>
      </w:r>
      <w:proofErr w:type="spellEnd"/>
      <w:r w:rsidR="006B0708">
        <w:rPr>
          <w:rFonts w:asciiTheme="minorHAnsi" w:hAnsiTheme="minorHAnsi" w:cs="Helvetica"/>
          <w:color w:val="000000"/>
          <w:sz w:val="24"/>
          <w:szCs w:val="24"/>
          <w:lang w:val="en-US"/>
        </w:rPr>
        <w:t xml:space="preserve"> and Timmermans, 2014)</w:t>
      </w:r>
      <w:r w:rsidRPr="00846D06">
        <w:rPr>
          <w:rFonts w:asciiTheme="minorHAnsi" w:hAnsiTheme="minorHAnsi" w:cs="Helvetica"/>
          <w:color w:val="000000"/>
          <w:sz w:val="24"/>
          <w:szCs w:val="24"/>
          <w:lang w:val="en-US"/>
        </w:rPr>
        <w:t xml:space="preserve">.  In this study, the literature has uncovered a number of theories: </w:t>
      </w:r>
      <w:proofErr w:type="spellStart"/>
      <w:r w:rsidRPr="00846D06">
        <w:rPr>
          <w:rFonts w:asciiTheme="minorHAnsi" w:hAnsiTheme="minorHAnsi" w:cs="Helvetica"/>
          <w:color w:val="000000"/>
          <w:sz w:val="24"/>
          <w:szCs w:val="24"/>
          <w:lang w:val="en-US"/>
        </w:rPr>
        <w:t>i</w:t>
      </w:r>
      <w:proofErr w:type="spellEnd"/>
      <w:r w:rsidRPr="00846D06">
        <w:rPr>
          <w:rFonts w:asciiTheme="minorHAnsi" w:hAnsiTheme="minorHAnsi" w:cs="Helvetica"/>
          <w:color w:val="000000"/>
          <w:sz w:val="24"/>
          <w:szCs w:val="24"/>
          <w:lang w:val="en-US"/>
        </w:rPr>
        <w:t>) that there is a fundamental compatibility between ESD and History, in areas such as the focus inherent to both on criticality and systems thinking; ii) further areas of compatibility include Environmental History, culture and heritage, and approaches to teaching and learning connected to these, such as Oral and Public History.  An abductive approach was therefore applied to this study, keeping these theories in mind, but expecting the generation of new understandings representative of the shared viewpoints of the participants.</w:t>
      </w:r>
    </w:p>
    <w:p w14:paraId="5AC61659"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C543510"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The remainder of this section explains how the tools and techniques of Q methodology were applied in the context of this study into the perceptions of historians in higher education regarding ESD.</w:t>
      </w:r>
    </w:p>
    <w:p w14:paraId="458493C2"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A25575E" w14:textId="77777777" w:rsidR="00846D06" w:rsidRPr="00846D06" w:rsidRDefault="00846D06" w:rsidP="00846D06">
      <w:pPr>
        <w:pStyle w:val="Heading3"/>
        <w:rPr>
          <w:lang w:val="en-US"/>
        </w:rPr>
      </w:pPr>
      <w:bookmarkStart w:id="13" w:name="_Toc229750441"/>
      <w:r w:rsidRPr="00846D06">
        <w:rPr>
          <w:lang w:val="en-US"/>
        </w:rPr>
        <w:t>3.3 RESEARCH METHODS</w:t>
      </w:r>
      <w:bookmarkEnd w:id="13"/>
    </w:p>
    <w:p w14:paraId="5595551D"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CEF1A91" w14:textId="301569E1"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noProof/>
          <w:color w:val="000000"/>
          <w:sz w:val="24"/>
          <w:szCs w:val="24"/>
          <w:lang w:val="en-US"/>
        </w:rPr>
        <w:drawing>
          <wp:inline distT="0" distB="0" distL="0" distR="0" wp14:anchorId="1074B1AB" wp14:editId="6E9DEC07">
            <wp:extent cx="5943600" cy="3127375"/>
            <wp:effectExtent l="0" t="0" r="0" b="0"/>
            <wp:docPr id="574509806" name="Picture 3" descr="A diagram of a data analysis proces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4509806" name="Picture 3" descr="A diagram of a data analysis process&#10;&#10;AI-generated content may be incorrect."/>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943600" cy="3127375"/>
                    </a:xfrm>
                    <a:prstGeom prst="rect">
                      <a:avLst/>
                    </a:prstGeom>
                    <a:noFill/>
                    <a:ln>
                      <a:noFill/>
                    </a:ln>
                  </pic:spPr>
                </pic:pic>
              </a:graphicData>
            </a:graphic>
          </wp:inline>
        </w:drawing>
      </w:r>
    </w:p>
    <w:p w14:paraId="5BDB0F21" w14:textId="67EE2747" w:rsidR="00846D06" w:rsidRPr="00846D06" w:rsidRDefault="00693900" w:rsidP="00693900">
      <w:pPr>
        <w:pStyle w:val="Caption"/>
        <w:rPr>
          <w:rFonts w:asciiTheme="minorHAnsi" w:hAnsiTheme="minorHAnsi" w:cs="Helvetica"/>
          <w:color w:val="000000"/>
          <w:sz w:val="24"/>
          <w:szCs w:val="24"/>
          <w:lang w:val="en-US"/>
        </w:rPr>
      </w:pPr>
      <w:bookmarkStart w:id="14" w:name="_Toc229750649"/>
      <w:r>
        <w:t xml:space="preserve">Figure </w:t>
      </w:r>
      <w:r>
        <w:fldChar w:fldCharType="begin"/>
      </w:r>
      <w:r>
        <w:instrText xml:space="preserve"> SEQ Figure \* ARABIC </w:instrText>
      </w:r>
      <w:r>
        <w:fldChar w:fldCharType="separate"/>
      </w:r>
      <w:r>
        <w:rPr>
          <w:noProof/>
        </w:rPr>
        <w:t>1</w:t>
      </w:r>
      <w:r>
        <w:fldChar w:fldCharType="end"/>
      </w:r>
      <w:r>
        <w:t xml:space="preserve">: </w:t>
      </w:r>
      <w:r w:rsidRPr="005C2DD5">
        <w:t>FLOWCHART TO DEMONSTRATE Q METHODOLOGY</w:t>
      </w:r>
      <w:bookmarkEnd w:id="14"/>
    </w:p>
    <w:p w14:paraId="7DE058C0"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2B9AFF1"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89F837F" w14:textId="77777777" w:rsidR="00846D06" w:rsidRPr="00846D06" w:rsidRDefault="00846D06" w:rsidP="00846D06">
      <w:pPr>
        <w:pStyle w:val="Heading4"/>
        <w:rPr>
          <w:lang w:val="en-US"/>
        </w:rPr>
      </w:pPr>
      <w:r w:rsidRPr="00846D06">
        <w:rPr>
          <w:lang w:val="en-US"/>
        </w:rPr>
        <w:t>3.3.1 DEFINING THE CONCOURSE: HARNESSING EMERGENT TECHNOLOGY</w:t>
      </w:r>
    </w:p>
    <w:p w14:paraId="2A847BE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791FB7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first step in preparation for a Q Methodological study, according to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in their excellent overview of the process, is known as ‘Definition of the </w:t>
      </w:r>
      <w:r w:rsidRPr="00846D06">
        <w:rPr>
          <w:rFonts w:asciiTheme="minorHAnsi" w:hAnsiTheme="minorHAnsi" w:cs="Helvetica"/>
          <w:color w:val="000000"/>
          <w:sz w:val="24"/>
          <w:szCs w:val="24"/>
          <w:lang w:val="en-US"/>
        </w:rPr>
        <w:lastRenderedPageBreak/>
        <w:t xml:space="preserve">concourse’ (p.4).  The concourse is as comprehensive as possible a series of statements (Capdevila and Lazard, 2008) relating to the research question(s) and representing the potential opinions, thoughts and feelings of the research participants.  The concourse should include anything that could be said or thought about the ‘domain of subjectivity’ (Robbins and Krueger, 2000, p.638).  A sample of these statements is then selected to become the Q-set: those statements that will be used in the sorting stage when data is collected from participants.  Suitable material to mine for concourse statements include scholarly articles, interviews, focus groups and popular media (Brown, 1993; Coogan and Herrington, 2011; Shaw, 2023; </w:t>
      </w:r>
      <w:proofErr w:type="spellStart"/>
      <w:r w:rsidRPr="00846D06">
        <w:rPr>
          <w:rFonts w:asciiTheme="minorHAnsi" w:hAnsiTheme="minorHAnsi" w:cs="Helvetica"/>
          <w:color w:val="000000"/>
          <w:sz w:val="24"/>
          <w:szCs w:val="24"/>
          <w:lang w:val="en-US"/>
        </w:rPr>
        <w:t>Espartinez</w:t>
      </w:r>
      <w:proofErr w:type="spellEnd"/>
      <w:r w:rsidRPr="00846D06">
        <w:rPr>
          <w:rFonts w:asciiTheme="minorHAnsi" w:hAnsiTheme="minorHAnsi" w:cs="Helvetica"/>
          <w:color w:val="000000"/>
          <w:sz w:val="24"/>
          <w:szCs w:val="24"/>
          <w:lang w:val="en-US"/>
        </w:rPr>
        <w:t xml:space="preserve">, 2024).  </w:t>
      </w:r>
    </w:p>
    <w:p w14:paraId="76683CE5" w14:textId="62148C3B"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However, there have been criticisms of the typical approach to concourse definition.  Watts and Stenner (2012), for example, call Stephenson’s descriptions of the process as ‘rather vague’ (p.57).  Stephenson describes, for example, the extraction of 100 statements from a single article as ‘a straightforward matter’ (Stephenson, 1987, p.531, in Watts and Stenner, 2012, p.57) without further elaboration</w:t>
      </w:r>
      <w:r w:rsidR="006F15E1">
        <w:rPr>
          <w:rFonts w:asciiTheme="minorHAnsi" w:hAnsiTheme="minorHAnsi" w:cs="Helvetica"/>
          <w:color w:val="000000"/>
          <w:sz w:val="24"/>
          <w:szCs w:val="24"/>
          <w:lang w:val="en-US"/>
        </w:rPr>
        <w:t xml:space="preserve"> of his process</w:t>
      </w:r>
      <w:r w:rsidRPr="00846D06">
        <w:rPr>
          <w:rFonts w:asciiTheme="minorHAnsi" w:hAnsiTheme="minorHAnsi" w:cs="Helvetica"/>
          <w:color w:val="000000"/>
          <w:sz w:val="24"/>
          <w:szCs w:val="24"/>
          <w:lang w:val="en-US"/>
        </w:rPr>
        <w:t xml:space="preserve">.  Watts and Stenner (2012) suggest that, on the contrary, definition of the concourse may be the most time-consuming element of the research process requiring considerable care.  Other authors on Q Methodology similarly view development of the concourse as </w:t>
      </w:r>
      <w:r w:rsidR="006F15E1">
        <w:rPr>
          <w:rFonts w:asciiTheme="minorHAnsi" w:hAnsiTheme="minorHAnsi" w:cs="Helvetica"/>
          <w:color w:val="000000"/>
          <w:sz w:val="24"/>
          <w:szCs w:val="24"/>
          <w:lang w:val="en-US"/>
        </w:rPr>
        <w:t>a crucial step</w:t>
      </w:r>
      <w:r w:rsidRPr="00846D06">
        <w:rPr>
          <w:rFonts w:asciiTheme="minorHAnsi" w:hAnsiTheme="minorHAnsi" w:cs="Helvetica"/>
          <w:color w:val="000000"/>
          <w:sz w:val="24"/>
          <w:szCs w:val="24"/>
          <w:lang w:val="en-US"/>
        </w:rPr>
        <w:t xml:space="preserve"> in determining the validity and reliability of the research (Harris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2019; Shaw, 2023; Ramlo, 2023).</w:t>
      </w:r>
    </w:p>
    <w:p w14:paraId="17F52065" w14:textId="604FEF4B"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Ramlo (2023) describes the content of the concourse as potentially infinite, and </w:t>
      </w:r>
      <w:r w:rsidR="006F15E1">
        <w:rPr>
          <w:rFonts w:asciiTheme="minorHAnsi" w:hAnsiTheme="minorHAnsi" w:cs="Helvetica"/>
          <w:color w:val="000000"/>
          <w:sz w:val="24"/>
          <w:szCs w:val="24"/>
          <w:lang w:val="en-US"/>
        </w:rPr>
        <w:t xml:space="preserve">other </w:t>
      </w:r>
      <w:r w:rsidRPr="00846D06">
        <w:rPr>
          <w:rFonts w:asciiTheme="minorHAnsi" w:hAnsiTheme="minorHAnsi" w:cs="Helvetica"/>
          <w:color w:val="000000"/>
          <w:sz w:val="24"/>
          <w:szCs w:val="24"/>
          <w:lang w:val="en-US"/>
        </w:rPr>
        <w:t xml:space="preserve">studies include accounts of concourse development with up to 400 items (Robbins and Krueger 2000).  While Capdevila and Lazard (2008), on the other hand, introduce the idea of ‘finite diversity’ (p.73), this does suggest the importance of establishing a thoroughly comprehensive concourse covering all potential perspectives, including the </w:t>
      </w:r>
      <w:proofErr w:type="spellStart"/>
      <w:r w:rsidRPr="00846D06">
        <w:rPr>
          <w:rFonts w:asciiTheme="minorHAnsi" w:hAnsiTheme="minorHAnsi" w:cs="Helvetica"/>
          <w:color w:val="000000"/>
          <w:sz w:val="24"/>
          <w:szCs w:val="24"/>
          <w:lang w:val="en-US"/>
        </w:rPr>
        <w:t>marginalised</w:t>
      </w:r>
      <w:proofErr w:type="spellEnd"/>
      <w:r w:rsidRPr="00846D06">
        <w:rPr>
          <w:rFonts w:asciiTheme="minorHAnsi" w:hAnsiTheme="minorHAnsi" w:cs="Helvetica"/>
          <w:color w:val="000000"/>
          <w:sz w:val="24"/>
          <w:szCs w:val="24"/>
          <w:lang w:val="en-US"/>
        </w:rPr>
        <w:t xml:space="preserve">.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researchers mention using practical approaches to gathering </w:t>
      </w:r>
      <w:r w:rsidRPr="00846D06">
        <w:rPr>
          <w:rFonts w:asciiTheme="minorHAnsi" w:hAnsiTheme="minorHAnsi" w:cs="Helvetica"/>
          <w:color w:val="000000"/>
          <w:sz w:val="24"/>
          <w:szCs w:val="24"/>
          <w:lang w:val="en-US"/>
        </w:rPr>
        <w:lastRenderedPageBreak/>
        <w:t xml:space="preserve">statements, including using inspirational books, articles and interviews (Stenner, 2022), popular media, such as newspapers and magazines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and requests for comments via email or in focus groups (Coogan and Herrington, 2011).</w:t>
      </w:r>
    </w:p>
    <w:p w14:paraId="31E87844" w14:textId="5C7B9C43"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Time</w:t>
      </w:r>
      <w:r w:rsidR="006F15E1">
        <w:rPr>
          <w:rFonts w:asciiTheme="minorHAnsi" w:hAnsiTheme="minorHAnsi" w:cs="Helvetica"/>
          <w:color w:val="000000"/>
          <w:sz w:val="24"/>
          <w:szCs w:val="24"/>
          <w:lang w:val="en-US"/>
        </w:rPr>
        <w:t xml:space="preserve"> </w:t>
      </w:r>
      <w:r w:rsidRPr="00846D06">
        <w:rPr>
          <w:rFonts w:asciiTheme="minorHAnsi" w:hAnsiTheme="minorHAnsi" w:cs="Helvetica"/>
          <w:color w:val="000000"/>
          <w:sz w:val="24"/>
          <w:szCs w:val="24"/>
          <w:lang w:val="en-US"/>
        </w:rPr>
        <w:t>constraints</w:t>
      </w:r>
      <w:r w:rsidR="006F15E1">
        <w:rPr>
          <w:rFonts w:asciiTheme="minorHAnsi" w:hAnsiTheme="minorHAnsi" w:cs="Helvetica"/>
          <w:color w:val="000000"/>
          <w:sz w:val="24"/>
          <w:szCs w:val="24"/>
          <w:lang w:val="en-US"/>
        </w:rPr>
        <w:t xml:space="preserve"> </w:t>
      </w:r>
      <w:r w:rsidRPr="00846D06">
        <w:rPr>
          <w:rFonts w:asciiTheme="minorHAnsi" w:hAnsiTheme="minorHAnsi" w:cs="Helvetica"/>
          <w:color w:val="000000"/>
          <w:sz w:val="24"/>
          <w:szCs w:val="24"/>
          <w:lang w:val="en-US"/>
        </w:rPr>
        <w:t xml:space="preserve">led me to explore the idea of using </w:t>
      </w:r>
      <w:r w:rsidR="006F15E1">
        <w:rPr>
          <w:rFonts w:asciiTheme="minorHAnsi" w:hAnsiTheme="minorHAnsi" w:cs="Helvetica"/>
          <w:color w:val="000000"/>
          <w:sz w:val="24"/>
          <w:szCs w:val="24"/>
          <w:lang w:val="en-US"/>
        </w:rPr>
        <w:t>g</w:t>
      </w:r>
      <w:r w:rsidRPr="00846D06">
        <w:rPr>
          <w:rFonts w:asciiTheme="minorHAnsi" w:hAnsiTheme="minorHAnsi" w:cs="Helvetica"/>
          <w:color w:val="000000"/>
          <w:sz w:val="24"/>
          <w:szCs w:val="24"/>
          <w:lang w:val="en-US"/>
        </w:rPr>
        <w:t>en</w:t>
      </w:r>
      <w:r w:rsidR="006F15E1">
        <w:rPr>
          <w:rFonts w:asciiTheme="minorHAnsi" w:hAnsiTheme="minorHAnsi" w:cs="Helvetica"/>
          <w:color w:val="000000"/>
          <w:sz w:val="24"/>
          <w:szCs w:val="24"/>
          <w:lang w:val="en-US"/>
        </w:rPr>
        <w:t>erative artificial intelligence (AI)</w:t>
      </w:r>
      <w:r w:rsidRPr="00846D06">
        <w:rPr>
          <w:rFonts w:asciiTheme="minorHAnsi" w:hAnsiTheme="minorHAnsi" w:cs="Helvetica"/>
          <w:color w:val="000000"/>
          <w:sz w:val="24"/>
          <w:szCs w:val="24"/>
          <w:lang w:val="en-US"/>
        </w:rPr>
        <w:t xml:space="preserve"> to develop </w:t>
      </w:r>
      <w:r w:rsidR="006F15E1">
        <w:rPr>
          <w:rFonts w:asciiTheme="minorHAnsi" w:hAnsiTheme="minorHAnsi" w:cs="Helvetica"/>
          <w:color w:val="000000"/>
          <w:sz w:val="24"/>
          <w:szCs w:val="24"/>
          <w:lang w:val="en-US"/>
        </w:rPr>
        <w:t>the concourse</w:t>
      </w:r>
      <w:r w:rsidRPr="00846D06">
        <w:rPr>
          <w:rFonts w:asciiTheme="minorHAnsi" w:hAnsiTheme="minorHAnsi" w:cs="Helvetica"/>
          <w:color w:val="000000"/>
          <w:sz w:val="24"/>
          <w:szCs w:val="24"/>
          <w:lang w:val="en-US"/>
        </w:rPr>
        <w:t xml:space="preserve"> for this study.  Recent papers suggest a legitimate role for </w:t>
      </w:r>
      <w:r w:rsidR="006F15E1">
        <w:rPr>
          <w:rFonts w:asciiTheme="minorHAnsi" w:hAnsiTheme="minorHAnsi" w:cs="Helvetica"/>
          <w:color w:val="000000"/>
          <w:sz w:val="24"/>
          <w:szCs w:val="24"/>
          <w:lang w:val="en-US"/>
        </w:rPr>
        <w:t>generative</w:t>
      </w:r>
      <w:r w:rsidRPr="00846D06">
        <w:rPr>
          <w:rFonts w:asciiTheme="minorHAnsi" w:hAnsiTheme="minorHAnsi" w:cs="Helvetica"/>
          <w:color w:val="000000"/>
          <w:sz w:val="24"/>
          <w:szCs w:val="24"/>
          <w:lang w:val="en-US"/>
        </w:rPr>
        <w:t xml:space="preserve"> AI in research beyond using it for writing literature reviews.  Potential applications include research design, data collection and data analysis (Kingsley, 2023; Berg, 2023; Salman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2025).  For example, Berg (2023) envisions ‘a lengthy dialogue’ (p.7) with Large Language Models (LLMs) which, with careful input, interactions and thoughtful navigation of the LLM’s responses, can lead to revised arguments and the exploration of nuanced alternatives.  The key is ‘taking advantage of the LLM’s vast informational resources and analytical capabilities’ (ibid. p.8).  </w:t>
      </w:r>
    </w:p>
    <w:p w14:paraId="3E5A9DAC" w14:textId="58EBA2AA" w:rsid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 therefore chose to employ a combination of Google Gemini and </w:t>
      </w:r>
      <w:proofErr w:type="spellStart"/>
      <w:r w:rsidRPr="00846D06">
        <w:rPr>
          <w:rFonts w:asciiTheme="minorHAnsi" w:hAnsiTheme="minorHAnsi" w:cs="Helvetica"/>
          <w:color w:val="000000"/>
          <w:sz w:val="24"/>
          <w:szCs w:val="24"/>
          <w:lang w:val="en-US"/>
        </w:rPr>
        <w:t>NotebookLM</w:t>
      </w:r>
      <w:proofErr w:type="spellEnd"/>
      <w:r w:rsidRPr="00846D06">
        <w:rPr>
          <w:rFonts w:asciiTheme="minorHAnsi" w:hAnsiTheme="minorHAnsi" w:cs="Helvetica"/>
          <w:color w:val="000000"/>
          <w:sz w:val="24"/>
          <w:szCs w:val="24"/>
          <w:lang w:val="en-US"/>
        </w:rPr>
        <w:t xml:space="preserve"> to assist in generating the concourse.  The two tools were used in deliberately different ways.  Google Gemini, operating as an open large language model with access to Google Search, was prompted to generate statements reflecting the range of possible opinions on the research topic through its ‘Deep Research’ function.  </w:t>
      </w:r>
      <w:proofErr w:type="spellStart"/>
      <w:r w:rsidRPr="00846D06">
        <w:rPr>
          <w:rFonts w:asciiTheme="minorHAnsi" w:hAnsiTheme="minorHAnsi" w:cs="Helvetica"/>
          <w:color w:val="000000"/>
          <w:sz w:val="24"/>
          <w:szCs w:val="24"/>
          <w:lang w:val="en-US"/>
        </w:rPr>
        <w:t>NotebookLM</w:t>
      </w:r>
      <w:proofErr w:type="spellEnd"/>
      <w:r w:rsidRPr="00846D06">
        <w:rPr>
          <w:rFonts w:asciiTheme="minorHAnsi" w:hAnsiTheme="minorHAnsi" w:cs="Helvetica"/>
          <w:color w:val="000000"/>
          <w:sz w:val="24"/>
          <w:szCs w:val="24"/>
          <w:lang w:val="en-US"/>
        </w:rPr>
        <w:t xml:space="preserve">, by contrast, was configured to operate on a closed corpus: the specific sources used in the literature review on approaches to teaching History in higher education and on historians’ engagement with ESD.  This distinction is methodologically significant.  Because </w:t>
      </w:r>
      <w:proofErr w:type="spellStart"/>
      <w:r w:rsidRPr="00846D06">
        <w:rPr>
          <w:rFonts w:asciiTheme="minorHAnsi" w:hAnsiTheme="minorHAnsi" w:cs="Helvetica"/>
          <w:color w:val="000000"/>
          <w:sz w:val="24"/>
          <w:szCs w:val="24"/>
          <w:lang w:val="en-US"/>
        </w:rPr>
        <w:t>NotebookLM’s</w:t>
      </w:r>
      <w:proofErr w:type="spellEnd"/>
      <w:r w:rsidRPr="00846D06">
        <w:rPr>
          <w:rFonts w:asciiTheme="minorHAnsi" w:hAnsiTheme="minorHAnsi" w:cs="Helvetica"/>
          <w:color w:val="000000"/>
          <w:sz w:val="24"/>
          <w:szCs w:val="24"/>
          <w:lang w:val="en-US"/>
        </w:rPr>
        <w:t xml:space="preserve"> outputs were grounded in a defined body of literature that had already been critically appraised as part of the review process, the statements it generated reflected opinions and perspectives encountered in the scholarly conversation surrounding the research question, rather than drawing on uncontrolled or unverifiable training data.  The use of two tools operating under different conditions – one open, one constrained – was intended to </w:t>
      </w:r>
      <w:proofErr w:type="spellStart"/>
      <w:r w:rsidRPr="00846D06">
        <w:rPr>
          <w:rFonts w:asciiTheme="minorHAnsi" w:hAnsiTheme="minorHAnsi" w:cs="Helvetica"/>
          <w:color w:val="000000"/>
          <w:sz w:val="24"/>
          <w:szCs w:val="24"/>
          <w:lang w:val="en-US"/>
        </w:rPr>
        <w:lastRenderedPageBreak/>
        <w:t>maximise</w:t>
      </w:r>
      <w:proofErr w:type="spellEnd"/>
      <w:r w:rsidRPr="00846D06">
        <w:rPr>
          <w:rFonts w:asciiTheme="minorHAnsi" w:hAnsiTheme="minorHAnsi" w:cs="Helvetica"/>
          <w:color w:val="000000"/>
          <w:sz w:val="24"/>
          <w:szCs w:val="24"/>
          <w:lang w:val="en-US"/>
        </w:rPr>
        <w:t xml:space="preserve"> the comprehensiveness of the concourse by capturing both perspectives represented in the existing literature and broader viewpoints that might not have been articulated in the sources reviewed.  An account of the process, including the prompts </w:t>
      </w:r>
      <w:r w:rsidR="001C0784">
        <w:rPr>
          <w:rFonts w:asciiTheme="minorHAnsi" w:hAnsiTheme="minorHAnsi" w:cs="Helvetica"/>
          <w:color w:val="000000"/>
          <w:sz w:val="24"/>
          <w:szCs w:val="24"/>
          <w:lang w:val="en-US"/>
        </w:rPr>
        <w:t xml:space="preserve">and process </w:t>
      </w:r>
      <w:r w:rsidRPr="00846D06">
        <w:rPr>
          <w:rFonts w:asciiTheme="minorHAnsi" w:hAnsiTheme="minorHAnsi" w:cs="Helvetica"/>
          <w:color w:val="000000"/>
          <w:sz w:val="24"/>
          <w:szCs w:val="24"/>
          <w:lang w:val="en-US"/>
        </w:rPr>
        <w:t xml:space="preserve">used and the nature of the outputs, can be found in Appendix 1.  Appendix 2 includes the concourse statements generated by Google Gemini ‘Deep Research’, Google Gemini ‘Canvas’ and </w:t>
      </w:r>
      <w:proofErr w:type="spellStart"/>
      <w:r w:rsidRPr="00846D06">
        <w:rPr>
          <w:rFonts w:asciiTheme="minorHAnsi" w:hAnsiTheme="minorHAnsi" w:cs="Helvetica"/>
          <w:color w:val="000000"/>
          <w:sz w:val="24"/>
          <w:szCs w:val="24"/>
          <w:lang w:val="en-US"/>
        </w:rPr>
        <w:t>NotebookLM</w:t>
      </w:r>
      <w:proofErr w:type="spellEnd"/>
      <w:r w:rsidRPr="00846D06">
        <w:rPr>
          <w:rFonts w:asciiTheme="minorHAnsi" w:hAnsiTheme="minorHAnsi" w:cs="Helvetica"/>
          <w:color w:val="000000"/>
          <w:sz w:val="24"/>
          <w:szCs w:val="24"/>
          <w:lang w:val="en-US"/>
        </w:rPr>
        <w:t>.</w:t>
      </w:r>
    </w:p>
    <w:p w14:paraId="6BD8B2F7" w14:textId="77777777" w:rsidR="00CF474E" w:rsidRDefault="00CF474E" w:rsidP="00846D06">
      <w:pPr>
        <w:autoSpaceDE w:val="0"/>
        <w:autoSpaceDN w:val="0"/>
        <w:adjustRightInd w:val="0"/>
        <w:spacing w:after="266" w:line="480" w:lineRule="atLeast"/>
        <w:rPr>
          <w:rFonts w:asciiTheme="minorHAnsi" w:hAnsiTheme="minorHAnsi" w:cs="Helvetica"/>
          <w:color w:val="000000"/>
          <w:sz w:val="24"/>
          <w:szCs w:val="24"/>
          <w:lang w:val="en-US"/>
        </w:rPr>
      </w:pPr>
    </w:p>
    <w:p w14:paraId="40DE9D88"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74E44C5" w14:textId="5F361D2D" w:rsidR="00CF474E" w:rsidRPr="00846D06" w:rsidRDefault="00CF474E" w:rsidP="00CF474E">
      <w:pPr>
        <w:pStyle w:val="Heading4"/>
        <w:rPr>
          <w:lang w:val="en-US"/>
        </w:rPr>
      </w:pPr>
      <w:r w:rsidRPr="00846D06">
        <w:rPr>
          <w:lang w:val="en-US"/>
        </w:rPr>
        <w:t>3.3.</w:t>
      </w:r>
      <w:r>
        <w:rPr>
          <w:lang w:val="en-US"/>
        </w:rPr>
        <w:t>2</w:t>
      </w:r>
      <w:r w:rsidRPr="00846D06">
        <w:rPr>
          <w:lang w:val="en-US"/>
        </w:rPr>
        <w:t xml:space="preserve"> DEVELOPING THE Q-SET</w:t>
      </w:r>
    </w:p>
    <w:p w14:paraId="50B115A7"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4988A93"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next step towards data collection involves reducing the number of statements in the concourse into a manageable number, which will be known as the Q-set and used by participants in the Q-sort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Watts and Stenner, 2012).  The typical number of statements used in a Q-set is noted to range from </w:t>
      </w:r>
      <w:proofErr w:type="gramStart"/>
      <w:r w:rsidRPr="00846D06">
        <w:rPr>
          <w:rFonts w:asciiTheme="minorHAnsi" w:hAnsiTheme="minorHAnsi" w:cs="Helvetica"/>
          <w:color w:val="000000"/>
          <w:sz w:val="24"/>
          <w:szCs w:val="24"/>
          <w:lang w:val="en-US"/>
        </w:rPr>
        <w:t>40-50, but</w:t>
      </w:r>
      <w:proofErr w:type="gramEnd"/>
      <w:r w:rsidRPr="00846D06">
        <w:rPr>
          <w:rFonts w:asciiTheme="minorHAnsi" w:hAnsiTheme="minorHAnsi" w:cs="Helvetica"/>
          <w:color w:val="000000"/>
          <w:sz w:val="24"/>
          <w:szCs w:val="24"/>
          <w:lang w:val="en-US"/>
        </w:rPr>
        <w:t xml:space="preserve"> can be anything from 10 to 100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w:t>
      </w:r>
    </w:p>
    <w:p w14:paraId="5B08FA40" w14:textId="77777777" w:rsidR="00CF474E"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p>
    <w:p w14:paraId="027542B8" w14:textId="45D52F3F"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Q-set to be used for the sort was </w:t>
      </w:r>
      <w:r>
        <w:rPr>
          <w:rFonts w:asciiTheme="minorHAnsi" w:hAnsiTheme="minorHAnsi" w:cs="Helvetica"/>
          <w:color w:val="000000"/>
          <w:sz w:val="24"/>
          <w:szCs w:val="24"/>
          <w:lang w:val="en-US"/>
        </w:rPr>
        <w:t xml:space="preserve">therefore </w:t>
      </w:r>
      <w:r w:rsidRPr="00846D06">
        <w:rPr>
          <w:rFonts w:asciiTheme="minorHAnsi" w:hAnsiTheme="minorHAnsi" w:cs="Helvetica"/>
          <w:color w:val="000000"/>
          <w:sz w:val="24"/>
          <w:szCs w:val="24"/>
          <w:lang w:val="en-US"/>
        </w:rPr>
        <w:t xml:space="preserve">developed from the concourse through a process of critical selection and editing.  The primary criteria applied were coverage and non-redundancy.  Coverage required that the selected statements should span the domain of subjectivity (Watts and Stenner, 2012) – that is, the full range of potential viewpoints on the research topic, including perspectives on the purpose of higher education, the role of History as a discipline, the nature and relevance of ESD, and the connections (or perceived disconnections) between History and sustainability.  Non-redundancy required that each statement in the Q-set should express a meaningfully distinct viewpoint: where the </w:t>
      </w:r>
      <w:r w:rsidRPr="00846D06">
        <w:rPr>
          <w:rFonts w:asciiTheme="minorHAnsi" w:hAnsiTheme="minorHAnsi" w:cs="Helvetica"/>
          <w:color w:val="000000"/>
          <w:sz w:val="24"/>
          <w:szCs w:val="24"/>
          <w:lang w:val="en-US"/>
        </w:rPr>
        <w:lastRenderedPageBreak/>
        <w:t>concourse contained multiple statements with overlapping meaning, a single version was selected or edited to most clearly articulate the underlying subjective position.</w:t>
      </w:r>
    </w:p>
    <w:p w14:paraId="678D3BAC"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037237C"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 practice, this involved reading carefully through each of the statements generated by Google Gemini and </w:t>
      </w:r>
      <w:proofErr w:type="spellStart"/>
      <w:r w:rsidRPr="00846D06">
        <w:rPr>
          <w:rFonts w:asciiTheme="minorHAnsi" w:hAnsiTheme="minorHAnsi" w:cs="Helvetica"/>
          <w:color w:val="000000"/>
          <w:sz w:val="24"/>
          <w:szCs w:val="24"/>
          <w:lang w:val="en-US"/>
        </w:rPr>
        <w:t>NotebookLM</w:t>
      </w:r>
      <w:proofErr w:type="spellEnd"/>
      <w:r w:rsidRPr="00846D06">
        <w:rPr>
          <w:rFonts w:asciiTheme="minorHAnsi" w:hAnsiTheme="minorHAnsi" w:cs="Helvetica"/>
          <w:color w:val="000000"/>
          <w:sz w:val="24"/>
          <w:szCs w:val="24"/>
          <w:lang w:val="en-US"/>
        </w:rPr>
        <w:t xml:space="preserve">, deleting those where I considered there to be substantial overlap in meaning, and retaining or editing a version that I considered to most clearly express a subjective viewpoint amenable to sorting.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statements were also removed where I judged them not to be closely enough connected to the core themes of the study.  Throughout this process, I was mindful that the Q-set needed to be comprehensive enough to allow participants to express a wide range of possible positions, while remaining manageable in size for the sorting activity.</w:t>
      </w:r>
    </w:p>
    <w:p w14:paraId="4E59090A" w14:textId="77777777"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84241AF" w14:textId="695E0CCB" w:rsidR="00CF474E" w:rsidRPr="00846D06" w:rsidRDefault="00CF474E"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It should be acknowledged that this process was conducted under significant time pressure, as I was aiming to submit the Q-set alongside the ethics application </w:t>
      </w:r>
      <w:proofErr w:type="gramStart"/>
      <w:r w:rsidRPr="00846D06">
        <w:rPr>
          <w:rFonts w:asciiTheme="minorHAnsi" w:hAnsiTheme="minorHAnsi" w:cs="Helvetica"/>
          <w:color w:val="000000"/>
          <w:sz w:val="24"/>
          <w:szCs w:val="24"/>
          <w:lang w:val="en-US"/>
        </w:rPr>
        <w:t>in order to</w:t>
      </w:r>
      <w:proofErr w:type="gramEnd"/>
      <w:r w:rsidRPr="00846D06">
        <w:rPr>
          <w:rFonts w:asciiTheme="minorHAnsi" w:hAnsiTheme="minorHAnsi" w:cs="Helvetica"/>
          <w:color w:val="000000"/>
          <w:sz w:val="24"/>
          <w:szCs w:val="24"/>
          <w:lang w:val="en-US"/>
        </w:rPr>
        <w:t xml:space="preserve"> give the panel – who would be unfamiliar with Q Methodology – visibility of the research instrument.  As a consequence, while coverage and non-redundancy were applied as guiding principles, I did not at this stage systematically verify the balance of the Q-set – that is, whether positive and negative positions on each theme were equally represented – nor was there an opportunity to pilot the instrument with a test group to assess the </w:t>
      </w:r>
      <w:proofErr w:type="spellStart"/>
      <w:r w:rsidRPr="00846D06">
        <w:rPr>
          <w:rFonts w:asciiTheme="minorHAnsi" w:hAnsiTheme="minorHAnsi" w:cs="Helvetica"/>
          <w:color w:val="000000"/>
          <w:sz w:val="24"/>
          <w:szCs w:val="24"/>
          <w:lang w:val="en-US"/>
        </w:rPr>
        <w:t>sortability</w:t>
      </w:r>
      <w:proofErr w:type="spellEnd"/>
      <w:r w:rsidRPr="00846D06">
        <w:rPr>
          <w:rFonts w:asciiTheme="minorHAnsi" w:hAnsiTheme="minorHAnsi" w:cs="Helvetica"/>
          <w:color w:val="000000"/>
          <w:sz w:val="24"/>
          <w:szCs w:val="24"/>
          <w:lang w:val="en-US"/>
        </w:rPr>
        <w:t xml:space="preserve"> of individual statements.  The absence of a pilot study is a limitation that will be addressed in the discussion of findings.  The </w:t>
      </w:r>
      <w:proofErr w:type="spellStart"/>
      <w:r w:rsidRPr="00846D06">
        <w:rPr>
          <w:rFonts w:asciiTheme="minorHAnsi" w:hAnsiTheme="minorHAnsi" w:cs="Helvetica"/>
          <w:color w:val="000000"/>
          <w:sz w:val="24"/>
          <w:szCs w:val="24"/>
          <w:lang w:val="en-US"/>
        </w:rPr>
        <w:t>finalised</w:t>
      </w:r>
      <w:proofErr w:type="spellEnd"/>
      <w:r w:rsidRPr="00846D06">
        <w:rPr>
          <w:rFonts w:asciiTheme="minorHAnsi" w:hAnsiTheme="minorHAnsi" w:cs="Helvetica"/>
          <w:color w:val="000000"/>
          <w:sz w:val="24"/>
          <w:szCs w:val="24"/>
          <w:lang w:val="en-US"/>
        </w:rPr>
        <w:t xml:space="preserve"> Q-set is included in Appendix </w:t>
      </w:r>
      <w:r w:rsidR="005E001C">
        <w:rPr>
          <w:rFonts w:asciiTheme="minorHAnsi" w:hAnsiTheme="minorHAnsi" w:cs="Helvetica"/>
          <w:color w:val="000000"/>
          <w:sz w:val="24"/>
          <w:szCs w:val="24"/>
          <w:lang w:val="en-US"/>
        </w:rPr>
        <w:t>3</w:t>
      </w:r>
      <w:r w:rsidRPr="00846D06">
        <w:rPr>
          <w:rFonts w:asciiTheme="minorHAnsi" w:hAnsiTheme="minorHAnsi" w:cs="Helvetica"/>
          <w:color w:val="000000"/>
          <w:sz w:val="24"/>
          <w:szCs w:val="24"/>
          <w:lang w:val="en-US"/>
        </w:rPr>
        <w:t>.</w:t>
      </w:r>
    </w:p>
    <w:p w14:paraId="355FA89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1D2E81E" w14:textId="0813941C" w:rsidR="00846D06" w:rsidRPr="00846D06" w:rsidRDefault="00846D06" w:rsidP="00846D06">
      <w:pPr>
        <w:pStyle w:val="Heading4"/>
        <w:rPr>
          <w:lang w:val="en-US"/>
        </w:rPr>
      </w:pPr>
      <w:r w:rsidRPr="00846D06">
        <w:rPr>
          <w:lang w:val="en-US"/>
        </w:rPr>
        <w:t>3.3.</w:t>
      </w:r>
      <w:r w:rsidR="00CF474E">
        <w:rPr>
          <w:lang w:val="en-US"/>
        </w:rPr>
        <w:t>3</w:t>
      </w:r>
      <w:r w:rsidRPr="00846D06">
        <w:rPr>
          <w:lang w:val="en-US"/>
        </w:rPr>
        <w:t xml:space="preserve"> DETERMINING THE Q-SORT MODE</w:t>
      </w:r>
    </w:p>
    <w:p w14:paraId="0A2586C7" w14:textId="12020346" w:rsidR="00846D06" w:rsidRPr="00846D06" w:rsidRDefault="00846D06" w:rsidP="00CF474E">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CB024C8" w14:textId="45A5BEF6"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Q-sorting requires participants to rank the Q-set statements on a bell-shaped grid (see Figure</w:t>
      </w:r>
      <w:r w:rsidR="006F15E1">
        <w:rPr>
          <w:rFonts w:asciiTheme="minorHAnsi" w:hAnsiTheme="minorHAnsi" w:cs="Helvetica"/>
          <w:color w:val="000000"/>
          <w:sz w:val="24"/>
          <w:szCs w:val="24"/>
          <w:lang w:val="en-US"/>
        </w:rPr>
        <w:t>s</w:t>
      </w:r>
      <w:r w:rsidRPr="00846D06">
        <w:rPr>
          <w:rFonts w:asciiTheme="minorHAnsi" w:hAnsiTheme="minorHAnsi" w:cs="Helvetica"/>
          <w:color w:val="000000"/>
          <w:sz w:val="24"/>
          <w:szCs w:val="24"/>
          <w:lang w:val="en-US"/>
        </w:rPr>
        <w:t xml:space="preserve"> 2 </w:t>
      </w:r>
      <w:r w:rsidR="006F15E1">
        <w:rPr>
          <w:rFonts w:asciiTheme="minorHAnsi" w:hAnsiTheme="minorHAnsi" w:cs="Helvetica"/>
          <w:color w:val="000000"/>
          <w:sz w:val="24"/>
          <w:szCs w:val="24"/>
          <w:lang w:val="en-US"/>
        </w:rPr>
        <w:t>and 3</w:t>
      </w:r>
      <w:r w:rsidRPr="00846D06">
        <w:rPr>
          <w:rFonts w:asciiTheme="minorHAnsi" w:hAnsiTheme="minorHAnsi" w:cs="Helvetica"/>
          <w:color w:val="000000"/>
          <w:sz w:val="24"/>
          <w:szCs w:val="24"/>
          <w:lang w:val="en-US"/>
        </w:rPr>
        <w:t xml:space="preserve">), with a set number of statements in each column – more towards the </w:t>
      </w:r>
      <w:r w:rsidRPr="00846D06">
        <w:rPr>
          <w:rFonts w:asciiTheme="minorHAnsi" w:hAnsiTheme="minorHAnsi" w:cs="Helvetica"/>
          <w:color w:val="000000"/>
          <w:sz w:val="24"/>
          <w:szCs w:val="24"/>
          <w:lang w:val="en-US"/>
        </w:rPr>
        <w:lastRenderedPageBreak/>
        <w:t xml:space="preserve">middle, representing a neutral stance, and fewer at the extremes, representing strong agreement or disagreement.  It is considered easier for participants to sort in this way than to perform a straight ranking (Woods, 2011).  The critical reflection necessary </w:t>
      </w:r>
      <w:proofErr w:type="gramStart"/>
      <w:r w:rsidRPr="00846D06">
        <w:rPr>
          <w:rFonts w:asciiTheme="minorHAnsi" w:hAnsiTheme="minorHAnsi" w:cs="Helvetica"/>
          <w:color w:val="000000"/>
          <w:sz w:val="24"/>
          <w:szCs w:val="24"/>
          <w:lang w:val="en-US"/>
        </w:rPr>
        <w:t>in order to</w:t>
      </w:r>
      <w:proofErr w:type="gramEnd"/>
      <w:r w:rsidRPr="00846D06">
        <w:rPr>
          <w:rFonts w:asciiTheme="minorHAnsi" w:hAnsiTheme="minorHAnsi" w:cs="Helvetica"/>
          <w:color w:val="000000"/>
          <w:sz w:val="24"/>
          <w:szCs w:val="24"/>
          <w:lang w:val="en-US"/>
        </w:rPr>
        <w:t xml:space="preserve"> </w:t>
      </w:r>
      <w:proofErr w:type="gramStart"/>
      <w:r w:rsidRPr="00846D06">
        <w:rPr>
          <w:rFonts w:asciiTheme="minorHAnsi" w:hAnsiTheme="minorHAnsi" w:cs="Helvetica"/>
          <w:color w:val="000000"/>
          <w:sz w:val="24"/>
          <w:szCs w:val="24"/>
          <w:lang w:val="en-US"/>
        </w:rPr>
        <w:t>make a decision</w:t>
      </w:r>
      <w:proofErr w:type="gramEnd"/>
      <w:r w:rsidRPr="00846D06">
        <w:rPr>
          <w:rFonts w:asciiTheme="minorHAnsi" w:hAnsiTheme="minorHAnsi" w:cs="Helvetica"/>
          <w:color w:val="000000"/>
          <w:sz w:val="24"/>
          <w:szCs w:val="24"/>
          <w:lang w:val="en-US"/>
        </w:rPr>
        <w:t xml:space="preserve"> about placing each statement in a column represents what Woods (2011) refers to as a ‘forced sort’ (p.324).  Statements are often sorted into three piles, representing neutral, agree, and disagree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before they are placed on the grid.  The whole process represents something significantly different from ticking boxes to show strength of agreement on a Likert scale</w:t>
      </w:r>
      <w:r w:rsidR="00CF474E">
        <w:rPr>
          <w:rFonts w:asciiTheme="minorHAnsi" w:hAnsiTheme="minorHAnsi" w:cs="Helvetica"/>
          <w:color w:val="000000"/>
          <w:sz w:val="24"/>
          <w:szCs w:val="24"/>
          <w:lang w:val="en-US"/>
        </w:rPr>
        <w:t>, for example</w:t>
      </w:r>
      <w:r w:rsidRPr="00846D06">
        <w:rPr>
          <w:rFonts w:asciiTheme="minorHAnsi" w:hAnsiTheme="minorHAnsi" w:cs="Helvetica"/>
          <w:color w:val="000000"/>
          <w:sz w:val="24"/>
          <w:szCs w:val="24"/>
          <w:lang w:val="en-US"/>
        </w:rPr>
        <w:t xml:space="preserve">: participants </w:t>
      </w:r>
      <w:proofErr w:type="gramStart"/>
      <w:r w:rsidRPr="00846D06">
        <w:rPr>
          <w:rFonts w:asciiTheme="minorHAnsi" w:hAnsiTheme="minorHAnsi" w:cs="Helvetica"/>
          <w:color w:val="000000"/>
          <w:sz w:val="24"/>
          <w:szCs w:val="24"/>
          <w:lang w:val="en-US"/>
        </w:rPr>
        <w:t>have to</w:t>
      </w:r>
      <w:proofErr w:type="gramEnd"/>
      <w:r w:rsidRPr="00846D06">
        <w:rPr>
          <w:rFonts w:asciiTheme="minorHAnsi" w:hAnsiTheme="minorHAnsi" w:cs="Helvetica"/>
          <w:color w:val="000000"/>
          <w:sz w:val="24"/>
          <w:szCs w:val="24"/>
          <w:lang w:val="en-US"/>
        </w:rPr>
        <w:t xml:space="preserve"> make thoughtful decisions about which statements resonate most strongly with them, so revealing the underlying structure of their subjectivity.  Lundberg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(2020) sees the advantage of Q Methodology lying in the way in which participants are not required to produce language themselves to express their subjective viewpoints.  Rather, the interaction with the research instrument empowers participants to construct meaning (Shaw, 2023), and the Q-set provides support and expression where knowledge is tacit (Woods, 2011).</w:t>
      </w:r>
    </w:p>
    <w:p w14:paraId="6C7FF81A"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45DE96C" w14:textId="2E460B25"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While there is </w:t>
      </w:r>
      <w:proofErr w:type="gramStart"/>
      <w:r w:rsidRPr="00846D06">
        <w:rPr>
          <w:rFonts w:asciiTheme="minorHAnsi" w:hAnsiTheme="minorHAnsi" w:cs="Helvetica"/>
          <w:color w:val="000000"/>
          <w:sz w:val="24"/>
          <w:szCs w:val="24"/>
          <w:lang w:val="en-US"/>
        </w:rPr>
        <w:t>a general consensus</w:t>
      </w:r>
      <w:proofErr w:type="gramEnd"/>
      <w:r w:rsidRPr="00846D06">
        <w:rPr>
          <w:rFonts w:asciiTheme="minorHAnsi" w:hAnsiTheme="minorHAnsi" w:cs="Helvetica"/>
          <w:color w:val="000000"/>
          <w:sz w:val="24"/>
          <w:szCs w:val="24"/>
          <w:lang w:val="en-US"/>
        </w:rPr>
        <w:t xml:space="preserve"> in the literature that Q-sorting is </w:t>
      </w:r>
      <w:proofErr w:type="gramStart"/>
      <w:r w:rsidRPr="00846D06">
        <w:rPr>
          <w:rFonts w:asciiTheme="minorHAnsi" w:hAnsiTheme="minorHAnsi" w:cs="Helvetica"/>
          <w:color w:val="000000"/>
          <w:sz w:val="24"/>
          <w:szCs w:val="24"/>
          <w:lang w:val="en-US"/>
        </w:rPr>
        <w:t>most commonly conducted</w:t>
      </w:r>
      <w:proofErr w:type="gramEnd"/>
      <w:r w:rsidRPr="00846D06">
        <w:rPr>
          <w:rFonts w:asciiTheme="minorHAnsi" w:hAnsiTheme="minorHAnsi" w:cs="Helvetica"/>
          <w:color w:val="000000"/>
          <w:sz w:val="24"/>
          <w:szCs w:val="24"/>
          <w:lang w:val="en-US"/>
        </w:rPr>
        <w:t xml:space="preserve"> in face-to-face settings with the researcher (Watts and Stenner, 2012; Walker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2018), there is precedent for remote sorting, for example by post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or online (</w:t>
      </w: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2016; Davis, 2011).  Since this research is time-</w:t>
      </w:r>
      <w:proofErr w:type="gramStart"/>
      <w:r w:rsidRPr="00846D06">
        <w:rPr>
          <w:rFonts w:asciiTheme="minorHAnsi" w:hAnsiTheme="minorHAnsi" w:cs="Helvetica"/>
          <w:color w:val="000000"/>
          <w:sz w:val="24"/>
          <w:szCs w:val="24"/>
          <w:lang w:val="en-US"/>
        </w:rPr>
        <w:t>constrained, and</w:t>
      </w:r>
      <w:proofErr w:type="gramEnd"/>
      <w:r w:rsidRPr="00846D06">
        <w:rPr>
          <w:rFonts w:asciiTheme="minorHAnsi" w:hAnsiTheme="minorHAnsi" w:cs="Helvetica"/>
          <w:color w:val="000000"/>
          <w:sz w:val="24"/>
          <w:szCs w:val="24"/>
          <w:lang w:val="en-US"/>
        </w:rPr>
        <w:t xml:space="preserve"> being mindful of the physical resources necessary for face-to-face sorting, I attempted, and successfully produced, an interactive online tool that would allow remote sorting.  I used the Google Gemini ‘Canvas’ tool for this and was pleased with the result.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prompts were required </w:t>
      </w:r>
      <w:proofErr w:type="gramStart"/>
      <w:r w:rsidRPr="00846D06">
        <w:rPr>
          <w:rFonts w:asciiTheme="minorHAnsi" w:hAnsiTheme="minorHAnsi" w:cs="Helvetica"/>
          <w:color w:val="000000"/>
          <w:sz w:val="24"/>
          <w:szCs w:val="24"/>
          <w:lang w:val="en-US"/>
        </w:rPr>
        <w:t>in order to</w:t>
      </w:r>
      <w:proofErr w:type="gramEnd"/>
      <w:r w:rsidRPr="00846D06">
        <w:rPr>
          <w:rFonts w:asciiTheme="minorHAnsi" w:hAnsiTheme="minorHAnsi" w:cs="Helvetica"/>
          <w:color w:val="000000"/>
          <w:sz w:val="24"/>
          <w:szCs w:val="24"/>
          <w:lang w:val="en-US"/>
        </w:rPr>
        <w:t xml:space="preserve"> achieve a tool that allows for two-stage sorting – first into agree, disagree, and neutral ‘piles’, and then onto a grid.  The tool and more details of how it was created can be found in Appendix </w:t>
      </w:r>
      <w:r w:rsidR="005E001C">
        <w:rPr>
          <w:rFonts w:asciiTheme="minorHAnsi" w:hAnsiTheme="minorHAnsi" w:cs="Helvetica"/>
          <w:color w:val="000000"/>
          <w:sz w:val="24"/>
          <w:szCs w:val="24"/>
          <w:lang w:val="en-US"/>
        </w:rPr>
        <w:t>4</w:t>
      </w:r>
      <w:r w:rsidRPr="00846D06">
        <w:rPr>
          <w:rFonts w:asciiTheme="minorHAnsi" w:hAnsiTheme="minorHAnsi" w:cs="Helvetica"/>
          <w:color w:val="000000"/>
          <w:sz w:val="24"/>
          <w:szCs w:val="24"/>
          <w:lang w:val="en-US"/>
        </w:rPr>
        <w:t>.</w:t>
      </w:r>
    </w:p>
    <w:p w14:paraId="21D07DF9"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67D739A" w14:textId="2B15732B" w:rsidR="00846D06" w:rsidRPr="00846D06" w:rsidRDefault="00846D06" w:rsidP="00846D06">
      <w:pPr>
        <w:pStyle w:val="Heading4"/>
        <w:rPr>
          <w:lang w:val="en-US"/>
        </w:rPr>
      </w:pPr>
      <w:r w:rsidRPr="00846D06">
        <w:rPr>
          <w:lang w:val="en-US"/>
        </w:rPr>
        <w:lastRenderedPageBreak/>
        <w:t>3.3.</w:t>
      </w:r>
      <w:r w:rsidR="00CF474E">
        <w:rPr>
          <w:lang w:val="en-US"/>
        </w:rPr>
        <w:t>4</w:t>
      </w:r>
      <w:r w:rsidRPr="00846D06">
        <w:rPr>
          <w:lang w:val="en-US"/>
        </w:rPr>
        <w:t xml:space="preserve"> POST-SORT DATA COLLECTION: WRITTEN REFLECTIONS AND INTERVIEWS</w:t>
      </w:r>
    </w:p>
    <w:p w14:paraId="25C8B2FD"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F8757CC" w14:textId="480AACFF"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 addition to the Q-sort itself, I built in two further mechanisms for data collection.  First, at the end of the online sorting activity, participants were asked to provide brief written reasons for the two statements they placed at each extreme of the distribution (+4 and -4).  This captured participants’ immediate rationale for their strongest agreements and disagreements while the sorting decisions </w:t>
      </w:r>
      <w:r w:rsidR="00CF474E">
        <w:rPr>
          <w:rFonts w:asciiTheme="minorHAnsi" w:hAnsiTheme="minorHAnsi" w:cs="Helvetica"/>
          <w:color w:val="000000"/>
          <w:sz w:val="24"/>
          <w:szCs w:val="24"/>
          <w:lang w:val="en-US"/>
        </w:rPr>
        <w:t>we</w:t>
      </w:r>
      <w:r w:rsidRPr="00846D06">
        <w:rPr>
          <w:rFonts w:asciiTheme="minorHAnsi" w:hAnsiTheme="minorHAnsi" w:cs="Helvetica"/>
          <w:color w:val="000000"/>
          <w:sz w:val="24"/>
          <w:szCs w:val="24"/>
          <w:lang w:val="en-US"/>
        </w:rPr>
        <w:t xml:space="preserve">re still </w:t>
      </w:r>
      <w:proofErr w:type="gramStart"/>
      <w:r w:rsidRPr="00846D06">
        <w:rPr>
          <w:rFonts w:asciiTheme="minorHAnsi" w:hAnsiTheme="minorHAnsi" w:cs="Helvetica"/>
          <w:color w:val="000000"/>
          <w:sz w:val="24"/>
          <w:szCs w:val="24"/>
          <w:lang w:val="en-US"/>
        </w:rPr>
        <w:t>fresh, and</w:t>
      </w:r>
      <w:proofErr w:type="gramEnd"/>
      <w:r w:rsidRPr="00846D06">
        <w:rPr>
          <w:rFonts w:asciiTheme="minorHAnsi" w:hAnsiTheme="minorHAnsi" w:cs="Helvetica"/>
          <w:color w:val="000000"/>
          <w:sz w:val="24"/>
          <w:szCs w:val="24"/>
          <w:lang w:val="en-US"/>
        </w:rPr>
        <w:t xml:space="preserve"> provide</w:t>
      </w:r>
      <w:r w:rsidR="00CF474E">
        <w:rPr>
          <w:rFonts w:asciiTheme="minorHAnsi" w:hAnsiTheme="minorHAnsi" w:cs="Helvetica"/>
          <w:color w:val="000000"/>
          <w:sz w:val="24"/>
          <w:szCs w:val="24"/>
          <w:lang w:val="en-US"/>
        </w:rPr>
        <w:t>d</w:t>
      </w:r>
      <w:r w:rsidRPr="00846D06">
        <w:rPr>
          <w:rFonts w:asciiTheme="minorHAnsi" w:hAnsiTheme="minorHAnsi" w:cs="Helvetica"/>
          <w:color w:val="000000"/>
          <w:sz w:val="24"/>
          <w:szCs w:val="24"/>
          <w:lang w:val="en-US"/>
        </w:rPr>
        <w:t xml:space="preserve"> qualitative context that </w:t>
      </w:r>
      <w:r w:rsidR="00CF474E">
        <w:rPr>
          <w:rFonts w:asciiTheme="minorHAnsi" w:hAnsiTheme="minorHAnsi" w:cs="Helvetica"/>
          <w:color w:val="000000"/>
          <w:sz w:val="24"/>
          <w:szCs w:val="24"/>
          <w:lang w:val="en-US"/>
        </w:rPr>
        <w:t>to</w:t>
      </w:r>
      <w:r w:rsidRPr="00846D06">
        <w:rPr>
          <w:rFonts w:asciiTheme="minorHAnsi" w:hAnsiTheme="minorHAnsi" w:cs="Helvetica"/>
          <w:color w:val="000000"/>
          <w:sz w:val="24"/>
          <w:szCs w:val="24"/>
          <w:lang w:val="en-US"/>
        </w:rPr>
        <w:t xml:space="preserve"> support the interpretation of the factor arrays.</w:t>
      </w:r>
    </w:p>
    <w:p w14:paraId="263FF651"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7ED946A8" w14:textId="40EA2691"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Second, participants were given the option at the end of the Q-sort to indicate their willingness to take part in a follow-up semi-structured interview.  The purpose of the interviews was to explore the reasoning behind participants’ sorting decisions in greater depth.  In particular, the interviews invited participants to expand on their reasons for placing statements at the extremes of the distribution, and to reflect on the placement of statements in other positions – including, crucially, the neutral column.  As Watts and </w:t>
      </w:r>
      <w:proofErr w:type="spellStart"/>
      <w:r w:rsidRPr="00846D06">
        <w:rPr>
          <w:rFonts w:asciiTheme="minorHAnsi" w:hAnsiTheme="minorHAnsi" w:cs="Helvetica"/>
          <w:color w:val="000000"/>
          <w:sz w:val="24"/>
          <w:szCs w:val="24"/>
          <w:lang w:val="en-US"/>
        </w:rPr>
        <w:t>Stennner</w:t>
      </w:r>
      <w:proofErr w:type="spellEnd"/>
      <w:r w:rsidRPr="00846D06">
        <w:rPr>
          <w:rFonts w:asciiTheme="minorHAnsi" w:hAnsiTheme="minorHAnsi" w:cs="Helvetica"/>
          <w:color w:val="000000"/>
          <w:sz w:val="24"/>
          <w:szCs w:val="24"/>
          <w:lang w:val="en-US"/>
        </w:rPr>
        <w:t xml:space="preserve"> (2012) observe, a statement place</w:t>
      </w:r>
      <w:r w:rsidR="00CF474E">
        <w:rPr>
          <w:rFonts w:asciiTheme="minorHAnsi" w:hAnsiTheme="minorHAnsi" w:cs="Helvetica"/>
          <w:color w:val="000000"/>
          <w:sz w:val="24"/>
          <w:szCs w:val="24"/>
          <w:lang w:val="en-US"/>
        </w:rPr>
        <w:t>d</w:t>
      </w:r>
      <w:r w:rsidRPr="00846D06">
        <w:rPr>
          <w:rFonts w:asciiTheme="minorHAnsi" w:hAnsiTheme="minorHAnsi" w:cs="Helvetica"/>
          <w:color w:val="000000"/>
          <w:sz w:val="24"/>
          <w:szCs w:val="24"/>
          <w:lang w:val="en-US"/>
        </w:rPr>
        <w:t xml:space="preserve"> at the zero point of the distribution may reflect genuine indifference, but it may equally reflect conflicted or ambivalent feelings where competing considerations cancel one another out.  The interviews provided an opportunity to distinguish between possibilities, adding interpretive richness to the quantitative patterns identified through the factor analysis. </w:t>
      </w:r>
    </w:p>
    <w:p w14:paraId="707894F0"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90F3BC2"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68746833"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4CE6DDA" w14:textId="77777777" w:rsidR="00846D06" w:rsidRPr="00846D06" w:rsidRDefault="00846D06" w:rsidP="00846D06">
      <w:pPr>
        <w:pStyle w:val="Heading4"/>
        <w:rPr>
          <w:lang w:val="en-US"/>
        </w:rPr>
      </w:pPr>
      <w:r w:rsidRPr="00846D06">
        <w:rPr>
          <w:lang w:val="en-US"/>
        </w:rPr>
        <w:t>3.3.5 PARTICIPANT SAMPLE SELECTION</w:t>
      </w:r>
    </w:p>
    <w:p w14:paraId="0E5931AB" w14:textId="77777777" w:rsidR="00846D06" w:rsidRPr="00846D06" w:rsidRDefault="00846D06" w:rsidP="00846D06">
      <w:pPr>
        <w:autoSpaceDE w:val="0"/>
        <w:autoSpaceDN w:val="0"/>
        <w:adjustRightInd w:val="0"/>
        <w:spacing w:after="0"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 </w:t>
      </w:r>
    </w:p>
    <w:p w14:paraId="0ED32F10"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One key distinction between Q Methodology and a purely quantitative study is that Q Methodology can be used for small-scale research to obtain ‘profound findings’ (</w:t>
      </w:r>
      <w:proofErr w:type="spellStart"/>
      <w:r w:rsidRPr="00846D06">
        <w:rPr>
          <w:rFonts w:asciiTheme="minorHAnsi" w:hAnsiTheme="minorHAnsi" w:cs="Helvetica"/>
          <w:color w:val="151516"/>
          <w:sz w:val="24"/>
          <w:szCs w:val="24"/>
          <w:lang w:val="en-US"/>
        </w:rPr>
        <w:t>Bashatah</w:t>
      </w:r>
      <w:proofErr w:type="spellEnd"/>
      <w:r w:rsidRPr="00846D06">
        <w:rPr>
          <w:rFonts w:asciiTheme="minorHAnsi" w:hAnsiTheme="minorHAnsi" w:cs="Helvetica"/>
          <w:color w:val="151516"/>
          <w:sz w:val="24"/>
          <w:szCs w:val="24"/>
          <w:lang w:val="en-US"/>
        </w:rPr>
        <w:t xml:space="preserve">, </w:t>
      </w:r>
      <w:r w:rsidRPr="00846D06">
        <w:rPr>
          <w:rFonts w:asciiTheme="minorHAnsi" w:hAnsiTheme="minorHAnsi" w:cs="Helvetica"/>
          <w:color w:val="151516"/>
          <w:sz w:val="24"/>
          <w:szCs w:val="24"/>
          <w:lang w:val="en-US"/>
        </w:rPr>
        <w:lastRenderedPageBreak/>
        <w:t>2016, p.39).  The richness of the findings, and the capturing of a diversity of perspectives from within a defined group of participants relevant to the research, is the primary goal (</w:t>
      </w:r>
      <w:proofErr w:type="spellStart"/>
      <w:r w:rsidRPr="00846D06">
        <w:rPr>
          <w:rFonts w:asciiTheme="minorHAnsi" w:hAnsiTheme="minorHAnsi" w:cs="Helvetica"/>
          <w:color w:val="151516"/>
          <w:sz w:val="24"/>
          <w:szCs w:val="24"/>
          <w:lang w:val="en-US"/>
        </w:rPr>
        <w:t>Bashatah</w:t>
      </w:r>
      <w:proofErr w:type="spellEnd"/>
      <w:r w:rsidRPr="00846D06">
        <w:rPr>
          <w:rFonts w:asciiTheme="minorHAnsi" w:hAnsiTheme="minorHAnsi" w:cs="Helvetica"/>
          <w:color w:val="151516"/>
          <w:sz w:val="24"/>
          <w:szCs w:val="24"/>
          <w:lang w:val="en-US"/>
        </w:rPr>
        <w:t xml:space="preserve">, 2016; Walker </w:t>
      </w:r>
      <w:r w:rsidRPr="00846D06">
        <w:rPr>
          <w:rFonts w:asciiTheme="minorHAnsi" w:hAnsiTheme="minorHAnsi" w:cs="Helvetica"/>
          <w:i/>
          <w:iCs/>
          <w:color w:val="151516"/>
          <w:sz w:val="24"/>
          <w:szCs w:val="24"/>
          <w:lang w:val="en-US"/>
        </w:rPr>
        <w:t>et al.</w:t>
      </w:r>
      <w:r w:rsidRPr="00846D06">
        <w:rPr>
          <w:rFonts w:asciiTheme="minorHAnsi" w:hAnsiTheme="minorHAnsi" w:cs="Helvetica"/>
          <w:color w:val="151516"/>
          <w:sz w:val="24"/>
          <w:szCs w:val="24"/>
          <w:lang w:val="en-US"/>
        </w:rPr>
        <w:t xml:space="preserve">, 2018) – as opposed to </w:t>
      </w:r>
      <w:proofErr w:type="spellStart"/>
      <w:r w:rsidRPr="00846D06">
        <w:rPr>
          <w:rFonts w:asciiTheme="minorHAnsi" w:hAnsiTheme="minorHAnsi" w:cs="Helvetica"/>
          <w:color w:val="151516"/>
          <w:sz w:val="24"/>
          <w:szCs w:val="24"/>
          <w:lang w:val="en-US"/>
        </w:rPr>
        <w:t>generalisable</w:t>
      </w:r>
      <w:proofErr w:type="spellEnd"/>
      <w:r w:rsidRPr="00846D06">
        <w:rPr>
          <w:rFonts w:asciiTheme="minorHAnsi" w:hAnsiTheme="minorHAnsi" w:cs="Helvetica"/>
          <w:color w:val="151516"/>
          <w:sz w:val="24"/>
          <w:szCs w:val="24"/>
          <w:lang w:val="en-US"/>
        </w:rPr>
        <w:t xml:space="preserve"> findings from a large random sample.  The number of participants must be adequate to establish comparable factors (van </w:t>
      </w:r>
      <w:proofErr w:type="spellStart"/>
      <w:r w:rsidRPr="00846D06">
        <w:rPr>
          <w:rFonts w:asciiTheme="minorHAnsi" w:hAnsiTheme="minorHAnsi" w:cs="Helvetica"/>
          <w:color w:val="151516"/>
          <w:sz w:val="24"/>
          <w:szCs w:val="24"/>
          <w:lang w:val="en-US"/>
        </w:rPr>
        <w:t>Exel</w:t>
      </w:r>
      <w:proofErr w:type="spellEnd"/>
      <w:r w:rsidRPr="00846D06">
        <w:rPr>
          <w:rFonts w:asciiTheme="minorHAnsi" w:hAnsiTheme="minorHAnsi" w:cs="Helvetica"/>
          <w:color w:val="151516"/>
          <w:sz w:val="24"/>
          <w:szCs w:val="24"/>
          <w:lang w:val="en-US"/>
        </w:rPr>
        <w:t xml:space="preserve"> and de Graaf, 2005), though Q Methodology fundamentally aims to understand subjectivity holistically at the level of the individual (Woods, 2011).</w:t>
      </w:r>
    </w:p>
    <w:p w14:paraId="56C1264B" w14:textId="4D6394A9"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 xml:space="preserve">The sampling strategy for this study </w:t>
      </w:r>
      <w:r w:rsidR="00CF474E">
        <w:rPr>
          <w:rFonts w:asciiTheme="minorHAnsi" w:hAnsiTheme="minorHAnsi" w:cs="Helvetica"/>
          <w:color w:val="151516"/>
          <w:sz w:val="24"/>
          <w:szCs w:val="24"/>
          <w:lang w:val="en-US"/>
        </w:rPr>
        <w:t>wa</w:t>
      </w:r>
      <w:r w:rsidRPr="00846D06">
        <w:rPr>
          <w:rFonts w:asciiTheme="minorHAnsi" w:hAnsiTheme="minorHAnsi" w:cs="Helvetica"/>
          <w:color w:val="151516"/>
          <w:sz w:val="24"/>
          <w:szCs w:val="24"/>
          <w:lang w:val="en-US"/>
        </w:rPr>
        <w:t xml:space="preserve">s purposive.  The target population was defined as lecturers currently teaching on History degree </w:t>
      </w:r>
      <w:proofErr w:type="spellStart"/>
      <w:r w:rsidRPr="00846D06">
        <w:rPr>
          <w:rFonts w:asciiTheme="minorHAnsi" w:hAnsiTheme="minorHAnsi" w:cs="Helvetica"/>
          <w:color w:val="151516"/>
          <w:sz w:val="24"/>
          <w:szCs w:val="24"/>
          <w:lang w:val="en-US"/>
        </w:rPr>
        <w:t>programmes</w:t>
      </w:r>
      <w:proofErr w:type="spellEnd"/>
      <w:r w:rsidRPr="00846D06">
        <w:rPr>
          <w:rFonts w:asciiTheme="minorHAnsi" w:hAnsiTheme="minorHAnsi" w:cs="Helvetica"/>
          <w:color w:val="151516"/>
          <w:sz w:val="24"/>
          <w:szCs w:val="24"/>
          <w:lang w:val="en-US"/>
        </w:rPr>
        <w:t xml:space="preserve"> at U.K. universities: individuals whose professional practice and disciplinary identity position</w:t>
      </w:r>
      <w:r w:rsidR="00783F9B">
        <w:rPr>
          <w:rFonts w:asciiTheme="minorHAnsi" w:hAnsiTheme="minorHAnsi" w:cs="Helvetica"/>
          <w:color w:val="151516"/>
          <w:sz w:val="24"/>
          <w:szCs w:val="24"/>
          <w:lang w:val="en-US"/>
        </w:rPr>
        <w:t>s</w:t>
      </w:r>
      <w:r w:rsidRPr="00846D06">
        <w:rPr>
          <w:rFonts w:asciiTheme="minorHAnsi" w:hAnsiTheme="minorHAnsi" w:cs="Helvetica"/>
          <w:color w:val="151516"/>
          <w:sz w:val="24"/>
          <w:szCs w:val="24"/>
          <w:lang w:val="en-US"/>
        </w:rPr>
        <w:t xml:space="preserve"> them to hold informed and substantive views on the research topic.  Four institutions were selected within a relatively small geographical area, including the institution where I study and the institution where I work, alongside two institutions where I have previously worked.  The geographical clustering represents a practical </w:t>
      </w:r>
      <w:proofErr w:type="gramStart"/>
      <w:r w:rsidRPr="00846D06">
        <w:rPr>
          <w:rFonts w:asciiTheme="minorHAnsi" w:hAnsiTheme="minorHAnsi" w:cs="Helvetica"/>
          <w:color w:val="151516"/>
          <w:sz w:val="24"/>
          <w:szCs w:val="24"/>
          <w:lang w:val="en-US"/>
        </w:rPr>
        <w:t>constraint, but</w:t>
      </w:r>
      <w:proofErr w:type="gramEnd"/>
      <w:r w:rsidRPr="00846D06">
        <w:rPr>
          <w:rFonts w:asciiTheme="minorHAnsi" w:hAnsiTheme="minorHAnsi" w:cs="Helvetica"/>
          <w:color w:val="151516"/>
          <w:sz w:val="24"/>
          <w:szCs w:val="24"/>
          <w:lang w:val="en-US"/>
        </w:rPr>
        <w:t xml:space="preserve"> does not compromise the purposive logic of the design, since the defining criterion for inclusion is disciplinary – active engagement in the teaching of History at degree level – rather than institutional.</w:t>
      </w:r>
    </w:p>
    <w:p w14:paraId="4AE6EEE6"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 xml:space="preserve">The decision to include four institutions, rather than conducting a single-site study, was taken for two reasons.  First, Q Methodology aims to capture a range of subjective viewpoints that exist within a defined population, and limiting the study to a single institution would risk conflating institutional culture with disciplinary perspective.  Historians working at a university with a strong sustainability profile, for example, may have had quite different experiences of ESD from those at institutions where sustainability is less prominent in institutional strategy.  Including four institutions increases the likelihood that the Q-sort will surface viewpoints shaped by different institutional contexts, while keeping the study focused on a single discipline.  Second, a cross-institutional design strengthens the potential transferability of the findings.  While Q </w:t>
      </w:r>
      <w:r w:rsidRPr="00846D06">
        <w:rPr>
          <w:rFonts w:asciiTheme="minorHAnsi" w:hAnsiTheme="minorHAnsi" w:cs="Helvetica"/>
          <w:color w:val="151516"/>
          <w:sz w:val="24"/>
          <w:szCs w:val="24"/>
          <w:lang w:val="en-US"/>
        </w:rPr>
        <w:lastRenderedPageBreak/>
        <w:t xml:space="preserve">Methodology does not claim </w:t>
      </w:r>
      <w:proofErr w:type="spellStart"/>
      <w:r w:rsidRPr="00846D06">
        <w:rPr>
          <w:rFonts w:asciiTheme="minorHAnsi" w:hAnsiTheme="minorHAnsi" w:cs="Helvetica"/>
          <w:color w:val="151516"/>
          <w:sz w:val="24"/>
          <w:szCs w:val="24"/>
          <w:lang w:val="en-US"/>
        </w:rPr>
        <w:t>generalisability</w:t>
      </w:r>
      <w:proofErr w:type="spellEnd"/>
      <w:r w:rsidRPr="00846D06">
        <w:rPr>
          <w:rFonts w:asciiTheme="minorHAnsi" w:hAnsiTheme="minorHAnsi" w:cs="Helvetica"/>
          <w:color w:val="151516"/>
          <w:sz w:val="24"/>
          <w:szCs w:val="24"/>
          <w:lang w:val="en-US"/>
        </w:rPr>
        <w:t xml:space="preserve"> in the statistical sense, findings that emerge consistently across multiple institutional settings carry greater weight than those drawn from a single context – and are more likely to be of practical value in informing approaches to staff development and curriculum support beyond the institutions studied.</w:t>
      </w:r>
    </w:p>
    <w:p w14:paraId="1867DDB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 xml:space="preserve">Potential participants were identified from staff listings.  Two of the four universities publish departmental staff lists that are publicly accessible via their institutional websites.  For the remaining two institutions, full staff lists were obtained through a former colleague and through my doctoral tutor respectively.  All History lecturers identified on these lists were contacted directly with an invitation to participate, rather than a selection being made based on criteria such as seniority or length of experience.  This decision was taken because the numbers of History lecturers at each institution were relatively small, and contacting the full population </w:t>
      </w:r>
      <w:proofErr w:type="spellStart"/>
      <w:r w:rsidRPr="00846D06">
        <w:rPr>
          <w:rFonts w:asciiTheme="minorHAnsi" w:hAnsiTheme="minorHAnsi" w:cs="Helvetica"/>
          <w:color w:val="151516"/>
          <w:sz w:val="24"/>
          <w:szCs w:val="24"/>
          <w:lang w:val="en-US"/>
        </w:rPr>
        <w:t>maximised</w:t>
      </w:r>
      <w:proofErr w:type="spellEnd"/>
      <w:r w:rsidRPr="00846D06">
        <w:rPr>
          <w:rFonts w:asciiTheme="minorHAnsi" w:hAnsiTheme="minorHAnsi" w:cs="Helvetica"/>
          <w:color w:val="151516"/>
          <w:sz w:val="24"/>
          <w:szCs w:val="24"/>
          <w:lang w:val="en-US"/>
        </w:rPr>
        <w:t xml:space="preserve"> the opportunity to capture the widest possible range of subjective viewpoints – a priority consistent with the aims of Q Methodology (Watts and Stenner, 2012).</w:t>
      </w:r>
    </w:p>
    <w:p w14:paraId="63B1D8D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151516"/>
          <w:sz w:val="24"/>
          <w:szCs w:val="24"/>
          <w:lang w:val="en-US"/>
        </w:rPr>
        <w:t xml:space="preserve">It should be noted that this approach to recruitment represents a deliberate departure from snowball or network-based sampling.  Rather than relying on introductions from personal contacts or former colleagues – an approach that carries a risk of gatekeeper bias, whereby the researcher’s existing networks may unconsciously filter the range of perspectives accessed – participants were approached systematically from institutional listings.  </w:t>
      </w:r>
    </w:p>
    <w:p w14:paraId="38D7EF9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4F0F64FF" w14:textId="77777777" w:rsidR="00846D06" w:rsidRPr="00846D06" w:rsidRDefault="00846D06" w:rsidP="00846D06">
      <w:pPr>
        <w:pStyle w:val="Heading3"/>
        <w:rPr>
          <w:lang w:val="en-US"/>
        </w:rPr>
      </w:pPr>
      <w:r w:rsidRPr="00846D06">
        <w:rPr>
          <w:lang w:val="en-US"/>
        </w:rPr>
        <w:t> </w:t>
      </w:r>
      <w:bookmarkStart w:id="15" w:name="_Toc229750442"/>
      <w:r w:rsidRPr="00846D06">
        <w:rPr>
          <w:lang w:val="en-US"/>
        </w:rPr>
        <w:t>3.4 DATA ANALYSIS AND PRESENTATION OF FINDINGS</w:t>
      </w:r>
      <w:bookmarkEnd w:id="15"/>
    </w:p>
    <w:p w14:paraId="1E8D9BA1" w14:textId="004AF3EF" w:rsidR="00846D06" w:rsidRPr="00846D06" w:rsidRDefault="00846D06" w:rsidP="00783F9B">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b/>
          <w:bCs/>
          <w:color w:val="000000"/>
          <w:sz w:val="24"/>
          <w:szCs w:val="24"/>
          <w:lang w:val="en-US"/>
        </w:rPr>
        <w:t> </w:t>
      </w:r>
      <w:r w:rsidRPr="00846D06">
        <w:rPr>
          <w:rFonts w:asciiTheme="minorHAnsi" w:hAnsiTheme="minorHAnsi" w:cs="Helvetica"/>
          <w:color w:val="000000"/>
          <w:sz w:val="24"/>
          <w:szCs w:val="24"/>
          <w:lang w:val="en-US"/>
        </w:rPr>
        <w:t xml:space="preserve">Q Methodology does not seek to correlate variables across people.  Rather, it correlates people across a set of variables (the statements in the Q set).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factors are </w:t>
      </w:r>
      <w:r w:rsidRPr="00846D06">
        <w:rPr>
          <w:rFonts w:asciiTheme="minorHAnsi" w:hAnsiTheme="minorHAnsi" w:cs="Helvetica"/>
          <w:color w:val="000000"/>
          <w:sz w:val="24"/>
          <w:szCs w:val="24"/>
          <w:lang w:val="en-US"/>
        </w:rPr>
        <w:lastRenderedPageBreak/>
        <w:t xml:space="preserve">developed, representing distinct patterns of how participants perceive the topic of the research (Stenner, 2022), with ‘factor loadings’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p.8) indicating the strength of each participant’s match to each factor.  Those with the highest loadings are the defining variants for each factor (ibid.).  Brown (1993) described the ‘composite Q-sort’ (p.118), also known as a factor array (McKeown and Thomas, 2011; Chaaban et al., 2023):  a model representing the overall perspective of the group, or an ordering of the statements by a hypothetical respondent loading in perfect alignment with a particular factor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w:t>
      </w:r>
    </w:p>
    <w:p w14:paraId="39983F23"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 addition to defining factors, Q-sort analysis looks to identify both distinguishing and consensus statements (Coogan and Herrington, 2011; Ramlo, 2012).  The distinguishing statements – those ranked very differently by a factor compared to other factors, are those which define the uniqueness of a viewpoint.  Consensus statements, on the other hand, are ranked similarly by all factors.  In </w:t>
      </w:r>
      <w:proofErr w:type="spellStart"/>
      <w:r w:rsidRPr="00846D06">
        <w:rPr>
          <w:rFonts w:asciiTheme="minorHAnsi" w:hAnsiTheme="minorHAnsi" w:cs="Helvetica"/>
          <w:color w:val="000000"/>
          <w:sz w:val="24"/>
          <w:szCs w:val="24"/>
          <w:lang w:val="en-US"/>
        </w:rPr>
        <w:t>analysing</w:t>
      </w:r>
      <w:proofErr w:type="spellEnd"/>
      <w:r w:rsidRPr="00846D06">
        <w:rPr>
          <w:rFonts w:asciiTheme="minorHAnsi" w:hAnsiTheme="minorHAnsi" w:cs="Helvetica"/>
          <w:color w:val="000000"/>
          <w:sz w:val="24"/>
          <w:szCs w:val="24"/>
          <w:lang w:val="en-US"/>
        </w:rPr>
        <w:t xml:space="preserve"> the findings of this research, I sought both distinguishing and consensus statements </w:t>
      </w:r>
      <w:proofErr w:type="gramStart"/>
      <w:r w:rsidRPr="00846D06">
        <w:rPr>
          <w:rFonts w:asciiTheme="minorHAnsi" w:hAnsiTheme="minorHAnsi" w:cs="Helvetica"/>
          <w:color w:val="000000"/>
          <w:sz w:val="24"/>
          <w:szCs w:val="24"/>
          <w:lang w:val="en-US"/>
        </w:rPr>
        <w:t>in order to</w:t>
      </w:r>
      <w:proofErr w:type="gramEnd"/>
      <w:r w:rsidRPr="00846D06">
        <w:rPr>
          <w:rFonts w:asciiTheme="minorHAnsi" w:hAnsiTheme="minorHAnsi" w:cs="Helvetica"/>
          <w:color w:val="000000"/>
          <w:sz w:val="24"/>
          <w:szCs w:val="24"/>
          <w:lang w:val="en-US"/>
        </w:rPr>
        <w:t xml:space="preserve"> identify both distinct groups and an overall perspective of historians regarding ESD.</w:t>
      </w:r>
    </w:p>
    <w:p w14:paraId="20BAFEC7"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There are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online tools that can be used to assist with data analysis in a Q Methodological study (</w:t>
      </w:r>
      <w:proofErr w:type="spellStart"/>
      <w:r w:rsidRPr="00846D06">
        <w:rPr>
          <w:rFonts w:asciiTheme="minorHAnsi" w:hAnsiTheme="minorHAnsi" w:cs="Helvetica"/>
          <w:color w:val="000000"/>
          <w:sz w:val="24"/>
          <w:szCs w:val="24"/>
          <w:lang w:val="en-US"/>
        </w:rPr>
        <w:t>Lutfallah</w:t>
      </w:r>
      <w:proofErr w:type="spellEnd"/>
      <w:r w:rsidRPr="00846D06">
        <w:rPr>
          <w:rFonts w:asciiTheme="minorHAnsi" w:hAnsiTheme="minorHAnsi" w:cs="Helvetica"/>
          <w:color w:val="000000"/>
          <w:sz w:val="24"/>
          <w:szCs w:val="24"/>
          <w:lang w:val="en-US"/>
        </w:rPr>
        <w:t xml:space="preserve"> and Buchanan, n.d.; Q-Assessor, n.d.; </w:t>
      </w:r>
      <w:proofErr w:type="spellStart"/>
      <w:r w:rsidRPr="00846D06">
        <w:rPr>
          <w:rFonts w:asciiTheme="minorHAnsi" w:hAnsiTheme="minorHAnsi" w:cs="Helvetica"/>
          <w:color w:val="000000"/>
          <w:sz w:val="24"/>
          <w:szCs w:val="24"/>
          <w:lang w:val="en-US"/>
        </w:rPr>
        <w:t>Schmolck</w:t>
      </w:r>
      <w:proofErr w:type="spellEnd"/>
      <w:r w:rsidRPr="00846D06">
        <w:rPr>
          <w:rFonts w:asciiTheme="minorHAnsi" w:hAnsiTheme="minorHAnsi" w:cs="Helvetica"/>
          <w:color w:val="000000"/>
          <w:sz w:val="24"/>
          <w:szCs w:val="24"/>
          <w:lang w:val="en-US"/>
        </w:rPr>
        <w:t xml:space="preserve">, 2014; </w:t>
      </w:r>
      <w:proofErr w:type="spellStart"/>
      <w:r w:rsidRPr="00846D06">
        <w:rPr>
          <w:rFonts w:asciiTheme="minorHAnsi" w:hAnsiTheme="minorHAnsi" w:cs="Helvetica"/>
          <w:color w:val="000000"/>
          <w:sz w:val="24"/>
          <w:szCs w:val="24"/>
          <w:lang w:val="en-US"/>
        </w:rPr>
        <w:t>Banasick</w:t>
      </w:r>
      <w:proofErr w:type="spellEnd"/>
      <w:r w:rsidRPr="00846D06">
        <w:rPr>
          <w:rFonts w:asciiTheme="minorHAnsi" w:hAnsiTheme="minorHAnsi" w:cs="Helvetica"/>
          <w:color w:val="000000"/>
          <w:sz w:val="24"/>
          <w:szCs w:val="24"/>
          <w:lang w:val="en-US"/>
        </w:rPr>
        <w:t>, 2019).</w:t>
      </w:r>
      <w:r w:rsidRPr="00846D06">
        <w:rPr>
          <w:rFonts w:asciiTheme="minorHAnsi" w:hAnsiTheme="minorHAnsi" w:cs="Helvetica"/>
          <w:color w:val="E60006"/>
          <w:sz w:val="24"/>
          <w:szCs w:val="24"/>
          <w:lang w:val="en-US"/>
        </w:rPr>
        <w:t xml:space="preserve">  </w:t>
      </w:r>
      <w:r w:rsidRPr="00846D06">
        <w:rPr>
          <w:rFonts w:asciiTheme="minorHAnsi" w:hAnsiTheme="minorHAnsi" w:cs="Helvetica"/>
          <w:color w:val="000000"/>
          <w:sz w:val="24"/>
          <w:szCs w:val="24"/>
          <w:lang w:val="en-US"/>
        </w:rPr>
        <w:t xml:space="preserve">Having investigated these, I chose to use </w:t>
      </w:r>
      <w:hyperlink r:id="rId12" w:history="1">
        <w:r w:rsidRPr="00846D06">
          <w:rPr>
            <w:rFonts w:asciiTheme="minorHAnsi" w:hAnsiTheme="minorHAnsi" w:cs="Helvetica"/>
            <w:color w:val="386573"/>
            <w:sz w:val="24"/>
            <w:szCs w:val="24"/>
            <w:u w:val="single" w:color="386573"/>
            <w:lang w:val="en-US"/>
          </w:rPr>
          <w:t>Ken-Q Analysis</w:t>
        </w:r>
      </w:hyperlink>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Banasick</w:t>
      </w:r>
      <w:proofErr w:type="spellEnd"/>
      <w:r w:rsidRPr="00846D06">
        <w:rPr>
          <w:rFonts w:asciiTheme="minorHAnsi" w:hAnsiTheme="minorHAnsi" w:cs="Helvetica"/>
          <w:color w:val="000000"/>
          <w:sz w:val="24"/>
          <w:szCs w:val="24"/>
          <w:lang w:val="en-US"/>
        </w:rPr>
        <w:t xml:space="preserve">, 2019), since it operates as a client-side web application, ensuring participant data is processed locally within the browser and not uploaded to external servers.  In addition, Ken-Q Analysis replicates the standard algorithms of the traditional </w:t>
      </w:r>
      <w:proofErr w:type="spellStart"/>
      <w:r w:rsidRPr="00846D06">
        <w:rPr>
          <w:rFonts w:asciiTheme="minorHAnsi" w:hAnsiTheme="minorHAnsi" w:cs="Helvetica"/>
          <w:i/>
          <w:iCs/>
          <w:color w:val="000000"/>
          <w:sz w:val="24"/>
          <w:szCs w:val="24"/>
          <w:lang w:val="en-US"/>
        </w:rPr>
        <w:t>PQMethod</w:t>
      </w:r>
      <w:proofErr w:type="spellEnd"/>
      <w:r w:rsidRPr="00846D06">
        <w:rPr>
          <w:rFonts w:asciiTheme="minorHAnsi" w:hAnsiTheme="minorHAnsi" w:cs="Helvetica"/>
          <w:color w:val="000000"/>
          <w:sz w:val="24"/>
          <w:szCs w:val="24"/>
          <w:lang w:val="en-US"/>
        </w:rPr>
        <w:t xml:space="preserve"> software (</w:t>
      </w:r>
      <w:proofErr w:type="spellStart"/>
      <w:r w:rsidRPr="00846D06">
        <w:rPr>
          <w:rFonts w:asciiTheme="minorHAnsi" w:hAnsiTheme="minorHAnsi" w:cs="Helvetica"/>
          <w:color w:val="000000"/>
          <w:sz w:val="24"/>
          <w:szCs w:val="24"/>
          <w:lang w:val="en-US"/>
        </w:rPr>
        <w:t>Schmolck</w:t>
      </w:r>
      <w:proofErr w:type="spellEnd"/>
      <w:r w:rsidRPr="00846D06">
        <w:rPr>
          <w:rFonts w:asciiTheme="minorHAnsi" w:hAnsiTheme="minorHAnsi" w:cs="Helvetica"/>
          <w:color w:val="000000"/>
          <w:sz w:val="24"/>
          <w:szCs w:val="24"/>
          <w:lang w:val="en-US"/>
        </w:rPr>
        <w:t xml:space="preserve">, 2014), ensuring consistency with established Q methodological </w:t>
      </w:r>
      <w:proofErr w:type="spellStart"/>
      <w:r w:rsidRPr="00846D06">
        <w:rPr>
          <w:rFonts w:asciiTheme="minorHAnsi" w:hAnsiTheme="minorHAnsi" w:cs="Helvetica"/>
          <w:color w:val="000000"/>
          <w:sz w:val="24"/>
          <w:szCs w:val="24"/>
          <w:lang w:val="en-US"/>
        </w:rPr>
        <w:t>rigour</w:t>
      </w:r>
      <w:proofErr w:type="spellEnd"/>
      <w:r w:rsidRPr="00846D06">
        <w:rPr>
          <w:rFonts w:asciiTheme="minorHAnsi" w:hAnsiTheme="minorHAnsi" w:cs="Helvetica"/>
          <w:color w:val="000000"/>
          <w:sz w:val="24"/>
          <w:szCs w:val="24"/>
          <w:lang w:val="en-US"/>
        </w:rPr>
        <w:t>.</w:t>
      </w:r>
    </w:p>
    <w:p w14:paraId="40CCE2B2" w14:textId="77777777" w:rsid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E70250D" w14:textId="77777777" w:rsidR="00783F9B" w:rsidRPr="00846D06" w:rsidRDefault="00783F9B" w:rsidP="00846D06">
      <w:pPr>
        <w:autoSpaceDE w:val="0"/>
        <w:autoSpaceDN w:val="0"/>
        <w:adjustRightInd w:val="0"/>
        <w:spacing w:after="266" w:line="480" w:lineRule="atLeast"/>
        <w:rPr>
          <w:rFonts w:asciiTheme="minorHAnsi" w:hAnsiTheme="minorHAnsi" w:cs="Helvetica"/>
          <w:color w:val="000000"/>
          <w:sz w:val="24"/>
          <w:szCs w:val="24"/>
          <w:lang w:val="en-US"/>
        </w:rPr>
      </w:pPr>
    </w:p>
    <w:p w14:paraId="0F21AEAB" w14:textId="77777777" w:rsidR="00846D06" w:rsidRPr="00846D06" w:rsidRDefault="00846D06" w:rsidP="00846D06">
      <w:pPr>
        <w:pStyle w:val="Heading4"/>
        <w:rPr>
          <w:lang w:val="en-US"/>
        </w:rPr>
      </w:pPr>
      <w:r w:rsidRPr="00846D06">
        <w:rPr>
          <w:lang w:val="en-US"/>
        </w:rPr>
        <w:lastRenderedPageBreak/>
        <w:t>3.4.1 PRESENTATION OF FINDINGS</w:t>
      </w:r>
    </w:p>
    <w:p w14:paraId="1A368E1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9F5FC7F"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Although the results of a Q Methodological study can be presented numerically and in tabular format (Woods, 2011; Lundberg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2020; </w:t>
      </w:r>
      <w:proofErr w:type="spellStart"/>
      <w:r w:rsidRPr="00846D06">
        <w:rPr>
          <w:rFonts w:asciiTheme="minorHAnsi" w:hAnsiTheme="minorHAnsi" w:cs="Helvetica"/>
          <w:color w:val="000000"/>
          <w:sz w:val="24"/>
          <w:szCs w:val="24"/>
          <w:lang w:val="en-US"/>
        </w:rPr>
        <w:t>Espartinez</w:t>
      </w:r>
      <w:proofErr w:type="spellEnd"/>
      <w:r w:rsidRPr="00846D06">
        <w:rPr>
          <w:rFonts w:asciiTheme="minorHAnsi" w:hAnsiTheme="minorHAnsi" w:cs="Helvetica"/>
          <w:color w:val="000000"/>
          <w:sz w:val="24"/>
          <w:szCs w:val="24"/>
          <w:lang w:val="en-US"/>
        </w:rPr>
        <w:t xml:space="preserve"> 2024), one of the distinguishing aspects of Q Methodology, according to Woods (2011), is the ‘production of a set of verbal accounts that </w:t>
      </w:r>
      <w:proofErr w:type="spellStart"/>
      <w:r w:rsidRPr="00846D06">
        <w:rPr>
          <w:rFonts w:asciiTheme="minorHAnsi" w:hAnsiTheme="minorHAnsi" w:cs="Helvetica"/>
          <w:color w:val="000000"/>
          <w:sz w:val="24"/>
          <w:szCs w:val="24"/>
          <w:lang w:val="en-US"/>
        </w:rPr>
        <w:t>summarise</w:t>
      </w:r>
      <w:proofErr w:type="spellEnd"/>
      <w:r w:rsidRPr="00846D06">
        <w:rPr>
          <w:rFonts w:asciiTheme="minorHAnsi" w:hAnsiTheme="minorHAnsi" w:cs="Helvetica"/>
          <w:color w:val="000000"/>
          <w:sz w:val="24"/>
          <w:szCs w:val="24"/>
          <w:lang w:val="en-US"/>
        </w:rPr>
        <w:t xml:space="preserve"> distinct viewpoints and that are readily accessible to a wide audience’ (p.333).  Shephard and Furnari (2013) do this masterfully in their study of the views of HE lecturers regarding Education for Sustainability, in which four factors are represented by first-person position statements.  The exceptional readability of their results and the potential to reach a wide audience (Woods, 2011) has led me to adopt this approach for the presentation of the findings of this research.</w:t>
      </w:r>
    </w:p>
    <w:p w14:paraId="4FBB3FC1" w14:textId="037B6379" w:rsidR="00846D06" w:rsidRPr="00846D06" w:rsidRDefault="00846D06" w:rsidP="00783F9B">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The narrative profiles were constructed systematically from the factor arrays produced by Ken-Q Analysis.  Each statement in the Q-set receives a score within the factor array corresponding to its position on the sorting grid (e.g. +4 to -4 on the distribution used in this study).  It is these scores that provide the raw material for the written profiles.</w:t>
      </w:r>
      <w:r w:rsidR="00783F9B">
        <w:rPr>
          <w:rFonts w:asciiTheme="minorHAnsi" w:hAnsiTheme="minorHAnsi" w:cs="Helvetica"/>
          <w:color w:val="000000"/>
          <w:sz w:val="24"/>
          <w:szCs w:val="24"/>
          <w:lang w:val="en-US"/>
        </w:rPr>
        <w:t xml:space="preserve">  </w:t>
      </w:r>
      <w:r w:rsidRPr="00846D06">
        <w:rPr>
          <w:rFonts w:asciiTheme="minorHAnsi" w:hAnsiTheme="minorHAnsi" w:cs="Helvetica"/>
          <w:color w:val="000000"/>
          <w:sz w:val="24"/>
          <w:szCs w:val="24"/>
          <w:lang w:val="en-US"/>
        </w:rPr>
        <w:t xml:space="preserve">Watts and Stenner (2012) provide detailed guidance on the process of interpreting factor arrays and translating them into narrative accounts.  The approach involves working systematically through the factor array, beginning with the statements at the extremes of the distribution and moving towards the </w:t>
      </w:r>
      <w:proofErr w:type="spellStart"/>
      <w:r w:rsidRPr="00846D06">
        <w:rPr>
          <w:rFonts w:asciiTheme="minorHAnsi" w:hAnsiTheme="minorHAnsi" w:cs="Helvetica"/>
          <w:color w:val="000000"/>
          <w:sz w:val="24"/>
          <w:szCs w:val="24"/>
          <w:lang w:val="en-US"/>
        </w:rPr>
        <w:t>centre</w:t>
      </w:r>
      <w:proofErr w:type="spellEnd"/>
      <w:r w:rsidRPr="00846D06">
        <w:rPr>
          <w:rFonts w:asciiTheme="minorHAnsi" w:hAnsiTheme="minorHAnsi" w:cs="Helvetica"/>
          <w:color w:val="000000"/>
          <w:sz w:val="24"/>
          <w:szCs w:val="24"/>
          <w:lang w:val="en-US"/>
        </w:rPr>
        <w:t>.  The procedure adopted in this study was as follows:</w:t>
      </w:r>
    </w:p>
    <w:p w14:paraId="02A7FA23" w14:textId="77777777" w:rsidR="00783F9B" w:rsidRDefault="00846D06" w:rsidP="00783F9B">
      <w:pPr>
        <w:pStyle w:val="ListParagraph"/>
        <w:numPr>
          <w:ilvl w:val="0"/>
          <w:numId w:val="1"/>
        </w:numPr>
        <w:autoSpaceDE w:val="0"/>
        <w:autoSpaceDN w:val="0"/>
        <w:adjustRightInd w:val="0"/>
        <w:spacing w:after="266" w:line="480" w:lineRule="atLeast"/>
        <w:rPr>
          <w:rFonts w:asciiTheme="minorHAnsi" w:hAnsiTheme="minorHAnsi" w:cs="Helvetica"/>
          <w:color w:val="000000"/>
          <w:sz w:val="24"/>
          <w:szCs w:val="24"/>
          <w:lang w:val="en-US"/>
        </w:rPr>
      </w:pPr>
      <w:r w:rsidRPr="00783F9B">
        <w:rPr>
          <w:rFonts w:asciiTheme="minorHAnsi" w:hAnsiTheme="minorHAnsi" w:cs="Helvetica"/>
          <w:color w:val="000000"/>
          <w:sz w:val="24"/>
          <w:szCs w:val="24"/>
          <w:lang w:val="en-US"/>
        </w:rPr>
        <w:t xml:space="preserve">Statements that score +4 in the factor array – those representing the strongest agreement within the viewpoint – formed the opening sentences of the narrative profile, establishing the core priorities and commitments of the perspective.  </w:t>
      </w:r>
    </w:p>
    <w:p w14:paraId="3992E222" w14:textId="77777777" w:rsidR="00783F9B" w:rsidRDefault="00846D06" w:rsidP="00783F9B">
      <w:pPr>
        <w:pStyle w:val="ListParagraph"/>
        <w:numPr>
          <w:ilvl w:val="0"/>
          <w:numId w:val="1"/>
        </w:numPr>
        <w:autoSpaceDE w:val="0"/>
        <w:autoSpaceDN w:val="0"/>
        <w:adjustRightInd w:val="0"/>
        <w:spacing w:after="266" w:line="480" w:lineRule="atLeast"/>
        <w:rPr>
          <w:rFonts w:asciiTheme="minorHAnsi" w:hAnsiTheme="minorHAnsi" w:cs="Helvetica"/>
          <w:color w:val="000000"/>
          <w:sz w:val="24"/>
          <w:szCs w:val="24"/>
          <w:lang w:val="en-US"/>
        </w:rPr>
      </w:pPr>
      <w:r w:rsidRPr="00783F9B">
        <w:rPr>
          <w:rFonts w:asciiTheme="minorHAnsi" w:hAnsiTheme="minorHAnsi" w:cs="Helvetica"/>
          <w:color w:val="000000"/>
          <w:sz w:val="24"/>
          <w:szCs w:val="24"/>
          <w:lang w:val="en-US"/>
        </w:rPr>
        <w:t xml:space="preserve">Statements scoring +3 and +2 provided supporting detail, elaborating on what the viewpoint values and how it understands the relationship between History and ESD.  </w:t>
      </w:r>
    </w:p>
    <w:p w14:paraId="5A905015" w14:textId="77777777" w:rsidR="00783F9B" w:rsidRDefault="00846D06" w:rsidP="00783F9B">
      <w:pPr>
        <w:pStyle w:val="ListParagraph"/>
        <w:numPr>
          <w:ilvl w:val="0"/>
          <w:numId w:val="1"/>
        </w:numPr>
        <w:autoSpaceDE w:val="0"/>
        <w:autoSpaceDN w:val="0"/>
        <w:adjustRightInd w:val="0"/>
        <w:spacing w:after="266" w:line="480" w:lineRule="atLeast"/>
        <w:rPr>
          <w:rFonts w:asciiTheme="minorHAnsi" w:hAnsiTheme="minorHAnsi" w:cs="Helvetica"/>
          <w:color w:val="000000"/>
          <w:sz w:val="24"/>
          <w:szCs w:val="24"/>
          <w:lang w:val="en-US"/>
        </w:rPr>
      </w:pPr>
      <w:r w:rsidRPr="00783F9B">
        <w:rPr>
          <w:rFonts w:asciiTheme="minorHAnsi" w:hAnsiTheme="minorHAnsi" w:cs="Helvetica"/>
          <w:color w:val="000000"/>
          <w:sz w:val="24"/>
          <w:szCs w:val="24"/>
          <w:lang w:val="en-US"/>
        </w:rPr>
        <w:lastRenderedPageBreak/>
        <w:t xml:space="preserve">Statements at 0 may be noted where their neutrality is itself </w:t>
      </w:r>
      <w:proofErr w:type="gramStart"/>
      <w:r w:rsidRPr="00783F9B">
        <w:rPr>
          <w:rFonts w:asciiTheme="minorHAnsi" w:hAnsiTheme="minorHAnsi" w:cs="Helvetica"/>
          <w:color w:val="000000"/>
          <w:sz w:val="24"/>
          <w:szCs w:val="24"/>
          <w:lang w:val="en-US"/>
        </w:rPr>
        <w:t>significant, but</w:t>
      </w:r>
      <w:proofErr w:type="gramEnd"/>
      <w:r w:rsidRPr="00783F9B">
        <w:rPr>
          <w:rFonts w:asciiTheme="minorHAnsi" w:hAnsiTheme="minorHAnsi" w:cs="Helvetica"/>
          <w:color w:val="000000"/>
          <w:sz w:val="24"/>
          <w:szCs w:val="24"/>
          <w:lang w:val="en-US"/>
        </w:rPr>
        <w:t xml:space="preserve"> will not necessarily feature in the narrative.  </w:t>
      </w:r>
    </w:p>
    <w:p w14:paraId="5D89ADBF" w14:textId="52F9F747" w:rsidR="00846D06" w:rsidRPr="00783F9B" w:rsidRDefault="00846D06" w:rsidP="00783F9B">
      <w:pPr>
        <w:pStyle w:val="ListParagraph"/>
        <w:numPr>
          <w:ilvl w:val="0"/>
          <w:numId w:val="1"/>
        </w:numPr>
        <w:autoSpaceDE w:val="0"/>
        <w:autoSpaceDN w:val="0"/>
        <w:adjustRightInd w:val="0"/>
        <w:spacing w:after="266" w:line="480" w:lineRule="atLeast"/>
        <w:rPr>
          <w:rFonts w:asciiTheme="minorHAnsi" w:hAnsiTheme="minorHAnsi" w:cs="Helvetica"/>
          <w:color w:val="000000"/>
          <w:sz w:val="24"/>
          <w:szCs w:val="24"/>
          <w:lang w:val="en-US"/>
        </w:rPr>
      </w:pPr>
      <w:r w:rsidRPr="00783F9B">
        <w:rPr>
          <w:rFonts w:asciiTheme="minorHAnsi" w:hAnsiTheme="minorHAnsi" w:cs="Helvetica"/>
          <w:color w:val="000000"/>
          <w:sz w:val="24"/>
          <w:szCs w:val="24"/>
          <w:lang w:val="en-US"/>
        </w:rPr>
        <w:t>Statements scoring -1 and -2 introduced areas of relative disagreement or de-</w:t>
      </w:r>
      <w:proofErr w:type="spellStart"/>
      <w:r w:rsidRPr="00783F9B">
        <w:rPr>
          <w:rFonts w:asciiTheme="minorHAnsi" w:hAnsiTheme="minorHAnsi" w:cs="Helvetica"/>
          <w:color w:val="000000"/>
          <w:sz w:val="24"/>
          <w:szCs w:val="24"/>
          <w:lang w:val="en-US"/>
        </w:rPr>
        <w:t>prioritisation</w:t>
      </w:r>
      <w:proofErr w:type="spellEnd"/>
      <w:r w:rsidRPr="00783F9B">
        <w:rPr>
          <w:rFonts w:asciiTheme="minorHAnsi" w:hAnsiTheme="minorHAnsi" w:cs="Helvetica"/>
          <w:color w:val="000000"/>
          <w:sz w:val="24"/>
          <w:szCs w:val="24"/>
          <w:lang w:val="en-US"/>
        </w:rPr>
        <w:t>, while statements at -3 and -4 – the strongest disagreements – typically appeared towards the close of the profile, articulating what the viewpoint firmly rejects.</w:t>
      </w:r>
    </w:p>
    <w:p w14:paraId="05DB620A"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Crucially, the profiles draw explicit attention to </w:t>
      </w:r>
      <w:r w:rsidRPr="00846D06">
        <w:rPr>
          <w:rFonts w:asciiTheme="minorHAnsi" w:hAnsiTheme="minorHAnsi" w:cs="Helvetica"/>
          <w:i/>
          <w:iCs/>
          <w:color w:val="000000"/>
          <w:sz w:val="24"/>
          <w:szCs w:val="24"/>
          <w:lang w:val="en-US"/>
        </w:rPr>
        <w:t>distinguishing statements</w:t>
      </w:r>
      <w:r w:rsidRPr="00846D06">
        <w:rPr>
          <w:rFonts w:asciiTheme="minorHAnsi" w:hAnsiTheme="minorHAnsi" w:cs="Helvetica"/>
          <w:color w:val="000000"/>
          <w:sz w:val="24"/>
          <w:szCs w:val="24"/>
          <w:lang w:val="en-US"/>
        </w:rPr>
        <w:t xml:space="preserve">: those where a factor’s score is statistically significantly different (p&lt;0.05) from all the other factors.  Ken-Q Analysis identifies these automatically during the analysis.  Distinguishing statements are the statements that make each viewpoint unique – they are what differentiates one perspective from another – and are therefore of </w:t>
      </w:r>
      <w:proofErr w:type="gramStart"/>
      <w:r w:rsidRPr="00846D06">
        <w:rPr>
          <w:rFonts w:asciiTheme="minorHAnsi" w:hAnsiTheme="minorHAnsi" w:cs="Helvetica"/>
          <w:color w:val="000000"/>
          <w:sz w:val="24"/>
          <w:szCs w:val="24"/>
          <w:lang w:val="en-US"/>
        </w:rPr>
        <w:t>particular interpretive</w:t>
      </w:r>
      <w:proofErr w:type="gramEnd"/>
      <w:r w:rsidRPr="00846D06">
        <w:rPr>
          <w:rFonts w:asciiTheme="minorHAnsi" w:hAnsiTheme="minorHAnsi" w:cs="Helvetica"/>
          <w:color w:val="000000"/>
          <w:sz w:val="24"/>
          <w:szCs w:val="24"/>
          <w:lang w:val="en-US"/>
        </w:rPr>
        <w:t xml:space="preserve"> importance (Watts and Stenner, 2012).  In the written profiles, distinguishing statements are presented in bold text so that the reader can immediately identify the claims and positions that are specific to each factor.  </w:t>
      </w:r>
      <w:r w:rsidRPr="00846D06">
        <w:rPr>
          <w:rFonts w:asciiTheme="minorHAnsi" w:hAnsiTheme="minorHAnsi" w:cs="Helvetica"/>
          <w:i/>
          <w:iCs/>
          <w:color w:val="000000"/>
          <w:sz w:val="24"/>
          <w:szCs w:val="24"/>
          <w:lang w:val="en-US"/>
        </w:rPr>
        <w:t>Consensus statements</w:t>
      </w:r>
      <w:r w:rsidRPr="00846D06">
        <w:rPr>
          <w:rFonts w:asciiTheme="minorHAnsi" w:hAnsiTheme="minorHAnsi" w:cs="Helvetica"/>
          <w:color w:val="000000"/>
          <w:sz w:val="24"/>
          <w:szCs w:val="24"/>
          <w:lang w:val="en-US"/>
        </w:rPr>
        <w:t xml:space="preserve"> – those scored similarly across all factors, indicating areas of shared ground among participants – are discussed in a separate section following the individual profiles.</w:t>
      </w:r>
    </w:p>
    <w:p w14:paraId="4C4CD174" w14:textId="77777777" w:rsid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To illustrate, a statement such as ‘History teaches students to think critically about contested evidence’, if scored at +4 on Factor 1 and identified as a distinguishing statement, might appear in the opening of the Factor 1 profile as follows:</w:t>
      </w:r>
    </w:p>
    <w:p w14:paraId="6DAFA0C3" w14:textId="6E7B4629" w:rsidR="00846D06" w:rsidRPr="00846D06" w:rsidRDefault="00846D06" w:rsidP="00846D06">
      <w:pPr>
        <w:autoSpaceDE w:val="0"/>
        <w:autoSpaceDN w:val="0"/>
        <w:adjustRightInd w:val="0"/>
        <w:spacing w:after="266" w:line="480" w:lineRule="atLeast"/>
        <w:ind w:left="480"/>
        <w:rPr>
          <w:rFonts w:asciiTheme="minorHAnsi" w:hAnsiTheme="minorHAnsi" w:cs="Helvetica"/>
          <w:i/>
          <w:iCs/>
          <w:color w:val="000000"/>
          <w:sz w:val="24"/>
          <w:szCs w:val="24"/>
          <w:lang w:val="en-US"/>
        </w:rPr>
      </w:pPr>
      <w:r w:rsidRPr="00846D06">
        <w:rPr>
          <w:rFonts w:asciiTheme="minorHAnsi" w:hAnsiTheme="minorHAnsi" w:cs="Helvetica"/>
          <w:i/>
          <w:iCs/>
          <w:color w:val="000000"/>
          <w:sz w:val="24"/>
          <w:szCs w:val="24"/>
          <w:lang w:val="en-US"/>
        </w:rPr>
        <w:t xml:space="preserve">I believe fundamentally that what a </w:t>
      </w:r>
      <w:proofErr w:type="gramStart"/>
      <w:r w:rsidRPr="00846D06">
        <w:rPr>
          <w:rFonts w:asciiTheme="minorHAnsi" w:hAnsiTheme="minorHAnsi" w:cs="Helvetica"/>
          <w:i/>
          <w:iCs/>
          <w:color w:val="000000"/>
          <w:sz w:val="24"/>
          <w:szCs w:val="24"/>
          <w:lang w:val="en-US"/>
        </w:rPr>
        <w:t>History</w:t>
      </w:r>
      <w:proofErr w:type="gramEnd"/>
      <w:r w:rsidRPr="00846D06">
        <w:rPr>
          <w:rFonts w:asciiTheme="minorHAnsi" w:hAnsiTheme="minorHAnsi" w:cs="Helvetica"/>
          <w:i/>
          <w:iCs/>
          <w:color w:val="000000"/>
          <w:sz w:val="24"/>
          <w:szCs w:val="24"/>
          <w:lang w:val="en-US"/>
        </w:rPr>
        <w:t xml:space="preserve"> degree offers students is the </w:t>
      </w:r>
      <w:proofErr w:type="spellStart"/>
      <w:r w:rsidRPr="00846D06">
        <w:rPr>
          <w:rFonts w:asciiTheme="minorHAnsi" w:hAnsiTheme="minorHAnsi" w:cs="Helvetica"/>
          <w:i/>
          <w:iCs/>
          <w:color w:val="000000"/>
          <w:sz w:val="24"/>
          <w:szCs w:val="24"/>
          <w:lang w:val="en-US"/>
        </w:rPr>
        <w:t>ablity</w:t>
      </w:r>
      <w:proofErr w:type="spellEnd"/>
      <w:r w:rsidRPr="00846D06">
        <w:rPr>
          <w:rFonts w:asciiTheme="minorHAnsi" w:hAnsiTheme="minorHAnsi" w:cs="Helvetica"/>
          <w:i/>
          <w:iCs/>
          <w:color w:val="000000"/>
          <w:sz w:val="24"/>
          <w:szCs w:val="24"/>
          <w:lang w:val="en-US"/>
        </w:rPr>
        <w:t xml:space="preserve"> to think critically about contested evidence</w:t>
      </w:r>
      <w:r>
        <w:rPr>
          <w:rFonts w:asciiTheme="minorHAnsi" w:hAnsiTheme="minorHAnsi" w:cs="Helvetica"/>
          <w:i/>
          <w:iCs/>
          <w:color w:val="000000"/>
          <w:sz w:val="24"/>
          <w:szCs w:val="24"/>
          <w:lang w:val="en-US"/>
        </w:rPr>
        <w:t>.</w:t>
      </w:r>
      <w:r w:rsidRPr="00846D06">
        <w:rPr>
          <w:rFonts w:asciiTheme="minorHAnsi" w:hAnsiTheme="minorHAnsi" w:cs="Helvetica"/>
          <w:i/>
          <w:iCs/>
          <w:color w:val="000000"/>
          <w:sz w:val="24"/>
          <w:szCs w:val="24"/>
          <w:lang w:val="en-US"/>
        </w:rPr>
        <w:t xml:space="preserve">  </w:t>
      </w:r>
      <w:proofErr w:type="gramStart"/>
      <w:r w:rsidRPr="00846D06">
        <w:rPr>
          <w:rFonts w:asciiTheme="minorHAnsi" w:hAnsiTheme="minorHAnsi" w:cs="Helvetica"/>
          <w:b/>
          <w:bCs/>
          <w:i/>
          <w:iCs/>
          <w:color w:val="000000"/>
          <w:sz w:val="24"/>
          <w:szCs w:val="24"/>
          <w:lang w:val="en-US"/>
        </w:rPr>
        <w:t>This</w:t>
      </w:r>
      <w:proofErr w:type="gramEnd"/>
      <w:r w:rsidRPr="00846D06">
        <w:rPr>
          <w:rFonts w:asciiTheme="minorHAnsi" w:hAnsiTheme="minorHAnsi" w:cs="Helvetica"/>
          <w:b/>
          <w:bCs/>
          <w:i/>
          <w:iCs/>
          <w:color w:val="000000"/>
          <w:sz w:val="24"/>
          <w:szCs w:val="24"/>
          <w:lang w:val="en-US"/>
        </w:rPr>
        <w:t xml:space="preserve"> is central to my understanding of the discipline and its value.</w:t>
      </w:r>
    </w:p>
    <w:p w14:paraId="01674185" w14:textId="2ADDEA20"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bold text signals to the reader that the emphasis on contested evidence is a distinguishing feature of this </w:t>
      </w:r>
      <w:proofErr w:type="gramStart"/>
      <w:r w:rsidRPr="00846D06">
        <w:rPr>
          <w:rFonts w:asciiTheme="minorHAnsi" w:hAnsiTheme="minorHAnsi" w:cs="Helvetica"/>
          <w:color w:val="000000"/>
          <w:sz w:val="24"/>
          <w:szCs w:val="24"/>
          <w:lang w:val="en-US"/>
        </w:rPr>
        <w:t>particular viewpoint</w:t>
      </w:r>
      <w:proofErr w:type="gramEnd"/>
      <w:r w:rsidRPr="00846D06">
        <w:rPr>
          <w:rFonts w:asciiTheme="minorHAnsi" w:hAnsiTheme="minorHAnsi" w:cs="Helvetica"/>
          <w:color w:val="000000"/>
          <w:sz w:val="24"/>
          <w:szCs w:val="24"/>
          <w:lang w:val="en-US"/>
        </w:rPr>
        <w:t xml:space="preserve"> – one </w:t>
      </w:r>
      <w:proofErr w:type="gramStart"/>
      <w:r w:rsidRPr="00846D06">
        <w:rPr>
          <w:rFonts w:asciiTheme="minorHAnsi" w:hAnsiTheme="minorHAnsi" w:cs="Helvetica"/>
          <w:color w:val="000000"/>
          <w:sz w:val="24"/>
          <w:szCs w:val="24"/>
          <w:lang w:val="en-US"/>
        </w:rPr>
        <w:t>not shared</w:t>
      </w:r>
      <w:proofErr w:type="gramEnd"/>
      <w:r w:rsidRPr="00846D06">
        <w:rPr>
          <w:rFonts w:asciiTheme="minorHAnsi" w:hAnsiTheme="minorHAnsi" w:cs="Helvetica"/>
          <w:color w:val="000000"/>
          <w:sz w:val="24"/>
          <w:szCs w:val="24"/>
          <w:lang w:val="en-US"/>
        </w:rPr>
        <w:t xml:space="preserve"> to the same degree by </w:t>
      </w:r>
      <w:r w:rsidRPr="00846D06">
        <w:rPr>
          <w:rFonts w:asciiTheme="minorHAnsi" w:hAnsiTheme="minorHAnsi" w:cs="Helvetica"/>
          <w:color w:val="000000"/>
          <w:sz w:val="24"/>
          <w:szCs w:val="24"/>
          <w:lang w:val="en-US"/>
        </w:rPr>
        <w:lastRenderedPageBreak/>
        <w:t xml:space="preserve">participants loading on other factors.  This approach follows the model established by Shephard and Furnari (2013) and is consistent with the guidance offered by Watts and Stenner (2012) on the construction of factor interpretations, which they term ‘crib sheets’ </w:t>
      </w:r>
      <w:r w:rsidR="00E67D46">
        <w:rPr>
          <w:rFonts w:asciiTheme="minorHAnsi" w:hAnsiTheme="minorHAnsi" w:cs="Helvetica"/>
          <w:color w:val="000000"/>
          <w:sz w:val="24"/>
          <w:szCs w:val="24"/>
          <w:lang w:val="en-US"/>
        </w:rPr>
        <w:t xml:space="preserve">(ibid., p.51) </w:t>
      </w:r>
      <w:r w:rsidRPr="00846D06">
        <w:rPr>
          <w:rFonts w:asciiTheme="minorHAnsi" w:hAnsiTheme="minorHAnsi" w:cs="Helvetica"/>
          <w:color w:val="000000"/>
          <w:sz w:val="24"/>
          <w:szCs w:val="24"/>
          <w:lang w:val="en-US"/>
        </w:rPr>
        <w:t>as a structured method for working through each factor array and building the narrative account.</w:t>
      </w:r>
    </w:p>
    <w:p w14:paraId="714948E8"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37ED1F6" w14:textId="77777777" w:rsidR="00846D06" w:rsidRPr="00846D06" w:rsidRDefault="00846D06" w:rsidP="00846D06">
      <w:pPr>
        <w:pStyle w:val="Heading2"/>
        <w:rPr>
          <w:lang w:val="en-US"/>
        </w:rPr>
      </w:pPr>
      <w:bookmarkStart w:id="16" w:name="_Toc229750443"/>
      <w:r w:rsidRPr="00846D06">
        <w:rPr>
          <w:lang w:val="en-US"/>
        </w:rPr>
        <w:t>4. FINDINGS</w:t>
      </w:r>
      <w:bookmarkEnd w:id="16"/>
    </w:p>
    <w:p w14:paraId="53499BF7" w14:textId="77777777" w:rsidR="00846D06" w:rsidRPr="00846D06" w:rsidRDefault="00846D06" w:rsidP="00846D06">
      <w:pPr>
        <w:pStyle w:val="Heading3"/>
        <w:rPr>
          <w:lang w:val="en-US"/>
        </w:rPr>
      </w:pPr>
      <w:bookmarkStart w:id="17" w:name="_Toc229750444"/>
      <w:r w:rsidRPr="00846D06">
        <w:rPr>
          <w:lang w:val="en-US"/>
        </w:rPr>
        <w:t>4.1 PARTICIPANT RECRUITMENT AND RESPONSE</w:t>
      </w:r>
      <w:bookmarkEnd w:id="17"/>
    </w:p>
    <w:p w14:paraId="49F12527"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Invitations to participate in the Q-sort were sent by email to all History lecturers identified on staff listings at the four participating institutions (64 in total).  Two follow-up reminders were sent at intervals of approximately two weeks.  Of the total number contacted, five lecturers completed the Q-sort, representing a response rate that, while low in conventional survey terms, is not inconsistent with the expectations of a Q methodological study, where the aim is to capture the range of subjective viewpoints within a defined group rather than to achieve a statistically representative sample (Watts and Stenner, 2012; 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and de Graaf, 2005).  Of the five participants, two indicated willingness to take part in a follow-up semi-structured interview.</w:t>
      </w:r>
    </w:p>
    <w:p w14:paraId="432B1B84" w14:textId="30DD7CAD"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low response rate is acknowledged as a limitation and will be discussed further in </w:t>
      </w:r>
      <w:r w:rsidR="00D32585">
        <w:rPr>
          <w:rFonts w:asciiTheme="minorHAnsi" w:hAnsiTheme="minorHAnsi" w:cs="Helvetica"/>
          <w:color w:val="000000"/>
          <w:sz w:val="24"/>
          <w:szCs w:val="24"/>
          <w:lang w:val="en-US"/>
        </w:rPr>
        <w:t>the conclusion</w:t>
      </w:r>
      <w:r w:rsidRPr="00846D06">
        <w:rPr>
          <w:rFonts w:asciiTheme="minorHAnsi" w:hAnsiTheme="minorHAnsi" w:cs="Helvetica"/>
          <w:color w:val="000000"/>
          <w:sz w:val="24"/>
          <w:szCs w:val="24"/>
          <w:lang w:val="en-US"/>
        </w:rPr>
        <w:t>.  It may, however, be a finding in its own right: the difficulty of engaging historians with research explicitly framed around ESD may itself reflect something about how the discipline perceives its relationship to the sustainability agenda.  This is a question that sits at the heart of this study.</w:t>
      </w:r>
    </w:p>
    <w:p w14:paraId="67CB6254"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0882662" w14:textId="77777777" w:rsidR="00846D06" w:rsidRPr="00846D06" w:rsidRDefault="00846D06" w:rsidP="00846D06">
      <w:pPr>
        <w:pStyle w:val="Heading3"/>
        <w:rPr>
          <w:lang w:val="en-US"/>
        </w:rPr>
      </w:pPr>
      <w:bookmarkStart w:id="18" w:name="_Toc229750445"/>
      <w:r w:rsidRPr="00846D06">
        <w:rPr>
          <w:lang w:val="en-US"/>
        </w:rPr>
        <w:t>4.2 FACTOR EXTRACTION</w:t>
      </w:r>
      <w:bookmarkEnd w:id="18"/>
    </w:p>
    <w:p w14:paraId="0235265E" w14:textId="3C04B47E"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The five completed Q-so</w:t>
      </w:r>
      <w:r w:rsidR="00D32585">
        <w:rPr>
          <w:rFonts w:asciiTheme="minorHAnsi" w:hAnsiTheme="minorHAnsi" w:cs="Helvetica"/>
          <w:color w:val="000000"/>
          <w:sz w:val="24"/>
          <w:szCs w:val="24"/>
          <w:lang w:val="en-US"/>
        </w:rPr>
        <w:t>r</w:t>
      </w:r>
      <w:r w:rsidRPr="00846D06">
        <w:rPr>
          <w:rFonts w:asciiTheme="minorHAnsi" w:hAnsiTheme="minorHAnsi" w:cs="Helvetica"/>
          <w:color w:val="000000"/>
          <w:sz w:val="24"/>
          <w:szCs w:val="24"/>
          <w:lang w:val="en-US"/>
        </w:rPr>
        <w:t xml:space="preserve">ts were </w:t>
      </w:r>
      <w:proofErr w:type="spellStart"/>
      <w:r w:rsidRPr="00846D06">
        <w:rPr>
          <w:rFonts w:asciiTheme="minorHAnsi" w:hAnsiTheme="minorHAnsi" w:cs="Helvetica"/>
          <w:color w:val="000000"/>
          <w:sz w:val="24"/>
          <w:szCs w:val="24"/>
          <w:lang w:val="en-US"/>
        </w:rPr>
        <w:t>analysed</w:t>
      </w:r>
      <w:proofErr w:type="spellEnd"/>
      <w:r w:rsidRPr="00846D06">
        <w:rPr>
          <w:rFonts w:asciiTheme="minorHAnsi" w:hAnsiTheme="minorHAnsi" w:cs="Helvetica"/>
          <w:color w:val="000000"/>
          <w:sz w:val="24"/>
          <w:szCs w:val="24"/>
          <w:lang w:val="en-US"/>
        </w:rPr>
        <w:t xml:space="preserve"> using Ken-Q Analysis (</w:t>
      </w:r>
      <w:proofErr w:type="spellStart"/>
      <w:r w:rsidRPr="00846D06">
        <w:rPr>
          <w:rFonts w:asciiTheme="minorHAnsi" w:hAnsiTheme="minorHAnsi" w:cs="Helvetica"/>
          <w:color w:val="000000"/>
          <w:sz w:val="24"/>
          <w:szCs w:val="24"/>
          <w:lang w:val="en-US"/>
        </w:rPr>
        <w:t>Banasick</w:t>
      </w:r>
      <w:proofErr w:type="spellEnd"/>
      <w:r w:rsidRPr="00846D06">
        <w:rPr>
          <w:rFonts w:asciiTheme="minorHAnsi" w:hAnsiTheme="minorHAnsi" w:cs="Helvetica"/>
          <w:color w:val="000000"/>
          <w:sz w:val="24"/>
          <w:szCs w:val="24"/>
          <w:lang w:val="en-US"/>
        </w:rPr>
        <w:t>, 2019).  An initial principal components analysis was conducted, producing eigenvalues of 2.25, 1.01, 0.76, 0.58 and 0.40 for the five unrotated factors.  Two factors met the conventional threshold of an eigenvalue greater than 1.00, and the scree plot (Figure 2) confirmed a clear inflection point after the second factor.  Together, the two retained factors accounted for 65% of the study variance: Factor 1 accounted for 45% (eigenvalue 2.25) and Factor 2 for 20% (eigenvalue 1.01).</w:t>
      </w:r>
    </w:p>
    <w:p w14:paraId="4C0D906F" w14:textId="401C262B"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Following varimax rotation, examination of the factor loadings confirmed a clear two-factor solution.  Four participants (P1, P2, P3 and P5) loaded significantly onto Factor 1, with loadings ranging from </w:t>
      </w:r>
      <w:r w:rsidR="00A4555F">
        <w:rPr>
          <w:rFonts w:asciiTheme="minorHAnsi" w:hAnsiTheme="minorHAnsi" w:cs="Helvetica"/>
          <w:color w:val="000000"/>
          <w:sz w:val="24"/>
          <w:szCs w:val="24"/>
          <w:lang w:val="en-US"/>
        </w:rPr>
        <w:t>0</w:t>
      </w:r>
      <w:r w:rsidRPr="00846D06">
        <w:rPr>
          <w:rFonts w:asciiTheme="minorHAnsi" w:hAnsiTheme="minorHAnsi" w:cs="Helvetica"/>
          <w:color w:val="000000"/>
          <w:sz w:val="24"/>
          <w:szCs w:val="24"/>
          <w:lang w:val="en-US"/>
        </w:rPr>
        <w:t xml:space="preserve">.63 to 0.77.  One participant (P4) loaded significantly onto Factor 2, with a loading of </w:t>
      </w:r>
      <w:r w:rsidR="00A4555F">
        <w:rPr>
          <w:rFonts w:asciiTheme="minorHAnsi" w:hAnsiTheme="minorHAnsi" w:cs="Helvetica"/>
          <w:color w:val="000000"/>
          <w:sz w:val="24"/>
          <w:szCs w:val="24"/>
          <w:lang w:val="en-US"/>
        </w:rPr>
        <w:t>0</w:t>
      </w:r>
      <w:r w:rsidRPr="00846D06">
        <w:rPr>
          <w:rFonts w:asciiTheme="minorHAnsi" w:hAnsiTheme="minorHAnsi" w:cs="Helvetica"/>
          <w:color w:val="000000"/>
          <w:sz w:val="24"/>
          <w:szCs w:val="24"/>
          <w:lang w:val="en-US"/>
        </w:rPr>
        <w:t>.84.  P1’s negative loading on Factor 2 (-</w:t>
      </w:r>
      <w:r w:rsidR="00A4555F">
        <w:rPr>
          <w:rFonts w:asciiTheme="minorHAnsi" w:hAnsiTheme="minorHAnsi" w:cs="Helvetica"/>
          <w:color w:val="000000"/>
          <w:sz w:val="24"/>
          <w:szCs w:val="24"/>
          <w:lang w:val="en-US"/>
        </w:rPr>
        <w:t>0</w:t>
      </w:r>
      <w:r w:rsidRPr="00846D06">
        <w:rPr>
          <w:rFonts w:asciiTheme="minorHAnsi" w:hAnsiTheme="minorHAnsi" w:cs="Helvetica"/>
          <w:color w:val="000000"/>
          <w:sz w:val="24"/>
          <w:szCs w:val="24"/>
          <w:lang w:val="en-US"/>
        </w:rPr>
        <w:t>.52) is also of note, suggesting that this participant’s viewpoint is not merely different from but actively opposed to the perspective represented by Factor 2.  Together, the two factors accounted for 65% of the study variance: Factor 1 accounted for 45% (eigenvalue 2.25) and Factor 2 for 20% (eigenvalue 1.01).</w:t>
      </w:r>
    </w:p>
    <w:p w14:paraId="3F6ABEB6"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While Factor 2 is defined by a single participant, it is retained as a distinct viewpoint.  Within Q methodology, it is legitimate to retain a single-participant factor where it is clearly differentiated from other factors and represents an interpretively coherent perspective (Watts and Stenner, 2012). As the narrative profiles in sections 4.3 and 4.4 will demonstrate, Factor 2 presents a distinct and internally consistent viewpoint that contrasts meaningfully with Factor 1, and its retention therefore serves the aims of the study.</w:t>
      </w:r>
    </w:p>
    <w:p w14:paraId="48EF941D" w14:textId="24898AF6" w:rsidR="00846D06" w:rsidRPr="00846D06" w:rsidRDefault="00846D06" w:rsidP="00FA0A77">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composite Q-sorts (factor arrays) for each factor were generated by Ken-Q Analysis and are presented in Figures 2 and 3.  These factor arrays – representing the </w:t>
      </w:r>
      <w:proofErr w:type="spellStart"/>
      <w:r w:rsidRPr="00846D06">
        <w:rPr>
          <w:rFonts w:asciiTheme="minorHAnsi" w:hAnsiTheme="minorHAnsi" w:cs="Helvetica"/>
          <w:color w:val="000000"/>
          <w:sz w:val="24"/>
          <w:szCs w:val="24"/>
          <w:lang w:val="en-US"/>
        </w:rPr>
        <w:t>idealised</w:t>
      </w:r>
      <w:proofErr w:type="spellEnd"/>
      <w:r w:rsidRPr="00846D06">
        <w:rPr>
          <w:rFonts w:asciiTheme="minorHAnsi" w:hAnsiTheme="minorHAnsi" w:cs="Helvetica"/>
          <w:color w:val="000000"/>
          <w:sz w:val="24"/>
          <w:szCs w:val="24"/>
          <w:lang w:val="en-US"/>
        </w:rPr>
        <w:t xml:space="preserve"> Q-sort for each viewpoint – form the basis for the narrative profiles constructed in sections 4.3 and 4.4.</w:t>
      </w:r>
    </w:p>
    <w:p w14:paraId="2A12049D" w14:textId="77777777" w:rsidR="00846D06" w:rsidRPr="00846D06" w:rsidRDefault="00846D06" w:rsidP="00846D06">
      <w:pPr>
        <w:pStyle w:val="Heading3"/>
        <w:rPr>
          <w:lang w:val="en-US"/>
        </w:rPr>
      </w:pPr>
      <w:bookmarkStart w:id="19" w:name="_Toc229750446"/>
      <w:r w:rsidRPr="00846D06">
        <w:rPr>
          <w:lang w:val="en-US"/>
        </w:rPr>
        <w:lastRenderedPageBreak/>
        <w:t>4.3 FACTOR 1: ‘HISTORY IS ALREADY A SUSTAINABILITY DISCIPLINE – WE JUST HAVEN’T NAMED IT’</w:t>
      </w:r>
      <w:bookmarkEnd w:id="19"/>
    </w:p>
    <w:p w14:paraId="1047B9FA" w14:textId="77777777" w:rsidR="00846D06" w:rsidRPr="00846D06" w:rsidRDefault="00846D06" w:rsidP="00846D06">
      <w:pPr>
        <w:autoSpaceDE w:val="0"/>
        <w:autoSpaceDN w:val="0"/>
        <w:adjustRightInd w:val="0"/>
        <w:spacing w:after="266" w:line="308" w:lineRule="atLeast"/>
        <w:rPr>
          <w:rFonts w:asciiTheme="minorHAnsi" w:hAnsiTheme="minorHAnsi" w:cs="Helvetica"/>
          <w:color w:val="000000"/>
          <w:sz w:val="24"/>
          <w:szCs w:val="24"/>
          <w:lang w:val="en-US"/>
        </w:rPr>
      </w:pPr>
      <w:r w:rsidRPr="00846D06">
        <w:rPr>
          <w:rFonts w:asciiTheme="minorHAnsi" w:hAnsiTheme="minorHAnsi" w:cs="Helvetica"/>
          <w:b/>
          <w:bCs/>
          <w:color w:val="000000"/>
          <w:sz w:val="24"/>
          <w:szCs w:val="24"/>
          <w:lang w:val="en-US"/>
        </w:rPr>
        <w:t>This factor is defined by four participants (P1, P2, P3 and P5)</w:t>
      </w:r>
    </w:p>
    <w:p w14:paraId="6F1CC125" w14:textId="77777777" w:rsidR="00FA0A77" w:rsidRDefault="00FA0A77" w:rsidP="00FA0A77">
      <w:pPr>
        <w:autoSpaceDE w:val="0"/>
        <w:autoSpaceDN w:val="0"/>
        <w:adjustRightInd w:val="0"/>
        <w:spacing w:after="266" w:line="308" w:lineRule="atLeast"/>
        <w:jc w:val="center"/>
        <w:rPr>
          <w:rFonts w:asciiTheme="minorHAnsi" w:hAnsiTheme="minorHAnsi" w:cs="Helvetica"/>
          <w:color w:val="000000"/>
          <w:sz w:val="18"/>
          <w:szCs w:val="18"/>
          <w:lang w:val="en-US"/>
        </w:rPr>
      </w:pPr>
      <w:r>
        <w:rPr>
          <w:b/>
          <w:bCs/>
          <w:noProof/>
        </w:rPr>
        <w:drawing>
          <wp:inline distT="0" distB="0" distL="0" distR="0" wp14:anchorId="5B94CD97" wp14:editId="1BD47947">
            <wp:extent cx="4237389" cy="6666910"/>
            <wp:effectExtent l="0" t="0" r="4445" b="635"/>
            <wp:docPr id="604456493" name="Picture 1"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456493" name="Picture 1" descr="A screenshot of a computer screen&#10;&#10;AI-generated content may be incorrect."/>
                    <pic:cNvPicPr/>
                  </pic:nvPicPr>
                  <pic:blipFill rotWithShape="1">
                    <a:blip r:embed="rId13" cstate="print">
                      <a:extLst>
                        <a:ext uri="{28A0092B-C50C-407E-A947-70E740481C1C}">
                          <a14:useLocalDpi xmlns:a14="http://schemas.microsoft.com/office/drawing/2010/main" val="0"/>
                        </a:ext>
                      </a:extLst>
                    </a:blip>
                    <a:srcRect b="14942"/>
                    <a:stretch>
                      <a:fillRect/>
                    </a:stretch>
                  </pic:blipFill>
                  <pic:spPr bwMode="auto">
                    <a:xfrm>
                      <a:off x="0" y="0"/>
                      <a:ext cx="4266848" cy="6713260"/>
                    </a:xfrm>
                    <a:prstGeom prst="rect">
                      <a:avLst/>
                    </a:prstGeom>
                    <a:ln>
                      <a:noFill/>
                    </a:ln>
                    <a:extLst>
                      <a:ext uri="{53640926-AAD7-44D8-BBD7-CCE9431645EC}">
                        <a14:shadowObscured xmlns:a14="http://schemas.microsoft.com/office/drawing/2010/main"/>
                      </a:ext>
                    </a:extLst>
                  </pic:spPr>
                </pic:pic>
              </a:graphicData>
            </a:graphic>
          </wp:inline>
        </w:drawing>
      </w:r>
    </w:p>
    <w:p w14:paraId="34C59200" w14:textId="4647BC26" w:rsidR="00846D06" w:rsidRPr="00FA0A77" w:rsidRDefault="00693900" w:rsidP="00693900">
      <w:pPr>
        <w:pStyle w:val="Caption"/>
        <w:rPr>
          <w:rFonts w:asciiTheme="minorHAnsi" w:hAnsiTheme="minorHAnsi" w:cs="Helvetica"/>
          <w:color w:val="000000"/>
          <w:sz w:val="24"/>
          <w:szCs w:val="24"/>
          <w:lang w:val="en-US"/>
        </w:rPr>
      </w:pPr>
      <w:bookmarkStart w:id="20" w:name="_Toc229750650"/>
      <w:r>
        <w:t xml:space="preserve">Figure </w:t>
      </w:r>
      <w:r>
        <w:fldChar w:fldCharType="begin"/>
      </w:r>
      <w:r>
        <w:instrText xml:space="preserve"> SEQ Figure \* ARABIC </w:instrText>
      </w:r>
      <w:r>
        <w:fldChar w:fldCharType="separate"/>
      </w:r>
      <w:r>
        <w:rPr>
          <w:noProof/>
        </w:rPr>
        <w:t>2</w:t>
      </w:r>
      <w:r>
        <w:fldChar w:fldCharType="end"/>
      </w:r>
      <w:r>
        <w:t xml:space="preserve">: </w:t>
      </w:r>
      <w:r w:rsidRPr="00FE17F4">
        <w:t>COMPOSITE Q-SORT (FACTOR ARRAY) FOR FACTOR 1: ‘HISTORY IS ALREADY A SUSTAINABILITY DISCIPLINE’</w:t>
      </w:r>
      <w:bookmarkEnd w:id="20"/>
    </w:p>
    <w:p w14:paraId="1211341B" w14:textId="77777777" w:rsidR="00846D06" w:rsidRPr="00846D06" w:rsidRDefault="00846D06" w:rsidP="00846D06">
      <w:pPr>
        <w:autoSpaceDE w:val="0"/>
        <w:autoSpaceDN w:val="0"/>
        <w:adjustRightInd w:val="0"/>
        <w:spacing w:after="0" w:line="336" w:lineRule="atLeast"/>
        <w:rPr>
          <w:rFonts w:asciiTheme="minorHAnsi" w:hAnsiTheme="minorHAnsi" w:cs="Helvetica"/>
          <w:color w:val="6B260D"/>
          <w:sz w:val="24"/>
          <w:szCs w:val="24"/>
          <w:lang w:val="en-US"/>
        </w:rPr>
      </w:pPr>
    </w:p>
    <w:p w14:paraId="3908B4F8" w14:textId="77777777" w:rsidR="00846D06" w:rsidRPr="00846D06" w:rsidRDefault="00846D06" w:rsidP="00846D06">
      <w:pPr>
        <w:pStyle w:val="Heading4"/>
        <w:rPr>
          <w:lang w:val="en-US"/>
        </w:rPr>
      </w:pPr>
      <w:r w:rsidRPr="00846D06">
        <w:rPr>
          <w:lang w:val="en-US"/>
        </w:rPr>
        <w:t>4.3.1 FACTOR 1 NARRATIVE PROFILE</w:t>
      </w:r>
    </w:p>
    <w:p w14:paraId="1E135AAC" w14:textId="77777777" w:rsidR="00846D06" w:rsidRPr="00A4555F" w:rsidRDefault="00846D06" w:rsidP="00A4555F">
      <w:pPr>
        <w:autoSpaceDE w:val="0"/>
        <w:autoSpaceDN w:val="0"/>
        <w:adjustRightInd w:val="0"/>
        <w:spacing w:after="266" w:line="440" w:lineRule="atLeast"/>
        <w:ind w:left="720"/>
        <w:rPr>
          <w:rFonts w:asciiTheme="minorHAnsi" w:hAnsiTheme="minorHAnsi" w:cs="Helvetica"/>
          <w:color w:val="000000"/>
          <w:lang w:val="en-US"/>
        </w:rPr>
      </w:pPr>
      <w:r w:rsidRPr="00A4555F">
        <w:rPr>
          <w:rFonts w:asciiTheme="minorHAnsi" w:hAnsiTheme="minorHAnsi" w:cs="Helvetica"/>
          <w:i/>
          <w:iCs/>
          <w:color w:val="000000"/>
          <w:lang w:val="en-US"/>
        </w:rPr>
        <w:t xml:space="preserve">I believe strongly that historical research on environmental change can inform current sustainability debates, and that developing ‘sustainability literacy’ in our students means furnishing them with the critical and analytical skills that a </w:t>
      </w:r>
      <w:proofErr w:type="gramStart"/>
      <w:r w:rsidRPr="00A4555F">
        <w:rPr>
          <w:rFonts w:asciiTheme="minorHAnsi" w:hAnsiTheme="minorHAnsi" w:cs="Helvetica"/>
          <w:i/>
          <w:iCs/>
          <w:color w:val="000000"/>
          <w:lang w:val="en-US"/>
        </w:rPr>
        <w:t>History</w:t>
      </w:r>
      <w:proofErr w:type="gramEnd"/>
      <w:r w:rsidRPr="00A4555F">
        <w:rPr>
          <w:rFonts w:asciiTheme="minorHAnsi" w:hAnsiTheme="minorHAnsi" w:cs="Helvetica"/>
          <w:i/>
          <w:iCs/>
          <w:color w:val="000000"/>
          <w:lang w:val="en-US"/>
        </w:rPr>
        <w:t xml:space="preserve"> degree already provides.  </w:t>
      </w:r>
      <w:r w:rsidRPr="00A4555F">
        <w:rPr>
          <w:rFonts w:asciiTheme="minorHAnsi" w:hAnsiTheme="minorHAnsi" w:cs="Helvetica"/>
          <w:b/>
          <w:bCs/>
          <w:i/>
          <w:iCs/>
          <w:color w:val="000000"/>
          <w:lang w:val="en-US"/>
        </w:rPr>
        <w:t>I do not see my primary professional duty as being to teach the past on its own terms, isolated from the present – and I am not worried about the political implications of teaching sustainability.</w:t>
      </w:r>
      <w:r w:rsidRPr="00A4555F">
        <w:rPr>
          <w:rFonts w:asciiTheme="minorHAnsi" w:hAnsiTheme="minorHAnsi" w:cs="Helvetica"/>
          <w:i/>
          <w:iCs/>
          <w:color w:val="000000"/>
          <w:lang w:val="en-US"/>
        </w:rPr>
        <w:t>  These are not anxieties I carry into the classroom.</w:t>
      </w:r>
    </w:p>
    <w:p w14:paraId="678A4462" w14:textId="7A9A2836" w:rsidR="00846D06" w:rsidRPr="00A4555F" w:rsidRDefault="00846D06" w:rsidP="00A4555F">
      <w:pPr>
        <w:autoSpaceDE w:val="0"/>
        <w:autoSpaceDN w:val="0"/>
        <w:adjustRightInd w:val="0"/>
        <w:spacing w:after="266" w:line="440" w:lineRule="atLeast"/>
        <w:ind w:left="720"/>
        <w:rPr>
          <w:rFonts w:asciiTheme="minorHAnsi" w:hAnsiTheme="minorHAnsi" w:cs="Helvetica"/>
          <w:color w:val="000000"/>
          <w:lang w:val="en-US"/>
        </w:rPr>
      </w:pPr>
      <w:r w:rsidRPr="00A4555F">
        <w:rPr>
          <w:rFonts w:asciiTheme="minorHAnsi" w:hAnsiTheme="minorHAnsi" w:cs="Helvetica"/>
          <w:i/>
          <w:iCs/>
          <w:color w:val="000000"/>
          <w:lang w:val="en-US"/>
        </w:rPr>
        <w:t xml:space="preserve">What I do value is History’s capacity to engage with sustainability in ways that are distinctive to the discipline.  </w:t>
      </w:r>
      <w:r w:rsidRPr="00A4555F">
        <w:rPr>
          <w:rFonts w:asciiTheme="minorHAnsi" w:hAnsiTheme="minorHAnsi" w:cs="Helvetica"/>
          <w:b/>
          <w:bCs/>
          <w:i/>
          <w:iCs/>
          <w:color w:val="000000"/>
          <w:lang w:val="en-US"/>
        </w:rPr>
        <w:t xml:space="preserve">The concept of sustainability is, in my view, ambiguous or ‘fuzzy’, and this is </w:t>
      </w:r>
      <w:proofErr w:type="gramStart"/>
      <w:r w:rsidRPr="00A4555F">
        <w:rPr>
          <w:rFonts w:asciiTheme="minorHAnsi" w:hAnsiTheme="minorHAnsi" w:cs="Helvetica"/>
          <w:b/>
          <w:bCs/>
          <w:i/>
          <w:iCs/>
          <w:color w:val="000000"/>
          <w:lang w:val="en-US"/>
        </w:rPr>
        <w:t>actually a</w:t>
      </w:r>
      <w:proofErr w:type="gramEnd"/>
      <w:r w:rsidRPr="00A4555F">
        <w:rPr>
          <w:rFonts w:asciiTheme="minorHAnsi" w:hAnsiTheme="minorHAnsi" w:cs="Helvetica"/>
          <w:b/>
          <w:bCs/>
          <w:i/>
          <w:iCs/>
          <w:color w:val="000000"/>
          <w:lang w:val="en-US"/>
        </w:rPr>
        <w:t xml:space="preserve"> strength – it allows for the kind of interpretive openness that historians are comfortable with.</w:t>
      </w:r>
      <w:r w:rsidRPr="00A4555F">
        <w:rPr>
          <w:rFonts w:asciiTheme="minorHAnsi" w:hAnsiTheme="minorHAnsi" w:cs="Helvetica"/>
          <w:i/>
          <w:iCs/>
          <w:color w:val="000000"/>
          <w:lang w:val="en-US"/>
        </w:rPr>
        <w:t xml:space="preserve">  Rather than seeing this ambiguity as a problem to be resolved, I see it as methodologically familiar territory.  A superficial ‘bolt-on’ approach to sustainability would be worse than doing nothing at all; </w:t>
      </w:r>
      <w:r w:rsidRPr="00A4555F">
        <w:rPr>
          <w:rFonts w:asciiTheme="minorHAnsi" w:hAnsiTheme="minorHAnsi" w:cs="Helvetica"/>
          <w:b/>
          <w:bCs/>
          <w:i/>
          <w:iCs/>
          <w:color w:val="000000"/>
          <w:lang w:val="en-US"/>
        </w:rPr>
        <w:t>instead, I believe that integrating sustainability can be achieved covertly or informally, embedded within existing teaching without the need for explicit labelling. History provides unique insights into the long-term relationship between human</w:t>
      </w:r>
      <w:r w:rsidR="00A4555F">
        <w:rPr>
          <w:rFonts w:asciiTheme="minorHAnsi" w:hAnsiTheme="minorHAnsi" w:cs="Helvetica"/>
          <w:b/>
          <w:bCs/>
          <w:i/>
          <w:iCs/>
          <w:color w:val="000000"/>
          <w:lang w:val="en-US"/>
        </w:rPr>
        <w:t>s</w:t>
      </w:r>
      <w:r w:rsidRPr="00A4555F">
        <w:rPr>
          <w:rFonts w:asciiTheme="minorHAnsi" w:hAnsiTheme="minorHAnsi" w:cs="Helvetica"/>
          <w:b/>
          <w:bCs/>
          <w:i/>
          <w:iCs/>
          <w:color w:val="000000"/>
          <w:lang w:val="en-US"/>
        </w:rPr>
        <w:t xml:space="preserve"> and their environment</w:t>
      </w:r>
      <w:r w:rsidRPr="00A4555F">
        <w:rPr>
          <w:rFonts w:asciiTheme="minorHAnsi" w:hAnsiTheme="minorHAnsi" w:cs="Helvetica"/>
          <w:i/>
          <w:iCs/>
          <w:color w:val="000000"/>
          <w:lang w:val="en-US"/>
        </w:rPr>
        <w:t>, and a deep historical understanding of the roots of the climate crisis is itself a form of sustainability education.  We must empower our students to use their historical knowledge to engage with the present.</w:t>
      </w:r>
    </w:p>
    <w:p w14:paraId="3E6E63E1" w14:textId="77777777" w:rsidR="00846D06" w:rsidRPr="00A4555F" w:rsidRDefault="00846D06" w:rsidP="00A4555F">
      <w:pPr>
        <w:autoSpaceDE w:val="0"/>
        <w:autoSpaceDN w:val="0"/>
        <w:adjustRightInd w:val="0"/>
        <w:spacing w:after="266" w:line="440" w:lineRule="atLeast"/>
        <w:ind w:left="720"/>
        <w:rPr>
          <w:rFonts w:asciiTheme="minorHAnsi" w:hAnsiTheme="minorHAnsi" w:cs="Helvetica"/>
          <w:color w:val="000000"/>
          <w:lang w:val="en-US"/>
        </w:rPr>
      </w:pPr>
      <w:r w:rsidRPr="00A4555F">
        <w:rPr>
          <w:rFonts w:asciiTheme="minorHAnsi" w:hAnsiTheme="minorHAnsi" w:cs="Helvetica"/>
          <w:i/>
          <w:iCs/>
          <w:color w:val="000000"/>
          <w:lang w:val="en-US"/>
        </w:rPr>
        <w:t>The discipline of History has a clear moral and civic responsibility, and sustainability themes when they arise, should arise organically from the content rather than being imposed.  It is important to teach sustainability without promoting a particular agenda.  These are things I feel positively about, but they sit alongside a degree of neutrality on several practical questions: whether sustainability should be optional or mandatory content, whether the ESD mandate provides opportunities for interdisciplinary work, and whether sustainability education specifically prepares students for future careers are questions I feel relatively indifferent about – or perhaps conflicted.</w:t>
      </w:r>
    </w:p>
    <w:p w14:paraId="2BFA8761" w14:textId="77777777" w:rsidR="00846D06" w:rsidRPr="00A4555F" w:rsidRDefault="00846D06" w:rsidP="00A4555F">
      <w:pPr>
        <w:autoSpaceDE w:val="0"/>
        <w:autoSpaceDN w:val="0"/>
        <w:adjustRightInd w:val="0"/>
        <w:spacing w:after="266" w:line="440" w:lineRule="atLeast"/>
        <w:ind w:left="720"/>
        <w:rPr>
          <w:rFonts w:asciiTheme="minorHAnsi" w:hAnsiTheme="minorHAnsi" w:cs="Helvetica"/>
          <w:color w:val="000000"/>
          <w:lang w:val="en-US"/>
        </w:rPr>
      </w:pPr>
      <w:r w:rsidRPr="00A4555F">
        <w:rPr>
          <w:rFonts w:asciiTheme="minorHAnsi" w:hAnsiTheme="minorHAnsi" w:cs="Helvetica"/>
          <w:i/>
          <w:iCs/>
          <w:color w:val="000000"/>
          <w:lang w:val="en-US"/>
        </w:rPr>
        <w:lastRenderedPageBreak/>
        <w:t>I do not believe that sustainability should be integrated systematically across all History, and I disagree that there are sufficient resources for embedding ESD in our courses.  I am also unconvinced that ESD is fundamentally an ideological agenda, though I mildly reject the suggestion that it is part of a wider educational change agenda.  I do not see good presentism as a valid pedagogical approach, and I am not persuaded that there is significant student demand for sustainability content.</w:t>
      </w:r>
    </w:p>
    <w:p w14:paraId="45286982" w14:textId="77777777" w:rsidR="00846D06" w:rsidRPr="00A4555F" w:rsidRDefault="00846D06" w:rsidP="00A4555F">
      <w:pPr>
        <w:autoSpaceDE w:val="0"/>
        <w:autoSpaceDN w:val="0"/>
        <w:adjustRightInd w:val="0"/>
        <w:spacing w:after="266" w:line="440" w:lineRule="atLeast"/>
        <w:ind w:left="720"/>
        <w:rPr>
          <w:rFonts w:asciiTheme="minorHAnsi" w:hAnsiTheme="minorHAnsi" w:cs="Helvetica"/>
          <w:b/>
          <w:bCs/>
          <w:i/>
          <w:iCs/>
          <w:color w:val="000000"/>
          <w:lang w:val="en-US"/>
        </w:rPr>
      </w:pPr>
      <w:r w:rsidRPr="00A4555F">
        <w:rPr>
          <w:rFonts w:asciiTheme="minorHAnsi" w:hAnsiTheme="minorHAnsi" w:cs="Helvetica"/>
          <w:b/>
          <w:bCs/>
          <w:i/>
          <w:iCs/>
          <w:color w:val="000000"/>
          <w:lang w:val="en-US"/>
        </w:rPr>
        <w:t>I firmly reject the idea that ESD’s activist, future-oriented ethos creates an immediate tension with the study of the past.</w:t>
      </w:r>
      <w:r w:rsidRPr="00A4555F">
        <w:rPr>
          <w:rFonts w:asciiTheme="minorHAnsi" w:hAnsiTheme="minorHAnsi" w:cs="Helvetica"/>
          <w:i/>
          <w:iCs/>
          <w:color w:val="000000"/>
          <w:lang w:val="en-US"/>
        </w:rPr>
        <w:t xml:space="preserve">  I do not believe that the ESD mandate contravenes the professional ideal of studying History, nor that I cannot teach about History without compromising my disciplinary integrity.  </w:t>
      </w:r>
      <w:r w:rsidRPr="00A4555F">
        <w:rPr>
          <w:rFonts w:asciiTheme="minorHAnsi" w:hAnsiTheme="minorHAnsi" w:cs="Helvetica"/>
          <w:b/>
          <w:bCs/>
          <w:i/>
          <w:iCs/>
          <w:color w:val="000000"/>
          <w:lang w:val="en-US"/>
        </w:rPr>
        <w:t xml:space="preserve">My view is that the anxiety about sustainability threatening History is overstated – the discipline is already doing this work, </w:t>
      </w:r>
      <w:proofErr w:type="gramStart"/>
      <w:r w:rsidRPr="00A4555F">
        <w:rPr>
          <w:rFonts w:asciiTheme="minorHAnsi" w:hAnsiTheme="minorHAnsi" w:cs="Helvetica"/>
          <w:b/>
          <w:bCs/>
          <w:i/>
          <w:iCs/>
          <w:color w:val="000000"/>
          <w:lang w:val="en-US"/>
        </w:rPr>
        <w:t>whether or not</w:t>
      </w:r>
      <w:proofErr w:type="gramEnd"/>
      <w:r w:rsidRPr="00A4555F">
        <w:rPr>
          <w:rFonts w:asciiTheme="minorHAnsi" w:hAnsiTheme="minorHAnsi" w:cs="Helvetica"/>
          <w:b/>
          <w:bCs/>
          <w:i/>
          <w:iCs/>
          <w:color w:val="000000"/>
          <w:lang w:val="en-US"/>
        </w:rPr>
        <w:t xml:space="preserve"> it is </w:t>
      </w:r>
      <w:proofErr w:type="spellStart"/>
      <w:r w:rsidRPr="00A4555F">
        <w:rPr>
          <w:rFonts w:asciiTheme="minorHAnsi" w:hAnsiTheme="minorHAnsi" w:cs="Helvetica"/>
          <w:b/>
          <w:bCs/>
          <w:i/>
          <w:iCs/>
          <w:color w:val="000000"/>
          <w:lang w:val="en-US"/>
        </w:rPr>
        <w:t>recognised</w:t>
      </w:r>
      <w:proofErr w:type="spellEnd"/>
      <w:r w:rsidRPr="00A4555F">
        <w:rPr>
          <w:rFonts w:asciiTheme="minorHAnsi" w:hAnsiTheme="minorHAnsi" w:cs="Helvetica"/>
          <w:b/>
          <w:bCs/>
          <w:i/>
          <w:iCs/>
          <w:color w:val="000000"/>
          <w:lang w:val="en-US"/>
        </w:rPr>
        <w:t xml:space="preserve"> as such.</w:t>
      </w:r>
    </w:p>
    <w:p w14:paraId="240D24D6"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p>
    <w:p w14:paraId="3A646ED4" w14:textId="77777777" w:rsidR="00846D06" w:rsidRPr="00846D06" w:rsidRDefault="00846D06" w:rsidP="00846D06">
      <w:pPr>
        <w:pStyle w:val="Heading4"/>
        <w:rPr>
          <w:lang w:val="en-US"/>
        </w:rPr>
      </w:pPr>
      <w:r w:rsidRPr="00846D06">
        <w:rPr>
          <w:lang w:val="en-US"/>
        </w:rPr>
        <w:t>4.3.2 QUALITATIVE DATA: POST-SORT REFLECTIONS AND INTERVIEWS</w:t>
      </w:r>
    </w:p>
    <w:p w14:paraId="39FC833F"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b/>
          <w:bCs/>
          <w:color w:val="000000"/>
          <w:sz w:val="24"/>
          <w:szCs w:val="24"/>
          <w:lang w:val="en-US"/>
        </w:rPr>
        <w:t>Post-sort written reflections were provided by P1, P2 and P5.  Follow-up interviews were conducted with P1 and P2.  P3 did not provide post-sort reflections or participate in an interview.</w:t>
      </w:r>
    </w:p>
    <w:p w14:paraId="2743E5A0"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The qualitative data strongly reinforces the core character of Factor 1 while revealing important nuances beneath the shared viewpoint.</w:t>
      </w:r>
    </w:p>
    <w:p w14:paraId="72CCE784" w14:textId="77777777" w:rsid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rejection of teaching the past ‘on its own terms’ was felt with </w:t>
      </w:r>
      <w:proofErr w:type="gramStart"/>
      <w:r w:rsidRPr="00846D06">
        <w:rPr>
          <w:rFonts w:asciiTheme="minorHAnsi" w:hAnsiTheme="minorHAnsi" w:cs="Helvetica"/>
          <w:color w:val="000000"/>
          <w:sz w:val="24"/>
          <w:szCs w:val="24"/>
          <w:lang w:val="en-US"/>
        </w:rPr>
        <w:t>particular force</w:t>
      </w:r>
      <w:proofErr w:type="gramEnd"/>
      <w:r w:rsidRPr="00846D06">
        <w:rPr>
          <w:rFonts w:asciiTheme="minorHAnsi" w:hAnsiTheme="minorHAnsi" w:cs="Helvetica"/>
          <w:color w:val="000000"/>
          <w:sz w:val="24"/>
          <w:szCs w:val="24"/>
          <w:lang w:val="en-US"/>
        </w:rPr>
        <w:t xml:space="preserve">.  P2 explained that the statement suggested, </w:t>
      </w:r>
    </w:p>
    <w:p w14:paraId="17508536" w14:textId="1552C4A4" w:rsidR="006310E0" w:rsidRPr="006310E0" w:rsidRDefault="006310E0" w:rsidP="006310E0">
      <w:pPr>
        <w:autoSpaceDE w:val="0"/>
        <w:autoSpaceDN w:val="0"/>
        <w:adjustRightInd w:val="0"/>
        <w:spacing w:after="266" w:line="440" w:lineRule="atLeast"/>
        <w:ind w:left="720"/>
        <w:rPr>
          <w:rFonts w:asciiTheme="minorHAnsi" w:hAnsiTheme="minorHAnsi" w:cs="Helvetica"/>
          <w:i/>
          <w:iCs/>
          <w:color w:val="000000"/>
          <w:sz w:val="24"/>
          <w:szCs w:val="24"/>
          <w:lang w:val="en-US"/>
        </w:rPr>
      </w:pPr>
      <w:r w:rsidRPr="006310E0">
        <w:rPr>
          <w:rFonts w:asciiTheme="minorHAnsi" w:hAnsiTheme="minorHAnsi" w:cs="Helvetica"/>
          <w:i/>
          <w:iCs/>
          <w:color w:val="000000"/>
          <w:sz w:val="24"/>
          <w:szCs w:val="24"/>
          <w:lang w:val="en-US"/>
        </w:rPr>
        <w:t>treating history as an island that doesn’t have any relevance to anything in the world around it,</w:t>
      </w:r>
    </w:p>
    <w:p w14:paraId="12A83EDB" w14:textId="77777777" w:rsid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adding that </w:t>
      </w:r>
    </w:p>
    <w:p w14:paraId="0ADE80F1" w14:textId="35F15338" w:rsidR="006310E0" w:rsidRPr="006310E0" w:rsidRDefault="006310E0" w:rsidP="006310E0">
      <w:pPr>
        <w:autoSpaceDE w:val="0"/>
        <w:autoSpaceDN w:val="0"/>
        <w:adjustRightInd w:val="0"/>
        <w:spacing w:after="266" w:line="440" w:lineRule="atLeast"/>
        <w:ind w:left="720"/>
        <w:rPr>
          <w:rFonts w:asciiTheme="minorHAnsi" w:hAnsiTheme="minorHAnsi" w:cs="Helvetica"/>
          <w:i/>
          <w:iCs/>
          <w:color w:val="000000"/>
          <w:sz w:val="24"/>
          <w:szCs w:val="24"/>
          <w:lang w:val="en-US"/>
        </w:rPr>
      </w:pPr>
      <w:r w:rsidRPr="006310E0">
        <w:rPr>
          <w:rFonts w:asciiTheme="minorHAnsi" w:hAnsiTheme="minorHAnsi" w:cs="Helvetica"/>
          <w:i/>
          <w:iCs/>
          <w:color w:val="000000"/>
          <w:sz w:val="24"/>
          <w:szCs w:val="24"/>
          <w:lang w:val="en-US"/>
        </w:rPr>
        <w:lastRenderedPageBreak/>
        <w:t xml:space="preserve">you would hope that the lessons of the past might inform at least </w:t>
      </w:r>
      <w:proofErr w:type="gramStart"/>
      <w:r w:rsidRPr="006310E0">
        <w:rPr>
          <w:rFonts w:asciiTheme="minorHAnsi" w:hAnsiTheme="minorHAnsi" w:cs="Helvetica"/>
          <w:i/>
          <w:iCs/>
          <w:color w:val="000000"/>
          <w:sz w:val="24"/>
          <w:szCs w:val="24"/>
          <w:lang w:val="en-US"/>
        </w:rPr>
        <w:t>your</w:t>
      </w:r>
      <w:proofErr w:type="gramEnd"/>
      <w:r w:rsidRPr="006310E0">
        <w:rPr>
          <w:rFonts w:asciiTheme="minorHAnsi" w:hAnsiTheme="minorHAnsi" w:cs="Helvetica"/>
          <w:i/>
          <w:iCs/>
          <w:color w:val="000000"/>
          <w:sz w:val="24"/>
          <w:szCs w:val="24"/>
          <w:lang w:val="en-US"/>
        </w:rPr>
        <w:t xml:space="preserve"> thinking about the present, and hopefully </w:t>
      </w:r>
      <w:proofErr w:type="gramStart"/>
      <w:r w:rsidRPr="006310E0">
        <w:rPr>
          <w:rFonts w:asciiTheme="minorHAnsi" w:hAnsiTheme="minorHAnsi" w:cs="Helvetica"/>
          <w:i/>
          <w:iCs/>
          <w:color w:val="000000"/>
          <w:sz w:val="24"/>
          <w:szCs w:val="24"/>
          <w:lang w:val="en-US"/>
        </w:rPr>
        <w:t>your</w:t>
      </w:r>
      <w:proofErr w:type="gramEnd"/>
      <w:r w:rsidRPr="006310E0">
        <w:rPr>
          <w:rFonts w:asciiTheme="minorHAnsi" w:hAnsiTheme="minorHAnsi" w:cs="Helvetica"/>
          <w:i/>
          <w:iCs/>
          <w:color w:val="000000"/>
          <w:sz w:val="24"/>
          <w:szCs w:val="24"/>
          <w:lang w:val="en-US"/>
        </w:rPr>
        <w:t xml:space="preserve"> thinking about the future.</w:t>
      </w:r>
    </w:p>
    <w:p w14:paraId="5A708739" w14:textId="77777777" w:rsid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P1 was more emphatic, describing the idea as ‘absolute nonsense’, arguing that understanding the past is how we learn to navigate the present: </w:t>
      </w:r>
    </w:p>
    <w:p w14:paraId="7A1AA7CD" w14:textId="28912298" w:rsidR="006310E0" w:rsidRPr="006310E0" w:rsidRDefault="006310E0" w:rsidP="006310E0">
      <w:pPr>
        <w:autoSpaceDE w:val="0"/>
        <w:autoSpaceDN w:val="0"/>
        <w:adjustRightInd w:val="0"/>
        <w:spacing w:after="266" w:line="440" w:lineRule="atLeast"/>
        <w:ind w:left="720"/>
        <w:rPr>
          <w:rFonts w:asciiTheme="minorHAnsi" w:hAnsiTheme="minorHAnsi" w:cs="Helvetica"/>
          <w:i/>
          <w:iCs/>
          <w:color w:val="000000"/>
          <w:sz w:val="24"/>
          <w:szCs w:val="24"/>
          <w:lang w:val="en-US"/>
        </w:rPr>
      </w:pPr>
      <w:r w:rsidRPr="006310E0">
        <w:rPr>
          <w:rFonts w:asciiTheme="minorHAnsi" w:hAnsiTheme="minorHAnsi" w:cs="Helvetica"/>
          <w:i/>
          <w:iCs/>
          <w:color w:val="000000"/>
          <w:sz w:val="24"/>
          <w:szCs w:val="24"/>
          <w:lang w:val="en-US"/>
        </w:rPr>
        <w:t xml:space="preserve">Sustainability is </w:t>
      </w:r>
      <w:proofErr w:type="gramStart"/>
      <w:r w:rsidRPr="006310E0">
        <w:rPr>
          <w:rFonts w:asciiTheme="minorHAnsi" w:hAnsiTheme="minorHAnsi" w:cs="Helvetica"/>
          <w:i/>
          <w:iCs/>
          <w:color w:val="000000"/>
          <w:sz w:val="24"/>
          <w:szCs w:val="24"/>
          <w:lang w:val="en-US"/>
        </w:rPr>
        <w:t>really how</w:t>
      </w:r>
      <w:proofErr w:type="gramEnd"/>
      <w:r w:rsidRPr="006310E0">
        <w:rPr>
          <w:rFonts w:asciiTheme="minorHAnsi" w:hAnsiTheme="minorHAnsi" w:cs="Helvetica"/>
          <w:i/>
          <w:iCs/>
          <w:color w:val="000000"/>
          <w:sz w:val="24"/>
          <w:szCs w:val="24"/>
          <w:lang w:val="en-US"/>
        </w:rPr>
        <w:t xml:space="preserve"> we live as humans to be viable on earth and that is best to be learned in addition to </w:t>
      </w:r>
      <w:proofErr w:type="gramStart"/>
      <w:r w:rsidRPr="006310E0">
        <w:rPr>
          <w:rFonts w:asciiTheme="minorHAnsi" w:hAnsiTheme="minorHAnsi" w:cs="Helvetica"/>
          <w:i/>
          <w:iCs/>
          <w:color w:val="000000"/>
          <w:sz w:val="24"/>
          <w:szCs w:val="24"/>
          <w:lang w:val="en-US"/>
        </w:rPr>
        <w:t>new innovation</w:t>
      </w:r>
      <w:proofErr w:type="gramEnd"/>
      <w:r w:rsidRPr="006310E0">
        <w:rPr>
          <w:rFonts w:asciiTheme="minorHAnsi" w:hAnsiTheme="minorHAnsi" w:cs="Helvetica"/>
          <w:i/>
          <w:iCs/>
          <w:color w:val="000000"/>
          <w:sz w:val="24"/>
          <w:szCs w:val="24"/>
          <w:lang w:val="en-US"/>
        </w:rPr>
        <w:t xml:space="preserve"> from past societies.</w:t>
      </w:r>
    </w:p>
    <w:p w14:paraId="71FA0F08" w14:textId="77777777" w:rsid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P1 pointed specifically to China’s five thousand years of </w:t>
      </w:r>
      <w:proofErr w:type="spellStart"/>
      <w:r w:rsidRPr="00846D06">
        <w:rPr>
          <w:rFonts w:asciiTheme="minorHAnsi" w:hAnsiTheme="minorHAnsi" w:cs="Helvetica"/>
          <w:color w:val="000000"/>
          <w:sz w:val="24"/>
          <w:szCs w:val="24"/>
          <w:lang w:val="en-US"/>
        </w:rPr>
        <w:t>civilisational</w:t>
      </w:r>
      <w:proofErr w:type="spellEnd"/>
      <w:r w:rsidRPr="00846D06">
        <w:rPr>
          <w:rFonts w:asciiTheme="minorHAnsi" w:hAnsiTheme="minorHAnsi" w:cs="Helvetica"/>
          <w:color w:val="000000"/>
          <w:sz w:val="24"/>
          <w:szCs w:val="24"/>
          <w:lang w:val="en-US"/>
        </w:rPr>
        <w:t xml:space="preserve"> continuity as demonstrating how societies can </w:t>
      </w:r>
    </w:p>
    <w:p w14:paraId="23A52A58" w14:textId="3076CC65" w:rsidR="006310E0" w:rsidRDefault="006310E0" w:rsidP="006310E0">
      <w:pPr>
        <w:autoSpaceDE w:val="0"/>
        <w:autoSpaceDN w:val="0"/>
        <w:adjustRightInd w:val="0"/>
        <w:spacing w:after="266" w:line="440" w:lineRule="atLeast"/>
        <w:ind w:left="960"/>
        <w:rPr>
          <w:rFonts w:asciiTheme="minorHAnsi" w:hAnsiTheme="minorHAnsi" w:cs="Helvetica"/>
          <w:color w:val="000000"/>
          <w:sz w:val="24"/>
          <w:szCs w:val="24"/>
          <w:lang w:val="en-US"/>
        </w:rPr>
      </w:pPr>
      <w:r>
        <w:rPr>
          <w:rFonts w:asciiTheme="minorHAnsi" w:hAnsiTheme="minorHAnsi" w:cs="Helvetica"/>
          <w:color w:val="000000"/>
          <w:sz w:val="24"/>
          <w:szCs w:val="24"/>
          <w:lang w:val="en-US"/>
        </w:rPr>
        <w:t>be resilient by trying to navigate innovation and tradition.</w:t>
      </w:r>
    </w:p>
    <w:p w14:paraId="036840EB" w14:textId="18C0CD46" w:rsidR="006310E0" w:rsidRDefault="006310E0" w:rsidP="006310E0">
      <w:pPr>
        <w:autoSpaceDE w:val="0"/>
        <w:autoSpaceDN w:val="0"/>
        <w:adjustRightInd w:val="0"/>
        <w:spacing w:after="266" w:line="440" w:lineRule="atLeast"/>
        <w:rPr>
          <w:rFonts w:asciiTheme="minorHAnsi" w:hAnsiTheme="minorHAnsi" w:cs="Helvetica"/>
          <w:color w:val="000000"/>
          <w:sz w:val="24"/>
          <w:szCs w:val="24"/>
          <w:lang w:val="en-US"/>
        </w:rPr>
      </w:pPr>
      <w:r w:rsidRPr="006310E0">
        <w:rPr>
          <w:rFonts w:asciiTheme="minorHAnsi" w:hAnsiTheme="minorHAnsi" w:cs="AppleSystemUIFont"/>
          <w:sz w:val="24"/>
          <w:szCs w:val="24"/>
          <w:lang w:val="en-US"/>
        </w:rPr>
        <w:t>The commitment to organic, discipline-led integration – rather than top-down imposition emerged as a defining theme across all three participants who provided qualitative data.  P5’s post-sort reflection was particularly forceful:</w:t>
      </w:r>
    </w:p>
    <w:p w14:paraId="7CA20B87" w14:textId="1F19A813" w:rsidR="00846D06" w:rsidRPr="00846D06" w:rsidRDefault="00846D06" w:rsidP="006310E0">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Our existing approach to historical research does fundamentally teach literacy in </w:t>
      </w:r>
      <w:proofErr w:type="gramStart"/>
      <w:r w:rsidRPr="00846D06">
        <w:rPr>
          <w:rFonts w:asciiTheme="minorHAnsi" w:hAnsiTheme="minorHAnsi" w:cs="Helvetica"/>
          <w:i/>
          <w:iCs/>
          <w:color w:val="000000"/>
          <w:sz w:val="24"/>
          <w:szCs w:val="24"/>
          <w:lang w:val="en-US"/>
        </w:rPr>
        <w:t>a number of</w:t>
      </w:r>
      <w:proofErr w:type="gramEnd"/>
      <w:r w:rsidRPr="00846D06">
        <w:rPr>
          <w:rFonts w:asciiTheme="minorHAnsi" w:hAnsiTheme="minorHAnsi" w:cs="Helvetica"/>
          <w:i/>
          <w:iCs/>
          <w:color w:val="000000"/>
          <w:sz w:val="24"/>
          <w:szCs w:val="24"/>
          <w:lang w:val="en-US"/>
        </w:rPr>
        <w:t xml:space="preserve"> areas that complement and include sustainability.  More work needs to be done to convince historians of the possibilities and naturalness of integrating these approaches with their own practice.  </w:t>
      </w:r>
    </w:p>
    <w:p w14:paraId="6FA126D6" w14:textId="3651A011"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P5 warned that</w:t>
      </w:r>
      <w:r w:rsidR="006310E0">
        <w:rPr>
          <w:rFonts w:asciiTheme="minorHAnsi" w:hAnsiTheme="minorHAnsi" w:cs="Helvetica"/>
          <w:color w:val="000000"/>
          <w:sz w:val="24"/>
          <w:szCs w:val="24"/>
          <w:lang w:val="en-US"/>
        </w:rPr>
        <w:t>:</w:t>
      </w:r>
      <w:r w:rsidRPr="00846D06">
        <w:rPr>
          <w:rFonts w:asciiTheme="minorHAnsi" w:hAnsiTheme="minorHAnsi" w:cs="Helvetica"/>
          <w:color w:val="000000"/>
          <w:sz w:val="24"/>
          <w:szCs w:val="24"/>
          <w:lang w:val="en-US"/>
        </w:rPr>
        <w:t xml:space="preserve"> </w:t>
      </w:r>
    </w:p>
    <w:p w14:paraId="145BD60F" w14:textId="02B530FB" w:rsidR="00846D06" w:rsidRPr="00846D06" w:rsidRDefault="00846D06" w:rsidP="006310E0">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there needs to be care that this doesn’t feel like another top-down initiative that’s being imposed upon historians, which assumes that we are somehow antiquated and unprepared to integrate this quite meaningfully into what we already do. </w:t>
      </w:r>
    </w:p>
    <w:p w14:paraId="222FA9BC"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P1 expressed a related frustration with institutional approaches: </w:t>
      </w:r>
    </w:p>
    <w:p w14:paraId="198F5230" w14:textId="2C1F5672" w:rsidR="00846D06" w:rsidRPr="00846D06" w:rsidRDefault="00846D06" w:rsidP="006310E0">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lastRenderedPageBreak/>
        <w:t xml:space="preserve">it’s now the fashionable word. And we have its </w:t>
      </w:r>
      <w:proofErr w:type="gramStart"/>
      <w:r w:rsidRPr="00846D06">
        <w:rPr>
          <w:rFonts w:asciiTheme="minorHAnsi" w:hAnsiTheme="minorHAnsi" w:cs="Helvetica"/>
          <w:i/>
          <w:iCs/>
          <w:color w:val="000000"/>
          <w:sz w:val="24"/>
          <w:szCs w:val="24"/>
          <w:lang w:val="en-US"/>
        </w:rPr>
        <w:t>sustainability</w:t>
      </w:r>
      <w:proofErr w:type="gramEnd"/>
      <w:r w:rsidRPr="00846D06">
        <w:rPr>
          <w:rFonts w:asciiTheme="minorHAnsi" w:hAnsiTheme="minorHAnsi" w:cs="Helvetica"/>
          <w:i/>
          <w:iCs/>
          <w:color w:val="000000"/>
          <w:sz w:val="24"/>
          <w:szCs w:val="24"/>
          <w:lang w:val="en-US"/>
        </w:rPr>
        <w:t xml:space="preserve"> and we disregard any natural organic application of that and we disregard what organically has already been done in the past.</w:t>
      </w:r>
    </w:p>
    <w:p w14:paraId="2A50BA74" w14:textId="537E16D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emphasis on </w:t>
      </w:r>
      <w:r w:rsidRPr="00846D06">
        <w:rPr>
          <w:rFonts w:asciiTheme="minorHAnsi" w:hAnsiTheme="minorHAnsi" w:cs="Helvetica"/>
          <w:i/>
          <w:iCs/>
          <w:color w:val="000000"/>
          <w:sz w:val="24"/>
          <w:szCs w:val="24"/>
          <w:lang w:val="en-US"/>
        </w:rPr>
        <w:t>naturalness</w:t>
      </w:r>
      <w:r w:rsidRPr="00846D06">
        <w:rPr>
          <w:rFonts w:asciiTheme="minorHAnsi" w:hAnsiTheme="minorHAnsi" w:cs="Helvetica"/>
          <w:color w:val="000000"/>
          <w:sz w:val="24"/>
          <w:szCs w:val="24"/>
          <w:lang w:val="en-US"/>
        </w:rPr>
        <w:t xml:space="preserve"> and </w:t>
      </w:r>
      <w:r w:rsidRPr="00846D06">
        <w:rPr>
          <w:rFonts w:asciiTheme="minorHAnsi" w:hAnsiTheme="minorHAnsi" w:cs="Helvetica"/>
          <w:i/>
          <w:iCs/>
          <w:color w:val="000000"/>
          <w:sz w:val="24"/>
          <w:szCs w:val="24"/>
          <w:lang w:val="en-US"/>
        </w:rPr>
        <w:t>organicism</w:t>
      </w:r>
      <w:r w:rsidRPr="00846D06">
        <w:rPr>
          <w:rFonts w:asciiTheme="minorHAnsi" w:hAnsiTheme="minorHAnsi" w:cs="Helvetica"/>
          <w:color w:val="000000"/>
          <w:sz w:val="24"/>
          <w:szCs w:val="24"/>
          <w:lang w:val="en-US"/>
        </w:rPr>
        <w:t xml:space="preserve"> across these reflections powerfully reinforces the factor array’s placement of </w:t>
      </w:r>
      <w:r w:rsidRPr="006310E0">
        <w:rPr>
          <w:rFonts w:asciiTheme="minorHAnsi" w:hAnsiTheme="minorHAnsi" w:cs="Helvetica"/>
          <w:b/>
          <w:bCs/>
          <w:color w:val="000000"/>
          <w:sz w:val="24"/>
          <w:szCs w:val="24"/>
          <w:lang w:val="en-US"/>
        </w:rPr>
        <w:t>‘</w:t>
      </w:r>
      <w:r w:rsidR="006310E0" w:rsidRPr="006310E0">
        <w:rPr>
          <w:rFonts w:asciiTheme="minorHAnsi" w:hAnsiTheme="minorHAnsi" w:cs="Helvetica"/>
          <w:b/>
          <w:bCs/>
          <w:color w:val="000000"/>
          <w:sz w:val="24"/>
          <w:szCs w:val="24"/>
          <w:lang w:val="en-US"/>
        </w:rPr>
        <w:t>S</w:t>
      </w:r>
      <w:r w:rsidRPr="006310E0">
        <w:rPr>
          <w:rFonts w:asciiTheme="minorHAnsi" w:hAnsiTheme="minorHAnsi" w:cs="Helvetica"/>
          <w:b/>
          <w:bCs/>
          <w:color w:val="000000"/>
          <w:sz w:val="24"/>
          <w:szCs w:val="24"/>
          <w:lang w:val="en-US"/>
        </w:rPr>
        <w:t xml:space="preserve">ustainability themes must arise organically from the content’ </w:t>
      </w:r>
      <w:r w:rsidRPr="00846D06">
        <w:rPr>
          <w:rFonts w:asciiTheme="minorHAnsi" w:hAnsiTheme="minorHAnsi" w:cs="Helvetica"/>
          <w:color w:val="000000"/>
          <w:sz w:val="24"/>
          <w:szCs w:val="24"/>
          <w:lang w:val="en-US"/>
        </w:rPr>
        <w:t>at +1 and the strong rejection of imposed agendas.</w:t>
      </w:r>
    </w:p>
    <w:p w14:paraId="760DC4C3"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94257C4" w14:textId="1FFDEAFF"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P2’s interview, while more measured in tone</w:t>
      </w:r>
      <w:r w:rsidR="006310E0">
        <w:rPr>
          <w:rFonts w:asciiTheme="minorHAnsi" w:hAnsiTheme="minorHAnsi" w:cs="Helvetica"/>
          <w:color w:val="000000"/>
          <w:sz w:val="24"/>
          <w:szCs w:val="24"/>
          <w:lang w:val="en-US"/>
        </w:rPr>
        <w:t xml:space="preserve"> than that of P1</w:t>
      </w:r>
      <w:r w:rsidRPr="00846D06">
        <w:rPr>
          <w:rFonts w:asciiTheme="minorHAnsi" w:hAnsiTheme="minorHAnsi" w:cs="Helvetica"/>
          <w:color w:val="000000"/>
          <w:sz w:val="24"/>
          <w:szCs w:val="24"/>
          <w:lang w:val="en-US"/>
        </w:rPr>
        <w:t xml:space="preserve">, introduced a crucial practical insight.  P2 acknowledged seeing the importance of incorporating sustainability but admitted: </w:t>
      </w:r>
    </w:p>
    <w:p w14:paraId="512DB578" w14:textId="3913FC0C" w:rsidR="00846D06" w:rsidRPr="00846D06" w:rsidRDefault="00846D06" w:rsidP="006310E0">
      <w:pPr>
        <w:autoSpaceDE w:val="0"/>
        <w:autoSpaceDN w:val="0"/>
        <w:adjustRightInd w:val="0"/>
        <w:spacing w:after="266" w:line="440" w:lineRule="atLeast"/>
        <w:ind w:left="1680" w:hanging="96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I don’t always see how to do it.  </w:t>
      </w:r>
    </w:p>
    <w:p w14:paraId="6197B06E"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was paired, however, with a recognition that structured reflection often reveals engagement that practitioners do not </w:t>
      </w:r>
      <w:proofErr w:type="spellStart"/>
      <w:r w:rsidRPr="00846D06">
        <w:rPr>
          <w:rFonts w:asciiTheme="minorHAnsi" w:hAnsiTheme="minorHAnsi" w:cs="Helvetica"/>
          <w:color w:val="000000"/>
          <w:sz w:val="24"/>
          <w:szCs w:val="24"/>
          <w:lang w:val="en-US"/>
        </w:rPr>
        <w:t>recognise</w:t>
      </w:r>
      <w:proofErr w:type="spellEnd"/>
      <w:r w:rsidRPr="00846D06">
        <w:rPr>
          <w:rFonts w:asciiTheme="minorHAnsi" w:hAnsiTheme="minorHAnsi" w:cs="Helvetica"/>
          <w:color w:val="000000"/>
          <w:sz w:val="24"/>
          <w:szCs w:val="24"/>
          <w:lang w:val="en-US"/>
        </w:rPr>
        <w:t xml:space="preserve">: </w:t>
      </w:r>
    </w:p>
    <w:p w14:paraId="1358651F" w14:textId="6669D572" w:rsidR="00846D06" w:rsidRPr="00846D06" w:rsidRDefault="00846D06" w:rsidP="006310E0">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sometimes that sort of step back and think about pedagogy, material, oh, when we do that, we’re doing that.</w:t>
      </w:r>
    </w:p>
    <w:p w14:paraId="412C2516"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P2 also noted a common tendency </w:t>
      </w:r>
    </w:p>
    <w:p w14:paraId="55979A21" w14:textId="537690DE" w:rsidR="00846D06" w:rsidRPr="00846D06" w:rsidRDefault="00846D06" w:rsidP="00BD25FE">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to think that some of this is all about environment, when it’s not, it’s </w:t>
      </w:r>
      <w:proofErr w:type="gramStart"/>
      <w:r w:rsidRPr="00846D06">
        <w:rPr>
          <w:rFonts w:asciiTheme="minorHAnsi" w:hAnsiTheme="minorHAnsi" w:cs="Helvetica"/>
          <w:i/>
          <w:iCs/>
          <w:color w:val="000000"/>
          <w:sz w:val="24"/>
          <w:szCs w:val="24"/>
          <w:lang w:val="en-US"/>
        </w:rPr>
        <w:t>really not</w:t>
      </w:r>
      <w:proofErr w:type="gramEnd"/>
      <w:r w:rsidRPr="00846D06">
        <w:rPr>
          <w:rFonts w:asciiTheme="minorHAnsi" w:hAnsiTheme="minorHAnsi" w:cs="Helvetica"/>
          <w:i/>
          <w:iCs/>
          <w:color w:val="000000"/>
          <w:sz w:val="24"/>
          <w:szCs w:val="24"/>
          <w:lang w:val="en-US"/>
        </w:rPr>
        <w:t xml:space="preserve">, </w:t>
      </w:r>
    </w:p>
    <w:p w14:paraId="3400B55D"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pointing to the breadth of the SDGs and the relevance of community engagement to historical practice.  On the question of whether sustainability should be integrated across all modules – placed at the neutral point in the factor array – P2 explained: </w:t>
      </w:r>
    </w:p>
    <w:p w14:paraId="1A3A6E4E" w14:textId="55E36A40" w:rsidR="00846D06" w:rsidRPr="00846D06" w:rsidRDefault="00846D06" w:rsidP="00BD25FE">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it’s easier for some than for others…all might be more than we can sensibly expect, because it might be shoehorning it in in some areas, but it’s not none, or one or two either.</w:t>
      </w:r>
    </w:p>
    <w:p w14:paraId="4EA65EAE" w14:textId="77777777" w:rsidR="00846D06" w:rsidRPr="00846D06" w:rsidRDefault="00846D06" w:rsidP="00846D06">
      <w:pPr>
        <w:autoSpaceDE w:val="0"/>
        <w:autoSpaceDN w:val="0"/>
        <w:adjustRightInd w:val="0"/>
        <w:spacing w:after="266" w:line="440" w:lineRule="atLeast"/>
        <w:ind w:left="960" w:hanging="96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lastRenderedPageBreak/>
        <w:t> </w:t>
      </w:r>
    </w:p>
    <w:p w14:paraId="5F8B29D4"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qualitative data also complicated the Factor 1 narrative in one important respect.  P1, discussing the neutral placement of the statement that the core skills of a historian are ‘already highly compatible’ with ESD’s call for critical and systems thinking, agreed with the principle but challenged the assumption underlying it.: </w:t>
      </w:r>
    </w:p>
    <w:p w14:paraId="78D08414" w14:textId="33E432F9" w:rsidR="00846D06" w:rsidRPr="00846D06" w:rsidRDefault="00846D06" w:rsidP="00BD25FE">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I disagree more with the assumption compared with what I see in practice.  </w:t>
      </w:r>
    </w:p>
    <w:p w14:paraId="7267D9D7"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Drawing on a recent doctoral supervision, P1 described a capable student whose conception of ‘rigorous source analysis’ extended no further than establishing provenance and dates: </w:t>
      </w:r>
    </w:p>
    <w:p w14:paraId="151D0093" w14:textId="73AE38C3" w:rsidR="00846D06" w:rsidRPr="00846D06" w:rsidRDefault="00846D06" w:rsidP="00BD25FE">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if you really </w:t>
      </w:r>
      <w:proofErr w:type="gramStart"/>
      <w:r w:rsidRPr="00846D06">
        <w:rPr>
          <w:rFonts w:asciiTheme="minorHAnsi" w:hAnsiTheme="minorHAnsi" w:cs="Helvetica"/>
          <w:i/>
          <w:iCs/>
          <w:color w:val="000000"/>
          <w:sz w:val="24"/>
          <w:szCs w:val="24"/>
          <w:lang w:val="en-US"/>
        </w:rPr>
        <w:t>have the understanding of</w:t>
      </w:r>
      <w:proofErr w:type="gramEnd"/>
      <w:r w:rsidRPr="00846D06">
        <w:rPr>
          <w:rFonts w:asciiTheme="minorHAnsi" w:hAnsiTheme="minorHAnsi" w:cs="Helvetica"/>
          <w:i/>
          <w:iCs/>
          <w:color w:val="000000"/>
          <w:sz w:val="24"/>
          <w:szCs w:val="24"/>
          <w:lang w:val="en-US"/>
        </w:rPr>
        <w:t xml:space="preserve"> complex core skills, yes, but I see too many PhDs in history where they simply said, oh, on the 20</w:t>
      </w:r>
      <w:r w:rsidRPr="00846D06">
        <w:rPr>
          <w:rFonts w:asciiTheme="minorHAnsi" w:hAnsiTheme="minorHAnsi" w:cs="Helvetica"/>
          <w:i/>
          <w:iCs/>
          <w:color w:val="000000"/>
          <w:sz w:val="24"/>
          <w:szCs w:val="24"/>
          <w:vertAlign w:val="superscript"/>
          <w:lang w:val="en-US"/>
        </w:rPr>
        <w:t>th</w:t>
      </w:r>
      <w:r w:rsidRPr="00846D06">
        <w:rPr>
          <w:rFonts w:asciiTheme="minorHAnsi" w:hAnsiTheme="minorHAnsi" w:cs="Helvetica"/>
          <w:i/>
          <w:iCs/>
          <w:color w:val="000000"/>
          <w:sz w:val="24"/>
          <w:szCs w:val="24"/>
          <w:lang w:val="en-US"/>
        </w:rPr>
        <w:t xml:space="preserve"> May they did that, on the 21</w:t>
      </w:r>
      <w:r w:rsidRPr="00846D06">
        <w:rPr>
          <w:rFonts w:asciiTheme="minorHAnsi" w:hAnsiTheme="minorHAnsi" w:cs="Helvetica"/>
          <w:i/>
          <w:iCs/>
          <w:color w:val="000000"/>
          <w:sz w:val="24"/>
          <w:szCs w:val="24"/>
          <w:vertAlign w:val="superscript"/>
          <w:lang w:val="en-US"/>
        </w:rPr>
        <w:t>st</w:t>
      </w:r>
      <w:r w:rsidRPr="00846D06">
        <w:rPr>
          <w:rFonts w:asciiTheme="minorHAnsi" w:hAnsiTheme="minorHAnsi" w:cs="Helvetica"/>
          <w:i/>
          <w:iCs/>
          <w:color w:val="000000"/>
          <w:sz w:val="24"/>
          <w:szCs w:val="24"/>
          <w:lang w:val="en-US"/>
        </w:rPr>
        <w:t xml:space="preserve"> of May they did that.  That’s not rigorous source analysis.  </w:t>
      </w:r>
    </w:p>
    <w:p w14:paraId="14ABB76F"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suggests that the alignment between History’s epistemology and sustainability thinking – central to the Factor 1 viewpoint – depends on History </w:t>
      </w:r>
      <w:proofErr w:type="spellStart"/>
      <w:r w:rsidRPr="00846D06">
        <w:rPr>
          <w:rFonts w:asciiTheme="minorHAnsi" w:hAnsiTheme="minorHAnsi" w:cs="Helvetica"/>
          <w:color w:val="000000"/>
          <w:sz w:val="24"/>
          <w:szCs w:val="24"/>
          <w:lang w:val="en-US"/>
        </w:rPr>
        <w:t>programmes</w:t>
      </w:r>
      <w:proofErr w:type="spellEnd"/>
      <w:r w:rsidRPr="00846D06">
        <w:rPr>
          <w:rFonts w:asciiTheme="minorHAnsi" w:hAnsiTheme="minorHAnsi" w:cs="Helvetica"/>
          <w:color w:val="000000"/>
          <w:sz w:val="24"/>
          <w:szCs w:val="24"/>
          <w:lang w:val="en-US"/>
        </w:rPr>
        <w:t xml:space="preserve"> </w:t>
      </w:r>
      <w:proofErr w:type="gramStart"/>
      <w:r w:rsidRPr="00846D06">
        <w:rPr>
          <w:rFonts w:asciiTheme="minorHAnsi" w:hAnsiTheme="minorHAnsi" w:cs="Helvetica"/>
          <w:color w:val="000000"/>
          <w:sz w:val="24"/>
          <w:szCs w:val="24"/>
          <w:lang w:val="en-US"/>
        </w:rPr>
        <w:t>actually cultivating</w:t>
      </w:r>
      <w:proofErr w:type="gramEnd"/>
      <w:r w:rsidRPr="00846D06">
        <w:rPr>
          <w:rFonts w:asciiTheme="minorHAnsi" w:hAnsiTheme="minorHAnsi" w:cs="Helvetica"/>
          <w:color w:val="000000"/>
          <w:sz w:val="24"/>
          <w:szCs w:val="24"/>
          <w:lang w:val="en-US"/>
        </w:rPr>
        <w:t xml:space="preserve"> the depth of critical analysis the discipline claims, which is not always the case in practice.</w:t>
      </w:r>
    </w:p>
    <w:p w14:paraId="1AA8E15D"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BDA5D90"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Finally, P5’s post-sort reflections addressed the question of resources and consistency directly.  While strongly disagreeing that sufficient resources exist, P5 was equally resistant to mandated consistency: </w:t>
      </w:r>
    </w:p>
    <w:p w14:paraId="634440AA" w14:textId="7DC4801B" w:rsidR="00846D06" w:rsidRPr="00846D06" w:rsidRDefault="00846D06" w:rsidP="00BD25FE">
      <w:pPr>
        <w:autoSpaceDE w:val="0"/>
        <w:autoSpaceDN w:val="0"/>
        <w:adjustRightInd w:val="0"/>
        <w:spacing w:after="266" w:line="440" w:lineRule="atLeast"/>
        <w:ind w:left="720"/>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xml:space="preserve">Professional historians and educators should be able to decide, based on their expertise and knowledge, how best to teach the subject…a range of possible advice and ideas are better than a single mandated approach and way to do this.  The latter isn’t going to work, nor is it going to convince historians to engage with this.’  </w:t>
      </w:r>
    </w:p>
    <w:p w14:paraId="4C71B46A"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This reinforces the core tension within Factor 1: a genuine belief in History’s alignment with sustainability, combined with a deep resistance to the mechanisms by which institutions and policymakers might seek to make that alignment visible.</w:t>
      </w:r>
    </w:p>
    <w:p w14:paraId="3EDF0D94" w14:textId="77777777" w:rsidR="00FA0A77" w:rsidRPr="00FA0A77" w:rsidRDefault="00FA0A77" w:rsidP="00FA0A77">
      <w:pPr>
        <w:autoSpaceDE w:val="0"/>
        <w:autoSpaceDN w:val="0"/>
        <w:adjustRightInd w:val="0"/>
        <w:spacing w:after="266" w:line="440" w:lineRule="atLeast"/>
        <w:rPr>
          <w:rFonts w:asciiTheme="minorHAnsi" w:hAnsiTheme="minorHAnsi" w:cs="Helvetica"/>
          <w:color w:val="000000"/>
          <w:sz w:val="24"/>
          <w:szCs w:val="24"/>
          <w:lang w:val="en-US"/>
        </w:rPr>
      </w:pPr>
    </w:p>
    <w:p w14:paraId="0760DE67" w14:textId="77BA42C4" w:rsidR="00846D06" w:rsidRPr="00846D06" w:rsidRDefault="00846D06" w:rsidP="00846D06">
      <w:pPr>
        <w:pStyle w:val="Heading3"/>
        <w:rPr>
          <w:lang w:val="en-US"/>
        </w:rPr>
      </w:pPr>
      <w:bookmarkStart w:id="21" w:name="_Toc229750447"/>
      <w:r w:rsidRPr="00846D06">
        <w:rPr>
          <w:lang w:val="en-US"/>
        </w:rPr>
        <w:t>4.4 FACTOR 2: ‘HISTORY MUST ACTIVELY CHANGE TO ENGAGE WITH SUSTAINABILITY – AND WE NEED SUPPORT TO DO IT’</w:t>
      </w:r>
      <w:bookmarkEnd w:id="21"/>
    </w:p>
    <w:p w14:paraId="2A40D93B" w14:textId="2EE28703" w:rsidR="00846D06" w:rsidRPr="00846D06" w:rsidRDefault="00BD25FE" w:rsidP="00FA0A77">
      <w:pPr>
        <w:autoSpaceDE w:val="0"/>
        <w:autoSpaceDN w:val="0"/>
        <w:adjustRightInd w:val="0"/>
        <w:spacing w:after="266" w:line="308" w:lineRule="atLeast"/>
        <w:jc w:val="center"/>
        <w:rPr>
          <w:rFonts w:asciiTheme="minorHAnsi" w:hAnsiTheme="minorHAnsi" w:cs="Helvetica"/>
          <w:color w:val="000000"/>
          <w:sz w:val="24"/>
          <w:szCs w:val="24"/>
          <w:lang w:val="en-US"/>
        </w:rPr>
      </w:pPr>
      <w:r>
        <w:rPr>
          <w:noProof/>
        </w:rPr>
        <w:lastRenderedPageBreak/>
        <w:drawing>
          <wp:inline distT="0" distB="0" distL="0" distR="0" wp14:anchorId="769CBAFB" wp14:editId="304ED708">
            <wp:extent cx="4622887" cy="7287895"/>
            <wp:effectExtent l="0" t="0" r="0" b="1905"/>
            <wp:docPr id="510829966" name="Picture 2"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0829966" name="Picture 2" descr="A screenshot of a computer screen&#10;&#10;AI-generated content may be incorrect."/>
                    <pic:cNvPicPr/>
                  </pic:nvPicPr>
                  <pic:blipFill rotWithShape="1">
                    <a:blip r:embed="rId14" cstate="print">
                      <a:extLst>
                        <a:ext uri="{28A0092B-C50C-407E-A947-70E740481C1C}">
                          <a14:useLocalDpi xmlns:a14="http://schemas.microsoft.com/office/drawing/2010/main" val="0"/>
                        </a:ext>
                      </a:extLst>
                    </a:blip>
                    <a:srcRect b="14773"/>
                    <a:stretch>
                      <a:fillRect/>
                    </a:stretch>
                  </pic:blipFill>
                  <pic:spPr bwMode="auto">
                    <a:xfrm>
                      <a:off x="0" y="0"/>
                      <a:ext cx="4622887" cy="7287895"/>
                    </a:xfrm>
                    <a:prstGeom prst="rect">
                      <a:avLst/>
                    </a:prstGeom>
                    <a:ln>
                      <a:noFill/>
                    </a:ln>
                    <a:extLst>
                      <a:ext uri="{53640926-AAD7-44D8-BBD7-CCE9431645EC}">
                        <a14:shadowObscured xmlns:a14="http://schemas.microsoft.com/office/drawing/2010/main"/>
                      </a:ext>
                    </a:extLst>
                  </pic:spPr>
                </pic:pic>
              </a:graphicData>
            </a:graphic>
          </wp:inline>
        </w:drawing>
      </w:r>
    </w:p>
    <w:p w14:paraId="14DA6EAC" w14:textId="6C3621EA" w:rsidR="00846D06" w:rsidRPr="00FA0A77" w:rsidRDefault="00693900" w:rsidP="00693900">
      <w:pPr>
        <w:pStyle w:val="Caption"/>
        <w:rPr>
          <w:rFonts w:asciiTheme="minorHAnsi" w:hAnsiTheme="minorHAnsi" w:cs="Helvetica"/>
          <w:color w:val="000000"/>
          <w:sz w:val="15"/>
          <w:szCs w:val="15"/>
          <w:lang w:val="en-US"/>
        </w:rPr>
      </w:pPr>
      <w:bookmarkStart w:id="22" w:name="_Toc229750651"/>
      <w:r>
        <w:t xml:space="preserve">Figure </w:t>
      </w:r>
      <w:r>
        <w:fldChar w:fldCharType="begin"/>
      </w:r>
      <w:r>
        <w:instrText xml:space="preserve"> SEQ Figure \* ARABIC </w:instrText>
      </w:r>
      <w:r>
        <w:fldChar w:fldCharType="separate"/>
      </w:r>
      <w:r>
        <w:rPr>
          <w:noProof/>
        </w:rPr>
        <w:t>3</w:t>
      </w:r>
      <w:r>
        <w:fldChar w:fldCharType="end"/>
      </w:r>
      <w:r>
        <w:t xml:space="preserve">: </w:t>
      </w:r>
      <w:r w:rsidRPr="00216A76">
        <w:t>COMPOSITE Q-SORT (FACTOR ARRAY) FOR FACTOR 2: ‘HISTORY MUST ACTVELY CHANGE TO ENGAGE WITH SUSTAINABILITY</w:t>
      </w:r>
      <w:bookmarkEnd w:id="22"/>
    </w:p>
    <w:p w14:paraId="1AD485D7" w14:textId="3990A710" w:rsidR="00846D06" w:rsidRPr="00846D06" w:rsidRDefault="00846D06" w:rsidP="00846D06">
      <w:pPr>
        <w:autoSpaceDE w:val="0"/>
        <w:autoSpaceDN w:val="0"/>
        <w:adjustRightInd w:val="0"/>
        <w:spacing w:after="0" w:line="440" w:lineRule="atLeast"/>
        <w:rPr>
          <w:rFonts w:asciiTheme="minorHAnsi" w:hAnsiTheme="minorHAnsi" w:cs="Helvetica"/>
          <w:b/>
          <w:bCs/>
          <w:color w:val="000000"/>
          <w:sz w:val="24"/>
          <w:szCs w:val="24"/>
          <w:lang w:val="en-US"/>
        </w:rPr>
      </w:pPr>
    </w:p>
    <w:p w14:paraId="661F5C46"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b/>
          <w:bCs/>
          <w:color w:val="000000"/>
          <w:sz w:val="24"/>
          <w:szCs w:val="24"/>
          <w:lang w:val="en-US"/>
        </w:rPr>
        <w:lastRenderedPageBreak/>
        <w:t>This factor is defined by one participant (P4).  No post-</w:t>
      </w:r>
      <w:proofErr w:type="gramStart"/>
      <w:r w:rsidRPr="00846D06">
        <w:rPr>
          <w:rFonts w:asciiTheme="minorHAnsi" w:hAnsiTheme="minorHAnsi" w:cs="Helvetica"/>
          <w:b/>
          <w:bCs/>
          <w:color w:val="000000"/>
          <w:sz w:val="24"/>
          <w:szCs w:val="24"/>
          <w:lang w:val="en-US"/>
        </w:rPr>
        <w:t>sort</w:t>
      </w:r>
      <w:proofErr w:type="gramEnd"/>
      <w:r w:rsidRPr="00846D06">
        <w:rPr>
          <w:rFonts w:asciiTheme="minorHAnsi" w:hAnsiTheme="minorHAnsi" w:cs="Helvetica"/>
          <w:b/>
          <w:bCs/>
          <w:color w:val="000000"/>
          <w:sz w:val="24"/>
          <w:szCs w:val="24"/>
          <w:lang w:val="en-US"/>
        </w:rPr>
        <w:t xml:space="preserve"> written reflections or interview data are available for this participant, so this profile is constructed solely from the factor array.  While it represents a single viewpoint, it is retained as a distinct factor because it presents an interpretively coherent perspective that contrasts meaningfully with Factor 1 (see section 4.2).</w:t>
      </w:r>
    </w:p>
    <w:p w14:paraId="5C23DB18" w14:textId="77777777" w:rsidR="00846D06" w:rsidRPr="00BD25FE" w:rsidRDefault="00846D06" w:rsidP="00BD25FE">
      <w:pPr>
        <w:autoSpaceDE w:val="0"/>
        <w:autoSpaceDN w:val="0"/>
        <w:adjustRightInd w:val="0"/>
        <w:spacing w:after="266" w:line="440" w:lineRule="atLeast"/>
        <w:ind w:left="720"/>
        <w:rPr>
          <w:rFonts w:asciiTheme="minorHAnsi" w:hAnsiTheme="minorHAnsi" w:cs="Helvetica"/>
          <w:color w:val="000000"/>
          <w:lang w:val="en-US"/>
        </w:rPr>
      </w:pPr>
      <w:r w:rsidRPr="00BD25FE">
        <w:rPr>
          <w:rFonts w:asciiTheme="minorHAnsi" w:hAnsiTheme="minorHAnsi" w:cs="Helvetica"/>
          <w:i/>
          <w:iCs/>
          <w:color w:val="000000"/>
          <w:lang w:val="en-US"/>
        </w:rPr>
        <w:t xml:space="preserve">I share with Factor 1 the conviction that historical research on environmental change can inform current sustainability debates.  But my view of what this requires in practice is fundamentally different.  </w:t>
      </w:r>
      <w:r w:rsidRPr="00BD25FE">
        <w:rPr>
          <w:rFonts w:asciiTheme="minorHAnsi" w:hAnsiTheme="minorHAnsi" w:cs="Helvetica"/>
          <w:b/>
          <w:bCs/>
          <w:i/>
          <w:iCs/>
          <w:color w:val="000000"/>
          <w:lang w:val="en-US"/>
        </w:rPr>
        <w:t>I believe that good presentism – using the concerns of the present to motivate historical inquiry – is a legitimate and important pedagogical approach.  Sustainability should be integrated across all History</w:t>
      </w:r>
      <w:r w:rsidRPr="00BD25FE">
        <w:rPr>
          <w:rFonts w:asciiTheme="minorHAnsi" w:hAnsiTheme="minorHAnsi" w:cs="Helvetica"/>
          <w:i/>
          <w:iCs/>
          <w:color w:val="000000"/>
          <w:lang w:val="en-US"/>
        </w:rPr>
        <w:t xml:space="preserve">, not confined to Environmental History or left to emerge incidentally.  </w:t>
      </w:r>
      <w:r w:rsidRPr="00BD25FE">
        <w:rPr>
          <w:rFonts w:asciiTheme="minorHAnsi" w:hAnsiTheme="minorHAnsi" w:cs="Helvetica"/>
          <w:b/>
          <w:bCs/>
          <w:i/>
          <w:iCs/>
          <w:color w:val="000000"/>
          <w:lang w:val="en-US"/>
        </w:rPr>
        <w:t>This represents an opportunity to innovate</w:t>
      </w:r>
      <w:r w:rsidRPr="00BD25FE">
        <w:rPr>
          <w:rFonts w:asciiTheme="minorHAnsi" w:hAnsiTheme="minorHAnsi" w:cs="Helvetica"/>
          <w:i/>
          <w:iCs/>
          <w:color w:val="000000"/>
          <w:lang w:val="en-US"/>
        </w:rPr>
        <w:t xml:space="preserve"> in how we design and deliver our </w:t>
      </w:r>
      <w:proofErr w:type="spellStart"/>
      <w:r w:rsidRPr="00BD25FE">
        <w:rPr>
          <w:rFonts w:asciiTheme="minorHAnsi" w:hAnsiTheme="minorHAnsi" w:cs="Helvetica"/>
          <w:i/>
          <w:iCs/>
          <w:color w:val="000000"/>
          <w:lang w:val="en-US"/>
        </w:rPr>
        <w:t>programmes</w:t>
      </w:r>
      <w:proofErr w:type="spellEnd"/>
      <w:r w:rsidRPr="00BD25FE">
        <w:rPr>
          <w:rFonts w:asciiTheme="minorHAnsi" w:hAnsiTheme="minorHAnsi" w:cs="Helvetica"/>
          <w:i/>
          <w:iCs/>
          <w:color w:val="000000"/>
          <w:lang w:val="en-US"/>
        </w:rPr>
        <w:t>.</w:t>
      </w:r>
    </w:p>
    <w:p w14:paraId="6699169C" w14:textId="4F7D80EE" w:rsidR="00846D06" w:rsidRPr="00BD25FE" w:rsidRDefault="00846D06" w:rsidP="00BD25FE">
      <w:pPr>
        <w:autoSpaceDE w:val="0"/>
        <w:autoSpaceDN w:val="0"/>
        <w:adjustRightInd w:val="0"/>
        <w:spacing w:after="266" w:line="440" w:lineRule="atLeast"/>
        <w:ind w:left="720"/>
        <w:rPr>
          <w:rFonts w:asciiTheme="minorHAnsi" w:hAnsiTheme="minorHAnsi" w:cs="Helvetica"/>
          <w:color w:val="000000"/>
          <w:lang w:val="en-US"/>
        </w:rPr>
      </w:pPr>
      <w:r w:rsidRPr="00BD25FE">
        <w:rPr>
          <w:rFonts w:asciiTheme="minorHAnsi" w:hAnsiTheme="minorHAnsi" w:cs="Helvetica"/>
          <w:i/>
          <w:iCs/>
          <w:color w:val="000000"/>
          <w:lang w:val="en-US"/>
        </w:rPr>
        <w:t xml:space="preserve">However, I am clear-eyed about the barriers.  </w:t>
      </w:r>
      <w:r w:rsidRPr="00BD25FE">
        <w:rPr>
          <w:rFonts w:asciiTheme="minorHAnsi" w:hAnsiTheme="minorHAnsi" w:cs="Helvetica"/>
          <w:b/>
          <w:bCs/>
          <w:i/>
          <w:iCs/>
          <w:color w:val="000000"/>
          <w:lang w:val="en-US"/>
        </w:rPr>
        <w:t>I need more training to teach sustainability effectively</w:t>
      </w:r>
      <w:r w:rsidRPr="00BD25FE">
        <w:rPr>
          <w:rFonts w:asciiTheme="minorHAnsi" w:hAnsiTheme="minorHAnsi" w:cs="Helvetica"/>
          <w:i/>
          <w:iCs/>
          <w:color w:val="000000"/>
          <w:lang w:val="en-US"/>
        </w:rPr>
        <w:t xml:space="preserve"> – this is not something I currently feel confident about.  </w:t>
      </w:r>
      <w:r w:rsidRPr="00BD25FE">
        <w:rPr>
          <w:rFonts w:asciiTheme="minorHAnsi" w:hAnsiTheme="minorHAnsi" w:cs="Helvetica"/>
          <w:b/>
          <w:bCs/>
          <w:i/>
          <w:iCs/>
          <w:color w:val="000000"/>
          <w:lang w:val="en-US"/>
        </w:rPr>
        <w:t>There are not sufficient resources for embedding ESD in our courses</w:t>
      </w:r>
      <w:r w:rsidRPr="00BD25FE">
        <w:rPr>
          <w:rFonts w:asciiTheme="minorHAnsi" w:hAnsiTheme="minorHAnsi" w:cs="Helvetica"/>
          <w:i/>
          <w:iCs/>
          <w:color w:val="000000"/>
          <w:lang w:val="en-US"/>
        </w:rPr>
        <w:t xml:space="preserve">, and I reject the suggestion that this is simply a matter of re-articulating what we already teach.  </w:t>
      </w:r>
      <w:r w:rsidRPr="00BD25FE">
        <w:rPr>
          <w:rFonts w:asciiTheme="minorHAnsi" w:hAnsiTheme="minorHAnsi" w:cs="Helvetica"/>
          <w:b/>
          <w:bCs/>
          <w:i/>
          <w:iCs/>
          <w:color w:val="000000"/>
          <w:lang w:val="en-US"/>
        </w:rPr>
        <w:t>Sustainability does not fit naturally within current approaches to teaching History</w:t>
      </w:r>
      <w:r w:rsidRPr="00BD25FE">
        <w:rPr>
          <w:rFonts w:asciiTheme="minorHAnsi" w:hAnsiTheme="minorHAnsi" w:cs="Helvetica"/>
          <w:i/>
          <w:iCs/>
          <w:color w:val="000000"/>
          <w:lang w:val="en-US"/>
        </w:rPr>
        <w:t xml:space="preserve"> – it requires genuine change, not </w:t>
      </w:r>
      <w:proofErr w:type="spellStart"/>
      <w:r w:rsidRPr="00BD25FE">
        <w:rPr>
          <w:rFonts w:asciiTheme="minorHAnsi" w:hAnsiTheme="minorHAnsi" w:cs="Helvetica"/>
          <w:i/>
          <w:iCs/>
          <w:color w:val="000000"/>
          <w:lang w:val="en-US"/>
        </w:rPr>
        <w:t>relabelling</w:t>
      </w:r>
      <w:proofErr w:type="spellEnd"/>
      <w:r w:rsidRPr="00BD25FE">
        <w:rPr>
          <w:rFonts w:asciiTheme="minorHAnsi" w:hAnsiTheme="minorHAnsi" w:cs="Helvetica"/>
          <w:i/>
          <w:iCs/>
          <w:color w:val="000000"/>
          <w:lang w:val="en-US"/>
        </w:rPr>
        <w:t xml:space="preserve">.  The discipline has a moral duty to address sustainability, and the core skills of a historian – rigorous source analysis, critical thinking </w:t>
      </w:r>
      <w:r w:rsidR="00D02BFC" w:rsidRPr="00BD25FE">
        <w:rPr>
          <w:rFonts w:asciiTheme="minorHAnsi" w:hAnsiTheme="minorHAnsi" w:cs="Helvetica"/>
          <w:i/>
          <w:iCs/>
          <w:color w:val="000000"/>
          <w:lang w:val="en-US"/>
        </w:rPr>
        <w:t>- are</w:t>
      </w:r>
      <w:r w:rsidRPr="00BD25FE">
        <w:rPr>
          <w:rFonts w:asciiTheme="minorHAnsi" w:hAnsiTheme="minorHAnsi" w:cs="Helvetica"/>
          <w:i/>
          <w:iCs/>
          <w:color w:val="000000"/>
          <w:lang w:val="en-US"/>
        </w:rPr>
        <w:t xml:space="preserve"> certainly relevant, but they are not in themselves sufficient.</w:t>
      </w:r>
    </w:p>
    <w:p w14:paraId="1A055848" w14:textId="1B626769" w:rsidR="00846D06" w:rsidRPr="00BD25FE" w:rsidRDefault="00846D06" w:rsidP="00BD25FE">
      <w:pPr>
        <w:autoSpaceDE w:val="0"/>
        <w:autoSpaceDN w:val="0"/>
        <w:adjustRightInd w:val="0"/>
        <w:spacing w:after="266" w:line="440" w:lineRule="atLeast"/>
        <w:ind w:left="720"/>
        <w:rPr>
          <w:rFonts w:asciiTheme="minorHAnsi" w:hAnsiTheme="minorHAnsi" w:cs="Helvetica"/>
          <w:color w:val="000000"/>
          <w:lang w:val="en-US"/>
        </w:rPr>
      </w:pPr>
      <w:r w:rsidRPr="00BD25FE">
        <w:rPr>
          <w:rFonts w:asciiTheme="minorHAnsi" w:hAnsiTheme="minorHAnsi" w:cs="Helvetica"/>
          <w:i/>
          <w:iCs/>
          <w:color w:val="000000"/>
          <w:lang w:val="en-US"/>
        </w:rPr>
        <w:t xml:space="preserve">I am neutral on several questions that Factor 1 feels strongly about.  </w:t>
      </w:r>
      <w:r w:rsidRPr="00BD25FE">
        <w:rPr>
          <w:rFonts w:asciiTheme="minorHAnsi" w:hAnsiTheme="minorHAnsi" w:cs="Helvetica"/>
          <w:b/>
          <w:bCs/>
          <w:i/>
          <w:iCs/>
          <w:color w:val="000000"/>
          <w:lang w:val="en-US"/>
        </w:rPr>
        <w:t>The concept of sustainability being ‘fuzzy’ is not something I see as particularly productive or problematic</w:t>
      </w:r>
      <w:r w:rsidRPr="00BD25FE">
        <w:rPr>
          <w:rFonts w:asciiTheme="minorHAnsi" w:hAnsiTheme="minorHAnsi" w:cs="Helvetica"/>
          <w:i/>
          <w:iCs/>
          <w:color w:val="000000"/>
          <w:lang w:val="en-US"/>
        </w:rPr>
        <w:t xml:space="preserve"> – it is simply the case.  I have no strong feelings about whether ESD’s activist ethos creates tension with the study of the past, or whether the ESD mandate contravenes professional ideals.  These are not the battles that concern me.  What concerns me is practical: how do we </w:t>
      </w:r>
      <w:proofErr w:type="gramStart"/>
      <w:r w:rsidRPr="00BD25FE">
        <w:rPr>
          <w:rFonts w:asciiTheme="minorHAnsi" w:hAnsiTheme="minorHAnsi" w:cs="Helvetica"/>
          <w:i/>
          <w:iCs/>
          <w:color w:val="000000"/>
          <w:lang w:val="en-US"/>
        </w:rPr>
        <w:t>actually make</w:t>
      </w:r>
      <w:proofErr w:type="gramEnd"/>
      <w:r w:rsidRPr="00BD25FE">
        <w:rPr>
          <w:rFonts w:asciiTheme="minorHAnsi" w:hAnsiTheme="minorHAnsi" w:cs="Helvetica"/>
          <w:i/>
          <w:iCs/>
          <w:color w:val="000000"/>
          <w:lang w:val="en-US"/>
        </w:rPr>
        <w:t xml:space="preserve"> this work when the syllabus is already full, the resources are inadequate, and the training is lacking?</w:t>
      </w:r>
    </w:p>
    <w:p w14:paraId="5A18946D" w14:textId="443401A7" w:rsidR="00846D06" w:rsidRPr="00D02BFC" w:rsidRDefault="00846D06" w:rsidP="00D02BFC">
      <w:pPr>
        <w:autoSpaceDE w:val="0"/>
        <w:autoSpaceDN w:val="0"/>
        <w:adjustRightInd w:val="0"/>
        <w:spacing w:after="266" w:line="440" w:lineRule="atLeast"/>
        <w:ind w:left="720"/>
        <w:rPr>
          <w:rFonts w:asciiTheme="minorHAnsi" w:hAnsiTheme="minorHAnsi" w:cs="Helvetica"/>
          <w:color w:val="000000"/>
          <w:lang w:val="en-US"/>
        </w:rPr>
      </w:pPr>
      <w:r w:rsidRPr="00D02BFC">
        <w:rPr>
          <w:rFonts w:asciiTheme="minorHAnsi" w:hAnsiTheme="minorHAnsi" w:cs="Helvetica"/>
          <w:b/>
          <w:bCs/>
          <w:i/>
          <w:iCs/>
          <w:color w:val="000000"/>
          <w:lang w:val="en-US"/>
        </w:rPr>
        <w:lastRenderedPageBreak/>
        <w:t>I reject the idea that sustainability can be achieved covertly or informally.</w:t>
      </w:r>
      <w:r w:rsidRPr="00D02BFC">
        <w:rPr>
          <w:rFonts w:asciiTheme="minorHAnsi" w:hAnsiTheme="minorHAnsi" w:cs="Helvetica"/>
          <w:i/>
          <w:iCs/>
          <w:color w:val="000000"/>
          <w:lang w:val="en-US"/>
        </w:rPr>
        <w:t>  If we are serious about integrating sustainability into History, it needs to be deliberate, visible, and resourced.  The path</w:t>
      </w:r>
      <w:r w:rsidR="00D02BFC">
        <w:rPr>
          <w:rFonts w:asciiTheme="minorHAnsi" w:hAnsiTheme="minorHAnsi" w:cs="Helvetica"/>
          <w:i/>
          <w:iCs/>
          <w:color w:val="000000"/>
          <w:lang w:val="en-US"/>
        </w:rPr>
        <w:t xml:space="preserve"> o</w:t>
      </w:r>
      <w:r w:rsidRPr="00D02BFC">
        <w:rPr>
          <w:rFonts w:asciiTheme="minorHAnsi" w:hAnsiTheme="minorHAnsi" w:cs="Helvetica"/>
          <w:i/>
          <w:iCs/>
          <w:color w:val="000000"/>
          <w:lang w:val="en-US"/>
        </w:rPr>
        <w:t>f least resistance – a simple mapping exercise or a quiet reframing of existing content – is not, in my view, adequate.  I also reject the idea that simply remaining relevant in the twenty-first century is sufficient motivation; the case for sustainability in History should be made on intellectual and ethical grounds, not defensive ones.</w:t>
      </w:r>
    </w:p>
    <w:p w14:paraId="7C03045E"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i/>
          <w:iCs/>
          <w:color w:val="000000"/>
          <w:sz w:val="24"/>
          <w:szCs w:val="24"/>
          <w:lang w:val="en-US"/>
        </w:rPr>
        <w:t> </w:t>
      </w:r>
    </w:p>
    <w:p w14:paraId="1ACB8422" w14:textId="77777777" w:rsidR="00846D06" w:rsidRPr="00846D06" w:rsidRDefault="00846D06" w:rsidP="00FA0A77">
      <w:pPr>
        <w:pStyle w:val="Heading3"/>
        <w:rPr>
          <w:lang w:val="en-US"/>
        </w:rPr>
      </w:pPr>
      <w:bookmarkStart w:id="23" w:name="_Toc229750448"/>
      <w:r w:rsidRPr="00846D06">
        <w:rPr>
          <w:lang w:val="en-US"/>
        </w:rPr>
        <w:t>4.5 CONSENSUS STATEMENTS</w:t>
      </w:r>
      <w:bookmarkEnd w:id="23"/>
    </w:p>
    <w:p w14:paraId="0C98DB1B"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Despite the significant differences between the two factors, </w:t>
      </w:r>
      <w:proofErr w:type="gramStart"/>
      <w:r w:rsidRPr="00846D06">
        <w:rPr>
          <w:rFonts w:asciiTheme="minorHAnsi" w:hAnsiTheme="minorHAnsi" w:cs="Helvetica"/>
          <w:color w:val="000000"/>
          <w:sz w:val="24"/>
          <w:szCs w:val="24"/>
          <w:lang w:val="en-US"/>
        </w:rPr>
        <w:t>a number of</w:t>
      </w:r>
      <w:proofErr w:type="gramEnd"/>
      <w:r w:rsidRPr="00846D06">
        <w:rPr>
          <w:rFonts w:asciiTheme="minorHAnsi" w:hAnsiTheme="minorHAnsi" w:cs="Helvetica"/>
          <w:color w:val="000000"/>
          <w:sz w:val="24"/>
          <w:szCs w:val="24"/>
          <w:lang w:val="en-US"/>
        </w:rPr>
        <w:t xml:space="preserve"> consensus statements indicate areas of shared ground.  Both factors agreed strongly that historical research on environmental change can inform current sustainability debates (+4 for both factors), and both agreed that a superficial ‘bolt-on’ approach to sustainability is worse than doing nothing (+3 for Factor 1, +2 for Factor 2).  Both factors also valued the core skills of a historian – rigorous source analysis and critical thinking – as relevant to sustainability (+2 for both).</w:t>
      </w:r>
    </w:p>
    <w:p w14:paraId="5F1A4A9C"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These points of agreement suggest that, regardless of how historians believe sustainability should be integrated into their teaching – organically or deliberately, covertly or visibly – there is a shared conviction that History has something distinctive and valuable to contribute to sustainability scholarship, and that token gestures are counterproductive.</w:t>
      </w:r>
    </w:p>
    <w:p w14:paraId="0EAD3E88"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2744A48D" w14:textId="77777777" w:rsidR="00846D06" w:rsidRPr="00846D06" w:rsidRDefault="00846D06" w:rsidP="00FA0A77">
      <w:pPr>
        <w:pStyle w:val="Heading2"/>
        <w:rPr>
          <w:lang w:val="en-US"/>
        </w:rPr>
      </w:pPr>
      <w:bookmarkStart w:id="24" w:name="_Toc229750449"/>
      <w:r w:rsidRPr="00846D06">
        <w:rPr>
          <w:lang w:val="en-US"/>
        </w:rPr>
        <w:t>5. DISCUSSION</w:t>
      </w:r>
      <w:bookmarkEnd w:id="24"/>
    </w:p>
    <w:p w14:paraId="0F697118" w14:textId="77777777" w:rsidR="00846D06" w:rsidRPr="00846D06" w:rsidRDefault="00846D06" w:rsidP="00FA0A77">
      <w:pPr>
        <w:pStyle w:val="Heading3"/>
        <w:rPr>
          <w:lang w:val="en-US"/>
        </w:rPr>
      </w:pPr>
      <w:bookmarkStart w:id="25" w:name="_Toc229750450"/>
      <w:r w:rsidRPr="00846D06">
        <w:rPr>
          <w:lang w:val="en-US"/>
        </w:rPr>
        <w:t>5.1 HISTORY’S EPISTEMOLOGICAL ALIGNMENT WITH SUSTAINABILITY: CONFIRMED BUT CONTESTED</w:t>
      </w:r>
      <w:bookmarkEnd w:id="25"/>
    </w:p>
    <w:p w14:paraId="5B245E37" w14:textId="7853F25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most striking finding of this study is the strength of agreement – across both factors – that historical research on environmental change can inform current sustainability </w:t>
      </w:r>
      <w:r w:rsidRPr="00846D06">
        <w:rPr>
          <w:rFonts w:asciiTheme="minorHAnsi" w:hAnsiTheme="minorHAnsi" w:cs="Helvetica"/>
          <w:color w:val="000000"/>
          <w:sz w:val="24"/>
          <w:szCs w:val="24"/>
          <w:lang w:val="en-US"/>
        </w:rPr>
        <w:lastRenderedPageBreak/>
        <w:t>debates.  This lends empirical support to the argument advance</w:t>
      </w:r>
      <w:r w:rsidR="009A7A56">
        <w:rPr>
          <w:rFonts w:asciiTheme="minorHAnsi" w:hAnsiTheme="minorHAnsi" w:cs="Helvetica"/>
          <w:color w:val="000000"/>
          <w:sz w:val="24"/>
          <w:szCs w:val="24"/>
          <w:lang w:val="en-US"/>
        </w:rPr>
        <w:t>d</w:t>
      </w:r>
      <w:r w:rsidRPr="00846D06">
        <w:rPr>
          <w:rFonts w:asciiTheme="minorHAnsi" w:hAnsiTheme="minorHAnsi" w:cs="Helvetica"/>
          <w:color w:val="000000"/>
          <w:sz w:val="24"/>
          <w:szCs w:val="24"/>
          <w:lang w:val="en-US"/>
        </w:rPr>
        <w:t xml:space="preserve"> by Dickinson (2025) that History, as a discipline defined by its embrace of complexity, indeterminacy, and multiple perspectives, is fundamentally aligned with the intellectual demands of sustainability.  The Factor 1 viewpoint</w:t>
      </w:r>
      <w:proofErr w:type="gramStart"/>
      <w:r w:rsidRPr="00846D06">
        <w:rPr>
          <w:rFonts w:asciiTheme="minorHAnsi" w:hAnsiTheme="minorHAnsi" w:cs="Helvetica"/>
          <w:color w:val="000000"/>
          <w:sz w:val="24"/>
          <w:szCs w:val="24"/>
          <w:lang w:val="en-US"/>
        </w:rPr>
        <w:t>, in particular, articulates</w:t>
      </w:r>
      <w:proofErr w:type="gramEnd"/>
      <w:r w:rsidRPr="00846D06">
        <w:rPr>
          <w:rFonts w:asciiTheme="minorHAnsi" w:hAnsiTheme="minorHAnsi" w:cs="Helvetica"/>
          <w:color w:val="000000"/>
          <w:sz w:val="24"/>
          <w:szCs w:val="24"/>
          <w:lang w:val="en-US"/>
        </w:rPr>
        <w:t xml:space="preserve"> this alignment with considerable confidence: History already cultivates the habits of mind – critical thinking, comfort with ambiguity, the weighing of contested evidence – that ESD seeks to develop.  This maps directly only Barnett’s (2004) concept of ‘</w:t>
      </w:r>
      <w:proofErr w:type="spellStart"/>
      <w:r w:rsidRPr="00846D06">
        <w:rPr>
          <w:rFonts w:asciiTheme="minorHAnsi" w:hAnsiTheme="minorHAnsi" w:cs="Helvetica"/>
          <w:color w:val="000000"/>
          <w:sz w:val="24"/>
          <w:szCs w:val="24"/>
          <w:lang w:val="en-US"/>
        </w:rPr>
        <w:t>supercomplexity</w:t>
      </w:r>
      <w:proofErr w:type="spellEnd"/>
      <w:r w:rsidRPr="00846D06">
        <w:rPr>
          <w:rFonts w:asciiTheme="minorHAnsi" w:hAnsiTheme="minorHAnsi" w:cs="Helvetica"/>
          <w:color w:val="000000"/>
          <w:sz w:val="24"/>
          <w:szCs w:val="24"/>
          <w:lang w:val="en-US"/>
        </w:rPr>
        <w:t xml:space="preserve">’ (p.71) and suggests that, for </w:t>
      </w:r>
      <w:proofErr w:type="gramStart"/>
      <w:r w:rsidRPr="00846D06">
        <w:rPr>
          <w:rFonts w:asciiTheme="minorHAnsi" w:hAnsiTheme="minorHAnsi" w:cs="Helvetica"/>
          <w:color w:val="000000"/>
          <w:sz w:val="24"/>
          <w:szCs w:val="24"/>
          <w:lang w:val="en-US"/>
        </w:rPr>
        <w:t>the majority of</w:t>
      </w:r>
      <w:proofErr w:type="gramEnd"/>
      <w:r w:rsidRPr="00846D06">
        <w:rPr>
          <w:rFonts w:asciiTheme="minorHAnsi" w:hAnsiTheme="minorHAnsi" w:cs="Helvetica"/>
          <w:color w:val="000000"/>
          <w:sz w:val="24"/>
          <w:szCs w:val="24"/>
          <w:lang w:val="en-US"/>
        </w:rPr>
        <w:t xml:space="preserve"> participants in this study, the connection between History and sustainability is not theoretical but experiential, grounded in their everyday practice as educators.</w:t>
      </w:r>
    </w:p>
    <w:p w14:paraId="1D3F3C2C" w14:textId="226DCDE3"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However, P1’s interview data introduces an important qualification.  While fully endorsing the principle that the core skills of a historian are compatible with sustainability thinking, P1 challenged the assumption that these skills are consistently cultivated in practice, pointing to doctoral-level work that demonstrated a narrowly procedural understanding of source analysis rather than the genuinely critical approach the discipline claims.  This echoes a tension implicit in the literature: the QAA </w:t>
      </w:r>
      <w:r w:rsidRPr="00846D06">
        <w:rPr>
          <w:rFonts w:asciiTheme="minorHAnsi" w:hAnsiTheme="minorHAnsi" w:cs="Helvetica"/>
          <w:i/>
          <w:iCs/>
          <w:color w:val="000000"/>
          <w:sz w:val="24"/>
          <w:szCs w:val="24"/>
          <w:lang w:val="en-US"/>
        </w:rPr>
        <w:t>Subject Benchmark Statement for History</w:t>
      </w:r>
      <w:r w:rsidRPr="00846D06">
        <w:rPr>
          <w:rFonts w:asciiTheme="minorHAnsi" w:hAnsiTheme="minorHAnsi" w:cs="Helvetica"/>
          <w:color w:val="000000"/>
          <w:sz w:val="24"/>
          <w:szCs w:val="24"/>
          <w:lang w:val="en-US"/>
        </w:rPr>
        <w:t xml:space="preserve"> (QAA, 2022) asserts that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prepares graduates for complex sustainability challenges, but whether this preparation is </w:t>
      </w:r>
      <w:proofErr w:type="spellStart"/>
      <w:r w:rsidRPr="00846D06">
        <w:rPr>
          <w:rFonts w:asciiTheme="minorHAnsi" w:hAnsiTheme="minorHAnsi" w:cs="Helvetica"/>
          <w:color w:val="000000"/>
          <w:sz w:val="24"/>
          <w:szCs w:val="24"/>
          <w:lang w:val="en-US"/>
        </w:rPr>
        <w:t>realised</w:t>
      </w:r>
      <w:proofErr w:type="spellEnd"/>
      <w:r w:rsidRPr="00846D06">
        <w:rPr>
          <w:rFonts w:asciiTheme="minorHAnsi" w:hAnsiTheme="minorHAnsi" w:cs="Helvetica"/>
          <w:color w:val="000000"/>
          <w:sz w:val="24"/>
          <w:szCs w:val="24"/>
          <w:lang w:val="en-US"/>
        </w:rPr>
        <w:t xml:space="preserve"> depends on how History is </w:t>
      </w:r>
      <w:proofErr w:type="gramStart"/>
      <w:r w:rsidRPr="00846D06">
        <w:rPr>
          <w:rFonts w:asciiTheme="minorHAnsi" w:hAnsiTheme="minorHAnsi" w:cs="Helvetica"/>
          <w:color w:val="000000"/>
          <w:sz w:val="24"/>
          <w:szCs w:val="24"/>
          <w:lang w:val="en-US"/>
        </w:rPr>
        <w:t>actually taught</w:t>
      </w:r>
      <w:proofErr w:type="gramEnd"/>
      <w:r w:rsidRPr="00846D06">
        <w:rPr>
          <w:rFonts w:asciiTheme="minorHAnsi" w:hAnsiTheme="minorHAnsi" w:cs="Helvetica"/>
          <w:color w:val="000000"/>
          <w:sz w:val="24"/>
          <w:szCs w:val="24"/>
          <w:lang w:val="en-US"/>
        </w:rPr>
        <w:t>, not merely on what the discipline aspires to.  Bo</w:t>
      </w:r>
      <w:r w:rsidR="004456E9">
        <w:rPr>
          <w:rFonts w:asciiTheme="minorHAnsi" w:hAnsiTheme="minorHAnsi" w:cs="Helvetica"/>
          <w:color w:val="000000"/>
          <w:sz w:val="24"/>
          <w:szCs w:val="24"/>
          <w:lang w:val="en-US"/>
        </w:rPr>
        <w:t>o</w:t>
      </w:r>
      <w:r w:rsidRPr="00846D06">
        <w:rPr>
          <w:rFonts w:asciiTheme="minorHAnsi" w:hAnsiTheme="minorHAnsi" w:cs="Helvetica"/>
          <w:color w:val="000000"/>
          <w:sz w:val="24"/>
          <w:szCs w:val="24"/>
          <w:lang w:val="en-US"/>
        </w:rPr>
        <w:t>th’s (2008) documentation of shifting pedagogical approaches – towards cultural history, identity, and more diverse forms of assessment – suggests the trajectory is positive, but P1’s observation is a reminder that the gap between disciplinary aspiration and pedagogical reality may be wider than the literature acknowledges.</w:t>
      </w:r>
    </w:p>
    <w:p w14:paraId="1DF435CF"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3CC1072A" w14:textId="77777777" w:rsidR="00846D06" w:rsidRPr="00846D06" w:rsidRDefault="00846D06" w:rsidP="00FA0A77">
      <w:pPr>
        <w:pStyle w:val="Heading3"/>
        <w:rPr>
          <w:lang w:val="en-US"/>
        </w:rPr>
      </w:pPr>
      <w:bookmarkStart w:id="26" w:name="_Toc229750451"/>
      <w:r w:rsidRPr="00846D06">
        <w:rPr>
          <w:lang w:val="en-US"/>
        </w:rPr>
        <w:t>5.2 ORGANIC EMBEDDING VERSUS DELIBERATE INTEGRATION: THE CENTRAL TENSION</w:t>
      </w:r>
      <w:bookmarkEnd w:id="26"/>
    </w:p>
    <w:p w14:paraId="543C9C3D"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sharpest divergence between the two factors lies in how sustainability should be integrated into History teaching, and it is this divergence that speaks most directly to the </w:t>
      </w:r>
      <w:r w:rsidRPr="00846D06">
        <w:rPr>
          <w:rFonts w:asciiTheme="minorHAnsi" w:hAnsiTheme="minorHAnsi" w:cs="Helvetica"/>
          <w:color w:val="000000"/>
          <w:sz w:val="24"/>
          <w:szCs w:val="24"/>
          <w:lang w:val="en-US"/>
        </w:rPr>
        <w:lastRenderedPageBreak/>
        <w:t>research question: is ESD in History a matter of policy-driven implementation, or accidental embedding?</w:t>
      </w:r>
    </w:p>
    <w:p w14:paraId="762A6971" w14:textId="77777777" w:rsidR="004456E9"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Factor 1 is unequivocally on the side of organic, discipline-led integration.  The strong agreement that sustainability themes should arise from the </w:t>
      </w:r>
      <w:r w:rsidR="004456E9" w:rsidRPr="00846D06">
        <w:rPr>
          <w:rFonts w:asciiTheme="minorHAnsi" w:hAnsiTheme="minorHAnsi" w:cs="Helvetica"/>
          <w:color w:val="000000"/>
          <w:sz w:val="24"/>
          <w:szCs w:val="24"/>
          <w:lang w:val="en-US"/>
        </w:rPr>
        <w:t>content,</w:t>
      </w:r>
      <w:r w:rsidRPr="00846D06">
        <w:rPr>
          <w:rFonts w:asciiTheme="minorHAnsi" w:hAnsiTheme="minorHAnsi" w:cs="Helvetica"/>
          <w:color w:val="000000"/>
          <w:sz w:val="24"/>
          <w:szCs w:val="24"/>
          <w:lang w:val="en-US"/>
        </w:rPr>
        <w:t xml:space="preserve"> combines with the firm rejection of imposed agendas and activist framings, position</w:t>
      </w:r>
      <w:r w:rsidR="004456E9">
        <w:rPr>
          <w:rFonts w:asciiTheme="minorHAnsi" w:hAnsiTheme="minorHAnsi" w:cs="Helvetica"/>
          <w:color w:val="000000"/>
          <w:sz w:val="24"/>
          <w:szCs w:val="24"/>
          <w:lang w:val="en-US"/>
        </w:rPr>
        <w:t>ing</w:t>
      </w:r>
      <w:r w:rsidRPr="00846D06">
        <w:rPr>
          <w:rFonts w:asciiTheme="minorHAnsi" w:hAnsiTheme="minorHAnsi" w:cs="Helvetica"/>
          <w:color w:val="000000"/>
          <w:sz w:val="24"/>
          <w:szCs w:val="24"/>
          <w:lang w:val="en-US"/>
        </w:rPr>
        <w:t xml:space="preserve"> this viewpoint squarely within the tradition identified by Brooks and Ryan (2006), whose participants insisted that they ‘do not want the implicit to be made crudely explicit’ (p.17).  Twenty years on, this sentiment appears to have lost none of its force.  P5’s post-sort reflection – warning against </w:t>
      </w:r>
    </w:p>
    <w:p w14:paraId="558D48F9" w14:textId="77777777" w:rsidR="004456E9" w:rsidRPr="004456E9" w:rsidRDefault="00846D06" w:rsidP="004456E9">
      <w:pPr>
        <w:autoSpaceDE w:val="0"/>
        <w:autoSpaceDN w:val="0"/>
        <w:adjustRightInd w:val="0"/>
        <w:spacing w:after="266" w:line="440" w:lineRule="atLeast"/>
        <w:ind w:left="720"/>
        <w:rPr>
          <w:rFonts w:asciiTheme="minorHAnsi" w:hAnsiTheme="minorHAnsi" w:cs="Helvetica"/>
          <w:i/>
          <w:iCs/>
          <w:color w:val="000000"/>
          <w:sz w:val="24"/>
          <w:szCs w:val="24"/>
          <w:lang w:val="en-US"/>
        </w:rPr>
      </w:pPr>
      <w:r w:rsidRPr="004456E9">
        <w:rPr>
          <w:rFonts w:asciiTheme="minorHAnsi" w:hAnsiTheme="minorHAnsi" w:cs="Helvetica"/>
          <w:i/>
          <w:iCs/>
          <w:color w:val="000000"/>
          <w:sz w:val="24"/>
          <w:szCs w:val="24"/>
          <w:lang w:val="en-US"/>
        </w:rPr>
        <w:t>another top-down initiative that’s being imposed upon historians, which assumes that we are somehow antiquated and unprepared to integrate this quite meaningfully into what we already do</w:t>
      </w:r>
    </w:p>
    <w:p w14:paraId="3442C307" w14:textId="1A827D38"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could serve almost as an updated articulation of the Brooks and Ryan finding.  The Factor 1 position is not anti-sustainability; it is anti-</w:t>
      </w:r>
      <w:r w:rsidR="004456E9" w:rsidRPr="00846D06">
        <w:rPr>
          <w:rFonts w:asciiTheme="minorHAnsi" w:hAnsiTheme="minorHAnsi" w:cs="Helvetica"/>
          <w:color w:val="000000"/>
          <w:sz w:val="24"/>
          <w:szCs w:val="24"/>
          <w:lang w:val="en-US"/>
        </w:rPr>
        <w:t>imposition</w:t>
      </w:r>
      <w:r w:rsidRPr="00846D06">
        <w:rPr>
          <w:rFonts w:asciiTheme="minorHAnsi" w:hAnsiTheme="minorHAnsi" w:cs="Helvetica"/>
          <w:color w:val="000000"/>
          <w:sz w:val="24"/>
          <w:szCs w:val="24"/>
          <w:lang w:val="en-US"/>
        </w:rPr>
        <w:t xml:space="preserve">.  The distinction is </w:t>
      </w:r>
      <w:proofErr w:type="gramStart"/>
      <w:r w:rsidRPr="00846D06">
        <w:rPr>
          <w:rFonts w:asciiTheme="minorHAnsi" w:hAnsiTheme="minorHAnsi" w:cs="Helvetica"/>
          <w:color w:val="000000"/>
          <w:sz w:val="24"/>
          <w:szCs w:val="24"/>
          <w:lang w:val="en-US"/>
        </w:rPr>
        <w:t>important, and</w:t>
      </w:r>
      <w:proofErr w:type="gramEnd"/>
      <w:r w:rsidRPr="00846D06">
        <w:rPr>
          <w:rFonts w:asciiTheme="minorHAnsi" w:hAnsiTheme="minorHAnsi" w:cs="Helvetica"/>
          <w:color w:val="000000"/>
          <w:sz w:val="24"/>
          <w:szCs w:val="24"/>
          <w:lang w:val="en-US"/>
        </w:rPr>
        <w:t xml:space="preserve"> has significant implications for how institutions approach ESD support – a point to which this discussion will return.</w:t>
      </w:r>
    </w:p>
    <w:p w14:paraId="0040A87B" w14:textId="1BB0C63A"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Factor 2 takes a fundamentally different view.  For this participant, sustainability does not fit naturally within current approaches to History teaching and cannot be achieved covertly or informally.  It requires deliberate integration across the whole discipline, supported by training and resources that are currently lacking.  This viewpoint aligns more closely with the policy direction advocated by the QAA/Advance HE </w:t>
      </w:r>
      <w:r w:rsidRPr="00846D06">
        <w:rPr>
          <w:rFonts w:asciiTheme="minorHAnsi" w:hAnsiTheme="minorHAnsi" w:cs="Helvetica"/>
          <w:i/>
          <w:iCs/>
          <w:color w:val="000000"/>
          <w:sz w:val="24"/>
          <w:szCs w:val="24"/>
          <w:lang w:val="en-US"/>
        </w:rPr>
        <w:t>Guidance</w:t>
      </w:r>
      <w:r w:rsidRPr="00846D06">
        <w:rPr>
          <w:rFonts w:asciiTheme="minorHAnsi" w:hAnsiTheme="minorHAnsi" w:cs="Helvetica"/>
          <w:color w:val="000000"/>
          <w:sz w:val="24"/>
          <w:szCs w:val="24"/>
          <w:lang w:val="en-US"/>
        </w:rPr>
        <w:t xml:space="preserve"> (Advance HE and QAA, 2021).  Where Factor 1 sees History as already doing sustainability work under a different name, Factor 2 sees a discipline that has not yet risen to the challenge.</w:t>
      </w:r>
    </w:p>
    <w:p w14:paraId="4B8C2E5B"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tension between these two positions is not unique to this study.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(2015) speculated that disciplinary epistemologies shape academics’ receptiveness to ESD, proposing that positivist Cartesian worldviews are less compatible with the ‘fuzzy’ </w:t>
      </w:r>
      <w:r w:rsidRPr="00846D06">
        <w:rPr>
          <w:rFonts w:asciiTheme="minorHAnsi" w:hAnsiTheme="minorHAnsi" w:cs="Helvetica"/>
          <w:color w:val="000000"/>
          <w:sz w:val="24"/>
          <w:szCs w:val="24"/>
          <w:lang w:val="en-US"/>
        </w:rPr>
        <w:lastRenderedPageBreak/>
        <w:t>concepts of sustainability education.  The present study offers a different angle on this: within a single discipline, the disagreement is not about whether sustainability is relevant, but about whether existing practice is already sufficient or whether fundamental change is needed.  This is an epistemological question of a different kind – not about the compatibility of History with sustainability, but about whether History is already living up to its own epistemological ideals.</w:t>
      </w:r>
    </w:p>
    <w:p w14:paraId="5BDB3153"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03002455" w14:textId="77777777" w:rsidR="00846D06" w:rsidRPr="00846D06" w:rsidRDefault="00846D06" w:rsidP="00FA0A77">
      <w:pPr>
        <w:pStyle w:val="Heading3"/>
        <w:rPr>
          <w:lang w:val="en-US"/>
        </w:rPr>
      </w:pPr>
      <w:bookmarkStart w:id="27" w:name="_Toc229750452"/>
      <w:r w:rsidRPr="00846D06">
        <w:rPr>
          <w:lang w:val="en-US"/>
        </w:rPr>
        <w:t>5.3 THE ‘FUZZINESS’ OF SUSTAINABILITY: OBSTACLE OR ASSET?</w:t>
      </w:r>
      <w:bookmarkEnd w:id="27"/>
    </w:p>
    <w:p w14:paraId="377E88ED" w14:textId="5E5B2734"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Factor 1’s strongest agreement that the ambiguous or ‘fuzzy’ concept of sustainability allows for productive critical discussion represents a notable finding when read against the existing literature.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(2015) used the term ‘fuzzy’ to suggest that it explains why scientists struggle to engage with sustainability concepts.  For Factor 1, however, this fuzziness is precisely what makes sustainability intellectually congenial to historians – it invites the kind of interpretive openness and tolerance of ambiguity that Dickinson (2025) identifies as central to History’s epistemology.  P1 endorsed this in principle, while noting that the concept becomes ‘even more fuzzy’ when </w:t>
      </w:r>
      <w:proofErr w:type="spellStart"/>
      <w:r w:rsidRPr="00846D06">
        <w:rPr>
          <w:rFonts w:asciiTheme="minorHAnsi" w:hAnsiTheme="minorHAnsi" w:cs="Helvetica"/>
          <w:color w:val="000000"/>
          <w:sz w:val="24"/>
          <w:szCs w:val="24"/>
          <w:lang w:val="en-US"/>
        </w:rPr>
        <w:t>operationalised</w:t>
      </w:r>
      <w:proofErr w:type="spellEnd"/>
      <w:r w:rsidRPr="00846D06">
        <w:rPr>
          <w:rFonts w:asciiTheme="minorHAnsi" w:hAnsiTheme="minorHAnsi" w:cs="Helvetica"/>
          <w:color w:val="000000"/>
          <w:sz w:val="24"/>
          <w:szCs w:val="24"/>
          <w:lang w:val="en-US"/>
        </w:rPr>
        <w:t xml:space="preserve"> by institutions, suggesting a distinction between sustainability as an intellectual space for inquiry</w:t>
      </w:r>
      <w:r w:rsidR="001F29D1">
        <w:rPr>
          <w:rFonts w:asciiTheme="minorHAnsi" w:hAnsiTheme="minorHAnsi" w:cs="Helvetica"/>
          <w:color w:val="000000"/>
          <w:sz w:val="24"/>
          <w:szCs w:val="24"/>
          <w:lang w:val="en-US"/>
        </w:rPr>
        <w:t>,</w:t>
      </w:r>
      <w:r w:rsidRPr="00846D06">
        <w:rPr>
          <w:rFonts w:asciiTheme="minorHAnsi" w:hAnsiTheme="minorHAnsi" w:cs="Helvetica"/>
          <w:color w:val="000000"/>
          <w:sz w:val="24"/>
          <w:szCs w:val="24"/>
          <w:lang w:val="en-US"/>
        </w:rPr>
        <w:t xml:space="preserve"> and sustainability as an institutional compliance exercise.  Factor 2, by contrast, placed this statement at the neutral point, suggesting that the ambiguity of sustainability is neither productive nor problematic – simply a fact to be managed.  This divergence may reflect different orientations towards the concept: one philosophical and disciplinary, the other practical and institutional.</w:t>
      </w:r>
    </w:p>
    <w:p w14:paraId="0C57C0D9"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1D8DF9A9" w14:textId="77777777" w:rsidR="00846D06" w:rsidRPr="00846D06" w:rsidRDefault="00846D06" w:rsidP="00FA0A77">
      <w:pPr>
        <w:pStyle w:val="Heading3"/>
        <w:rPr>
          <w:lang w:val="en-US"/>
        </w:rPr>
      </w:pPr>
      <w:bookmarkStart w:id="28" w:name="_Toc229750453"/>
      <w:r w:rsidRPr="00846D06">
        <w:rPr>
          <w:lang w:val="en-US"/>
        </w:rPr>
        <w:t>5.4 BARRIERS TO ENGAGEMENT: RESOURCES, TRAINING AND INSTITUTIONAL FRAMING</w:t>
      </w:r>
      <w:bookmarkEnd w:id="28"/>
    </w:p>
    <w:p w14:paraId="6AAF7E0A"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Both factors agreed that there are insufficient resources for embedding ESD – a finding consistent with the barriers identified across the broader literature (Dawe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2005; </w:t>
      </w:r>
      <w:r w:rsidRPr="00846D06">
        <w:rPr>
          <w:rFonts w:asciiTheme="minorHAnsi" w:hAnsiTheme="minorHAnsi" w:cs="Helvetica"/>
          <w:color w:val="000000"/>
          <w:sz w:val="24"/>
          <w:szCs w:val="24"/>
          <w:lang w:val="en-US"/>
        </w:rPr>
        <w:lastRenderedPageBreak/>
        <w:t xml:space="preserve">Cotton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2007; Cebrián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xml:space="preserve">, 2015,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  However, the nature of the barrier is perceived differently.  For Factor 1, the problem is not a lack of engagement with sustainability but a lack of recognition that existing practice already constitutes it: P2’s observation that structured reflection often reveals ‘when we do that, we’re doing that’ suggests that the barrier is partly one of framing and language rather than substance.  P5’s insistence that practical guidance should take the form of ‘a range of possible advice and ideas’ rather than ‘a single mandated approach’ reinforces this – the resource need, for Factor 1, is for support that helps historians articulate connections they are already making, not for training that teaches them something new.</w:t>
      </w:r>
    </w:p>
    <w:p w14:paraId="698347EE" w14:textId="3FC564C0"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For Factor 2, the barrier is more fundamental.  This participant identified a clear need for training, placed sustainability outside the scope of what current teaching approaches can accommodate, and rejected the idea that covert or informal integration is adequate.  This aligns more closely with the findings of </w:t>
      </w:r>
      <w:proofErr w:type="spellStart"/>
      <w:r w:rsidRPr="00846D06">
        <w:rPr>
          <w:rFonts w:asciiTheme="minorHAnsi" w:hAnsiTheme="minorHAnsi" w:cs="Helvetica"/>
          <w:color w:val="000000"/>
          <w:sz w:val="24"/>
          <w:szCs w:val="24"/>
          <w:lang w:val="en-US"/>
        </w:rPr>
        <w:t>Fiselier</w:t>
      </w:r>
      <w:proofErr w:type="spellEnd"/>
      <w:r w:rsidRPr="00846D06">
        <w:rPr>
          <w:rFonts w:asciiTheme="minorHAnsi" w:hAnsiTheme="minorHAnsi" w:cs="Helvetica"/>
          <w:color w:val="000000"/>
          <w:sz w:val="24"/>
          <w:szCs w:val="24"/>
          <w:lang w:val="en-US"/>
        </w:rPr>
        <w:t xml:space="preserve"> et al. (2017)</w:t>
      </w:r>
      <w:r w:rsidR="001F29D1">
        <w:rPr>
          <w:rFonts w:asciiTheme="minorHAnsi" w:hAnsiTheme="minorHAnsi" w:cs="Helvetica"/>
          <w:color w:val="000000"/>
          <w:sz w:val="24"/>
          <w:szCs w:val="24"/>
          <w:lang w:val="en-US"/>
        </w:rPr>
        <w:t xml:space="preserve"> –</w:t>
      </w:r>
      <w:r w:rsidRPr="00846D06">
        <w:rPr>
          <w:rFonts w:asciiTheme="minorHAnsi" w:hAnsiTheme="minorHAnsi" w:cs="Helvetica"/>
          <w:color w:val="000000"/>
          <w:sz w:val="24"/>
          <w:szCs w:val="24"/>
          <w:lang w:val="en-US"/>
        </w:rPr>
        <w:t xml:space="preserve"> that successful ESD embedding requires deliberate institutional strategies, staff development, and dedicated approaches to teaching and learning.</w:t>
      </w:r>
    </w:p>
    <w:p w14:paraId="6C6B70CA"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low response rate in this study – five participants from the full population of History lecturers contacted across four institutions – may itself be evidence of a broader barrier.  The difficulty of engaging historians with research explicitly framed around ESD echoes the finding from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 that the perception of sustainability as irrelevant to one’s discipline is a significant obstacle to engagement.  It is possible that many of those who did not respond saw little connection between their professional practice and the topic of the study – precisely the kind of perception this research set out to explore.</w:t>
      </w:r>
    </w:p>
    <w:p w14:paraId="70D2F4D5"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68078E88" w14:textId="77777777" w:rsidR="00846D06" w:rsidRPr="00846D06" w:rsidRDefault="00846D06" w:rsidP="00FA0A77">
      <w:pPr>
        <w:pStyle w:val="Heading3"/>
        <w:rPr>
          <w:lang w:val="en-US"/>
        </w:rPr>
      </w:pPr>
      <w:bookmarkStart w:id="29" w:name="_Toc229750454"/>
      <w:r w:rsidRPr="00846D06">
        <w:rPr>
          <w:lang w:val="en-US"/>
        </w:rPr>
        <w:t>5.5 IMPLICATIONS FOR PRACTICE</w:t>
      </w:r>
      <w:bookmarkEnd w:id="29"/>
    </w:p>
    <w:p w14:paraId="04F3DAB1"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The findings of this study have direct implications for how institutions approach ESD support for History and, potentially, other arts and humanities disciplines.</w:t>
      </w:r>
    </w:p>
    <w:p w14:paraId="1A195F44" w14:textId="77777777" w:rsidR="00846D06" w:rsidRPr="00846D06" w:rsidRDefault="00846D06" w:rsidP="00846D06">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Factor 1 viewpoint suggests that the most effective approach is not to introduce sustainability as something new, but to create structured opportunities for historians to </w:t>
      </w:r>
      <w:proofErr w:type="spellStart"/>
      <w:r w:rsidRPr="00846D06">
        <w:rPr>
          <w:rFonts w:asciiTheme="minorHAnsi" w:hAnsiTheme="minorHAnsi" w:cs="Helvetica"/>
          <w:color w:val="000000"/>
          <w:sz w:val="24"/>
          <w:szCs w:val="24"/>
          <w:lang w:val="en-US"/>
        </w:rPr>
        <w:t>recognise</w:t>
      </w:r>
      <w:proofErr w:type="spellEnd"/>
      <w:r w:rsidRPr="00846D06">
        <w:rPr>
          <w:rFonts w:asciiTheme="minorHAnsi" w:hAnsiTheme="minorHAnsi" w:cs="Helvetica"/>
          <w:color w:val="000000"/>
          <w:sz w:val="24"/>
          <w:szCs w:val="24"/>
          <w:lang w:val="en-US"/>
        </w:rPr>
        <w:t xml:space="preserve"> and articulate the sustainability dimensions of what they already do.  P2’s description of a departmental ‘away day’ workshop using the SDGs – where the experience was valuable for some but was met with indifference by others – illustrates both the potential and the limits of this approach.  The implication is that support should be discipline-sensitive, intellectually rigorous, and framed in terms that historians will find congruent with their own professional identity and values.  P5’s warning against approaches that feel ‘imposed’ or that assume historians are ‘antiquated and unprepared’ is a direct challenge to generic, institution-wide ESD training models.</w:t>
      </w:r>
    </w:p>
    <w:p w14:paraId="4998D921" w14:textId="77777777" w:rsidR="001F29D1" w:rsidRDefault="00846D06" w:rsidP="001F29D1">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Factor 2, however, suggests that for some academics, this organic approach is not enough.  Where a historian does not feel confident teaching sustainability, does not see it as fitting naturally within their current practice, and actively wants training and resources, a more structure</w:t>
      </w:r>
      <w:r w:rsidR="001F29D1">
        <w:rPr>
          <w:rFonts w:asciiTheme="minorHAnsi" w:hAnsiTheme="minorHAnsi" w:cs="Helvetica"/>
          <w:color w:val="000000"/>
          <w:sz w:val="24"/>
          <w:szCs w:val="24"/>
          <w:lang w:val="en-US"/>
        </w:rPr>
        <w:t>d</w:t>
      </w:r>
      <w:r w:rsidRPr="00846D06">
        <w:rPr>
          <w:rFonts w:asciiTheme="minorHAnsi" w:hAnsiTheme="minorHAnsi" w:cs="Helvetica"/>
          <w:color w:val="000000"/>
          <w:sz w:val="24"/>
          <w:szCs w:val="24"/>
          <w:lang w:val="en-US"/>
        </w:rPr>
        <w:t xml:space="preserve"> intervention is needed – and its absence is a barrier.  The practical challenge for institutions is to offer both: support that helps the already-engaged to </w:t>
      </w:r>
      <w:proofErr w:type="spellStart"/>
      <w:r w:rsidRPr="00846D06">
        <w:rPr>
          <w:rFonts w:asciiTheme="minorHAnsi" w:hAnsiTheme="minorHAnsi" w:cs="Helvetica"/>
          <w:color w:val="000000"/>
          <w:sz w:val="24"/>
          <w:szCs w:val="24"/>
          <w:lang w:val="en-US"/>
        </w:rPr>
        <w:t>recognise</w:t>
      </w:r>
      <w:proofErr w:type="spellEnd"/>
      <w:r w:rsidRPr="00846D06">
        <w:rPr>
          <w:rFonts w:asciiTheme="minorHAnsi" w:hAnsiTheme="minorHAnsi" w:cs="Helvetica"/>
          <w:color w:val="000000"/>
          <w:sz w:val="24"/>
          <w:szCs w:val="24"/>
          <w:lang w:val="en-US"/>
        </w:rPr>
        <w:t xml:space="preserve"> and articulate their practice, alongside training that equips the willing-but-uncertain to develop new approaches.</w:t>
      </w:r>
    </w:p>
    <w:p w14:paraId="371C7CA0" w14:textId="75514389" w:rsidR="00846D06" w:rsidRPr="00846D06" w:rsidRDefault="00846D06" w:rsidP="001F29D1">
      <w:pPr>
        <w:autoSpaceDE w:val="0"/>
        <w:autoSpaceDN w:val="0"/>
        <w:adjustRightInd w:val="0"/>
        <w:spacing w:after="266" w:line="44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w:t>
      </w:r>
    </w:p>
    <w:p w14:paraId="5AE5DE9D" w14:textId="77777777" w:rsidR="00846D06" w:rsidRPr="00846D06" w:rsidRDefault="00846D06" w:rsidP="00FA0A77">
      <w:pPr>
        <w:pStyle w:val="Heading2"/>
        <w:rPr>
          <w:lang w:val="en-US"/>
        </w:rPr>
      </w:pPr>
      <w:bookmarkStart w:id="30" w:name="_Toc229750455"/>
      <w:r w:rsidRPr="00846D06">
        <w:rPr>
          <w:lang w:val="en-US"/>
        </w:rPr>
        <w:t>6.</w:t>
      </w:r>
      <w:r w:rsidRPr="00846D06">
        <w:rPr>
          <w:rFonts w:cs="Times New Roman"/>
          <w:lang w:val="en-US"/>
        </w:rPr>
        <w:t xml:space="preserve">    </w:t>
      </w:r>
      <w:r w:rsidRPr="00846D06">
        <w:rPr>
          <w:lang w:val="en-US"/>
        </w:rPr>
        <w:t>CONCLUSION</w:t>
      </w:r>
      <w:bookmarkEnd w:id="30"/>
    </w:p>
    <w:p w14:paraId="3F9A1ABB"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This study investigated how History lecturers at four U.K. universities perceive ESD and its role within a </w:t>
      </w:r>
      <w:proofErr w:type="gramStart"/>
      <w:r w:rsidRPr="00846D06">
        <w:rPr>
          <w:rFonts w:asciiTheme="minorHAnsi" w:hAnsiTheme="minorHAnsi" w:cs="Helvetica"/>
          <w:color w:val="000000"/>
          <w:sz w:val="24"/>
          <w:szCs w:val="24"/>
          <w:lang w:val="en-US"/>
        </w:rPr>
        <w:t>History</w:t>
      </w:r>
      <w:proofErr w:type="gramEnd"/>
      <w:r w:rsidRPr="00846D06">
        <w:rPr>
          <w:rFonts w:asciiTheme="minorHAnsi" w:hAnsiTheme="minorHAnsi" w:cs="Helvetica"/>
          <w:color w:val="000000"/>
          <w:sz w:val="24"/>
          <w:szCs w:val="24"/>
          <w:lang w:val="en-US"/>
        </w:rPr>
        <w:t xml:space="preserve"> degree.  Two viewpoints emerged.  Factor 1, shared by four participants, sees History as already aligned with sustainability through its epistemological traditions and argues that sustainability themes should arise organically from the discipline rather than being imposed.  Factor 2, defined by a single participant, argues that </w:t>
      </w:r>
      <w:r w:rsidRPr="00846D06">
        <w:rPr>
          <w:rFonts w:asciiTheme="minorHAnsi" w:hAnsiTheme="minorHAnsi" w:cs="Helvetica"/>
          <w:color w:val="000000"/>
          <w:sz w:val="24"/>
          <w:szCs w:val="24"/>
          <w:lang w:val="en-US"/>
        </w:rPr>
        <w:lastRenderedPageBreak/>
        <w:t>current practice is insufficient and that deliberate integration, supported by training and resources, is required.</w:t>
      </w:r>
    </w:p>
    <w:p w14:paraId="16004EC7" w14:textId="7777777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The research question asked whether ESD in History is policy-driven or accidentally embedded. Neither framing proves adequate.  Factor 1 describes something more purposeful than accidental but firmly resists the machinery of policy-driven implementation.  Factor 2 suggests that deliberate change is needed.  The most productive framing may be one of </w:t>
      </w:r>
      <w:r w:rsidRPr="00846D06">
        <w:rPr>
          <w:rFonts w:asciiTheme="minorHAnsi" w:hAnsiTheme="minorHAnsi" w:cs="Helvetica"/>
          <w:i/>
          <w:iCs/>
          <w:color w:val="000000"/>
          <w:sz w:val="24"/>
          <w:szCs w:val="24"/>
          <w:lang w:val="en-US"/>
        </w:rPr>
        <w:t xml:space="preserve">recognition: </w:t>
      </w:r>
      <w:r w:rsidRPr="00846D06">
        <w:rPr>
          <w:rFonts w:asciiTheme="minorHAnsi" w:hAnsiTheme="minorHAnsi" w:cs="Helvetica"/>
          <w:color w:val="000000"/>
          <w:sz w:val="24"/>
          <w:szCs w:val="24"/>
          <w:lang w:val="en-US"/>
        </w:rPr>
        <w:t>making visible and valued what is already present, while creating conditions for those who wish to go further.  The practical implication is that ESD support should be discipline-sensitive and collegial, framed in the language of the discipline rather than of institutional compliance.</w:t>
      </w:r>
    </w:p>
    <w:p w14:paraId="24DAEFC7" w14:textId="1C5BD56C"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Several significant limitations must be acknowledged.  First, five participants is a very small sample.  While Q methodology can yield meaningful findings from small numbers – and has </w:t>
      </w:r>
      <w:r w:rsidR="001F29D1">
        <w:rPr>
          <w:rFonts w:asciiTheme="minorHAnsi" w:hAnsiTheme="minorHAnsi" w:cs="Helvetica"/>
          <w:color w:val="000000"/>
          <w:sz w:val="24"/>
          <w:szCs w:val="24"/>
          <w:lang w:val="en-US"/>
        </w:rPr>
        <w:t xml:space="preserve">even </w:t>
      </w:r>
      <w:r w:rsidRPr="00846D06">
        <w:rPr>
          <w:rFonts w:asciiTheme="minorHAnsi" w:hAnsiTheme="minorHAnsi" w:cs="Helvetica"/>
          <w:color w:val="000000"/>
          <w:sz w:val="24"/>
          <w:szCs w:val="24"/>
          <w:lang w:val="en-US"/>
        </w:rPr>
        <w:t xml:space="preserve">been used for in-depth study of a single participant (Ramlo, 2023) – the range of viewpoints captured is inevitably constrained.  The low response rate may itself reflect a self-selection bias, with those less interested in sustainability seeing the study as irrelevant to their practice.  Factor 2, resting on a single participant, cannot be confirmed as a shared perspective without replication. </w:t>
      </w:r>
    </w:p>
    <w:p w14:paraId="7E2D63B4" w14:textId="4FB7E11F"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Second, the Q-set was not piloted, and P1’s candid observation that many statements were not placed where they would have preferred highlights the need for refinement, though the tension inherent in a forced-sort methodology is by design rather than by flaw (Watts and Stenner, 2012).  A more substantive limitation of the Q-set design is the absence of systematically constructed opposing statements – that is, a positive and negative formulation for each theme – which would have strengthened the balance of the instrument and ensured that participants could express the full range of positions on each issue</w:t>
      </w:r>
      <w:r w:rsidR="001F29D1">
        <w:rPr>
          <w:rFonts w:asciiTheme="minorHAnsi" w:hAnsiTheme="minorHAnsi" w:cs="Helvetica"/>
          <w:color w:val="000000"/>
          <w:sz w:val="24"/>
          <w:szCs w:val="24"/>
          <w:lang w:val="en-US"/>
        </w:rPr>
        <w:t>.</w:t>
      </w:r>
      <w:r w:rsidRPr="00846D06">
        <w:rPr>
          <w:rFonts w:asciiTheme="minorHAnsi" w:hAnsiTheme="minorHAnsi" w:cs="Helvetica"/>
          <w:color w:val="000000"/>
          <w:sz w:val="24"/>
          <w:szCs w:val="24"/>
          <w:lang w:val="en-US"/>
        </w:rPr>
        <w:t xml:space="preserve"> </w:t>
      </w:r>
      <w:r w:rsidR="001F29D1">
        <w:rPr>
          <w:rFonts w:asciiTheme="minorHAnsi" w:hAnsiTheme="minorHAnsi" w:cs="Helvetica"/>
          <w:color w:val="000000"/>
          <w:sz w:val="24"/>
          <w:szCs w:val="24"/>
          <w:lang w:val="en-US"/>
        </w:rPr>
        <w:t xml:space="preserve"> </w:t>
      </w:r>
      <w:r w:rsidRPr="00846D06">
        <w:rPr>
          <w:rFonts w:asciiTheme="minorHAnsi" w:hAnsiTheme="minorHAnsi" w:cs="Helvetica"/>
          <w:color w:val="000000"/>
          <w:sz w:val="24"/>
          <w:szCs w:val="24"/>
          <w:lang w:val="en-US"/>
        </w:rPr>
        <w:t>This is a design principle that should be applied in any future iteration of the study.</w:t>
      </w:r>
    </w:p>
    <w:p w14:paraId="2E56FC5C" w14:textId="5C444637" w:rsidR="00846D06" w:rsidRPr="00846D06" w:rsidRDefault="00846D06" w:rsidP="00846D06">
      <w:pPr>
        <w:autoSpaceDE w:val="0"/>
        <w:autoSpaceDN w:val="0"/>
        <w:adjustRightInd w:val="0"/>
        <w:spacing w:after="266" w:line="480" w:lineRule="atLeast"/>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Despite these limitations, the study makes a modest contribution by providing empirical evidence – however preliminary – for Dickinson’s (2025) argument that History’s epistemology is aligned with sustainability thinking, and by demonstrating that epistemological questions operate </w:t>
      </w:r>
      <w:r w:rsidRPr="00846D06">
        <w:rPr>
          <w:rFonts w:asciiTheme="minorHAnsi" w:hAnsiTheme="minorHAnsi" w:cs="Helvetica"/>
          <w:i/>
          <w:iCs/>
          <w:color w:val="000000"/>
          <w:sz w:val="24"/>
          <w:szCs w:val="24"/>
          <w:lang w:val="en-US"/>
        </w:rPr>
        <w:t>within</w:t>
      </w:r>
      <w:r w:rsidRPr="00846D06">
        <w:rPr>
          <w:rFonts w:asciiTheme="minorHAnsi" w:hAnsiTheme="minorHAnsi" w:cs="Helvetica"/>
          <w:color w:val="000000"/>
          <w:sz w:val="24"/>
          <w:szCs w:val="24"/>
          <w:lang w:val="en-US"/>
        </w:rPr>
        <w:t xml:space="preserve"> a discipline, not only between them (Christie </w:t>
      </w:r>
      <w:r w:rsidRPr="00846D06">
        <w:rPr>
          <w:rFonts w:asciiTheme="minorHAnsi" w:hAnsiTheme="minorHAnsi" w:cs="Helvetica"/>
          <w:i/>
          <w:iCs/>
          <w:color w:val="000000"/>
          <w:sz w:val="24"/>
          <w:szCs w:val="24"/>
          <w:lang w:val="en-US"/>
        </w:rPr>
        <w:t>et al.</w:t>
      </w:r>
      <w:r w:rsidRPr="00846D06">
        <w:rPr>
          <w:rFonts w:asciiTheme="minorHAnsi" w:hAnsiTheme="minorHAnsi" w:cs="Helvetica"/>
          <w:color w:val="000000"/>
          <w:sz w:val="24"/>
          <w:szCs w:val="24"/>
          <w:lang w:val="en-US"/>
        </w:rPr>
        <w:t>, 2015).  Replication with a larger and more geographically diverse sample, extension to other arts and humanities disciplines, and a refined Q-sort incorporating balanced opposing statements would test whether these findings represent broader patterns within the discipline and beyond.</w:t>
      </w:r>
    </w:p>
    <w:p w14:paraId="5A1C1496" w14:textId="77777777" w:rsidR="00846D06" w:rsidRPr="00846D06" w:rsidRDefault="00846D06" w:rsidP="00846D06">
      <w:pPr>
        <w:autoSpaceDE w:val="0"/>
        <w:autoSpaceDN w:val="0"/>
        <w:adjustRightInd w:val="0"/>
        <w:spacing w:after="0" w:line="240" w:lineRule="auto"/>
        <w:rPr>
          <w:rFonts w:asciiTheme="minorHAnsi" w:hAnsiTheme="minorHAnsi" w:cs="Helvetica"/>
          <w:color w:val="6C260D"/>
          <w:sz w:val="24"/>
          <w:szCs w:val="24"/>
          <w:lang w:val="en-US"/>
        </w:rPr>
      </w:pPr>
    </w:p>
    <w:p w14:paraId="5F256E25" w14:textId="77777777" w:rsidR="00FA0A77" w:rsidRDefault="00FA0A77">
      <w:pPr>
        <w:rPr>
          <w:caps/>
          <w:color w:val="80340D" w:themeColor="accent2" w:themeShade="80"/>
          <w:spacing w:val="15"/>
          <w:sz w:val="24"/>
          <w:szCs w:val="24"/>
          <w:lang w:val="en-US"/>
        </w:rPr>
      </w:pPr>
      <w:r>
        <w:rPr>
          <w:lang w:val="en-US"/>
        </w:rPr>
        <w:br w:type="page"/>
      </w:r>
    </w:p>
    <w:p w14:paraId="024E9D0E" w14:textId="16A5511C" w:rsidR="00846D06" w:rsidRPr="00846D06" w:rsidRDefault="00846D06" w:rsidP="00FA0A77">
      <w:pPr>
        <w:pStyle w:val="Heading2"/>
        <w:rPr>
          <w:lang w:val="en-US"/>
        </w:rPr>
      </w:pPr>
      <w:bookmarkStart w:id="31" w:name="_Toc229750456"/>
      <w:r w:rsidRPr="00846D06">
        <w:rPr>
          <w:lang w:val="en-US"/>
        </w:rPr>
        <w:lastRenderedPageBreak/>
        <w:t>REFERENCES</w:t>
      </w:r>
      <w:bookmarkEnd w:id="31"/>
    </w:p>
    <w:p w14:paraId="1CEBDE6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Advance HE and The Quality Assurance Agency for Higher Education (2021) </w:t>
      </w:r>
      <w:r w:rsidRPr="00846D06">
        <w:rPr>
          <w:rFonts w:asciiTheme="minorHAnsi" w:hAnsiTheme="minorHAnsi" w:cs="Helvetica"/>
          <w:i/>
          <w:iCs/>
          <w:color w:val="000000"/>
          <w:sz w:val="24"/>
          <w:szCs w:val="24"/>
          <w:lang w:val="en-US"/>
        </w:rPr>
        <w:t>Education for Sustainable Development Guidance</w:t>
      </w:r>
      <w:r w:rsidRPr="00846D06">
        <w:rPr>
          <w:rFonts w:asciiTheme="minorHAnsi" w:hAnsiTheme="minorHAnsi" w:cs="Helvetica"/>
          <w:color w:val="000000"/>
          <w:sz w:val="24"/>
          <w:szCs w:val="24"/>
          <w:lang w:val="en-US"/>
        </w:rPr>
        <w:t xml:space="preserve">. Available at: </w:t>
      </w:r>
      <w:hyperlink r:id="rId15" w:history="1">
        <w:r w:rsidRPr="00846D06">
          <w:rPr>
            <w:rFonts w:asciiTheme="minorHAnsi" w:hAnsiTheme="minorHAnsi" w:cs="Helvetica"/>
            <w:color w:val="000000"/>
            <w:sz w:val="24"/>
            <w:szCs w:val="24"/>
            <w:u w:val="single" w:color="000000"/>
            <w:lang w:val="en-US"/>
          </w:rPr>
          <w:t>https://www.advance-he.ac.uk/knowledge-hub/education-sustainable-development-guidance</w:t>
        </w:r>
      </w:hyperlink>
      <w:r w:rsidRPr="00846D06">
        <w:rPr>
          <w:rFonts w:asciiTheme="minorHAnsi" w:hAnsiTheme="minorHAnsi" w:cs="Helvetica"/>
          <w:color w:val="000000"/>
          <w:sz w:val="24"/>
          <w:szCs w:val="24"/>
          <w:lang w:val="en-US"/>
        </w:rPr>
        <w:t xml:space="preserve"> </w:t>
      </w:r>
    </w:p>
    <w:p w14:paraId="1FBFF7BB"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Atici, K.B., Yasayacak, G., Yildiz., Y. and Ulucan, A. (2020) ‘Green University and academic performance: An empirical study on UI </w:t>
      </w:r>
      <w:proofErr w:type="spellStart"/>
      <w:r w:rsidRPr="00846D06">
        <w:rPr>
          <w:rFonts w:asciiTheme="minorHAnsi" w:hAnsiTheme="minorHAnsi" w:cs="Helvetica"/>
          <w:color w:val="000000"/>
          <w:sz w:val="24"/>
          <w:szCs w:val="24"/>
          <w:lang w:val="en-US"/>
        </w:rPr>
        <w:t>GreenMetric</w:t>
      </w:r>
      <w:proofErr w:type="spellEnd"/>
      <w:r w:rsidRPr="00846D06">
        <w:rPr>
          <w:rFonts w:asciiTheme="minorHAnsi" w:hAnsiTheme="minorHAnsi" w:cs="Helvetica"/>
          <w:color w:val="000000"/>
          <w:sz w:val="24"/>
          <w:szCs w:val="24"/>
          <w:lang w:val="en-US"/>
        </w:rPr>
        <w:t xml:space="preserve"> and World University Rankings’, </w:t>
      </w:r>
      <w:r w:rsidRPr="00846D06">
        <w:rPr>
          <w:rFonts w:asciiTheme="minorHAnsi" w:hAnsiTheme="minorHAnsi" w:cs="Helvetica"/>
          <w:i/>
          <w:iCs/>
          <w:color w:val="000000"/>
          <w:sz w:val="24"/>
          <w:szCs w:val="24"/>
          <w:lang w:val="en-US"/>
        </w:rPr>
        <w:t>Journal of Cleaner Production</w:t>
      </w:r>
      <w:r w:rsidRPr="00846D06">
        <w:rPr>
          <w:rFonts w:asciiTheme="minorHAnsi" w:hAnsiTheme="minorHAnsi" w:cs="Helvetica"/>
          <w:color w:val="000000"/>
          <w:sz w:val="24"/>
          <w:szCs w:val="24"/>
          <w:lang w:val="en-US"/>
        </w:rPr>
        <w:t xml:space="preserve">, 291.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10.1016/j.jclepro.2020.125289</w:t>
      </w:r>
    </w:p>
    <w:p w14:paraId="228F710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Barnett, R. (2004) ‘The Purposes of Higher Education and the Changing Face of Academia’, </w:t>
      </w:r>
      <w:r w:rsidRPr="00846D06">
        <w:rPr>
          <w:rFonts w:asciiTheme="minorHAnsi" w:hAnsiTheme="minorHAnsi" w:cs="Helvetica"/>
          <w:i/>
          <w:iCs/>
          <w:color w:val="000000"/>
          <w:sz w:val="24"/>
          <w:szCs w:val="24"/>
          <w:lang w:val="en-US"/>
        </w:rPr>
        <w:t>London Review of Education</w:t>
      </w:r>
      <w:r w:rsidRPr="00846D06">
        <w:rPr>
          <w:rFonts w:asciiTheme="minorHAnsi" w:hAnsiTheme="minorHAnsi" w:cs="Helvetica"/>
          <w:color w:val="000000"/>
          <w:sz w:val="24"/>
          <w:szCs w:val="24"/>
          <w:lang w:val="en-US"/>
        </w:rPr>
        <w:t xml:space="preserve">, 2(1).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10.1080/1474846042000177483</w:t>
      </w:r>
    </w:p>
    <w:p w14:paraId="73F057A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Banasick</w:t>
      </w:r>
      <w:proofErr w:type="spellEnd"/>
      <w:r w:rsidRPr="00846D06">
        <w:rPr>
          <w:rFonts w:asciiTheme="minorHAnsi" w:hAnsiTheme="minorHAnsi" w:cs="Helvetica"/>
          <w:color w:val="000000"/>
          <w:sz w:val="24"/>
          <w:szCs w:val="24"/>
          <w:lang w:val="en-US"/>
        </w:rPr>
        <w:t xml:space="preserve">, S. (2019) Ken-Q Analysis (Version 1.0.6) [Computer </w:t>
      </w:r>
      <w:proofErr w:type="spellStart"/>
      <w:r w:rsidRPr="00846D06">
        <w:rPr>
          <w:rFonts w:asciiTheme="minorHAnsi" w:hAnsiTheme="minorHAnsi" w:cs="Helvetica"/>
          <w:color w:val="000000"/>
          <w:sz w:val="24"/>
          <w:szCs w:val="24"/>
          <w:lang w:val="en-US"/>
        </w:rPr>
        <w:t>programme</w:t>
      </w:r>
      <w:proofErr w:type="spellEnd"/>
      <w:r w:rsidRPr="00846D06">
        <w:rPr>
          <w:rFonts w:asciiTheme="minorHAnsi" w:hAnsiTheme="minorHAnsi" w:cs="Helvetica"/>
          <w:color w:val="000000"/>
          <w:sz w:val="24"/>
          <w:szCs w:val="24"/>
          <w:lang w:val="en-US"/>
        </w:rPr>
        <w:t xml:space="preserve">]. Available </w:t>
      </w:r>
      <w:proofErr w:type="gramStart"/>
      <w:r w:rsidRPr="00846D06">
        <w:rPr>
          <w:rFonts w:asciiTheme="minorHAnsi" w:hAnsiTheme="minorHAnsi" w:cs="Helvetica"/>
          <w:color w:val="000000"/>
          <w:sz w:val="24"/>
          <w:szCs w:val="24"/>
          <w:lang w:val="en-US"/>
        </w:rPr>
        <w:t>at :</w:t>
      </w:r>
      <w:proofErr w:type="gramEnd"/>
      <w:r w:rsidRPr="00846D06">
        <w:rPr>
          <w:rFonts w:asciiTheme="minorHAnsi" w:hAnsiTheme="minorHAnsi" w:cs="Helvetica"/>
          <w:color w:val="000000"/>
          <w:sz w:val="24"/>
          <w:szCs w:val="24"/>
          <w:lang w:val="en-US"/>
        </w:rPr>
        <w:t xml:space="preserve"> </w:t>
      </w:r>
      <w:hyperlink r:id="rId16" w:history="1">
        <w:r w:rsidRPr="00846D06">
          <w:rPr>
            <w:rFonts w:asciiTheme="minorHAnsi" w:hAnsiTheme="minorHAnsi" w:cs="Helvetica"/>
            <w:color w:val="386573"/>
            <w:sz w:val="24"/>
            <w:szCs w:val="24"/>
            <w:u w:val="single" w:color="386573"/>
            <w:lang w:val="en-US"/>
          </w:rPr>
          <w:t>https://shawnbanasick.github.io/ken-q-analysis/</w:t>
        </w:r>
      </w:hyperlink>
      <w:r w:rsidRPr="00846D06">
        <w:rPr>
          <w:rFonts w:asciiTheme="minorHAnsi" w:hAnsiTheme="minorHAnsi" w:cs="Helvetica"/>
          <w:color w:val="000000"/>
          <w:sz w:val="24"/>
          <w:szCs w:val="24"/>
          <w:lang w:val="en-US"/>
        </w:rPr>
        <w:t xml:space="preserve"> (</w:t>
      </w:r>
      <w:proofErr w:type="gramStart"/>
      <w:r w:rsidRPr="00846D06">
        <w:rPr>
          <w:rFonts w:asciiTheme="minorHAnsi" w:hAnsiTheme="minorHAnsi" w:cs="Helvetica"/>
          <w:color w:val="000000"/>
          <w:sz w:val="24"/>
          <w:szCs w:val="24"/>
          <w:lang w:val="en-US"/>
        </w:rPr>
        <w:t>Accessed :</w:t>
      </w:r>
      <w:proofErr w:type="gramEnd"/>
      <w:r w:rsidRPr="00846D06">
        <w:rPr>
          <w:rFonts w:asciiTheme="minorHAnsi" w:hAnsiTheme="minorHAnsi" w:cs="Helvetica"/>
          <w:color w:val="000000"/>
          <w:sz w:val="24"/>
          <w:szCs w:val="24"/>
          <w:lang w:val="en-US"/>
        </w:rPr>
        <w:t xml:space="preserve"> 28 November 2025).</w:t>
      </w:r>
    </w:p>
    <w:p w14:paraId="665EDB3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Bashatah</w:t>
      </w:r>
      <w:proofErr w:type="spellEnd"/>
      <w:r w:rsidRPr="00846D06">
        <w:rPr>
          <w:rFonts w:asciiTheme="minorHAnsi" w:hAnsiTheme="minorHAnsi" w:cs="Helvetica"/>
          <w:color w:val="000000"/>
          <w:sz w:val="24"/>
          <w:szCs w:val="24"/>
          <w:lang w:val="en-US"/>
        </w:rPr>
        <w:t xml:space="preserve">, L.S. (2016) ‘Q-methodology: What and how?’ </w:t>
      </w:r>
      <w:r w:rsidRPr="00846D06">
        <w:rPr>
          <w:rFonts w:asciiTheme="minorHAnsi" w:hAnsiTheme="minorHAnsi" w:cs="Helvetica"/>
          <w:i/>
          <w:iCs/>
          <w:color w:val="000000"/>
          <w:sz w:val="24"/>
          <w:szCs w:val="24"/>
          <w:lang w:val="en-US"/>
        </w:rPr>
        <w:t>IOSR Journal of Research &amp; Method in Education</w:t>
      </w:r>
      <w:r w:rsidRPr="00846D06">
        <w:rPr>
          <w:rFonts w:asciiTheme="minorHAnsi" w:hAnsiTheme="minorHAnsi" w:cs="Helvetica"/>
          <w:color w:val="000000"/>
          <w:sz w:val="24"/>
          <w:szCs w:val="24"/>
          <w:lang w:val="en-US"/>
        </w:rPr>
        <w:t xml:space="preserve">, 6(5), pp.37-43.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10.9790/7388-0605053743</w:t>
      </w:r>
    </w:p>
    <w:p w14:paraId="600D708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Bautista-Puig, N., </w:t>
      </w:r>
      <w:proofErr w:type="spellStart"/>
      <w:r w:rsidRPr="00846D06">
        <w:rPr>
          <w:rFonts w:asciiTheme="minorHAnsi" w:hAnsiTheme="minorHAnsi" w:cs="Helvetica"/>
          <w:color w:val="000000"/>
          <w:sz w:val="24"/>
          <w:szCs w:val="24"/>
          <w:lang w:val="en-US"/>
        </w:rPr>
        <w:t>Ordũna</w:t>
      </w:r>
      <w:proofErr w:type="spellEnd"/>
      <w:r w:rsidRPr="00846D06">
        <w:rPr>
          <w:rFonts w:asciiTheme="minorHAnsi" w:hAnsiTheme="minorHAnsi" w:cs="Helvetica"/>
          <w:color w:val="000000"/>
          <w:sz w:val="24"/>
          <w:szCs w:val="24"/>
          <w:lang w:val="en-US"/>
        </w:rPr>
        <w:t xml:space="preserve">-Malea, E. and Perez-Esparrells, C. (2022) ‘Enhancing sustainable development goals or promoting universities? An analysis of the times higher education impact rankings’,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23(8), pp.211-231.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10.1108/IJSHE-07-2021-0309</w:t>
      </w:r>
    </w:p>
    <w:p w14:paraId="7EA2BBD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Berg, C. (2023) ‘The Case for Generative AI in Scholarly Practice’, SSRN.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10.2139/ssrn.4407587</w:t>
      </w:r>
    </w:p>
    <w:p w14:paraId="440C136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Blodgett, D.M. and Feld, M.N. (2021) ‘Teaching an interdisciplinary course in sustainable food systems: science and history meet in “a world that works”,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24(9), pp. 138-158.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10.1108/ijshe-02-2020-0044</w:t>
      </w:r>
    </w:p>
    <w:p w14:paraId="1E51EFA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Booth, A. (2008) ‘The making of history teaching in 20</w:t>
      </w:r>
      <w:r w:rsidRPr="00846D06">
        <w:rPr>
          <w:rFonts w:asciiTheme="minorHAnsi" w:hAnsiTheme="minorHAnsi" w:cs="Helvetica"/>
          <w:color w:val="000000"/>
          <w:sz w:val="24"/>
          <w:szCs w:val="24"/>
          <w:vertAlign w:val="superscript"/>
          <w:lang w:val="en-US"/>
        </w:rPr>
        <w:t>th</w:t>
      </w:r>
      <w:r w:rsidRPr="00846D06">
        <w:rPr>
          <w:rFonts w:asciiTheme="minorHAnsi" w:hAnsiTheme="minorHAnsi" w:cs="Helvetica"/>
          <w:color w:val="000000"/>
          <w:sz w:val="24"/>
          <w:szCs w:val="24"/>
          <w:lang w:val="en-US"/>
        </w:rPr>
        <w:t xml:space="preserve">-century British higher education’, </w:t>
      </w:r>
      <w:r w:rsidRPr="00846D06">
        <w:rPr>
          <w:rFonts w:asciiTheme="minorHAnsi" w:hAnsiTheme="minorHAnsi" w:cs="Helvetica"/>
          <w:i/>
          <w:iCs/>
          <w:color w:val="000000"/>
          <w:sz w:val="24"/>
          <w:szCs w:val="24"/>
          <w:lang w:val="en-US"/>
        </w:rPr>
        <w:t>The Institute of Historical Research</w:t>
      </w:r>
      <w:r w:rsidRPr="00846D06">
        <w:rPr>
          <w:rFonts w:asciiTheme="minorHAnsi" w:hAnsiTheme="minorHAnsi" w:cs="Helvetica"/>
          <w:color w:val="000000"/>
          <w:sz w:val="24"/>
          <w:szCs w:val="24"/>
          <w:lang w:val="en-US"/>
        </w:rPr>
        <w:t xml:space="preserve">. Available at: </w:t>
      </w:r>
      <w:hyperlink r:id="rId17" w:history="1">
        <w:r w:rsidRPr="00846D06">
          <w:rPr>
            <w:rFonts w:asciiTheme="minorHAnsi" w:hAnsiTheme="minorHAnsi" w:cs="Helvetica"/>
            <w:color w:val="386573"/>
            <w:sz w:val="24"/>
            <w:szCs w:val="24"/>
            <w:u w:val="single" w:color="386573"/>
            <w:lang w:val="en-US"/>
          </w:rPr>
          <w:t>https://archives.history.ac.uk/makinghistory/resources/articles/teaching_of_history.html</w:t>
        </w:r>
      </w:hyperlink>
      <w:r w:rsidRPr="00846D06">
        <w:rPr>
          <w:rFonts w:asciiTheme="minorHAnsi" w:hAnsiTheme="minorHAnsi" w:cs="Helvetica"/>
          <w:color w:val="000000"/>
          <w:sz w:val="24"/>
          <w:szCs w:val="24"/>
          <w:lang w:val="en-US"/>
        </w:rPr>
        <w:t xml:space="preserve"> (Accessed: 21 November 2025).</w:t>
      </w:r>
    </w:p>
    <w:p w14:paraId="48629B5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Booth, A. and Nicholls, D. (2005) ‘History teaching in Higher Education: breaking down the barriers to progression and dialogue’, </w:t>
      </w:r>
      <w:r w:rsidRPr="00846D06">
        <w:rPr>
          <w:rFonts w:asciiTheme="minorHAnsi" w:hAnsiTheme="minorHAnsi" w:cs="Helvetica"/>
          <w:i/>
          <w:iCs/>
          <w:color w:val="000000"/>
          <w:sz w:val="24"/>
          <w:szCs w:val="24"/>
          <w:lang w:val="en-US"/>
        </w:rPr>
        <w:t>Teaching history in higher education conference</w:t>
      </w:r>
      <w:r w:rsidRPr="00846D06">
        <w:rPr>
          <w:rFonts w:asciiTheme="minorHAnsi" w:hAnsiTheme="minorHAnsi" w:cs="Helvetica"/>
          <w:color w:val="000000"/>
          <w:sz w:val="24"/>
          <w:szCs w:val="24"/>
          <w:lang w:val="en-US"/>
        </w:rPr>
        <w:t xml:space="preserve">. Available at: </w:t>
      </w:r>
      <w:hyperlink r:id="rId18" w:history="1">
        <w:r w:rsidRPr="00846D06">
          <w:rPr>
            <w:rFonts w:asciiTheme="minorHAnsi" w:hAnsiTheme="minorHAnsi" w:cs="Helvetica"/>
            <w:color w:val="386573"/>
            <w:sz w:val="24"/>
            <w:szCs w:val="24"/>
            <w:u w:val="single" w:color="386573"/>
            <w:lang w:val="en-US"/>
          </w:rPr>
          <w:t>https://sas-space.sas.ac.uk/4321/1/History_teaching_in_Higher_Education_breaking_down_the_barriers_to_progression_and_dialogue.pdf</w:t>
        </w:r>
      </w:hyperlink>
      <w:r w:rsidRPr="00846D06">
        <w:rPr>
          <w:rFonts w:asciiTheme="minorHAnsi" w:hAnsiTheme="minorHAnsi" w:cs="Helvetica"/>
          <w:color w:val="000000"/>
          <w:sz w:val="24"/>
          <w:szCs w:val="24"/>
          <w:lang w:val="en-US"/>
        </w:rPr>
        <w:t xml:space="preserve"> (Accessed: 21 November 2025).</w:t>
      </w:r>
    </w:p>
    <w:p w14:paraId="09EE9774"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Brooks, C. and Ryan, A. (2006) </w:t>
      </w:r>
      <w:r w:rsidRPr="00846D06">
        <w:rPr>
          <w:rFonts w:asciiTheme="minorHAnsi" w:hAnsiTheme="minorHAnsi" w:cs="Helvetica"/>
          <w:i/>
          <w:iCs/>
          <w:color w:val="000000"/>
          <w:sz w:val="24"/>
          <w:szCs w:val="24"/>
          <w:lang w:val="en-US"/>
        </w:rPr>
        <w:t>C-SAP/HCA Education for Sustainable Development FINAL REPORT</w:t>
      </w:r>
      <w:r w:rsidRPr="00846D06">
        <w:rPr>
          <w:rFonts w:asciiTheme="minorHAnsi" w:hAnsiTheme="minorHAnsi" w:cs="Helvetica"/>
          <w:color w:val="000000"/>
          <w:sz w:val="24"/>
          <w:szCs w:val="24"/>
          <w:lang w:val="en-US"/>
        </w:rPr>
        <w:t xml:space="preserve">. Higher Education Academy. Available at: </w:t>
      </w:r>
      <w:hyperlink r:id="rId19" w:history="1">
        <w:r w:rsidRPr="00846D06">
          <w:rPr>
            <w:rFonts w:asciiTheme="minorHAnsi" w:hAnsiTheme="minorHAnsi" w:cs="Helvetica"/>
            <w:color w:val="386573"/>
            <w:sz w:val="24"/>
            <w:szCs w:val="24"/>
            <w:u w:val="single" w:color="386573"/>
            <w:lang w:val="en-US"/>
          </w:rPr>
          <w:t>https://warwick.ac.uk/fac/cross_fac/heahistory/resources/br_brooks_esd_200604xx_01.pdf</w:t>
        </w:r>
      </w:hyperlink>
      <w:r w:rsidRPr="00846D06">
        <w:rPr>
          <w:rFonts w:asciiTheme="minorHAnsi" w:hAnsiTheme="minorHAnsi" w:cs="Helvetica"/>
          <w:color w:val="000000"/>
          <w:sz w:val="24"/>
          <w:szCs w:val="24"/>
          <w:lang w:val="en-US"/>
        </w:rPr>
        <w:t xml:space="preserve"> </w:t>
      </w:r>
    </w:p>
    <w:p w14:paraId="2134E2C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Brooks, I., Harrison, L., Reeves, M., Simpson, M. and Wallis, R. (2024) ‘History-enhanced ICT For Sustainability education: Learning together with Business and Computing students’, </w:t>
      </w:r>
      <w:r w:rsidRPr="00846D06">
        <w:rPr>
          <w:rFonts w:asciiTheme="minorHAnsi" w:hAnsiTheme="minorHAnsi" w:cs="Helvetica"/>
          <w:i/>
          <w:iCs/>
          <w:color w:val="000000"/>
          <w:sz w:val="24"/>
          <w:szCs w:val="24"/>
          <w:lang w:val="en-US"/>
        </w:rPr>
        <w:t>2024 10</w:t>
      </w:r>
      <w:r w:rsidRPr="00846D06">
        <w:rPr>
          <w:rFonts w:asciiTheme="minorHAnsi" w:hAnsiTheme="minorHAnsi" w:cs="Helvetica"/>
          <w:i/>
          <w:iCs/>
          <w:color w:val="000000"/>
          <w:sz w:val="24"/>
          <w:szCs w:val="24"/>
          <w:vertAlign w:val="superscript"/>
          <w:lang w:val="en-US"/>
        </w:rPr>
        <w:t>th</w:t>
      </w:r>
      <w:r w:rsidRPr="00846D06">
        <w:rPr>
          <w:rFonts w:asciiTheme="minorHAnsi" w:hAnsiTheme="minorHAnsi" w:cs="Helvetica"/>
          <w:i/>
          <w:iCs/>
          <w:color w:val="000000"/>
          <w:sz w:val="24"/>
          <w:szCs w:val="24"/>
          <w:lang w:val="en-US"/>
        </w:rPr>
        <w:t xml:space="preserve"> International Conference on ICT for Sustainability (ICT4S)</w:t>
      </w:r>
      <w:r w:rsidRPr="00846D06">
        <w:rPr>
          <w:rFonts w:asciiTheme="minorHAnsi" w:hAnsiTheme="minorHAnsi" w:cs="Helvetica"/>
          <w:color w:val="000000"/>
          <w:sz w:val="24"/>
          <w:szCs w:val="24"/>
          <w:lang w:val="en-US"/>
        </w:rPr>
        <w:t xml:space="preserve">, pp.1-12.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10.1109/ict4s64576.2024.00024.</w:t>
      </w:r>
    </w:p>
    <w:p w14:paraId="04EBE70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Brown, S.R. (1993) ‘A Primer on Q Methodology’, </w:t>
      </w:r>
      <w:r w:rsidRPr="00846D06">
        <w:rPr>
          <w:rFonts w:asciiTheme="minorHAnsi" w:hAnsiTheme="minorHAnsi" w:cs="Helvetica"/>
          <w:i/>
          <w:iCs/>
          <w:color w:val="000000"/>
          <w:sz w:val="24"/>
          <w:szCs w:val="24"/>
          <w:lang w:val="en-US"/>
        </w:rPr>
        <w:t>Operant Subjectivity</w:t>
      </w:r>
      <w:r w:rsidRPr="00846D06">
        <w:rPr>
          <w:rFonts w:asciiTheme="minorHAnsi" w:hAnsiTheme="minorHAnsi" w:cs="Helvetica"/>
          <w:color w:val="000000"/>
          <w:sz w:val="24"/>
          <w:szCs w:val="24"/>
          <w:lang w:val="en-US"/>
        </w:rPr>
        <w:t xml:space="preserve">, 16(3/4), pp.91-138.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10.22488/okstate.93.100504</w:t>
      </w:r>
    </w:p>
    <w:p w14:paraId="6909992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Capdevila, R. and Lazard, L. (2008) ‘‘‘Is it just me…?” Q Methodology and Representing the Marginal’, </w:t>
      </w:r>
      <w:r w:rsidRPr="00846D06">
        <w:rPr>
          <w:rFonts w:asciiTheme="minorHAnsi" w:hAnsiTheme="minorHAnsi" w:cs="Helvetica"/>
          <w:i/>
          <w:iCs/>
          <w:color w:val="000000"/>
          <w:sz w:val="24"/>
          <w:szCs w:val="24"/>
          <w:lang w:val="en-US"/>
        </w:rPr>
        <w:t>Operant Subjectivity</w:t>
      </w:r>
      <w:r w:rsidRPr="00846D06">
        <w:rPr>
          <w:rFonts w:asciiTheme="minorHAnsi" w:hAnsiTheme="minorHAnsi" w:cs="Helvetica"/>
          <w:color w:val="000000"/>
          <w:sz w:val="24"/>
          <w:szCs w:val="24"/>
          <w:lang w:val="en-US"/>
        </w:rPr>
        <w:t xml:space="preserve">, 32, pp.70-84.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10.22488/okstate.08.100567</w:t>
      </w:r>
    </w:p>
    <w:p w14:paraId="3045692D"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Cebrián, G., Grace, M. and Humphris, D. (2014) ‘Academic staff engagement in education for sustainable development’, </w:t>
      </w:r>
      <w:r w:rsidRPr="00846D06">
        <w:rPr>
          <w:rFonts w:asciiTheme="minorHAnsi" w:hAnsiTheme="minorHAnsi" w:cs="Helvetica"/>
          <w:i/>
          <w:iCs/>
          <w:color w:val="000000"/>
          <w:sz w:val="24"/>
          <w:szCs w:val="24"/>
          <w:lang w:val="en-US"/>
        </w:rPr>
        <w:t>Journal of Cleaner Production</w:t>
      </w:r>
      <w:r w:rsidRPr="00846D06">
        <w:rPr>
          <w:rFonts w:asciiTheme="minorHAnsi" w:hAnsiTheme="minorHAnsi" w:cs="Helvetica"/>
          <w:color w:val="000000"/>
          <w:sz w:val="24"/>
          <w:szCs w:val="24"/>
          <w:lang w:val="en-US"/>
        </w:rPr>
        <w:t xml:space="preserve">, 106, pp. 79-86.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xml:space="preserve">: </w:t>
      </w:r>
      <w:r w:rsidRPr="00846D06">
        <w:rPr>
          <w:rFonts w:asciiTheme="minorHAnsi" w:hAnsiTheme="minorHAnsi" w:cs="Arial"/>
          <w:color w:val="000000"/>
          <w:sz w:val="24"/>
          <w:szCs w:val="24"/>
          <w:lang w:val="en-US"/>
        </w:rPr>
        <w:t>10.1016/j.jclepro.2014.12.010</w:t>
      </w:r>
    </w:p>
    <w:p w14:paraId="71E0AE6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Chaaban, Y., Alkhateeb, H., Abu-</w:t>
      </w:r>
      <w:proofErr w:type="spellStart"/>
      <w:r w:rsidRPr="00846D06">
        <w:rPr>
          <w:rFonts w:asciiTheme="minorHAnsi" w:hAnsiTheme="minorHAnsi" w:cs="Helvetica"/>
          <w:color w:val="000000"/>
          <w:sz w:val="24"/>
          <w:szCs w:val="24"/>
          <w:lang w:val="en-US"/>
        </w:rPr>
        <w:t>Tineh</w:t>
      </w:r>
      <w:proofErr w:type="spellEnd"/>
      <w:r w:rsidRPr="00846D06">
        <w:rPr>
          <w:rFonts w:asciiTheme="minorHAnsi" w:hAnsiTheme="minorHAnsi" w:cs="Helvetica"/>
          <w:color w:val="000000"/>
          <w:sz w:val="24"/>
          <w:szCs w:val="24"/>
          <w:lang w:val="en-US"/>
        </w:rPr>
        <w:t xml:space="preserve">, A., and Romanowski, M. (2023) ‘Exploring teachers’ perspectives on career development: Q methodology research’, </w:t>
      </w:r>
      <w:r w:rsidRPr="00846D06">
        <w:rPr>
          <w:rFonts w:asciiTheme="minorHAnsi" w:hAnsiTheme="minorHAnsi" w:cs="Helvetica"/>
          <w:i/>
          <w:iCs/>
          <w:color w:val="000000"/>
          <w:sz w:val="24"/>
          <w:szCs w:val="24"/>
          <w:lang w:val="en-US"/>
        </w:rPr>
        <w:t>Teaching and Teacher Education</w:t>
      </w:r>
      <w:r w:rsidRPr="00846D06">
        <w:rPr>
          <w:rFonts w:asciiTheme="minorHAnsi" w:hAnsiTheme="minorHAnsi" w:cs="Helvetica"/>
          <w:color w:val="000000"/>
          <w:sz w:val="24"/>
          <w:szCs w:val="24"/>
          <w:lang w:val="en-US"/>
        </w:rPr>
        <w:t>, 122 (103987).</w:t>
      </w:r>
    </w:p>
    <w:p w14:paraId="5390659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Chalkley, B. and Sterling, S. (2011) ‘Hard Times in Higher Education: The Closure of Subject </w:t>
      </w:r>
      <w:proofErr w:type="spellStart"/>
      <w:r w:rsidRPr="00846D06">
        <w:rPr>
          <w:rFonts w:asciiTheme="minorHAnsi" w:hAnsiTheme="minorHAnsi" w:cs="Helvetica"/>
          <w:color w:val="000000"/>
          <w:sz w:val="24"/>
          <w:szCs w:val="24"/>
          <w:lang w:val="en-US"/>
        </w:rPr>
        <w:t>Centres</w:t>
      </w:r>
      <w:proofErr w:type="spellEnd"/>
      <w:r w:rsidRPr="00846D06">
        <w:rPr>
          <w:rFonts w:asciiTheme="minorHAnsi" w:hAnsiTheme="minorHAnsi" w:cs="Helvetica"/>
          <w:color w:val="000000"/>
          <w:sz w:val="24"/>
          <w:szCs w:val="24"/>
          <w:lang w:val="en-US"/>
        </w:rPr>
        <w:t xml:space="preserve"> and the Implications for Education for Sustainable Development (ESD)’, </w:t>
      </w:r>
      <w:r w:rsidRPr="00846D06">
        <w:rPr>
          <w:rFonts w:asciiTheme="minorHAnsi" w:hAnsiTheme="minorHAnsi" w:cs="Helvetica"/>
          <w:i/>
          <w:iCs/>
          <w:color w:val="000000"/>
          <w:sz w:val="24"/>
          <w:szCs w:val="24"/>
          <w:lang w:val="en-US"/>
        </w:rPr>
        <w:t>Sustainability</w:t>
      </w:r>
      <w:r w:rsidRPr="00846D06">
        <w:rPr>
          <w:rFonts w:asciiTheme="minorHAnsi" w:hAnsiTheme="minorHAnsi" w:cs="Helvetica"/>
          <w:color w:val="000000"/>
          <w:sz w:val="24"/>
          <w:szCs w:val="24"/>
          <w:lang w:val="en-US"/>
        </w:rPr>
        <w:t>, 3(4), pp.666.</w:t>
      </w:r>
    </w:p>
    <w:p w14:paraId="65960B2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Christie, B.A., Miller, K.K., Cooke, R. and White, J.G. (2015) ‘Environmental sustainability in higher education: what do academics think?’ </w:t>
      </w:r>
      <w:r w:rsidRPr="00846D06">
        <w:rPr>
          <w:rFonts w:asciiTheme="minorHAnsi" w:hAnsiTheme="minorHAnsi" w:cs="Helvetica"/>
          <w:i/>
          <w:iCs/>
          <w:color w:val="000000"/>
          <w:sz w:val="24"/>
          <w:szCs w:val="24"/>
          <w:lang w:val="en-US"/>
        </w:rPr>
        <w:t>Environmental Education Research</w:t>
      </w:r>
      <w:r w:rsidRPr="00846D06">
        <w:rPr>
          <w:rFonts w:asciiTheme="minorHAnsi" w:hAnsiTheme="minorHAnsi" w:cs="Helvetica"/>
          <w:color w:val="000000"/>
          <w:sz w:val="24"/>
          <w:szCs w:val="24"/>
          <w:lang w:val="en-US"/>
        </w:rPr>
        <w:t>, 21(5), pp.655-686.</w:t>
      </w:r>
    </w:p>
    <w:p w14:paraId="4837957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Cortese, A.D. and Hattan, A.S. (2010) Research and Solutions: Education for Sustainability as the Mission of Higher Education’, </w:t>
      </w:r>
      <w:r w:rsidRPr="00846D06">
        <w:rPr>
          <w:rFonts w:asciiTheme="minorHAnsi" w:hAnsiTheme="minorHAnsi" w:cs="Helvetica"/>
          <w:i/>
          <w:iCs/>
          <w:color w:val="000000"/>
          <w:sz w:val="24"/>
          <w:szCs w:val="24"/>
          <w:lang w:val="en-US"/>
        </w:rPr>
        <w:t>Sustainability: The Journal of Record</w:t>
      </w:r>
      <w:r w:rsidRPr="00846D06">
        <w:rPr>
          <w:rFonts w:asciiTheme="minorHAnsi" w:hAnsiTheme="minorHAnsi" w:cs="Helvetica"/>
          <w:color w:val="000000"/>
          <w:sz w:val="24"/>
          <w:szCs w:val="24"/>
          <w:lang w:val="en-US"/>
        </w:rPr>
        <w:t xml:space="preserve">, 3(1), pp.48-52.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10.1089/SUS.2009.9802</w:t>
      </w:r>
    </w:p>
    <w:p w14:paraId="176DC11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Cotton, D.R.E., Warren, M.F., Maiboroda, O. and Bailey, I. (2007) ‘Sustainable development, higher education and pedagogy: a study of lecturers’ beliefs and attitudes’, </w:t>
      </w:r>
      <w:r w:rsidRPr="00846D06">
        <w:rPr>
          <w:rFonts w:asciiTheme="minorHAnsi" w:hAnsiTheme="minorHAnsi" w:cs="Helvetica"/>
          <w:i/>
          <w:iCs/>
          <w:color w:val="000000"/>
          <w:sz w:val="24"/>
          <w:szCs w:val="24"/>
          <w:lang w:val="en-US"/>
        </w:rPr>
        <w:t>Environmental Education Research</w:t>
      </w:r>
      <w:r w:rsidRPr="00846D06">
        <w:rPr>
          <w:rFonts w:asciiTheme="minorHAnsi" w:hAnsiTheme="minorHAnsi" w:cs="Helvetica"/>
          <w:color w:val="000000"/>
          <w:sz w:val="24"/>
          <w:szCs w:val="24"/>
          <w:lang w:val="en-US"/>
        </w:rPr>
        <w:t xml:space="preserve">, 13(5), pp.579-597.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10.1080/13504620701659061</w:t>
      </w:r>
    </w:p>
    <w:p w14:paraId="68952E1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Coogan, J. and Herrington, N. (2011) ‘Q methodology: an overview’, </w:t>
      </w:r>
      <w:r w:rsidRPr="00846D06">
        <w:rPr>
          <w:rFonts w:asciiTheme="minorHAnsi" w:hAnsiTheme="minorHAnsi" w:cs="Helvetica"/>
          <w:i/>
          <w:iCs/>
          <w:color w:val="000000"/>
          <w:sz w:val="24"/>
          <w:szCs w:val="24"/>
          <w:lang w:val="en-US"/>
        </w:rPr>
        <w:t>Research in Secondary Teacher Education</w:t>
      </w:r>
      <w:r w:rsidRPr="00846D06">
        <w:rPr>
          <w:rFonts w:asciiTheme="minorHAnsi" w:hAnsiTheme="minorHAnsi" w:cs="Helvetica"/>
          <w:color w:val="000000"/>
          <w:sz w:val="24"/>
          <w:szCs w:val="24"/>
          <w:lang w:val="en-US"/>
        </w:rPr>
        <w:t>, 1(2), pp.24-28.</w:t>
      </w:r>
    </w:p>
    <w:p w14:paraId="3E157AE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Corres, A., Rieckmann, M., </w:t>
      </w:r>
      <w:proofErr w:type="spellStart"/>
      <w:r w:rsidRPr="00846D06">
        <w:rPr>
          <w:rFonts w:asciiTheme="minorHAnsi" w:hAnsiTheme="minorHAnsi" w:cs="Helvetica"/>
          <w:color w:val="000000"/>
          <w:sz w:val="24"/>
          <w:szCs w:val="24"/>
          <w:lang w:val="en-US"/>
        </w:rPr>
        <w:t>Espasa</w:t>
      </w:r>
      <w:proofErr w:type="spellEnd"/>
      <w:r w:rsidRPr="00846D06">
        <w:rPr>
          <w:rFonts w:asciiTheme="minorHAnsi" w:hAnsiTheme="minorHAnsi" w:cs="Helvetica"/>
          <w:color w:val="000000"/>
          <w:sz w:val="24"/>
          <w:szCs w:val="24"/>
          <w:lang w:val="en-US"/>
        </w:rPr>
        <w:t>, A. and Ruiz-</w:t>
      </w:r>
      <w:proofErr w:type="spellStart"/>
      <w:r w:rsidRPr="00846D06">
        <w:rPr>
          <w:rFonts w:asciiTheme="minorHAnsi" w:hAnsiTheme="minorHAnsi" w:cs="Helvetica"/>
          <w:color w:val="000000"/>
          <w:sz w:val="24"/>
          <w:szCs w:val="24"/>
          <w:lang w:val="en-US"/>
        </w:rPr>
        <w:t>mallén</w:t>
      </w:r>
      <w:proofErr w:type="spellEnd"/>
      <w:r w:rsidRPr="00846D06">
        <w:rPr>
          <w:rFonts w:asciiTheme="minorHAnsi" w:hAnsiTheme="minorHAnsi" w:cs="Helvetica"/>
          <w:color w:val="000000"/>
          <w:sz w:val="24"/>
          <w:szCs w:val="24"/>
          <w:lang w:val="en-US"/>
        </w:rPr>
        <w:t xml:space="preserve">, I. (2020) ‘Educator Competences in Sustainability Education: A Systematic Review of Frameworks’, Sustainability, 12, article 9858.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10.3390/su12239858</w:t>
      </w:r>
    </w:p>
    <w:p w14:paraId="5917B36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Creswell, J.W. &amp; Poth, C.N. (2023) </w:t>
      </w:r>
      <w:r w:rsidRPr="00846D06">
        <w:rPr>
          <w:rFonts w:asciiTheme="minorHAnsi" w:hAnsiTheme="minorHAnsi" w:cs="Helvetica"/>
          <w:i/>
          <w:iCs/>
          <w:color w:val="000000"/>
          <w:sz w:val="24"/>
          <w:szCs w:val="24"/>
          <w:lang w:val="en-US"/>
        </w:rPr>
        <w:t xml:space="preserve">Qualitative Inquiry &amp; Research </w:t>
      </w:r>
      <w:proofErr w:type="gramStart"/>
      <w:r w:rsidRPr="00846D06">
        <w:rPr>
          <w:rFonts w:asciiTheme="minorHAnsi" w:hAnsiTheme="minorHAnsi" w:cs="Helvetica"/>
          <w:i/>
          <w:iCs/>
          <w:color w:val="000000"/>
          <w:sz w:val="24"/>
          <w:szCs w:val="24"/>
          <w:lang w:val="en-US"/>
        </w:rPr>
        <w:t>Design :</w:t>
      </w:r>
      <w:proofErr w:type="gramEnd"/>
      <w:r w:rsidRPr="00846D06">
        <w:rPr>
          <w:rFonts w:asciiTheme="minorHAnsi" w:hAnsiTheme="minorHAnsi" w:cs="Helvetica"/>
          <w:i/>
          <w:iCs/>
          <w:color w:val="000000"/>
          <w:sz w:val="24"/>
          <w:szCs w:val="24"/>
          <w:lang w:val="en-US"/>
        </w:rPr>
        <w:t xml:space="preserve"> Choosing</w:t>
      </w:r>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 xml:space="preserve">Among Five Approaches. </w:t>
      </w:r>
      <w:r w:rsidRPr="00846D06">
        <w:rPr>
          <w:rFonts w:asciiTheme="minorHAnsi" w:hAnsiTheme="minorHAnsi" w:cs="Helvetica"/>
          <w:color w:val="000000"/>
          <w:sz w:val="24"/>
          <w:szCs w:val="24"/>
          <w:lang w:val="en-US"/>
        </w:rPr>
        <w:t>5</w:t>
      </w:r>
      <w:r w:rsidRPr="00846D06">
        <w:rPr>
          <w:rFonts w:asciiTheme="minorHAnsi" w:hAnsiTheme="minorHAnsi" w:cs="Helvetica"/>
          <w:color w:val="000000"/>
          <w:sz w:val="24"/>
          <w:szCs w:val="24"/>
          <w:vertAlign w:val="superscript"/>
          <w:lang w:val="en-US"/>
        </w:rPr>
        <w:t>th</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edn</w:t>
      </w:r>
      <w:proofErr w:type="spellEnd"/>
      <w:r w:rsidRPr="00846D06">
        <w:rPr>
          <w:rFonts w:asciiTheme="minorHAnsi" w:hAnsiTheme="minorHAnsi" w:cs="Helvetica"/>
          <w:i/>
          <w:iCs/>
          <w:color w:val="000000"/>
          <w:sz w:val="24"/>
          <w:szCs w:val="24"/>
          <w:lang w:val="en-US"/>
        </w:rPr>
        <w:t xml:space="preserve">. </w:t>
      </w:r>
      <w:r w:rsidRPr="00846D06">
        <w:rPr>
          <w:rFonts w:asciiTheme="minorHAnsi" w:hAnsiTheme="minorHAnsi" w:cs="Helvetica"/>
          <w:color w:val="000000"/>
          <w:sz w:val="24"/>
          <w:szCs w:val="24"/>
          <w:lang w:val="en-US"/>
        </w:rPr>
        <w:t>SAGE.</w:t>
      </w:r>
    </w:p>
    <w:p w14:paraId="7D4A299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Dall’Alba</w:t>
      </w:r>
      <w:proofErr w:type="spellEnd"/>
      <w:r w:rsidRPr="00846D06">
        <w:rPr>
          <w:rFonts w:asciiTheme="minorHAnsi" w:hAnsiTheme="minorHAnsi" w:cs="Helvetica"/>
          <w:color w:val="000000"/>
          <w:sz w:val="24"/>
          <w:szCs w:val="24"/>
          <w:lang w:val="en-US"/>
        </w:rPr>
        <w:t xml:space="preserve">, G. and Barnacle, R. (2007) ‘An ontological turn for higher education’, </w:t>
      </w:r>
      <w:r w:rsidRPr="00846D06">
        <w:rPr>
          <w:rFonts w:asciiTheme="minorHAnsi" w:hAnsiTheme="minorHAnsi" w:cs="Helvetica"/>
          <w:i/>
          <w:iCs/>
          <w:color w:val="000000"/>
          <w:sz w:val="24"/>
          <w:szCs w:val="24"/>
          <w:lang w:val="en-US"/>
        </w:rPr>
        <w:t>Studies in Higher Education</w:t>
      </w:r>
      <w:r w:rsidRPr="00846D06">
        <w:rPr>
          <w:rFonts w:asciiTheme="minorHAnsi" w:hAnsiTheme="minorHAnsi" w:cs="Helvetica"/>
          <w:color w:val="000000"/>
          <w:sz w:val="24"/>
          <w:szCs w:val="24"/>
          <w:lang w:val="en-US"/>
        </w:rPr>
        <w:t xml:space="preserve">, 32(6), pp.679-691.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10.1080/03075070701685130</w:t>
      </w:r>
    </w:p>
    <w:p w14:paraId="212A886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Davis, C.H. (2011) ‘Q Methodology in Audience Research: Bridging the Qualitative/Quantitative ‘Divide’?’, </w:t>
      </w:r>
      <w:r w:rsidRPr="00846D06">
        <w:rPr>
          <w:rFonts w:asciiTheme="minorHAnsi" w:hAnsiTheme="minorHAnsi" w:cs="Helvetica"/>
          <w:i/>
          <w:iCs/>
          <w:color w:val="000000"/>
          <w:sz w:val="24"/>
          <w:szCs w:val="24"/>
          <w:lang w:val="en-US"/>
        </w:rPr>
        <w:t>Journal of Audience &amp; Reception Studies</w:t>
      </w:r>
      <w:r w:rsidRPr="00846D06">
        <w:rPr>
          <w:rFonts w:asciiTheme="minorHAnsi" w:hAnsiTheme="minorHAnsi" w:cs="Helvetica"/>
          <w:color w:val="000000"/>
          <w:sz w:val="24"/>
          <w:szCs w:val="24"/>
          <w:lang w:val="en-US"/>
        </w:rPr>
        <w:t>, 8(2), pp.559-593.</w:t>
      </w:r>
    </w:p>
    <w:p w14:paraId="77BEDB1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Dawe, G., Jucker, R. and Martin, S. (2005) </w:t>
      </w:r>
      <w:r w:rsidRPr="00846D06">
        <w:rPr>
          <w:rFonts w:asciiTheme="minorHAnsi" w:hAnsiTheme="minorHAnsi" w:cs="Helvetica"/>
          <w:i/>
          <w:iCs/>
          <w:color w:val="000000"/>
          <w:sz w:val="24"/>
          <w:szCs w:val="24"/>
          <w:lang w:val="en-US"/>
        </w:rPr>
        <w:t>Sustainable Development in Higher Education: Current Practice and Future Development. A Report for the Higher Education Academy</w:t>
      </w:r>
      <w:r w:rsidRPr="00846D06">
        <w:rPr>
          <w:rFonts w:asciiTheme="minorHAnsi" w:hAnsiTheme="minorHAnsi" w:cs="Helvetica"/>
          <w:color w:val="000000"/>
          <w:sz w:val="24"/>
          <w:szCs w:val="24"/>
          <w:lang w:val="en-US"/>
        </w:rPr>
        <w:t>, Higher Education Academy.</w:t>
      </w:r>
    </w:p>
    <w:p w14:paraId="6FE8B44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Delamont, S., &amp; Atkinson, P. (2021) </w:t>
      </w:r>
      <w:r w:rsidRPr="00846D06">
        <w:rPr>
          <w:rFonts w:asciiTheme="minorHAnsi" w:hAnsiTheme="minorHAnsi" w:cs="Helvetica"/>
          <w:i/>
          <w:iCs/>
          <w:color w:val="000000"/>
          <w:sz w:val="24"/>
          <w:szCs w:val="24"/>
          <w:lang w:val="en-US"/>
        </w:rPr>
        <w:t>Ethnographic Engagements: Encounters with the Familiar and the Strange</w:t>
      </w:r>
      <w:r w:rsidRPr="00846D06">
        <w:rPr>
          <w:rFonts w:asciiTheme="minorHAnsi" w:hAnsiTheme="minorHAnsi" w:cs="Helvetica"/>
          <w:color w:val="000000"/>
          <w:sz w:val="24"/>
          <w:szCs w:val="24"/>
          <w:lang w:val="en-US"/>
        </w:rPr>
        <w:t xml:space="preserve">. Routledge. </w:t>
      </w:r>
    </w:p>
    <w:p w14:paraId="4D58482E"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Dickinson, E.R. (2025) </w:t>
      </w:r>
      <w:r w:rsidRPr="00846D06">
        <w:rPr>
          <w:rFonts w:asciiTheme="minorHAnsi" w:hAnsiTheme="minorHAnsi" w:cs="Helvetica"/>
          <w:i/>
          <w:iCs/>
          <w:color w:val="000000"/>
          <w:sz w:val="24"/>
          <w:szCs w:val="24"/>
          <w:lang w:val="en-US"/>
        </w:rPr>
        <w:t>Teaching History in Higher Education: ethics, aims, methods</w:t>
      </w:r>
      <w:r w:rsidRPr="00846D06">
        <w:rPr>
          <w:rFonts w:asciiTheme="minorHAnsi" w:hAnsiTheme="minorHAnsi" w:cs="Helvetica"/>
          <w:color w:val="000000"/>
          <w:sz w:val="24"/>
          <w:szCs w:val="24"/>
          <w:lang w:val="en-US"/>
        </w:rPr>
        <w:t>. Cambridge University Press.</w:t>
      </w:r>
    </w:p>
    <w:p w14:paraId="4ED5DE75"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Espartinez</w:t>
      </w:r>
      <w:proofErr w:type="spellEnd"/>
      <w:r w:rsidRPr="00846D06">
        <w:rPr>
          <w:rFonts w:asciiTheme="minorHAnsi" w:hAnsiTheme="minorHAnsi" w:cs="Helvetica"/>
          <w:color w:val="000000"/>
          <w:sz w:val="24"/>
          <w:szCs w:val="24"/>
          <w:lang w:val="en-US"/>
        </w:rPr>
        <w:t xml:space="preserve">, A.S. (2024) ‘Exploring student and teacher perceptions of ChatGPT use in higher education: A Q-Methodology study’, </w:t>
      </w:r>
      <w:r w:rsidRPr="00846D06">
        <w:rPr>
          <w:rFonts w:asciiTheme="minorHAnsi" w:hAnsiTheme="minorHAnsi" w:cs="Helvetica"/>
          <w:i/>
          <w:iCs/>
          <w:color w:val="000000"/>
          <w:sz w:val="24"/>
          <w:szCs w:val="24"/>
          <w:lang w:val="en-US"/>
        </w:rPr>
        <w:t>Computers and Education: Artificial Intelligence</w:t>
      </w:r>
      <w:r w:rsidRPr="00846D06">
        <w:rPr>
          <w:rFonts w:asciiTheme="minorHAnsi" w:hAnsiTheme="minorHAnsi" w:cs="Helvetica"/>
          <w:color w:val="000000"/>
          <w:sz w:val="24"/>
          <w:szCs w:val="24"/>
          <w:lang w:val="en-US"/>
        </w:rPr>
        <w:t>, 7(100264).</w:t>
      </w:r>
    </w:p>
    <w:p w14:paraId="7DC40ED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Fahey, S.J. (2018) ‘Curriculum change and climate change: Inside outside pressures in higher education’, in Reid, A. (ed) </w:t>
      </w:r>
      <w:r w:rsidRPr="00846D06">
        <w:rPr>
          <w:rFonts w:asciiTheme="minorHAnsi" w:hAnsiTheme="minorHAnsi" w:cs="Helvetica"/>
          <w:i/>
          <w:iCs/>
          <w:color w:val="000000"/>
          <w:sz w:val="24"/>
          <w:szCs w:val="24"/>
          <w:lang w:val="en-US"/>
        </w:rPr>
        <w:t>Curriculum and Environmental Education</w:t>
      </w:r>
      <w:r w:rsidRPr="00846D06">
        <w:rPr>
          <w:rFonts w:asciiTheme="minorHAnsi" w:hAnsiTheme="minorHAnsi" w:cs="Helvetica"/>
          <w:color w:val="000000"/>
          <w:sz w:val="24"/>
          <w:szCs w:val="24"/>
          <w:lang w:val="en-US"/>
        </w:rPr>
        <w:t>. Routledge.</w:t>
      </w:r>
    </w:p>
    <w:p w14:paraId="657AFE6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Fiselier</w:t>
      </w:r>
      <w:proofErr w:type="spellEnd"/>
      <w:r w:rsidRPr="00846D06">
        <w:rPr>
          <w:rFonts w:asciiTheme="minorHAnsi" w:hAnsiTheme="minorHAnsi" w:cs="Helvetica"/>
          <w:color w:val="000000"/>
          <w:sz w:val="24"/>
          <w:szCs w:val="24"/>
          <w:lang w:val="en-US"/>
        </w:rPr>
        <w:t xml:space="preserve">, E.S., Longhurst, J.W.S., and Gough, G.K. (2017) ‘Exploring the current position of ESD in higher education institutions’, International Journal of Sustainability in Higher Education, 19(2), pp.393-412.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10.1108/IJSHE-06-2017-0084</w:t>
      </w:r>
    </w:p>
    <w:p w14:paraId="3A7E0E8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Goller, A. and Rieckmann, M. ‚What do We Know About Teacher Educators’ Perceptions of Education for Sustainable Development?’ A Systematic Literature Review’, Journal of Teacher Education for Sustainability, 24(1), pp.19-34.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10.2478/jtes-2022-0003</w:t>
      </w:r>
    </w:p>
    <w:p w14:paraId="110046D5"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Harris, K., Henderson, S., and Wink, B. (2019) ‘</w:t>
      </w:r>
      <w:proofErr w:type="spellStart"/>
      <w:r w:rsidRPr="00846D06">
        <w:rPr>
          <w:rFonts w:asciiTheme="minorHAnsi" w:hAnsiTheme="minorHAnsi" w:cs="Helvetica"/>
          <w:color w:val="000000"/>
          <w:sz w:val="24"/>
          <w:szCs w:val="24"/>
          <w:lang w:val="en-US"/>
        </w:rPr>
        <w:t>Mobilising</w:t>
      </w:r>
      <w:proofErr w:type="spellEnd"/>
      <w:r w:rsidRPr="00846D06">
        <w:rPr>
          <w:rFonts w:asciiTheme="minorHAnsi" w:hAnsiTheme="minorHAnsi" w:cs="Helvetica"/>
          <w:color w:val="000000"/>
          <w:sz w:val="24"/>
          <w:szCs w:val="24"/>
          <w:lang w:val="en-US"/>
        </w:rPr>
        <w:t xml:space="preserve"> Q methodology within a realist evaluation: Lessons from an empirical study’, </w:t>
      </w:r>
      <w:r w:rsidRPr="00846D06">
        <w:rPr>
          <w:rFonts w:asciiTheme="minorHAnsi" w:hAnsiTheme="minorHAnsi" w:cs="Helvetica"/>
          <w:i/>
          <w:iCs/>
          <w:color w:val="000000"/>
          <w:sz w:val="24"/>
          <w:szCs w:val="24"/>
          <w:lang w:val="en-US"/>
        </w:rPr>
        <w:t>Evaluation</w:t>
      </w:r>
      <w:r w:rsidRPr="00846D06">
        <w:rPr>
          <w:rFonts w:asciiTheme="minorHAnsi" w:hAnsiTheme="minorHAnsi" w:cs="Helvetica"/>
          <w:color w:val="000000"/>
          <w:sz w:val="24"/>
          <w:szCs w:val="24"/>
          <w:lang w:val="en-US"/>
        </w:rPr>
        <w:t xml:space="preserve">, 25(4), pp.430-448.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10.1177/1356389019841645</w:t>
      </w:r>
    </w:p>
    <w:p w14:paraId="52AA2189"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Janssens, L., </w:t>
      </w:r>
      <w:proofErr w:type="spellStart"/>
      <w:r w:rsidRPr="00846D06">
        <w:rPr>
          <w:rFonts w:asciiTheme="minorHAnsi" w:hAnsiTheme="minorHAnsi" w:cs="Helvetica"/>
          <w:color w:val="000000"/>
          <w:sz w:val="24"/>
          <w:szCs w:val="24"/>
          <w:lang w:val="en-US"/>
        </w:rPr>
        <w:t>Kuppens</w:t>
      </w:r>
      <w:proofErr w:type="spellEnd"/>
      <w:r w:rsidRPr="00846D06">
        <w:rPr>
          <w:rFonts w:asciiTheme="minorHAnsi" w:hAnsiTheme="minorHAnsi" w:cs="Helvetica"/>
          <w:color w:val="000000"/>
          <w:sz w:val="24"/>
          <w:szCs w:val="24"/>
          <w:lang w:val="en-US"/>
        </w:rPr>
        <w:t xml:space="preserve">, T., </w:t>
      </w:r>
      <w:proofErr w:type="spellStart"/>
      <w:r w:rsidRPr="00846D06">
        <w:rPr>
          <w:rFonts w:asciiTheme="minorHAnsi" w:hAnsiTheme="minorHAnsi" w:cs="Helvetica"/>
          <w:color w:val="000000"/>
          <w:sz w:val="24"/>
          <w:szCs w:val="24"/>
          <w:lang w:val="en-US"/>
        </w:rPr>
        <w:t>Mulà</w:t>
      </w:r>
      <w:proofErr w:type="spellEnd"/>
      <w:r w:rsidRPr="00846D06">
        <w:rPr>
          <w:rFonts w:asciiTheme="minorHAnsi" w:hAnsiTheme="minorHAnsi" w:cs="Helvetica"/>
          <w:color w:val="000000"/>
          <w:sz w:val="24"/>
          <w:szCs w:val="24"/>
          <w:lang w:val="en-US"/>
        </w:rPr>
        <w:t xml:space="preserve">, I., </w:t>
      </w:r>
      <w:proofErr w:type="spellStart"/>
      <w:r w:rsidRPr="00846D06">
        <w:rPr>
          <w:rFonts w:asciiTheme="minorHAnsi" w:hAnsiTheme="minorHAnsi" w:cs="Helvetica"/>
          <w:color w:val="000000"/>
          <w:sz w:val="24"/>
          <w:szCs w:val="24"/>
          <w:lang w:val="en-US"/>
        </w:rPr>
        <w:t>Staniskiene</w:t>
      </w:r>
      <w:proofErr w:type="spellEnd"/>
      <w:r w:rsidRPr="00846D06">
        <w:rPr>
          <w:rFonts w:asciiTheme="minorHAnsi" w:hAnsiTheme="minorHAnsi" w:cs="Helvetica"/>
          <w:color w:val="000000"/>
          <w:sz w:val="24"/>
          <w:szCs w:val="24"/>
          <w:lang w:val="en-US"/>
        </w:rPr>
        <w:t xml:space="preserve">, E. and Zimmermann, A. (2022) ‘Do European quality assurance frameworks support integration of transformative learning for sustainable development in higher education?’,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23(8), pp.148-173.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10.1108/IJSHE-07-2021-0273</w:t>
      </w:r>
    </w:p>
    <w:p w14:paraId="63D55B89"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Jones, K. (2020) ‘Greening the past: putting history in its place at the ecological university’,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23(1), pp.58-66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10.1108/ijshe-07-2020-0233</w:t>
      </w:r>
    </w:p>
    <w:p w14:paraId="0B257DA6" w14:textId="77777777" w:rsidR="00846D06" w:rsidRPr="00846D06" w:rsidRDefault="00846D06" w:rsidP="00846D06">
      <w:pPr>
        <w:autoSpaceDE w:val="0"/>
        <w:autoSpaceDN w:val="0"/>
        <w:adjustRightInd w:val="0"/>
        <w:spacing w:after="266" w:line="240" w:lineRule="auto"/>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Kehnel, A. (2024) </w:t>
      </w:r>
      <w:r w:rsidRPr="00846D06">
        <w:rPr>
          <w:rFonts w:asciiTheme="minorHAnsi" w:hAnsiTheme="minorHAnsi" w:cs="Helvetica"/>
          <w:i/>
          <w:iCs/>
          <w:color w:val="000000"/>
          <w:sz w:val="24"/>
          <w:szCs w:val="24"/>
          <w:lang w:val="en-US"/>
        </w:rPr>
        <w:t>The Green Ages.</w:t>
      </w:r>
      <w:r w:rsidRPr="00846D06">
        <w:rPr>
          <w:rFonts w:asciiTheme="minorHAnsi" w:hAnsiTheme="minorHAnsi" w:cs="Helvetica"/>
          <w:color w:val="000000"/>
          <w:sz w:val="24"/>
          <w:szCs w:val="24"/>
          <w:lang w:val="en-US"/>
        </w:rPr>
        <w:t xml:space="preserve"> Profile Books Ltd. </w:t>
      </w:r>
    </w:p>
    <w:p w14:paraId="38520BD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Kemper, J.A., Ballantine, P.W., Hall, C.M. (2020) ‘The role that marketing academics play in advancing sustainability education and research’, Journal of Cleaner Production, 248(119229).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10.1016/j.jclepro.2019.119229</w:t>
      </w:r>
    </w:p>
    <w:p w14:paraId="3E9D1C5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Kingsley, D. (2023) ‘Can generative AI facilitate the research process. It’s complicated’, </w:t>
      </w:r>
      <w:r w:rsidRPr="00846D06">
        <w:rPr>
          <w:rFonts w:asciiTheme="minorHAnsi" w:hAnsiTheme="minorHAnsi" w:cs="Helvetica"/>
          <w:i/>
          <w:iCs/>
          <w:color w:val="000000"/>
          <w:sz w:val="24"/>
          <w:szCs w:val="24"/>
          <w:lang w:val="en-US"/>
        </w:rPr>
        <w:t>College and Research Libraries</w:t>
      </w:r>
      <w:r w:rsidRPr="00846D06">
        <w:rPr>
          <w:rFonts w:asciiTheme="minorHAnsi" w:hAnsiTheme="minorHAnsi" w:cs="Helvetica"/>
          <w:color w:val="000000"/>
          <w:sz w:val="24"/>
          <w:szCs w:val="24"/>
          <w:lang w:val="en-US"/>
        </w:rPr>
        <w:t xml:space="preserve">, 84(9).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10.5860/crln.84.9.342</w:t>
      </w:r>
    </w:p>
    <w:p w14:paraId="2C54D1EE"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Krznaric</w:t>
      </w:r>
      <w:proofErr w:type="spellEnd"/>
      <w:r w:rsidRPr="00846D06">
        <w:rPr>
          <w:rFonts w:asciiTheme="minorHAnsi" w:hAnsiTheme="minorHAnsi" w:cs="Helvetica"/>
          <w:color w:val="000000"/>
          <w:sz w:val="24"/>
          <w:szCs w:val="24"/>
          <w:lang w:val="en-US"/>
        </w:rPr>
        <w:t xml:space="preserve">, R. (2024) </w:t>
      </w:r>
      <w:r w:rsidRPr="00846D06">
        <w:rPr>
          <w:rFonts w:asciiTheme="minorHAnsi" w:hAnsiTheme="minorHAnsi" w:cs="Helvetica"/>
          <w:i/>
          <w:iCs/>
          <w:color w:val="000000"/>
          <w:sz w:val="24"/>
          <w:szCs w:val="24"/>
          <w:lang w:val="en-US"/>
        </w:rPr>
        <w:t>History for Tomorrow: Inspiration from the Past for the Future of Humanity</w:t>
      </w:r>
      <w:r w:rsidRPr="00846D06">
        <w:rPr>
          <w:rFonts w:asciiTheme="minorHAnsi" w:hAnsiTheme="minorHAnsi" w:cs="Helvetica"/>
          <w:color w:val="000000"/>
          <w:sz w:val="24"/>
          <w:szCs w:val="24"/>
          <w:lang w:val="en-US"/>
        </w:rPr>
        <w:t>. Penguin.</w:t>
      </w:r>
    </w:p>
    <w:p w14:paraId="4D06644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Lazzarini, B. and Pérez-Foguet, A. (2018) ‘Profiling research of the engineering academics who successfully promote education in Sustainable Human Development’, Journal of Cleaner Production, 172, pp.4239-4253.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10.1016/j.jclepro.2017.08.234</w:t>
      </w:r>
    </w:p>
    <w:p w14:paraId="09413F2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Lozano, R. (2006) ‘Incorporation and institutionalization of SD into universities: breaking through barriers to change’, </w:t>
      </w:r>
      <w:r w:rsidRPr="00846D06">
        <w:rPr>
          <w:rFonts w:asciiTheme="minorHAnsi" w:hAnsiTheme="minorHAnsi" w:cs="Helvetica"/>
          <w:i/>
          <w:iCs/>
          <w:color w:val="000000"/>
          <w:sz w:val="24"/>
          <w:szCs w:val="24"/>
          <w:lang w:val="en-US"/>
        </w:rPr>
        <w:t>Journal of Cleaner Production</w:t>
      </w:r>
      <w:r w:rsidRPr="00846D06">
        <w:rPr>
          <w:rFonts w:asciiTheme="minorHAnsi" w:hAnsiTheme="minorHAnsi" w:cs="Helvetica"/>
          <w:color w:val="000000"/>
          <w:sz w:val="24"/>
          <w:szCs w:val="24"/>
          <w:lang w:val="en-US"/>
        </w:rPr>
        <w:t>, 14(9-11), pp.787-796).</w:t>
      </w:r>
    </w:p>
    <w:p w14:paraId="2720625B"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Lundberg, A., de Leeuw, R. and Aliani, R. (2020) ‘Using Q methodology: Sorting out subjectivity in educational research’, </w:t>
      </w:r>
      <w:r w:rsidRPr="00846D06">
        <w:rPr>
          <w:rFonts w:asciiTheme="minorHAnsi" w:hAnsiTheme="minorHAnsi" w:cs="Helvetica"/>
          <w:i/>
          <w:iCs/>
          <w:color w:val="000000"/>
          <w:sz w:val="24"/>
          <w:szCs w:val="24"/>
          <w:lang w:val="en-US"/>
        </w:rPr>
        <w:t>Educational Research Review</w:t>
      </w:r>
      <w:r w:rsidRPr="00846D06">
        <w:rPr>
          <w:rFonts w:asciiTheme="minorHAnsi" w:hAnsiTheme="minorHAnsi" w:cs="Helvetica"/>
          <w:color w:val="000000"/>
          <w:sz w:val="24"/>
          <w:szCs w:val="24"/>
          <w:lang w:val="en-US"/>
        </w:rPr>
        <w:t>, 31(100361).</w:t>
      </w:r>
    </w:p>
    <w:p w14:paraId="206A16D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Lutfallah</w:t>
      </w:r>
      <w:proofErr w:type="spellEnd"/>
      <w:r w:rsidRPr="00846D06">
        <w:rPr>
          <w:rFonts w:asciiTheme="minorHAnsi" w:hAnsiTheme="minorHAnsi" w:cs="Helvetica"/>
          <w:color w:val="000000"/>
          <w:sz w:val="24"/>
          <w:szCs w:val="24"/>
          <w:lang w:val="en-US"/>
        </w:rPr>
        <w:t xml:space="preserve">, S. and Buchanan, L. (no date) </w:t>
      </w:r>
      <w:r w:rsidRPr="00846D06">
        <w:rPr>
          <w:rFonts w:asciiTheme="minorHAnsi" w:hAnsiTheme="minorHAnsi" w:cs="Helvetica"/>
          <w:i/>
          <w:iCs/>
          <w:color w:val="000000"/>
          <w:sz w:val="24"/>
          <w:szCs w:val="24"/>
          <w:lang w:val="en-US"/>
        </w:rPr>
        <w:t>Q Method Software</w:t>
      </w:r>
      <w:r w:rsidRPr="00846D06">
        <w:rPr>
          <w:rFonts w:asciiTheme="minorHAnsi" w:hAnsiTheme="minorHAnsi" w:cs="Helvetica"/>
          <w:color w:val="000000"/>
          <w:sz w:val="24"/>
          <w:szCs w:val="24"/>
          <w:lang w:val="en-US"/>
        </w:rPr>
        <w:t xml:space="preserve">. Available at: </w:t>
      </w:r>
      <w:hyperlink r:id="rId20" w:history="1">
        <w:r w:rsidRPr="00846D06">
          <w:rPr>
            <w:rFonts w:asciiTheme="minorHAnsi" w:hAnsiTheme="minorHAnsi" w:cs="Helvetica"/>
            <w:color w:val="386573"/>
            <w:sz w:val="24"/>
            <w:szCs w:val="24"/>
            <w:u w:val="single" w:color="386573"/>
            <w:lang w:val="en-US"/>
          </w:rPr>
          <w:t>https://qmethodsoftware.com</w:t>
        </w:r>
      </w:hyperlink>
      <w:r w:rsidRPr="00846D06">
        <w:rPr>
          <w:rFonts w:asciiTheme="minorHAnsi" w:hAnsiTheme="minorHAnsi" w:cs="Helvetica"/>
          <w:color w:val="000000"/>
          <w:sz w:val="24"/>
          <w:szCs w:val="24"/>
          <w:lang w:val="en-US"/>
        </w:rPr>
        <w:t xml:space="preserve"> (Accessed: 28 November 2025).</w:t>
      </w:r>
    </w:p>
    <w:p w14:paraId="20FA675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Mair, S. and Druckman, A. (2022) </w:t>
      </w:r>
      <w:r w:rsidRPr="00846D06">
        <w:rPr>
          <w:rFonts w:asciiTheme="minorHAnsi" w:hAnsiTheme="minorHAnsi" w:cs="Helvetica"/>
          <w:i/>
          <w:iCs/>
          <w:color w:val="000000"/>
          <w:sz w:val="24"/>
          <w:szCs w:val="24"/>
          <w:lang w:val="en-US"/>
        </w:rPr>
        <w:t>WP36 – embedding sustainability in higher education</w:t>
      </w:r>
      <w:r w:rsidRPr="00846D06">
        <w:rPr>
          <w:rFonts w:asciiTheme="minorHAnsi" w:hAnsiTheme="minorHAnsi" w:cs="Helvetica"/>
          <w:color w:val="000000"/>
          <w:sz w:val="24"/>
          <w:szCs w:val="24"/>
          <w:lang w:val="en-US"/>
        </w:rPr>
        <w:t xml:space="preserve">. Centre for the Understanding of Sustainable Prosperity. Available at: </w:t>
      </w:r>
      <w:hyperlink r:id="rId21" w:history="1">
        <w:r w:rsidRPr="00846D06">
          <w:rPr>
            <w:rFonts w:asciiTheme="minorHAnsi" w:hAnsiTheme="minorHAnsi" w:cs="Helvetica"/>
            <w:color w:val="386573"/>
            <w:sz w:val="24"/>
            <w:szCs w:val="24"/>
            <w:u w:val="single" w:color="386573"/>
            <w:lang w:val="en-US"/>
          </w:rPr>
          <w:t>https://cusp.ac.uk/wp-content/uploads/WP36%E2%80%94embedding-sustainability-in-higher-education.pdf</w:t>
        </w:r>
      </w:hyperlink>
      <w:r w:rsidRPr="00846D06">
        <w:rPr>
          <w:rFonts w:asciiTheme="minorHAnsi" w:hAnsiTheme="minorHAnsi" w:cs="Helvetica"/>
          <w:color w:val="000000"/>
          <w:sz w:val="24"/>
          <w:szCs w:val="24"/>
          <w:lang w:val="en-US"/>
        </w:rPr>
        <w:t xml:space="preserve"> (Accessed: 14 November 2025).</w:t>
      </w:r>
    </w:p>
    <w:p w14:paraId="415BEB92" w14:textId="77777777" w:rsidR="00846D06" w:rsidRPr="00846D06" w:rsidRDefault="00846D06" w:rsidP="00846D06">
      <w:pPr>
        <w:autoSpaceDE w:val="0"/>
        <w:autoSpaceDN w:val="0"/>
        <w:adjustRightInd w:val="0"/>
        <w:spacing w:after="266" w:line="480" w:lineRule="atLeast"/>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McKeown, B. F., Thomas, D. B. (2013) </w:t>
      </w:r>
      <w:r w:rsidRPr="00846D06">
        <w:rPr>
          <w:rFonts w:asciiTheme="minorHAnsi" w:hAnsiTheme="minorHAnsi" w:cs="Helvetica"/>
          <w:i/>
          <w:iCs/>
          <w:color w:val="000000"/>
          <w:sz w:val="24"/>
          <w:szCs w:val="24"/>
          <w:lang w:val="en-US"/>
        </w:rPr>
        <w:t>Q Methodology</w:t>
      </w:r>
      <w:r w:rsidRPr="00846D06">
        <w:rPr>
          <w:rFonts w:asciiTheme="minorHAnsi" w:hAnsiTheme="minorHAnsi" w:cs="Helvetica"/>
          <w:color w:val="000000"/>
          <w:sz w:val="24"/>
          <w:szCs w:val="24"/>
          <w:lang w:val="en-US"/>
        </w:rPr>
        <w:t>, United States: SAGE Publications.</w:t>
      </w:r>
    </w:p>
    <w:p w14:paraId="7E690DE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Mollick, E. (2024) </w:t>
      </w:r>
      <w:r w:rsidRPr="00846D06">
        <w:rPr>
          <w:rFonts w:asciiTheme="minorHAnsi" w:hAnsiTheme="minorHAnsi" w:cs="Helvetica"/>
          <w:i/>
          <w:iCs/>
          <w:color w:val="000000"/>
          <w:sz w:val="24"/>
          <w:szCs w:val="24"/>
          <w:lang w:val="en-US"/>
        </w:rPr>
        <w:t>Co-Intelligence: living and working with AI</w:t>
      </w:r>
      <w:r w:rsidRPr="00846D06">
        <w:rPr>
          <w:rFonts w:asciiTheme="minorHAnsi" w:hAnsiTheme="minorHAnsi" w:cs="Helvetica"/>
          <w:color w:val="000000"/>
          <w:sz w:val="24"/>
          <w:szCs w:val="24"/>
          <w:lang w:val="en-US"/>
        </w:rPr>
        <w:t>.  WH Allen.</w:t>
      </w:r>
    </w:p>
    <w:p w14:paraId="1F46B31B"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Punch, K.F. and Oancea, A. (2014) </w:t>
      </w:r>
      <w:r w:rsidRPr="00846D06">
        <w:rPr>
          <w:rFonts w:asciiTheme="minorHAnsi" w:hAnsiTheme="minorHAnsi" w:cs="Helvetica"/>
          <w:i/>
          <w:iCs/>
          <w:color w:val="000000"/>
          <w:sz w:val="24"/>
          <w:szCs w:val="24"/>
          <w:lang w:val="en-US"/>
        </w:rPr>
        <w:t>Introduction to Research Methods in Education</w:t>
      </w:r>
      <w:r w:rsidRPr="00846D06">
        <w:rPr>
          <w:rFonts w:asciiTheme="minorHAnsi" w:hAnsiTheme="minorHAnsi" w:cs="Helvetica"/>
          <w:color w:val="000000"/>
          <w:sz w:val="24"/>
          <w:szCs w:val="24"/>
          <w:lang w:val="en-US"/>
        </w:rPr>
        <w:t>. 2</w:t>
      </w:r>
      <w:r w:rsidRPr="00846D06">
        <w:rPr>
          <w:rFonts w:asciiTheme="minorHAnsi" w:hAnsiTheme="minorHAnsi" w:cs="Helvetica"/>
          <w:color w:val="000000"/>
          <w:sz w:val="24"/>
          <w:szCs w:val="24"/>
          <w:vertAlign w:val="superscript"/>
          <w:lang w:val="en-US"/>
        </w:rPr>
        <w:t>nd</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edn</w:t>
      </w:r>
      <w:proofErr w:type="spellEnd"/>
      <w:r w:rsidRPr="00846D06">
        <w:rPr>
          <w:rFonts w:asciiTheme="minorHAnsi" w:hAnsiTheme="minorHAnsi" w:cs="Helvetica"/>
          <w:color w:val="000000"/>
          <w:sz w:val="24"/>
          <w:szCs w:val="24"/>
          <w:lang w:val="en-US"/>
        </w:rPr>
        <w:t>. SAGE.</w:t>
      </w:r>
    </w:p>
    <w:p w14:paraId="7651CD06"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Q-Assessor (no date) </w:t>
      </w:r>
      <w:r w:rsidRPr="00846D06">
        <w:rPr>
          <w:rFonts w:asciiTheme="minorHAnsi" w:hAnsiTheme="minorHAnsi" w:cs="Helvetica"/>
          <w:i/>
          <w:iCs/>
          <w:color w:val="000000"/>
          <w:sz w:val="24"/>
          <w:szCs w:val="24"/>
          <w:lang w:val="en-US"/>
        </w:rPr>
        <w:t>Q-Assessor</w:t>
      </w:r>
      <w:r w:rsidRPr="00846D06">
        <w:rPr>
          <w:rFonts w:asciiTheme="minorHAnsi" w:hAnsiTheme="minorHAnsi" w:cs="Helvetica"/>
          <w:color w:val="000000"/>
          <w:sz w:val="24"/>
          <w:szCs w:val="24"/>
          <w:lang w:val="en-US"/>
        </w:rPr>
        <w:t xml:space="preserve">. Available at: </w:t>
      </w:r>
      <w:hyperlink r:id="rId22" w:history="1">
        <w:r w:rsidRPr="00846D06">
          <w:rPr>
            <w:rFonts w:asciiTheme="minorHAnsi" w:hAnsiTheme="minorHAnsi" w:cs="Helvetica"/>
            <w:color w:val="386573"/>
            <w:sz w:val="24"/>
            <w:szCs w:val="24"/>
            <w:u w:val="single" w:color="386573"/>
            <w:lang w:val="en-US"/>
          </w:rPr>
          <w:t>https://q-assessor.com</w:t>
        </w:r>
      </w:hyperlink>
      <w:r w:rsidRPr="00846D06">
        <w:rPr>
          <w:rFonts w:asciiTheme="minorHAnsi" w:hAnsiTheme="minorHAnsi" w:cs="Helvetica"/>
          <w:color w:val="000000"/>
          <w:sz w:val="24"/>
          <w:szCs w:val="24"/>
          <w:lang w:val="en-US"/>
        </w:rPr>
        <w:t xml:space="preserve"> (Accessed: 28 November 2025).</w:t>
      </w:r>
    </w:p>
    <w:p w14:paraId="3B33648D"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Quality Assurance Agency for Higher Education (n.d.) </w:t>
      </w:r>
      <w:r w:rsidRPr="00846D06">
        <w:rPr>
          <w:rFonts w:asciiTheme="minorHAnsi" w:hAnsiTheme="minorHAnsi" w:cs="Helvetica"/>
          <w:i/>
          <w:iCs/>
          <w:color w:val="000000"/>
          <w:sz w:val="24"/>
          <w:szCs w:val="24"/>
          <w:lang w:val="en-US"/>
        </w:rPr>
        <w:t>Subject Benchmark Statements</w:t>
      </w:r>
      <w:r w:rsidRPr="00846D06">
        <w:rPr>
          <w:rFonts w:asciiTheme="minorHAnsi" w:hAnsiTheme="minorHAnsi" w:cs="Helvetica"/>
          <w:color w:val="000000"/>
          <w:sz w:val="24"/>
          <w:szCs w:val="24"/>
          <w:lang w:val="en-US"/>
        </w:rPr>
        <w:t xml:space="preserve">. Available at: </w:t>
      </w:r>
      <w:hyperlink r:id="rId23" w:history="1">
        <w:r w:rsidRPr="00846D06">
          <w:rPr>
            <w:rFonts w:asciiTheme="minorHAnsi" w:hAnsiTheme="minorHAnsi" w:cs="Helvetica"/>
            <w:color w:val="386573"/>
            <w:sz w:val="24"/>
            <w:szCs w:val="24"/>
            <w:u w:val="single" w:color="386573"/>
            <w:lang w:val="en-US"/>
          </w:rPr>
          <w:t>https://www.qaa.ac.uk/the-quality-code/subject-benchmark-statements</w:t>
        </w:r>
      </w:hyperlink>
      <w:r w:rsidRPr="00846D06">
        <w:rPr>
          <w:rFonts w:asciiTheme="minorHAnsi" w:hAnsiTheme="minorHAnsi" w:cs="Helvetica"/>
          <w:color w:val="000000"/>
          <w:sz w:val="24"/>
          <w:szCs w:val="24"/>
          <w:lang w:val="en-US"/>
        </w:rPr>
        <w:t xml:space="preserve"> (Accessed 17 October 2025). </w:t>
      </w:r>
    </w:p>
    <w:p w14:paraId="3DA55B5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Quality Assurance Agency for Higher Education (2022) </w:t>
      </w:r>
      <w:r w:rsidRPr="00846D06">
        <w:rPr>
          <w:rFonts w:asciiTheme="minorHAnsi" w:hAnsiTheme="minorHAnsi" w:cs="Helvetica"/>
          <w:i/>
          <w:iCs/>
          <w:color w:val="000000"/>
          <w:sz w:val="24"/>
          <w:szCs w:val="24"/>
          <w:lang w:val="en-US"/>
        </w:rPr>
        <w:t>Subject Benchmark Statement. History</w:t>
      </w:r>
      <w:r w:rsidRPr="00846D06">
        <w:rPr>
          <w:rFonts w:asciiTheme="minorHAnsi" w:hAnsiTheme="minorHAnsi" w:cs="Helvetica"/>
          <w:color w:val="000000"/>
          <w:sz w:val="24"/>
          <w:szCs w:val="24"/>
          <w:lang w:val="en-US"/>
        </w:rPr>
        <w:t xml:space="preserve">. Available at: </w:t>
      </w:r>
      <w:hyperlink r:id="rId24" w:history="1">
        <w:r w:rsidRPr="00846D06">
          <w:rPr>
            <w:rFonts w:asciiTheme="minorHAnsi" w:hAnsiTheme="minorHAnsi" w:cs="Helvetica"/>
            <w:color w:val="386573"/>
            <w:sz w:val="24"/>
            <w:szCs w:val="24"/>
            <w:u w:val="single" w:color="386573"/>
            <w:lang w:val="en-US"/>
          </w:rPr>
          <w:t>https://www.qaa.ac.uk/the-quality-code/subject-benchmark-statements/history</w:t>
        </w:r>
      </w:hyperlink>
      <w:r w:rsidRPr="00846D06">
        <w:rPr>
          <w:rFonts w:asciiTheme="minorHAnsi" w:hAnsiTheme="minorHAnsi" w:cs="Helvetica"/>
          <w:color w:val="000000"/>
          <w:sz w:val="24"/>
          <w:szCs w:val="24"/>
          <w:lang w:val="en-US"/>
        </w:rPr>
        <w:t xml:space="preserve"> (Accessed 10 November 2025). </w:t>
      </w:r>
    </w:p>
    <w:p w14:paraId="0BAE554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Ramlo, S. and Newman, I. (2011) ‘Q Methodology and Its Position in the Mixed-Methods Continuum’, </w:t>
      </w:r>
      <w:r w:rsidRPr="00846D06">
        <w:rPr>
          <w:rFonts w:asciiTheme="minorHAnsi" w:hAnsiTheme="minorHAnsi" w:cs="Helvetica"/>
          <w:i/>
          <w:iCs/>
          <w:color w:val="000000"/>
          <w:sz w:val="24"/>
          <w:szCs w:val="24"/>
          <w:lang w:val="en-US"/>
        </w:rPr>
        <w:t>Operant Subjectivity</w:t>
      </w:r>
      <w:r w:rsidRPr="00846D06">
        <w:rPr>
          <w:rFonts w:asciiTheme="minorHAnsi" w:hAnsiTheme="minorHAnsi" w:cs="Helvetica"/>
          <w:color w:val="000000"/>
          <w:sz w:val="24"/>
          <w:szCs w:val="24"/>
          <w:lang w:val="en-US"/>
        </w:rPr>
        <w:t xml:space="preserve">, pp. 172-191.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10.22488/okstate.11.100594</w:t>
      </w:r>
    </w:p>
    <w:p w14:paraId="3A0A4681"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Ramlo, S. (2012) ‘Determining Faculty and Student Views: Applications of Q Methodology in Higher Education’, </w:t>
      </w:r>
      <w:r w:rsidRPr="00846D06">
        <w:rPr>
          <w:rFonts w:asciiTheme="minorHAnsi" w:hAnsiTheme="minorHAnsi" w:cs="Helvetica"/>
          <w:i/>
          <w:iCs/>
          <w:color w:val="000000"/>
          <w:sz w:val="24"/>
          <w:szCs w:val="24"/>
          <w:lang w:val="en-US"/>
        </w:rPr>
        <w:t>Journal of Research in Education</w:t>
      </w:r>
      <w:r w:rsidRPr="00846D06">
        <w:rPr>
          <w:rFonts w:asciiTheme="minorHAnsi" w:hAnsiTheme="minorHAnsi" w:cs="Helvetica"/>
          <w:color w:val="000000"/>
          <w:sz w:val="24"/>
          <w:szCs w:val="24"/>
          <w:lang w:val="en-US"/>
        </w:rPr>
        <w:t>, 22(1), pp. 86-107.</w:t>
      </w:r>
    </w:p>
    <w:p w14:paraId="373FA82B"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Ramlo, S. (2023) ‘Using Q methodology in health sciences education to study subjectivity’, </w:t>
      </w:r>
      <w:r w:rsidRPr="00846D06">
        <w:rPr>
          <w:rFonts w:asciiTheme="minorHAnsi" w:hAnsiTheme="minorHAnsi" w:cs="Helvetica"/>
          <w:i/>
          <w:iCs/>
          <w:color w:val="000000"/>
          <w:sz w:val="24"/>
          <w:szCs w:val="24"/>
          <w:lang w:val="en-US"/>
        </w:rPr>
        <w:t>Advances in Health Sciences Education</w:t>
      </w:r>
      <w:r w:rsidRPr="00846D06">
        <w:rPr>
          <w:rFonts w:asciiTheme="minorHAnsi" w:hAnsiTheme="minorHAnsi" w:cs="Helvetica"/>
          <w:color w:val="000000"/>
          <w:sz w:val="24"/>
          <w:szCs w:val="24"/>
          <w:lang w:val="en-US"/>
        </w:rPr>
        <w:t xml:space="preserve">, 28, pp.1711-1722.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10.1007/s10459-023-10214-1</w:t>
      </w:r>
    </w:p>
    <w:p w14:paraId="20234347"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Reid, A. and </w:t>
      </w:r>
      <w:proofErr w:type="spellStart"/>
      <w:r w:rsidRPr="00846D06">
        <w:rPr>
          <w:rFonts w:asciiTheme="minorHAnsi" w:hAnsiTheme="minorHAnsi" w:cs="Helvetica"/>
          <w:color w:val="000000"/>
          <w:sz w:val="24"/>
          <w:szCs w:val="24"/>
          <w:lang w:val="en-US"/>
        </w:rPr>
        <w:t>Petocz</w:t>
      </w:r>
      <w:proofErr w:type="spellEnd"/>
      <w:r w:rsidRPr="00846D06">
        <w:rPr>
          <w:rFonts w:asciiTheme="minorHAnsi" w:hAnsiTheme="minorHAnsi" w:cs="Helvetica"/>
          <w:color w:val="000000"/>
          <w:sz w:val="24"/>
          <w:szCs w:val="24"/>
          <w:lang w:val="en-US"/>
        </w:rPr>
        <w:t xml:space="preserve">, P. (2006) ‘University Lecturers’ Understanding of Sustainability’, </w:t>
      </w:r>
      <w:r w:rsidRPr="00846D06">
        <w:rPr>
          <w:rFonts w:asciiTheme="minorHAnsi" w:hAnsiTheme="minorHAnsi" w:cs="Helvetica"/>
          <w:i/>
          <w:iCs/>
          <w:color w:val="000000"/>
          <w:sz w:val="24"/>
          <w:szCs w:val="24"/>
          <w:lang w:val="en-US"/>
        </w:rPr>
        <w:t>Higher Education</w:t>
      </w:r>
      <w:r w:rsidRPr="00846D06">
        <w:rPr>
          <w:rFonts w:asciiTheme="minorHAnsi" w:hAnsiTheme="minorHAnsi" w:cs="Helvetica"/>
          <w:color w:val="000000"/>
          <w:sz w:val="24"/>
          <w:szCs w:val="24"/>
          <w:lang w:val="en-US"/>
        </w:rPr>
        <w:t>. 51(1), pp.105-123.</w:t>
      </w:r>
    </w:p>
    <w:p w14:paraId="03D8C37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Robbins, P., and Krueger, R. (2000) ‘Beyond Bias? The Promise and Limits of Q Method in Human Geography’, </w:t>
      </w:r>
      <w:r w:rsidRPr="00846D06">
        <w:rPr>
          <w:rFonts w:asciiTheme="minorHAnsi" w:hAnsiTheme="minorHAnsi" w:cs="Helvetica"/>
          <w:i/>
          <w:iCs/>
          <w:color w:val="000000"/>
          <w:sz w:val="24"/>
          <w:szCs w:val="24"/>
          <w:lang w:val="en-US"/>
        </w:rPr>
        <w:t>The Professional Geographer</w:t>
      </w:r>
      <w:r w:rsidRPr="00846D06">
        <w:rPr>
          <w:rFonts w:asciiTheme="minorHAnsi" w:hAnsiTheme="minorHAnsi" w:cs="Helvetica"/>
          <w:color w:val="000000"/>
          <w:sz w:val="24"/>
          <w:szCs w:val="24"/>
          <w:lang w:val="en-US"/>
        </w:rPr>
        <w:t xml:space="preserve">, 52(4), pp.636–648.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10.1111/0033-0124.00252</w:t>
      </w:r>
    </w:p>
    <w:p w14:paraId="2DCFDA24"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Ryan, A. and Tilbury, D. (2013) ‘Unchartered waters: voyages for Education for Sustainable Development in the higher education curriculum’, </w:t>
      </w:r>
      <w:r w:rsidRPr="00846D06">
        <w:rPr>
          <w:rFonts w:asciiTheme="minorHAnsi" w:hAnsiTheme="minorHAnsi" w:cs="Helvetica"/>
          <w:i/>
          <w:iCs/>
          <w:color w:val="000000"/>
          <w:sz w:val="24"/>
          <w:szCs w:val="24"/>
          <w:lang w:val="en-US"/>
        </w:rPr>
        <w:t>The Curriculum Journal</w:t>
      </w:r>
      <w:r w:rsidRPr="00846D06">
        <w:rPr>
          <w:rFonts w:asciiTheme="minorHAnsi" w:hAnsiTheme="minorHAnsi" w:cs="Helvetica"/>
          <w:color w:val="000000"/>
          <w:sz w:val="24"/>
          <w:szCs w:val="24"/>
          <w:lang w:val="en-US"/>
        </w:rPr>
        <w:t xml:space="preserve">, 24(2), pp.272-294.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10.1080/09585176.2013.779287</w:t>
      </w:r>
    </w:p>
    <w:p w14:paraId="19F0611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Salman, H.A., Ahmad, M.A., Ibrahim, R. and Mahmood, J. (2025) ‘Systematic analysis of generative AI tools integration in academic research and peer review’, </w:t>
      </w:r>
      <w:r w:rsidRPr="00846D06">
        <w:rPr>
          <w:rFonts w:asciiTheme="minorHAnsi" w:hAnsiTheme="minorHAnsi" w:cs="Helvetica"/>
          <w:i/>
          <w:iCs/>
          <w:color w:val="000000"/>
          <w:sz w:val="24"/>
          <w:szCs w:val="24"/>
          <w:lang w:val="en-US"/>
        </w:rPr>
        <w:t>Online Journal of Communication and Media Technologies</w:t>
      </w:r>
      <w:r w:rsidRPr="00846D06">
        <w:rPr>
          <w:rFonts w:asciiTheme="minorHAnsi" w:hAnsiTheme="minorHAnsi" w:cs="Helvetica"/>
          <w:color w:val="000000"/>
          <w:sz w:val="24"/>
          <w:szCs w:val="24"/>
          <w:lang w:val="en-US"/>
        </w:rPr>
        <w:t xml:space="preserve">, 15(1), Article e202502.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10.30935/</w:t>
      </w:r>
      <w:proofErr w:type="spellStart"/>
      <w:r w:rsidRPr="00846D06">
        <w:rPr>
          <w:rFonts w:asciiTheme="minorHAnsi" w:hAnsiTheme="minorHAnsi" w:cs="Helvetica"/>
          <w:color w:val="000000"/>
          <w:sz w:val="24"/>
          <w:szCs w:val="24"/>
          <w:lang w:val="en-US"/>
        </w:rPr>
        <w:t>ojcmt</w:t>
      </w:r>
      <w:proofErr w:type="spellEnd"/>
      <w:r w:rsidRPr="00846D06">
        <w:rPr>
          <w:rFonts w:asciiTheme="minorHAnsi" w:hAnsiTheme="minorHAnsi" w:cs="Helvetica"/>
          <w:color w:val="000000"/>
          <w:sz w:val="24"/>
          <w:szCs w:val="24"/>
          <w:lang w:val="en-US"/>
        </w:rPr>
        <w:t>/15832</w:t>
      </w:r>
    </w:p>
    <w:p w14:paraId="35CA3455"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Sandling, J. (n.d.) </w:t>
      </w:r>
      <w:r w:rsidRPr="00846D06">
        <w:rPr>
          <w:rFonts w:asciiTheme="minorHAnsi" w:hAnsiTheme="minorHAnsi" w:cs="Helvetica"/>
          <w:i/>
          <w:iCs/>
          <w:color w:val="000000"/>
          <w:sz w:val="24"/>
          <w:szCs w:val="24"/>
          <w:lang w:val="en-US"/>
        </w:rPr>
        <w:t>Q Methodology: Complete Beginner’s Guide</w:t>
      </w:r>
      <w:r w:rsidRPr="00846D06">
        <w:rPr>
          <w:rFonts w:asciiTheme="minorHAnsi" w:hAnsiTheme="minorHAnsi" w:cs="Helvetica"/>
          <w:color w:val="000000"/>
          <w:sz w:val="24"/>
          <w:szCs w:val="24"/>
          <w:lang w:val="en-US"/>
        </w:rPr>
        <w:t xml:space="preserve">. Available at: </w:t>
      </w:r>
      <w:hyperlink r:id="rId25" w:history="1">
        <w:r w:rsidRPr="00846D06">
          <w:rPr>
            <w:rFonts w:asciiTheme="minorHAnsi" w:hAnsiTheme="minorHAnsi" w:cs="Helvetica"/>
            <w:color w:val="386573"/>
            <w:sz w:val="24"/>
            <w:szCs w:val="24"/>
            <w:u w:val="single" w:color="386573"/>
            <w:lang w:val="en-US"/>
          </w:rPr>
          <w:t>https://jonathansandling.com/q-methodology-complete-beginners-guide/</w:t>
        </w:r>
      </w:hyperlink>
      <w:r w:rsidRPr="00846D06">
        <w:rPr>
          <w:rFonts w:asciiTheme="minorHAnsi" w:hAnsiTheme="minorHAnsi" w:cs="Helvetica"/>
          <w:color w:val="000000"/>
          <w:sz w:val="24"/>
          <w:szCs w:val="24"/>
          <w:lang w:val="en-US"/>
        </w:rPr>
        <w:t xml:space="preserve"> (Accessed: 13</w:t>
      </w:r>
      <w:r w:rsidRPr="00846D06">
        <w:rPr>
          <w:rFonts w:asciiTheme="minorHAnsi" w:hAnsiTheme="minorHAnsi" w:cs="Helvetica"/>
          <w:color w:val="000000"/>
          <w:sz w:val="24"/>
          <w:szCs w:val="24"/>
          <w:vertAlign w:val="superscript"/>
          <w:lang w:val="en-US"/>
        </w:rPr>
        <w:t>th</w:t>
      </w:r>
      <w:r w:rsidRPr="00846D06">
        <w:rPr>
          <w:rFonts w:asciiTheme="minorHAnsi" w:hAnsiTheme="minorHAnsi" w:cs="Helvetica"/>
          <w:color w:val="000000"/>
          <w:sz w:val="24"/>
          <w:szCs w:val="24"/>
          <w:lang w:val="en-US"/>
        </w:rPr>
        <w:t xml:space="preserve"> </w:t>
      </w:r>
      <w:proofErr w:type="gramStart"/>
      <w:r w:rsidRPr="00846D06">
        <w:rPr>
          <w:rFonts w:asciiTheme="minorHAnsi" w:hAnsiTheme="minorHAnsi" w:cs="Helvetica"/>
          <w:color w:val="000000"/>
          <w:sz w:val="24"/>
          <w:szCs w:val="24"/>
          <w:lang w:val="en-US"/>
        </w:rPr>
        <w:t>March,</w:t>
      </w:r>
      <w:proofErr w:type="gramEnd"/>
      <w:r w:rsidRPr="00846D06">
        <w:rPr>
          <w:rFonts w:asciiTheme="minorHAnsi" w:hAnsiTheme="minorHAnsi" w:cs="Helvetica"/>
          <w:color w:val="000000"/>
          <w:sz w:val="24"/>
          <w:szCs w:val="24"/>
          <w:lang w:val="en-US"/>
        </w:rPr>
        <w:t xml:space="preserve"> 2026)</w:t>
      </w:r>
    </w:p>
    <w:p w14:paraId="29466D75"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de-DE"/>
        </w:rPr>
        <w:t>Schmolck</w:t>
      </w:r>
      <w:proofErr w:type="spellEnd"/>
      <w:r w:rsidRPr="00846D06">
        <w:rPr>
          <w:rFonts w:asciiTheme="minorHAnsi" w:hAnsiTheme="minorHAnsi" w:cs="Helvetica"/>
          <w:color w:val="000000"/>
          <w:sz w:val="24"/>
          <w:szCs w:val="24"/>
          <w:lang w:val="de-DE"/>
        </w:rPr>
        <w:t xml:space="preserve">, P, (2014) </w:t>
      </w:r>
      <w:proofErr w:type="spellStart"/>
      <w:r w:rsidRPr="00846D06">
        <w:rPr>
          <w:rFonts w:asciiTheme="minorHAnsi" w:hAnsiTheme="minorHAnsi" w:cs="Helvetica"/>
          <w:color w:val="000000"/>
          <w:sz w:val="24"/>
          <w:szCs w:val="24"/>
          <w:lang w:val="de-DE"/>
        </w:rPr>
        <w:t>PQMethod</w:t>
      </w:r>
      <w:proofErr w:type="spellEnd"/>
      <w:r w:rsidRPr="00846D06">
        <w:rPr>
          <w:rFonts w:asciiTheme="minorHAnsi" w:hAnsiTheme="minorHAnsi" w:cs="Helvetica"/>
          <w:color w:val="000000"/>
          <w:sz w:val="24"/>
          <w:szCs w:val="24"/>
          <w:lang w:val="de-DE"/>
        </w:rPr>
        <w:t xml:space="preserve"> (Version 2.35) [Computer </w:t>
      </w:r>
      <w:proofErr w:type="spellStart"/>
      <w:r w:rsidRPr="00846D06">
        <w:rPr>
          <w:rFonts w:asciiTheme="minorHAnsi" w:hAnsiTheme="minorHAnsi" w:cs="Helvetica"/>
          <w:color w:val="000000"/>
          <w:sz w:val="24"/>
          <w:szCs w:val="24"/>
          <w:lang w:val="de-DE"/>
        </w:rPr>
        <w:t>programme</w:t>
      </w:r>
      <w:proofErr w:type="spellEnd"/>
      <w:r w:rsidRPr="00846D06">
        <w:rPr>
          <w:rFonts w:asciiTheme="minorHAnsi" w:hAnsiTheme="minorHAnsi" w:cs="Helvetica"/>
          <w:color w:val="000000"/>
          <w:sz w:val="24"/>
          <w:szCs w:val="24"/>
          <w:lang w:val="de-DE"/>
        </w:rPr>
        <w:t xml:space="preserve">]. </w:t>
      </w:r>
      <w:r w:rsidRPr="00846D06">
        <w:rPr>
          <w:rFonts w:asciiTheme="minorHAnsi" w:hAnsiTheme="minorHAnsi" w:cs="Helvetica"/>
          <w:color w:val="000000"/>
          <w:sz w:val="24"/>
          <w:szCs w:val="24"/>
          <w:lang w:val="en-US"/>
        </w:rPr>
        <w:t xml:space="preserve">Available at: </w:t>
      </w:r>
      <w:hyperlink r:id="rId26" w:history="1">
        <w:r w:rsidRPr="00846D06">
          <w:rPr>
            <w:rFonts w:asciiTheme="minorHAnsi" w:hAnsiTheme="minorHAnsi" w:cs="Helvetica"/>
            <w:color w:val="386573"/>
            <w:sz w:val="24"/>
            <w:szCs w:val="24"/>
            <w:u w:val="single" w:color="386573"/>
            <w:lang w:val="en-US"/>
          </w:rPr>
          <w:t>https://schmolck.org/qmethod/</w:t>
        </w:r>
      </w:hyperlink>
      <w:r w:rsidRPr="00846D06">
        <w:rPr>
          <w:rFonts w:asciiTheme="minorHAnsi" w:hAnsiTheme="minorHAnsi" w:cs="Helvetica"/>
          <w:color w:val="000000"/>
          <w:sz w:val="24"/>
          <w:szCs w:val="24"/>
          <w:lang w:val="en-US"/>
        </w:rPr>
        <w:t xml:space="preserve"> (Accessed 28 November 2025).</w:t>
      </w:r>
    </w:p>
    <w:p w14:paraId="0DE1ED69"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Shaw, A. (2023) ‘Inclusion of higher education disabled students: a Q Methodology study of lecturers’ attitudes’, </w:t>
      </w:r>
      <w:r w:rsidRPr="00846D06">
        <w:rPr>
          <w:rFonts w:asciiTheme="minorHAnsi" w:hAnsiTheme="minorHAnsi" w:cs="Helvetica"/>
          <w:i/>
          <w:iCs/>
          <w:color w:val="000000"/>
          <w:sz w:val="24"/>
          <w:szCs w:val="24"/>
          <w:lang w:val="en-US"/>
        </w:rPr>
        <w:t xml:space="preserve">Teaching in Higher Education.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10.1080/13562517.2023.2280266</w:t>
      </w:r>
    </w:p>
    <w:p w14:paraId="2F5D88B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Shephard, K. (2008) ‘Higher education for sustainability: seeking affective learning outcomes’,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9(1), pp.87-98.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10.1108/14676370810842201</w:t>
      </w:r>
    </w:p>
    <w:p w14:paraId="3251ED4E"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Shephard, K. and Furnari, M. (2013) ‘Exploring what university teachers think about education for sustainability’, </w:t>
      </w:r>
      <w:r w:rsidRPr="00846D06">
        <w:rPr>
          <w:rFonts w:asciiTheme="minorHAnsi" w:hAnsiTheme="minorHAnsi" w:cs="Helvetica"/>
          <w:i/>
          <w:iCs/>
          <w:color w:val="000000"/>
          <w:sz w:val="24"/>
          <w:szCs w:val="24"/>
          <w:lang w:val="en-US"/>
        </w:rPr>
        <w:t>Studies in Higher Education</w:t>
      </w:r>
      <w:r w:rsidRPr="00846D06">
        <w:rPr>
          <w:rFonts w:asciiTheme="minorHAnsi" w:hAnsiTheme="minorHAnsi" w:cs="Helvetica"/>
          <w:color w:val="000000"/>
          <w:sz w:val="24"/>
          <w:szCs w:val="24"/>
          <w:lang w:val="en-US"/>
        </w:rPr>
        <w:t>, 38(10), pp.1-14.</w:t>
      </w:r>
    </w:p>
    <w:p w14:paraId="0C099E9C"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Sinakou</w:t>
      </w:r>
      <w:proofErr w:type="spellEnd"/>
      <w:r w:rsidRPr="00846D06">
        <w:rPr>
          <w:rFonts w:asciiTheme="minorHAnsi" w:hAnsiTheme="minorHAnsi" w:cs="Helvetica"/>
          <w:color w:val="000000"/>
          <w:sz w:val="24"/>
          <w:szCs w:val="24"/>
          <w:lang w:val="en-US"/>
        </w:rPr>
        <w:t xml:space="preserve">, E., Boeve-de Pauw, J., Goossens, M., Van Petegem, P. (2018) ‘Academics in the field of Education for Sustainable Development: Their conceptions of sustainable development’, </w:t>
      </w:r>
      <w:r w:rsidRPr="00846D06">
        <w:rPr>
          <w:rFonts w:asciiTheme="minorHAnsi" w:hAnsiTheme="minorHAnsi" w:cs="Helvetica"/>
          <w:i/>
          <w:iCs/>
          <w:color w:val="000000"/>
          <w:sz w:val="24"/>
          <w:szCs w:val="24"/>
          <w:lang w:val="en-US"/>
        </w:rPr>
        <w:t>Journal of Cleaner Production</w:t>
      </w:r>
      <w:r w:rsidRPr="00846D06">
        <w:rPr>
          <w:rFonts w:asciiTheme="minorHAnsi" w:hAnsiTheme="minorHAnsi" w:cs="Helvetica"/>
          <w:color w:val="000000"/>
          <w:sz w:val="24"/>
          <w:szCs w:val="24"/>
          <w:lang w:val="en-US"/>
        </w:rPr>
        <w:t xml:space="preserve">, 184, pp.321-332.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10.1016/j.jclepro.2018.02.279</w:t>
      </w:r>
    </w:p>
    <w:p w14:paraId="68166EE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sidRPr="00846D06">
        <w:rPr>
          <w:rFonts w:asciiTheme="minorHAnsi" w:hAnsiTheme="minorHAnsi" w:cs="Helvetica"/>
          <w:color w:val="000000"/>
          <w:sz w:val="24"/>
          <w:szCs w:val="24"/>
          <w:lang w:val="en-US"/>
        </w:rPr>
        <w:t>Sípos</w:t>
      </w:r>
      <w:proofErr w:type="spellEnd"/>
      <w:r w:rsidRPr="00846D06">
        <w:rPr>
          <w:rFonts w:asciiTheme="minorHAnsi" w:hAnsiTheme="minorHAnsi" w:cs="Helvetica"/>
          <w:color w:val="000000"/>
          <w:sz w:val="24"/>
          <w:szCs w:val="24"/>
          <w:lang w:val="en-US"/>
        </w:rPr>
        <w:t xml:space="preserve">, Y., Battisti, B. and Grimm, K. (2008) ‘Achieving transformative sustainability learning: Engaging heads, hands and heart’, </w:t>
      </w:r>
      <w:r w:rsidRPr="00846D06">
        <w:rPr>
          <w:rFonts w:asciiTheme="minorHAnsi" w:hAnsiTheme="minorHAnsi" w:cs="Helvetica"/>
          <w:i/>
          <w:iCs/>
          <w:color w:val="000000"/>
          <w:sz w:val="24"/>
          <w:szCs w:val="24"/>
          <w:lang w:val="en-US"/>
        </w:rPr>
        <w:t>International Journal of Sustainability in Higher Education</w:t>
      </w:r>
      <w:r w:rsidRPr="00846D06">
        <w:rPr>
          <w:rFonts w:asciiTheme="minorHAnsi" w:hAnsiTheme="minorHAnsi" w:cs="Helvetica"/>
          <w:color w:val="000000"/>
          <w:sz w:val="24"/>
          <w:szCs w:val="24"/>
          <w:lang w:val="en-US"/>
        </w:rPr>
        <w:t xml:space="preserve">, 9(1), pp.68-86.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10.1108/14676370810842193</w:t>
      </w:r>
    </w:p>
    <w:p w14:paraId="3FA9A8E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Stenner, P. (2022) ‘Q Methodology and constructivism: Some reflections on sincerity and authenticity in </w:t>
      </w:r>
      <w:proofErr w:type="spellStart"/>
      <w:r w:rsidRPr="00846D06">
        <w:rPr>
          <w:rFonts w:asciiTheme="minorHAnsi" w:hAnsiTheme="minorHAnsi" w:cs="Helvetica"/>
          <w:color w:val="000000"/>
          <w:sz w:val="24"/>
          <w:szCs w:val="24"/>
          <w:lang w:val="en-US"/>
        </w:rPr>
        <w:t>honour</w:t>
      </w:r>
      <w:proofErr w:type="spellEnd"/>
      <w:r w:rsidRPr="00846D06">
        <w:rPr>
          <w:rFonts w:asciiTheme="minorHAnsi" w:hAnsiTheme="minorHAnsi" w:cs="Helvetica"/>
          <w:color w:val="000000"/>
          <w:sz w:val="24"/>
          <w:szCs w:val="24"/>
          <w:lang w:val="en-US"/>
        </w:rPr>
        <w:t xml:space="preserve"> of Steve Brown’, in Rhoads, J.C., Thomas, D.B. and Ramlo, S.E. (eds.) </w:t>
      </w:r>
      <w:r w:rsidRPr="00846D06">
        <w:rPr>
          <w:rFonts w:asciiTheme="minorHAnsi" w:hAnsiTheme="minorHAnsi" w:cs="Helvetica"/>
          <w:i/>
          <w:iCs/>
          <w:color w:val="000000"/>
          <w:sz w:val="24"/>
          <w:szCs w:val="24"/>
          <w:lang w:val="en-US"/>
        </w:rPr>
        <w:t xml:space="preserve">Cultivating Q methodology, Essays </w:t>
      </w:r>
      <w:proofErr w:type="spellStart"/>
      <w:r w:rsidRPr="00846D06">
        <w:rPr>
          <w:rFonts w:asciiTheme="minorHAnsi" w:hAnsiTheme="minorHAnsi" w:cs="Helvetica"/>
          <w:i/>
          <w:iCs/>
          <w:color w:val="000000"/>
          <w:sz w:val="24"/>
          <w:szCs w:val="24"/>
          <w:lang w:val="en-US"/>
        </w:rPr>
        <w:t>honouring</w:t>
      </w:r>
      <w:proofErr w:type="spellEnd"/>
      <w:r w:rsidRPr="00846D06">
        <w:rPr>
          <w:rFonts w:asciiTheme="minorHAnsi" w:hAnsiTheme="minorHAnsi" w:cs="Helvetica"/>
          <w:i/>
          <w:iCs/>
          <w:color w:val="000000"/>
          <w:sz w:val="24"/>
          <w:szCs w:val="24"/>
          <w:lang w:val="en-US"/>
        </w:rPr>
        <w:t xml:space="preserve"> Steven R Brown</w:t>
      </w:r>
      <w:r w:rsidRPr="00846D06">
        <w:rPr>
          <w:rFonts w:asciiTheme="minorHAnsi" w:hAnsiTheme="minorHAnsi" w:cs="Helvetica"/>
          <w:color w:val="000000"/>
          <w:sz w:val="24"/>
          <w:szCs w:val="24"/>
          <w:lang w:val="en-US"/>
        </w:rPr>
        <w:t>, International Society for the Scientific Study of Subjectivity.</w:t>
      </w:r>
    </w:p>
    <w:p w14:paraId="6AC0771C" w14:textId="77777777" w:rsid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Stephenson, W. (1953) </w:t>
      </w:r>
      <w:r w:rsidRPr="00846D06">
        <w:rPr>
          <w:rFonts w:asciiTheme="minorHAnsi" w:hAnsiTheme="minorHAnsi" w:cs="Helvetica"/>
          <w:i/>
          <w:iCs/>
          <w:color w:val="000000"/>
          <w:sz w:val="24"/>
          <w:szCs w:val="24"/>
          <w:lang w:val="en-US"/>
        </w:rPr>
        <w:t>The Study of Behavior</w:t>
      </w:r>
      <w:r w:rsidRPr="00846D06">
        <w:rPr>
          <w:rFonts w:asciiTheme="minorHAnsi" w:hAnsiTheme="minorHAnsi" w:cs="Helvetica"/>
          <w:color w:val="000000"/>
          <w:sz w:val="24"/>
          <w:szCs w:val="24"/>
          <w:lang w:val="en-US"/>
        </w:rPr>
        <w:t>. Chicago University Press.</w:t>
      </w:r>
    </w:p>
    <w:p w14:paraId="038841BA" w14:textId="78A7DE39" w:rsidR="006B0708" w:rsidRPr="00846D06" w:rsidRDefault="006B0708"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proofErr w:type="spellStart"/>
      <w:r>
        <w:rPr>
          <w:rFonts w:asciiTheme="minorHAnsi" w:hAnsiTheme="minorHAnsi" w:cs="Helvetica"/>
          <w:color w:val="000000"/>
          <w:sz w:val="24"/>
          <w:szCs w:val="24"/>
          <w:lang w:val="en-US"/>
        </w:rPr>
        <w:t>Tavory</w:t>
      </w:r>
      <w:proofErr w:type="spellEnd"/>
      <w:r>
        <w:rPr>
          <w:rFonts w:asciiTheme="minorHAnsi" w:hAnsiTheme="minorHAnsi" w:cs="Helvetica"/>
          <w:color w:val="000000"/>
          <w:sz w:val="24"/>
          <w:szCs w:val="24"/>
          <w:lang w:val="en-US"/>
        </w:rPr>
        <w:t xml:space="preserve">, I. and Timmermans, S. (2014) </w:t>
      </w:r>
      <w:r w:rsidRPr="006B0708">
        <w:rPr>
          <w:rFonts w:asciiTheme="minorHAnsi" w:hAnsiTheme="minorHAnsi" w:cs="Helvetica"/>
          <w:i/>
          <w:iCs/>
          <w:color w:val="000000"/>
          <w:sz w:val="24"/>
          <w:szCs w:val="24"/>
          <w:lang w:val="en-US"/>
        </w:rPr>
        <w:t>Abductive Analysis: Theorizing Qualitative Research.</w:t>
      </w:r>
      <w:r>
        <w:rPr>
          <w:rFonts w:asciiTheme="minorHAnsi" w:hAnsiTheme="minorHAnsi" w:cs="Helvetica"/>
          <w:color w:val="000000"/>
          <w:sz w:val="24"/>
          <w:szCs w:val="24"/>
          <w:lang w:val="en-US"/>
        </w:rPr>
        <w:t xml:space="preserve"> University of Chicago Press.</w:t>
      </w:r>
    </w:p>
    <w:p w14:paraId="2B552060"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University of Sussex (n.d.) Centre for World Environmental History. Available at: </w:t>
      </w:r>
      <w:hyperlink r:id="rId27" w:history="1">
        <w:r w:rsidRPr="00846D06">
          <w:rPr>
            <w:rFonts w:asciiTheme="minorHAnsi" w:hAnsiTheme="minorHAnsi" w:cs="Helvetica"/>
            <w:color w:val="386573"/>
            <w:sz w:val="24"/>
            <w:szCs w:val="24"/>
            <w:u w:val="single" w:color="386573"/>
            <w:lang w:val="en-US"/>
          </w:rPr>
          <w:t>https://www.sussex.ac.uk/cweh/</w:t>
        </w:r>
      </w:hyperlink>
      <w:r w:rsidRPr="00846D06">
        <w:rPr>
          <w:rFonts w:asciiTheme="minorHAnsi" w:hAnsiTheme="minorHAnsi" w:cs="Helvetica"/>
          <w:color w:val="000000"/>
          <w:sz w:val="24"/>
          <w:szCs w:val="24"/>
          <w:lang w:val="en-US"/>
        </w:rPr>
        <w:t xml:space="preserve"> (Accessed 13</w:t>
      </w:r>
      <w:r w:rsidRPr="00846D06">
        <w:rPr>
          <w:rFonts w:asciiTheme="minorHAnsi" w:hAnsiTheme="minorHAnsi" w:cs="Helvetica"/>
          <w:color w:val="000000"/>
          <w:sz w:val="24"/>
          <w:szCs w:val="24"/>
          <w:vertAlign w:val="superscript"/>
          <w:lang w:val="en-US"/>
        </w:rPr>
        <w:t>th</w:t>
      </w:r>
      <w:r w:rsidRPr="00846D06">
        <w:rPr>
          <w:rFonts w:asciiTheme="minorHAnsi" w:hAnsiTheme="minorHAnsi" w:cs="Helvetica"/>
          <w:color w:val="000000"/>
          <w:sz w:val="24"/>
          <w:szCs w:val="24"/>
          <w:lang w:val="en-US"/>
        </w:rPr>
        <w:t xml:space="preserve"> March 2026).</w:t>
      </w:r>
    </w:p>
    <w:p w14:paraId="7BC7BE4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Tilbury, D. (2011) ‘Higher education for sustainability: a global overview of commitment and progress’, </w:t>
      </w:r>
      <w:r w:rsidRPr="00846D06">
        <w:rPr>
          <w:rFonts w:asciiTheme="minorHAnsi" w:hAnsiTheme="minorHAnsi" w:cs="Helvetica"/>
          <w:i/>
          <w:iCs/>
          <w:color w:val="000000"/>
          <w:sz w:val="24"/>
          <w:szCs w:val="24"/>
          <w:lang w:val="en-US"/>
        </w:rPr>
        <w:t>Higher Education in the World</w:t>
      </w:r>
      <w:r w:rsidRPr="00846D06">
        <w:rPr>
          <w:rFonts w:asciiTheme="minorHAnsi" w:hAnsiTheme="minorHAnsi" w:cs="Helvetica"/>
          <w:color w:val="000000"/>
          <w:sz w:val="24"/>
          <w:szCs w:val="24"/>
          <w:lang w:val="en-US"/>
        </w:rPr>
        <w:t xml:space="preserve">, 4(1), pp.18-28. </w:t>
      </w:r>
    </w:p>
    <w:p w14:paraId="38DC1EA9"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UNESCO (2017) </w:t>
      </w:r>
      <w:r w:rsidRPr="00846D06">
        <w:rPr>
          <w:rFonts w:asciiTheme="minorHAnsi" w:hAnsiTheme="minorHAnsi" w:cs="Helvetica"/>
          <w:i/>
          <w:iCs/>
          <w:color w:val="000000"/>
          <w:sz w:val="24"/>
          <w:szCs w:val="24"/>
          <w:lang w:val="en-US"/>
        </w:rPr>
        <w:t>Education for Sustainable Development Goals: Learning Objectives</w:t>
      </w:r>
      <w:r w:rsidRPr="00846D06">
        <w:rPr>
          <w:rFonts w:asciiTheme="minorHAnsi" w:hAnsiTheme="minorHAnsi" w:cs="Helvetica"/>
          <w:color w:val="000000"/>
          <w:sz w:val="24"/>
          <w:szCs w:val="24"/>
          <w:lang w:val="en-US"/>
        </w:rPr>
        <w:t>, UNESCO.</w:t>
      </w:r>
    </w:p>
    <w:p w14:paraId="6F9103F2"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van </w:t>
      </w:r>
      <w:proofErr w:type="spellStart"/>
      <w:r w:rsidRPr="00846D06">
        <w:rPr>
          <w:rFonts w:asciiTheme="minorHAnsi" w:hAnsiTheme="minorHAnsi" w:cs="Helvetica"/>
          <w:color w:val="000000"/>
          <w:sz w:val="24"/>
          <w:szCs w:val="24"/>
          <w:lang w:val="en-US"/>
        </w:rPr>
        <w:t>Exel</w:t>
      </w:r>
      <w:proofErr w:type="spellEnd"/>
      <w:r w:rsidRPr="00846D06">
        <w:rPr>
          <w:rFonts w:asciiTheme="minorHAnsi" w:hAnsiTheme="minorHAnsi" w:cs="Helvetica"/>
          <w:color w:val="000000"/>
          <w:sz w:val="24"/>
          <w:szCs w:val="24"/>
          <w:lang w:val="en-US"/>
        </w:rPr>
        <w:t xml:space="preserve">, J., and de Graaf, G. (2005) Q methodology: a sneak preview. Available at: </w:t>
      </w:r>
      <w:hyperlink r:id="rId28" w:history="1">
        <w:r w:rsidRPr="00846D06">
          <w:rPr>
            <w:rFonts w:asciiTheme="minorHAnsi" w:hAnsiTheme="minorHAnsi" w:cs="Helvetica"/>
            <w:color w:val="386573"/>
            <w:sz w:val="24"/>
            <w:szCs w:val="24"/>
            <w:u w:val="single" w:color="386573"/>
            <w:lang w:val="en-US"/>
          </w:rPr>
          <w:t>https://qmethod.org/portfolio/van-exel-and-de-graaf-a-q-methodology-sneak-preview/</w:t>
        </w:r>
      </w:hyperlink>
      <w:r w:rsidRPr="00846D06">
        <w:rPr>
          <w:rFonts w:asciiTheme="minorHAnsi" w:hAnsiTheme="minorHAnsi" w:cs="Helvetica"/>
          <w:color w:val="000000"/>
          <w:sz w:val="24"/>
          <w:szCs w:val="24"/>
          <w:lang w:val="en-US"/>
        </w:rPr>
        <w:t xml:space="preserve"> (Accessed: 26 November 2025).</w:t>
      </w:r>
    </w:p>
    <w:p w14:paraId="295150D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Vogel, M., Parker, L., Porter, J., O’Hara, M., Tebbs, E., Gard, R., He, X., and Gallimore, J. (2023) </w:t>
      </w:r>
      <w:r w:rsidRPr="00846D06">
        <w:rPr>
          <w:rFonts w:asciiTheme="minorHAnsi" w:hAnsiTheme="minorHAnsi" w:cs="Helvetica"/>
          <w:i/>
          <w:iCs/>
          <w:color w:val="000000"/>
          <w:sz w:val="24"/>
          <w:szCs w:val="24"/>
          <w:lang w:val="en-US"/>
        </w:rPr>
        <w:t>Education for Sustainable Development: a review of the literature 2015-2022</w:t>
      </w:r>
      <w:r w:rsidRPr="00846D06">
        <w:rPr>
          <w:rFonts w:asciiTheme="minorHAnsi" w:hAnsiTheme="minorHAnsi" w:cs="Helvetica"/>
          <w:color w:val="000000"/>
          <w:sz w:val="24"/>
          <w:szCs w:val="24"/>
          <w:lang w:val="en-US"/>
        </w:rPr>
        <w:t>. Advance HE. Available at: https://www.advance-he.ac.uk/knowledge-hub/education-sustainable-development-review-literature-2015-2022</w:t>
      </w:r>
    </w:p>
    <w:p w14:paraId="2F97914A"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lastRenderedPageBreak/>
        <w:t xml:space="preserve">Walker, B.B., Lin, Y. and </w:t>
      </w:r>
      <w:proofErr w:type="spellStart"/>
      <w:r w:rsidRPr="00846D06">
        <w:rPr>
          <w:rFonts w:asciiTheme="minorHAnsi" w:hAnsiTheme="minorHAnsi" w:cs="Helvetica"/>
          <w:color w:val="000000"/>
          <w:sz w:val="24"/>
          <w:szCs w:val="24"/>
          <w:lang w:val="en-US"/>
        </w:rPr>
        <w:t>McLine</w:t>
      </w:r>
      <w:proofErr w:type="spellEnd"/>
      <w:r w:rsidRPr="00846D06">
        <w:rPr>
          <w:rFonts w:asciiTheme="minorHAnsi" w:hAnsiTheme="minorHAnsi" w:cs="Helvetica"/>
          <w:color w:val="000000"/>
          <w:sz w:val="24"/>
          <w:szCs w:val="24"/>
          <w:lang w:val="en-US"/>
        </w:rPr>
        <w:t xml:space="preserve">, R.M. (2018) ‘Q Methodology and W Perspectives Online: Innovative Research Methodology and Instructional Technology’, </w:t>
      </w:r>
      <w:r w:rsidRPr="00846D06">
        <w:rPr>
          <w:rFonts w:asciiTheme="minorHAnsi" w:hAnsiTheme="minorHAnsi" w:cs="Helvetica"/>
          <w:i/>
          <w:iCs/>
          <w:color w:val="000000"/>
          <w:sz w:val="24"/>
          <w:szCs w:val="24"/>
          <w:lang w:val="en-US"/>
        </w:rPr>
        <w:t>Association for Educational Communications &amp; Technology</w:t>
      </w:r>
      <w:r w:rsidRPr="00846D06">
        <w:rPr>
          <w:rFonts w:asciiTheme="minorHAnsi" w:hAnsiTheme="minorHAnsi" w:cs="Helvetica"/>
          <w:color w:val="000000"/>
          <w:sz w:val="24"/>
          <w:szCs w:val="24"/>
          <w:lang w:val="en-US"/>
        </w:rPr>
        <w:t xml:space="preserve">, 62, pp.450-461.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10.1007/s11528-018-0314-5</w:t>
      </w:r>
    </w:p>
    <w:p w14:paraId="64AD926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Watts, S. (2009) ‘Social Constructionism Redefined: Human Selectionism and the Objective Reality of Q Methodology’ </w:t>
      </w:r>
      <w:r w:rsidRPr="00846D06">
        <w:rPr>
          <w:rFonts w:asciiTheme="minorHAnsi" w:hAnsiTheme="minorHAnsi" w:cs="Helvetica"/>
          <w:i/>
          <w:iCs/>
          <w:color w:val="000000"/>
          <w:sz w:val="24"/>
          <w:szCs w:val="24"/>
          <w:lang w:val="en-US"/>
        </w:rPr>
        <w:t>Operant Subjectivity</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10.15133/J.OS.2008.003</w:t>
      </w:r>
    </w:p>
    <w:p w14:paraId="71D68768"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Watts, S. and Stenner, P. (2012) </w:t>
      </w:r>
      <w:r w:rsidRPr="00846D06">
        <w:rPr>
          <w:rFonts w:asciiTheme="minorHAnsi" w:hAnsiTheme="minorHAnsi" w:cs="Helvetica"/>
          <w:i/>
          <w:iCs/>
          <w:color w:val="000000"/>
          <w:sz w:val="24"/>
          <w:szCs w:val="24"/>
          <w:lang w:val="en-US"/>
        </w:rPr>
        <w:t>Doing Q methodological research: theory, method and interpretation</w:t>
      </w:r>
      <w:r w:rsidRPr="00846D06">
        <w:rPr>
          <w:rFonts w:asciiTheme="minorHAnsi" w:hAnsiTheme="minorHAnsi" w:cs="Helvetica"/>
          <w:color w:val="000000"/>
          <w:sz w:val="24"/>
          <w:szCs w:val="24"/>
          <w:lang w:val="en-US"/>
        </w:rPr>
        <w:t>. SAGE Publications.</w:t>
      </w:r>
    </w:p>
    <w:p w14:paraId="4E1582A3"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 xml:space="preserve">Woods, C.E. (2011) ‘Using Q methodology to explore leadership: the role of the school business manager’, </w:t>
      </w:r>
      <w:r w:rsidRPr="00846D06">
        <w:rPr>
          <w:rFonts w:asciiTheme="minorHAnsi" w:hAnsiTheme="minorHAnsi" w:cs="Helvetica"/>
          <w:i/>
          <w:iCs/>
          <w:color w:val="000000"/>
          <w:sz w:val="24"/>
          <w:szCs w:val="24"/>
          <w:lang w:val="en-US"/>
        </w:rPr>
        <w:t>International Journal of Leadership in Education</w:t>
      </w:r>
      <w:r w:rsidRPr="00846D06">
        <w:rPr>
          <w:rFonts w:asciiTheme="minorHAnsi" w:hAnsiTheme="minorHAnsi" w:cs="Helvetica"/>
          <w:color w:val="000000"/>
          <w:sz w:val="24"/>
          <w:szCs w:val="24"/>
          <w:lang w:val="en-US"/>
        </w:rPr>
        <w:t xml:space="preserve">, 14(3), pp.317-335.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10.1080/13603124.2010.507877</w:t>
      </w:r>
    </w:p>
    <w:p w14:paraId="2A418999" w14:textId="77777777" w:rsidR="00846D06" w:rsidRPr="00846D06" w:rsidRDefault="00846D06" w:rsidP="00846D06">
      <w:pPr>
        <w:autoSpaceDE w:val="0"/>
        <w:autoSpaceDN w:val="0"/>
        <w:adjustRightInd w:val="0"/>
        <w:spacing w:after="266" w:line="240" w:lineRule="auto"/>
        <w:ind w:left="640" w:hanging="640"/>
        <w:rPr>
          <w:rFonts w:asciiTheme="minorHAnsi" w:hAnsiTheme="minorHAnsi" w:cs="Helvetica"/>
          <w:color w:val="000000"/>
          <w:sz w:val="24"/>
          <w:szCs w:val="24"/>
          <w:lang w:val="en-US"/>
        </w:rPr>
      </w:pPr>
      <w:r w:rsidRPr="00846D06">
        <w:rPr>
          <w:rFonts w:asciiTheme="minorHAnsi" w:hAnsiTheme="minorHAnsi" w:cs="Helvetica"/>
          <w:color w:val="000000"/>
          <w:sz w:val="24"/>
          <w:szCs w:val="24"/>
          <w:lang w:val="en-US"/>
        </w:rPr>
        <w:t>Zhou, R. (2024) ‘How UK universities approach sustainability: A timely review</w:t>
      </w:r>
      <w:proofErr w:type="gramStart"/>
      <w:r w:rsidRPr="00846D06">
        <w:rPr>
          <w:rFonts w:asciiTheme="minorHAnsi" w:hAnsiTheme="minorHAnsi" w:cs="Helvetica"/>
          <w:color w:val="000000"/>
          <w:sz w:val="24"/>
          <w:szCs w:val="24"/>
          <w:lang w:val="en-US"/>
        </w:rPr>
        <w:t xml:space="preserve">’,  </w:t>
      </w:r>
      <w:r w:rsidRPr="00846D06">
        <w:rPr>
          <w:rFonts w:asciiTheme="minorHAnsi" w:hAnsiTheme="minorHAnsi" w:cs="Helvetica"/>
          <w:i/>
          <w:iCs/>
          <w:color w:val="000000"/>
          <w:sz w:val="24"/>
          <w:szCs w:val="24"/>
          <w:lang w:val="en-US"/>
        </w:rPr>
        <w:t>Journal</w:t>
      </w:r>
      <w:proofErr w:type="gramEnd"/>
      <w:r w:rsidRPr="00846D06">
        <w:rPr>
          <w:rFonts w:asciiTheme="minorHAnsi" w:hAnsiTheme="minorHAnsi" w:cs="Helvetica"/>
          <w:i/>
          <w:iCs/>
          <w:color w:val="000000"/>
          <w:sz w:val="24"/>
          <w:szCs w:val="24"/>
          <w:lang w:val="en-US"/>
        </w:rPr>
        <w:t xml:space="preserve"> of Adult and Continuing Education</w:t>
      </w:r>
      <w:r w:rsidRPr="00846D06">
        <w:rPr>
          <w:rFonts w:asciiTheme="minorHAnsi" w:hAnsiTheme="minorHAnsi" w:cs="Helvetica"/>
          <w:color w:val="000000"/>
          <w:sz w:val="24"/>
          <w:szCs w:val="24"/>
          <w:lang w:val="en-US"/>
        </w:rPr>
        <w:t xml:space="preserve">. </w:t>
      </w:r>
      <w:proofErr w:type="spellStart"/>
      <w:r w:rsidRPr="00846D06">
        <w:rPr>
          <w:rFonts w:asciiTheme="minorHAnsi" w:hAnsiTheme="minorHAnsi" w:cs="Helvetica"/>
          <w:color w:val="000000"/>
          <w:sz w:val="24"/>
          <w:szCs w:val="24"/>
          <w:lang w:val="en-US"/>
        </w:rPr>
        <w:t>doi</w:t>
      </w:r>
      <w:proofErr w:type="spellEnd"/>
      <w:r w:rsidRPr="00846D06">
        <w:rPr>
          <w:rFonts w:asciiTheme="minorHAnsi" w:hAnsiTheme="minorHAnsi" w:cs="Helvetica"/>
          <w:color w:val="000000"/>
          <w:sz w:val="24"/>
          <w:szCs w:val="24"/>
          <w:lang w:val="en-US"/>
        </w:rPr>
        <w:t>: 10.1177/14779714241240985</w:t>
      </w:r>
    </w:p>
    <w:p w14:paraId="14F2E10A" w14:textId="77777777" w:rsidR="001712C0" w:rsidRDefault="001712C0">
      <w:pPr>
        <w:rPr>
          <w:rFonts w:asciiTheme="minorHAnsi" w:hAnsiTheme="minorHAnsi"/>
          <w:sz w:val="24"/>
          <w:szCs w:val="24"/>
          <w:lang w:val="en-US"/>
        </w:rPr>
      </w:pPr>
    </w:p>
    <w:p w14:paraId="48E906AF" w14:textId="77777777" w:rsidR="00905C61" w:rsidRDefault="00905C61">
      <w:pPr>
        <w:rPr>
          <w:rFonts w:asciiTheme="minorHAnsi" w:hAnsiTheme="minorHAnsi"/>
          <w:sz w:val="24"/>
          <w:szCs w:val="24"/>
          <w:lang w:val="en-US"/>
        </w:rPr>
      </w:pPr>
    </w:p>
    <w:p w14:paraId="05FD62C6" w14:textId="77777777" w:rsidR="00905C61" w:rsidRDefault="00905C61">
      <w:pPr>
        <w:rPr>
          <w:rFonts w:asciiTheme="minorHAnsi" w:hAnsiTheme="minorHAnsi"/>
          <w:sz w:val="24"/>
          <w:szCs w:val="24"/>
          <w:lang w:val="en-US"/>
        </w:rPr>
      </w:pPr>
    </w:p>
    <w:p w14:paraId="2496B719" w14:textId="77777777" w:rsidR="00905C61" w:rsidRDefault="00905C61">
      <w:pPr>
        <w:rPr>
          <w:rFonts w:asciiTheme="minorHAnsi" w:hAnsiTheme="minorHAnsi"/>
          <w:sz w:val="24"/>
          <w:szCs w:val="24"/>
          <w:lang w:val="en-US"/>
        </w:rPr>
      </w:pPr>
    </w:p>
    <w:p w14:paraId="6A24D0DC" w14:textId="77777777" w:rsidR="00905C61" w:rsidRDefault="00905C61">
      <w:pPr>
        <w:rPr>
          <w:rFonts w:asciiTheme="minorHAnsi" w:hAnsiTheme="minorHAnsi"/>
          <w:sz w:val="24"/>
          <w:szCs w:val="24"/>
          <w:lang w:val="en-US"/>
        </w:rPr>
      </w:pPr>
    </w:p>
    <w:p w14:paraId="7F6B638E" w14:textId="77777777" w:rsidR="00905C61" w:rsidRDefault="00905C61">
      <w:pPr>
        <w:rPr>
          <w:rFonts w:asciiTheme="minorHAnsi" w:hAnsiTheme="minorHAnsi"/>
          <w:sz w:val="24"/>
          <w:szCs w:val="24"/>
          <w:lang w:val="en-US"/>
        </w:rPr>
      </w:pPr>
    </w:p>
    <w:p w14:paraId="3E4894DA" w14:textId="77777777" w:rsidR="00905C61" w:rsidRDefault="00905C61">
      <w:pPr>
        <w:rPr>
          <w:rFonts w:asciiTheme="minorHAnsi" w:hAnsiTheme="minorHAnsi"/>
          <w:sz w:val="24"/>
          <w:szCs w:val="24"/>
          <w:lang w:val="en-US"/>
        </w:rPr>
      </w:pPr>
    </w:p>
    <w:p w14:paraId="2647BC6A" w14:textId="77777777" w:rsidR="00905C61" w:rsidRDefault="00905C61">
      <w:pPr>
        <w:rPr>
          <w:rFonts w:asciiTheme="minorHAnsi" w:hAnsiTheme="minorHAnsi"/>
          <w:sz w:val="24"/>
          <w:szCs w:val="24"/>
          <w:lang w:val="en-US"/>
        </w:rPr>
      </w:pPr>
    </w:p>
    <w:p w14:paraId="7F3B0AE4" w14:textId="77777777" w:rsidR="00905C61" w:rsidRDefault="00905C61">
      <w:pPr>
        <w:rPr>
          <w:rFonts w:asciiTheme="minorHAnsi" w:hAnsiTheme="minorHAnsi"/>
          <w:sz w:val="24"/>
          <w:szCs w:val="24"/>
          <w:lang w:val="en-US"/>
        </w:rPr>
      </w:pPr>
    </w:p>
    <w:p w14:paraId="6E312376" w14:textId="77777777" w:rsidR="00905C61" w:rsidRDefault="00905C61">
      <w:pPr>
        <w:rPr>
          <w:rFonts w:asciiTheme="minorHAnsi" w:hAnsiTheme="minorHAnsi"/>
          <w:sz w:val="24"/>
          <w:szCs w:val="24"/>
          <w:lang w:val="en-US"/>
        </w:rPr>
      </w:pPr>
    </w:p>
    <w:p w14:paraId="6992499E" w14:textId="77777777" w:rsidR="00905C61" w:rsidRDefault="00905C61">
      <w:pPr>
        <w:rPr>
          <w:rFonts w:asciiTheme="minorHAnsi" w:hAnsiTheme="minorHAnsi"/>
          <w:sz w:val="24"/>
          <w:szCs w:val="24"/>
          <w:lang w:val="en-US"/>
        </w:rPr>
      </w:pPr>
    </w:p>
    <w:p w14:paraId="40A3751F" w14:textId="77777777" w:rsidR="00905C61" w:rsidRDefault="00905C61">
      <w:pPr>
        <w:rPr>
          <w:rFonts w:asciiTheme="minorHAnsi" w:hAnsiTheme="minorHAnsi"/>
          <w:sz w:val="24"/>
          <w:szCs w:val="24"/>
          <w:lang w:val="en-US"/>
        </w:rPr>
      </w:pPr>
    </w:p>
    <w:p w14:paraId="42CCADCE" w14:textId="77777777" w:rsidR="00905C61" w:rsidRDefault="00905C61">
      <w:pPr>
        <w:rPr>
          <w:rFonts w:asciiTheme="minorHAnsi" w:hAnsiTheme="minorHAnsi"/>
          <w:sz w:val="24"/>
          <w:szCs w:val="24"/>
          <w:lang w:val="en-US"/>
        </w:rPr>
      </w:pPr>
    </w:p>
    <w:p w14:paraId="1A3B1AB6" w14:textId="77777777" w:rsidR="00905C61" w:rsidRDefault="00905C61">
      <w:pPr>
        <w:rPr>
          <w:rFonts w:asciiTheme="minorHAnsi" w:hAnsiTheme="minorHAnsi"/>
          <w:sz w:val="24"/>
          <w:szCs w:val="24"/>
          <w:lang w:val="en-US"/>
        </w:rPr>
      </w:pPr>
    </w:p>
    <w:p w14:paraId="085AF658" w14:textId="77777777" w:rsidR="00905C61" w:rsidRDefault="00905C61">
      <w:pPr>
        <w:rPr>
          <w:rFonts w:asciiTheme="minorHAnsi" w:hAnsiTheme="minorHAnsi"/>
          <w:sz w:val="24"/>
          <w:szCs w:val="24"/>
          <w:lang w:val="en-US"/>
        </w:rPr>
      </w:pPr>
    </w:p>
    <w:p w14:paraId="674968BD" w14:textId="77777777" w:rsidR="001F29D1" w:rsidRDefault="001F29D1">
      <w:pPr>
        <w:rPr>
          <w:rFonts w:asciiTheme="minorHAnsi" w:hAnsiTheme="minorHAnsi"/>
          <w:sz w:val="24"/>
          <w:szCs w:val="24"/>
          <w:lang w:val="en-US"/>
        </w:rPr>
      </w:pPr>
    </w:p>
    <w:p w14:paraId="4F4F236C" w14:textId="77777777" w:rsidR="00905C61" w:rsidRDefault="00905C61" w:rsidP="00905C61">
      <w:pPr>
        <w:pStyle w:val="Heading1"/>
        <w:rPr>
          <w:sz w:val="40"/>
          <w:szCs w:val="40"/>
        </w:rPr>
      </w:pPr>
      <w:bookmarkStart w:id="32" w:name="_Toc229750457"/>
      <w:r>
        <w:rPr>
          <w:sz w:val="40"/>
          <w:szCs w:val="40"/>
        </w:rPr>
        <w:t>Appendix 1: Creating the Concourse</w:t>
      </w:r>
      <w:bookmarkEnd w:id="32"/>
    </w:p>
    <w:p w14:paraId="2A0EC086" w14:textId="77777777" w:rsidR="00905C61" w:rsidRDefault="00905C61" w:rsidP="00905C61">
      <w:pPr>
        <w:pStyle w:val="Heading4"/>
      </w:pPr>
      <w:r>
        <w:t>Step 1:</w:t>
      </w:r>
    </w:p>
    <w:p w14:paraId="12FCA9CD" w14:textId="77777777" w:rsidR="00905C61" w:rsidRDefault="00905C61" w:rsidP="00905C61">
      <w:r>
        <w:t>I gave the Google Gemini ‘Deep Research’ tool the following prompt:</w:t>
      </w:r>
    </w:p>
    <w:p w14:paraId="020ADE24" w14:textId="77777777" w:rsidR="00905C61" w:rsidRDefault="00905C61" w:rsidP="00905C61"/>
    <w:p w14:paraId="75F8B52F" w14:textId="77777777" w:rsidR="00905C61" w:rsidRDefault="00905C61" w:rsidP="00905C61">
      <w:pPr>
        <w:rPr>
          <w:i/>
          <w:iCs/>
        </w:rPr>
      </w:pPr>
      <w:r w:rsidRPr="00557867">
        <w:rPr>
          <w:i/>
          <w:iCs/>
        </w:rPr>
        <w:t>I'd like to create a series of statements to express all the potential perspectives that History lecturers at UK universities might have of Education for Sustainability. Can you do this?</w:t>
      </w:r>
    </w:p>
    <w:p w14:paraId="614BCF6D" w14:textId="77777777" w:rsidR="00905C61" w:rsidRDefault="00905C61" w:rsidP="00905C61">
      <w:pPr>
        <w:rPr>
          <w:i/>
          <w:iCs/>
        </w:rPr>
      </w:pPr>
    </w:p>
    <w:p w14:paraId="3461630A" w14:textId="77777777" w:rsidR="00905C61" w:rsidRDefault="00905C61" w:rsidP="00905C61">
      <w:r>
        <w:t>The output is included below.</w:t>
      </w:r>
    </w:p>
    <w:p w14:paraId="17213354" w14:textId="77777777" w:rsidR="00905C61" w:rsidRDefault="00905C61" w:rsidP="00905C61"/>
    <w:p w14:paraId="6FBAD5EF" w14:textId="77777777" w:rsidR="00905C61" w:rsidRDefault="00905C61" w:rsidP="00905C61">
      <w:pPr>
        <w:pStyle w:val="Heading4"/>
      </w:pPr>
      <w:r>
        <w:t>Step 2:</w:t>
      </w:r>
    </w:p>
    <w:p w14:paraId="6DAE2968" w14:textId="77777777" w:rsidR="00905C61" w:rsidRDefault="00905C61" w:rsidP="00905C61">
      <w:r>
        <w:t>A follow-up prompt requested Google Gemini to extract statements from its own ‘Deep Research’ report that would be suitable for concourse statements for a Q Methodological study on the perspectives of higher education History lecturers on Education for Sustainable Development. The output is included in Appendix 2.</w:t>
      </w:r>
    </w:p>
    <w:p w14:paraId="4D777716" w14:textId="77777777" w:rsidR="00905C61" w:rsidRDefault="00905C61" w:rsidP="00905C61"/>
    <w:p w14:paraId="7B206E04" w14:textId="77777777" w:rsidR="00905C61" w:rsidRDefault="00905C61" w:rsidP="00905C61">
      <w:pPr>
        <w:pStyle w:val="Heading4"/>
      </w:pPr>
      <w:r>
        <w:t>Step 3:</w:t>
      </w:r>
    </w:p>
    <w:p w14:paraId="2629864B" w14:textId="77777777" w:rsidR="00905C61" w:rsidRPr="00557867" w:rsidRDefault="00905C61" w:rsidP="00905C61">
      <w:r>
        <w:t xml:space="preserve">A ‘notebook’ was created in </w:t>
      </w:r>
      <w:proofErr w:type="spellStart"/>
      <w:r>
        <w:t>NotebookLM</w:t>
      </w:r>
      <w:proofErr w:type="spellEnd"/>
      <w:r>
        <w:t xml:space="preserve">, another Google product, where pdfs of the sources used in the literature review were uploaded. A prompt was then entered in the chat requesting a concourse of statements derived from the sources for use in a Q Methodological study on the perspectives of higher education History lecturers on Education for Sustainable Development. The ‘notebook’ can be viewed here: </w:t>
      </w:r>
      <w:hyperlink r:id="rId29" w:history="1">
        <w:r w:rsidRPr="00961C8A">
          <w:rPr>
            <w:rStyle w:val="Hyperlink"/>
          </w:rPr>
          <w:t>https://notebooklm.google.com/notebook/cef4ec7d-148d-4cb4-b328-ef28f18ed5fa?authuser=1</w:t>
        </w:r>
      </w:hyperlink>
      <w:r>
        <w:t xml:space="preserve"> </w:t>
      </w:r>
    </w:p>
    <w:p w14:paraId="2211A1DF" w14:textId="77777777" w:rsidR="00905C61" w:rsidRDefault="00905C61" w:rsidP="00905C61"/>
    <w:p w14:paraId="197BAB73" w14:textId="77777777" w:rsidR="00905C61" w:rsidRDefault="00905C61" w:rsidP="00905C61">
      <w:pPr>
        <w:pStyle w:val="Heading4"/>
      </w:pPr>
      <w:r>
        <w:t>Step 4:</w:t>
      </w:r>
    </w:p>
    <w:p w14:paraId="386D2089" w14:textId="77777777" w:rsidR="00905C61" w:rsidRDefault="00905C61" w:rsidP="00905C61">
      <w:r>
        <w:t xml:space="preserve">A first iteration of the online Q-sort tool, created with the Google Gemini ‘Canvas’ tool, contained 34 statements. </w:t>
      </w:r>
    </w:p>
    <w:p w14:paraId="4D8605BB" w14:textId="77777777" w:rsidR="00905C61" w:rsidRDefault="00905C61" w:rsidP="00905C61"/>
    <w:p w14:paraId="2996A83C" w14:textId="77777777" w:rsidR="00905C61" w:rsidRDefault="00905C61" w:rsidP="00905C61">
      <w:pPr>
        <w:pStyle w:val="Heading4"/>
      </w:pPr>
      <w:r>
        <w:t>Step 5:</w:t>
      </w:r>
    </w:p>
    <w:p w14:paraId="13C0BC59" w14:textId="77777777" w:rsidR="00905C61" w:rsidRDefault="00905C61" w:rsidP="00905C61">
      <w:r>
        <w:t xml:space="preserve">Statements from all 3 sources (Gemini’s ‘Deep Research’ report, the </w:t>
      </w:r>
      <w:proofErr w:type="spellStart"/>
      <w:r>
        <w:t>NotebookLM</w:t>
      </w:r>
      <w:proofErr w:type="spellEnd"/>
      <w:r>
        <w:t xml:space="preserve"> chat, and the Gemini ‘Canvas’ tool) were listed together to create the concourse.</w:t>
      </w:r>
    </w:p>
    <w:p w14:paraId="64065ECC" w14:textId="77777777" w:rsidR="00905C61" w:rsidRDefault="00905C61" w:rsidP="00905C61"/>
    <w:p w14:paraId="636FA85A" w14:textId="77777777" w:rsidR="00905C61" w:rsidRDefault="00905C61" w:rsidP="00905C61"/>
    <w:p w14:paraId="4D9A6248" w14:textId="77777777" w:rsidR="00905C61" w:rsidRPr="00B37B2F" w:rsidRDefault="00905C61" w:rsidP="00905C61"/>
    <w:p w14:paraId="36B938FA" w14:textId="77777777" w:rsidR="00905C61" w:rsidRDefault="00905C61" w:rsidP="00905C61"/>
    <w:p w14:paraId="7ACB99F8" w14:textId="77777777" w:rsidR="00905C61" w:rsidRPr="00557867" w:rsidRDefault="00905C61" w:rsidP="00905C61"/>
    <w:p w14:paraId="6FDEC669" w14:textId="77777777" w:rsidR="00905C61" w:rsidRDefault="00905C61" w:rsidP="00905C61">
      <w:pPr>
        <w:rPr>
          <w:b/>
          <w:bCs/>
          <w:color w:val="0F4761" w:themeColor="accent1" w:themeShade="BF"/>
          <w:sz w:val="40"/>
          <w:szCs w:val="40"/>
        </w:rPr>
      </w:pPr>
      <w:r>
        <w:rPr>
          <w:sz w:val="40"/>
          <w:szCs w:val="40"/>
        </w:rPr>
        <w:br w:type="page"/>
      </w:r>
    </w:p>
    <w:p w14:paraId="506EABFF" w14:textId="48F3DB5C" w:rsidR="00905C61" w:rsidRDefault="00905C61" w:rsidP="00905C61">
      <w:pPr>
        <w:pStyle w:val="Heading1"/>
        <w:rPr>
          <w:sz w:val="40"/>
          <w:szCs w:val="40"/>
        </w:rPr>
      </w:pPr>
      <w:bookmarkStart w:id="33" w:name="_Toc229750458"/>
      <w:r w:rsidRPr="00F35C82">
        <w:rPr>
          <w:sz w:val="40"/>
          <w:szCs w:val="40"/>
        </w:rPr>
        <w:lastRenderedPageBreak/>
        <w:t xml:space="preserve">Gemini ‘Deep Research’ </w:t>
      </w:r>
      <w:proofErr w:type="gramStart"/>
      <w:r w:rsidRPr="00F35C82">
        <w:rPr>
          <w:sz w:val="40"/>
          <w:szCs w:val="40"/>
        </w:rPr>
        <w:t xml:space="preserve">Report  </w:t>
      </w:r>
      <w:r w:rsidRPr="00F35C82">
        <w:rPr>
          <w:sz w:val="40"/>
          <w:szCs w:val="40"/>
        </w:rPr>
        <w:tab/>
      </w:r>
      <w:proofErr w:type="gramEnd"/>
      <w:r w:rsidRPr="00F35C82">
        <w:rPr>
          <w:sz w:val="40"/>
          <w:szCs w:val="40"/>
        </w:rPr>
        <w:t>06-10-2025</w:t>
      </w:r>
      <w:bookmarkEnd w:id="33"/>
    </w:p>
    <w:p w14:paraId="40C9273C" w14:textId="77777777" w:rsidR="00905C61" w:rsidRPr="00557867" w:rsidRDefault="00905C61" w:rsidP="00905C61">
      <w:pPr>
        <w:pStyle w:val="Heading1"/>
        <w:rPr>
          <w:sz w:val="40"/>
          <w:szCs w:val="40"/>
        </w:rPr>
      </w:pPr>
      <w:bookmarkStart w:id="34" w:name="_Toc229750459"/>
      <w:r w:rsidRPr="00AB6BEA">
        <w:t>Disciplinary Integrity and Didactic Imperatives: A Spectrum of Perspectives from UK University History Lecturers on Education for Sustainability</w:t>
      </w:r>
      <w:bookmarkEnd w:id="34"/>
    </w:p>
    <w:p w14:paraId="7FF2FB37" w14:textId="77777777" w:rsidR="00905C61" w:rsidRPr="00AB6BEA" w:rsidRDefault="00905C61" w:rsidP="00905C61"/>
    <w:p w14:paraId="279C65B1" w14:textId="77777777" w:rsidR="00905C61" w:rsidRPr="00AB6BEA" w:rsidRDefault="00905C61" w:rsidP="00905C61">
      <w:pPr>
        <w:pStyle w:val="Heading2"/>
        <w:rPr>
          <w:b/>
          <w:bCs/>
        </w:rPr>
      </w:pPr>
      <w:bookmarkStart w:id="35" w:name="_Toc229750460"/>
      <w:r w:rsidRPr="00AB6BEA">
        <w:rPr>
          <w:b/>
          <w:bCs/>
        </w:rPr>
        <w:t>Section 1: The Mandate for Education for Sustainability in UK Higher Education</w:t>
      </w:r>
      <w:bookmarkEnd w:id="35"/>
    </w:p>
    <w:p w14:paraId="35F602C1"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The drive to embed Education for Sustainability (ESD) within UK higher education is not a peripheral movement but a centrally promoted, strategic priority. Spearheaded by key sector bodies such as the Quality Assurance Agency for Higher Education (QAA) and Advance HE, ESD is presented as an essential component of a modern university education, deeply integrated into the frameworks that govern academic quality and institutional strategy. Understanding this top-down mandate is critical to appreciating the context in which History lecturers must formulate their professional and pedagogical responses.</w:t>
      </w:r>
    </w:p>
    <w:p w14:paraId="39D47C95" w14:textId="77777777" w:rsidR="00905C61" w:rsidRPr="00AB6BEA" w:rsidRDefault="00905C61" w:rsidP="00905C61">
      <w:pPr>
        <w:pStyle w:val="Heading3"/>
        <w:rPr>
          <w:b/>
          <w:bCs/>
        </w:rPr>
      </w:pPr>
      <w:bookmarkStart w:id="36" w:name="_Toc229750461"/>
      <w:r w:rsidRPr="00AB6BEA">
        <w:rPr>
          <w:b/>
          <w:bCs/>
        </w:rPr>
        <w:t>1.1 Defining Education for Sustainability: A Holistic, Transformative Agenda</w:t>
      </w:r>
      <w:bookmarkEnd w:id="36"/>
    </w:p>
    <w:p w14:paraId="27BC2B22"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conceptual foundation for ESD in the UK is the 2014 guidance, updated in 2021, jointly published by the QAA and Advance HE. This document defines ESD as "the process of equipping students with the knowledge and understanding, skills and attributes needed to work and live in a way that safeguards environmental, social and economic wellbeing, both in the present and for future generations". This definition immediately establishes a broad, tripartite framework, often referred to as the "three pillars" of sustainability, which encompasses but is not limited to environmental concerns.</w:t>
      </w:r>
    </w:p>
    <w:p w14:paraId="78CF8A5E" w14:textId="77777777" w:rsidR="00905C61" w:rsidRPr="00AB6BEA" w:rsidRDefault="00905C61" w:rsidP="00905C61">
      <w:pPr>
        <w:rPr>
          <w:rFonts w:eastAsia="Times New Roman" w:cs="Arial"/>
          <w:color w:val="1F1F1F"/>
          <w:sz w:val="24"/>
          <w:szCs w:val="24"/>
        </w:rPr>
      </w:pPr>
    </w:p>
    <w:p w14:paraId="4CFC423E"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The guidance explicitly seeks to move the discourse "beyond being solely about environmental issues, focusing instead on interconnections and interdependencies between economic, social and environmental factors". This holistic approach is designed to make ESD relevant to all academic disciplines, from the sciences to the humanities. It is framed as part of a wider "educational change agenda" grounded in principles of transformative learning and critical pedagogy. The </w:t>
      </w:r>
      <w:proofErr w:type="gramStart"/>
      <w:r w:rsidRPr="00AB6BEA">
        <w:rPr>
          <w:rFonts w:eastAsia="Times New Roman" w:cs="Arial"/>
          <w:color w:val="1F1F1F"/>
          <w:sz w:val="24"/>
          <w:szCs w:val="24"/>
          <w:bdr w:val="none" w:sz="0" w:space="0" w:color="auto" w:frame="1"/>
        </w:rPr>
        <w:t>ultimate goal</w:t>
      </w:r>
      <w:proofErr w:type="gramEnd"/>
      <w:r w:rsidRPr="00AB6BEA">
        <w:rPr>
          <w:rFonts w:eastAsia="Times New Roman" w:cs="Arial"/>
          <w:color w:val="1F1F1F"/>
          <w:sz w:val="24"/>
          <w:szCs w:val="24"/>
          <w:bdr w:val="none" w:sz="0" w:space="0" w:color="auto" w:frame="1"/>
        </w:rPr>
        <w:t xml:space="preserve"> is to empower learners to "look critically at how the world is and to envision how it might be," and subsequently to "create and pursue visions of a better world". This language is inherently activist and future-oriented, positioning ESD not as a neutral mode of content delivery, but as a process with a clear normative objective: to equip students to </w:t>
      </w:r>
      <w:proofErr w:type="gramStart"/>
      <w:r w:rsidRPr="00AB6BEA">
        <w:rPr>
          <w:rFonts w:eastAsia="Times New Roman" w:cs="Arial"/>
          <w:i/>
          <w:iCs/>
          <w:color w:val="1F1F1F"/>
          <w:sz w:val="24"/>
          <w:szCs w:val="24"/>
          <w:bdr w:val="none" w:sz="0" w:space="0" w:color="auto" w:frame="1"/>
        </w:rPr>
        <w:t>take action</w:t>
      </w:r>
      <w:proofErr w:type="gramEnd"/>
      <w:r w:rsidRPr="00AB6BEA">
        <w:rPr>
          <w:rFonts w:eastAsia="Times New Roman" w:cs="Arial"/>
          <w:color w:val="1F1F1F"/>
          <w:sz w:val="24"/>
          <w:szCs w:val="24"/>
          <w:bdr w:val="none" w:sz="0" w:space="0" w:color="auto" w:frame="1"/>
        </w:rPr>
        <w:t xml:space="preserve"> and help </w:t>
      </w:r>
      <w:r w:rsidRPr="00AB6BEA">
        <w:rPr>
          <w:rFonts w:eastAsia="Times New Roman" w:cs="Arial"/>
          <w:i/>
          <w:iCs/>
          <w:color w:val="1F1F1F"/>
          <w:sz w:val="24"/>
          <w:szCs w:val="24"/>
          <w:bdr w:val="none" w:sz="0" w:space="0" w:color="auto" w:frame="1"/>
        </w:rPr>
        <w:t>transition society</w:t>
      </w:r>
      <w:r w:rsidRPr="00AB6BEA">
        <w:rPr>
          <w:rFonts w:eastAsia="Times New Roman" w:cs="Arial"/>
          <w:color w:val="1F1F1F"/>
          <w:sz w:val="24"/>
          <w:szCs w:val="24"/>
          <w:bdr w:val="none" w:sz="0" w:space="0" w:color="auto" w:frame="1"/>
        </w:rPr>
        <w:t xml:space="preserve"> towards a more sustainable future. This forward-looking, </w:t>
      </w:r>
      <w:r w:rsidRPr="00AB6BEA">
        <w:rPr>
          <w:rFonts w:eastAsia="Times New Roman" w:cs="Arial"/>
          <w:color w:val="1F1F1F"/>
          <w:sz w:val="24"/>
          <w:szCs w:val="24"/>
          <w:bdr w:val="none" w:sz="0" w:space="0" w:color="auto" w:frame="1"/>
        </w:rPr>
        <w:lastRenderedPageBreak/>
        <w:t>interventionist ethos creates an immediate and foundational tension with the traditional ethos of the historical profession, which is retrospective by nature and prizes detached analysis over activism.</w:t>
      </w:r>
    </w:p>
    <w:p w14:paraId="04861560" w14:textId="77777777" w:rsidR="00905C61" w:rsidRPr="00AB6BEA" w:rsidRDefault="00905C61" w:rsidP="00905C61">
      <w:pPr>
        <w:rPr>
          <w:rFonts w:eastAsia="Times New Roman" w:cs="Arial"/>
          <w:color w:val="1F1F1F"/>
          <w:sz w:val="24"/>
          <w:szCs w:val="24"/>
        </w:rPr>
      </w:pPr>
    </w:p>
    <w:p w14:paraId="26EEB6FA"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This agenda is reinforced by its strategic positioning within institutional priorities. Universities are encouraged to connect ESD with other key objectives such as employability, enterprise, inclusive curricula, and internationalisation. The imperative is further strengthened by significant student demand; surveys consistently show that a high percentage of students wish to see sustainable development incorporated throughout their courses. Consequently, ESD is increasingly embedded within the sector's quality assurance mechanisms and institutional strategic plans, backed by a significant body of guidance, frameworks, and practice guides from the QAA and Advance HE. This transforms the debate for academics from a purely philosophical one into a professional and pragmatic one, as non-engagement represents a potential deviation from national and institutional expectations.</w:t>
      </w:r>
    </w:p>
    <w:p w14:paraId="2EEE6A04" w14:textId="77777777" w:rsidR="00905C61" w:rsidRPr="00AB6BEA" w:rsidRDefault="00905C61" w:rsidP="00905C61">
      <w:pPr>
        <w:pStyle w:val="Heading3"/>
      </w:pPr>
      <w:bookmarkStart w:id="37" w:name="_Toc229750462"/>
      <w:r w:rsidRPr="00AB6BEA">
        <w:t>1.2 The Competency Framework: A New Didactic Architecture</w:t>
      </w:r>
      <w:bookmarkEnd w:id="37"/>
    </w:p>
    <w:p w14:paraId="0B65E317" w14:textId="77777777" w:rsidR="00905C61" w:rsidRPr="00AB6BEA" w:rsidRDefault="00905C61" w:rsidP="00905C61">
      <w:pPr>
        <w:rPr>
          <w:rFonts w:eastAsia="Times New Roman" w:cs="Arial"/>
          <w:color w:val="1F1F1F"/>
          <w:sz w:val="24"/>
          <w:szCs w:val="24"/>
        </w:rPr>
      </w:pPr>
      <w:r w:rsidRPr="00AB6BEA">
        <w:rPr>
          <w:rFonts w:eastAsia="Times New Roman" w:cs="Arial"/>
          <w:color w:val="1F1F1F"/>
          <w:sz w:val="24"/>
          <w:szCs w:val="24"/>
          <w:bdr w:val="none" w:sz="0" w:space="0" w:color="auto" w:frame="1"/>
        </w:rPr>
        <w:t>At the heart of the QAA and Advance HE guidance is a pedagogical architecture built around UNESCO's key competencies for sustainability. These competencies are designed to be cross-disciplinary and provide a common language for curriculum design. They are specified as:</w:t>
      </w:r>
    </w:p>
    <w:p w14:paraId="5EC58F58"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Systems thinking</w:t>
      </w:r>
    </w:p>
    <w:p w14:paraId="5C190054"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Anticipatory thinking (or future thinking)</w:t>
      </w:r>
    </w:p>
    <w:p w14:paraId="462E7CCB"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Normative competency</w:t>
      </w:r>
    </w:p>
    <w:p w14:paraId="00764F44"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Strategic thinking</w:t>
      </w:r>
    </w:p>
    <w:p w14:paraId="55CB9D2C"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Collaborative competency</w:t>
      </w:r>
    </w:p>
    <w:p w14:paraId="7F598709"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Critical thinking</w:t>
      </w:r>
    </w:p>
    <w:p w14:paraId="289E58B6" w14:textId="77777777" w:rsidR="00905C61" w:rsidRPr="00AB6BEA" w:rsidRDefault="00905C61" w:rsidP="00905C61">
      <w:pPr>
        <w:numPr>
          <w:ilvl w:val="0"/>
          <w:numId w:val="2"/>
        </w:numPr>
        <w:spacing w:after="150"/>
        <w:rPr>
          <w:rFonts w:eastAsia="Times New Roman" w:cs="Arial"/>
          <w:color w:val="1F1F1F"/>
          <w:sz w:val="24"/>
          <w:szCs w:val="24"/>
        </w:rPr>
      </w:pPr>
      <w:r w:rsidRPr="00AB6BEA">
        <w:rPr>
          <w:rFonts w:eastAsia="Times New Roman" w:cs="Arial"/>
          <w:color w:val="1F1F1F"/>
          <w:sz w:val="24"/>
          <w:szCs w:val="24"/>
        </w:rPr>
        <w:t>Self-awareness</w:t>
      </w:r>
    </w:p>
    <w:p w14:paraId="5DBDFBEE" w14:textId="77777777" w:rsidR="00905C61" w:rsidRPr="00AB6BEA" w:rsidRDefault="00905C61" w:rsidP="00905C61">
      <w:pPr>
        <w:numPr>
          <w:ilvl w:val="0"/>
          <w:numId w:val="2"/>
        </w:numPr>
        <w:rPr>
          <w:rFonts w:eastAsia="Times New Roman" w:cs="Arial"/>
          <w:color w:val="1F1F1F"/>
          <w:sz w:val="24"/>
          <w:szCs w:val="24"/>
        </w:rPr>
      </w:pPr>
      <w:r w:rsidRPr="00AB6BEA">
        <w:rPr>
          <w:rFonts w:eastAsia="Times New Roman" w:cs="Arial"/>
          <w:color w:val="1F1F1F"/>
          <w:sz w:val="24"/>
          <w:szCs w:val="24"/>
          <w:bdr w:val="none" w:sz="0" w:space="0" w:color="auto" w:frame="1"/>
        </w:rPr>
        <w:t xml:space="preserve">Integrated problem-solving </w:t>
      </w:r>
    </w:p>
    <w:p w14:paraId="5C76D40B" w14:textId="77777777" w:rsidR="00905C61" w:rsidRDefault="00905C61" w:rsidP="00905C61">
      <w:pPr>
        <w:rPr>
          <w:rFonts w:eastAsia="Times New Roman" w:cs="Arial"/>
          <w:color w:val="1F1F1F"/>
          <w:sz w:val="24"/>
          <w:szCs w:val="24"/>
          <w:bdr w:val="none" w:sz="0" w:space="0" w:color="auto" w:frame="1"/>
        </w:rPr>
      </w:pPr>
    </w:p>
    <w:p w14:paraId="55B18A21"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guidance explicitly positions academics as "central to implementation," stating that their approaches to curriculum design, teaching, and assessment are the primary vehicles through which learners will acquire these key competencies. This places a direct responsibility on all teaching staff, irrespective of their discipline, to engage with this framework and reflect on how their own knowledge and skills can contribute to its delivery.</w:t>
      </w:r>
    </w:p>
    <w:p w14:paraId="170CEF8E" w14:textId="77777777" w:rsidR="00905C61" w:rsidRPr="00AB6BEA" w:rsidRDefault="00905C61" w:rsidP="00905C61">
      <w:pPr>
        <w:rPr>
          <w:rFonts w:eastAsia="Times New Roman" w:cs="Arial"/>
          <w:color w:val="1F1F1F"/>
          <w:sz w:val="24"/>
          <w:szCs w:val="24"/>
        </w:rPr>
      </w:pPr>
    </w:p>
    <w:p w14:paraId="664ECCB6" w14:textId="77777777" w:rsidR="00905C61" w:rsidRPr="00AB6BEA" w:rsidRDefault="00905C61" w:rsidP="00905C61">
      <w:pPr>
        <w:pStyle w:val="Heading2"/>
        <w:rPr>
          <w:b/>
          <w:bCs/>
        </w:rPr>
      </w:pPr>
      <w:bookmarkStart w:id="38" w:name="_Toc229750463"/>
      <w:r w:rsidRPr="00AB6BEA">
        <w:rPr>
          <w:b/>
          <w:bCs/>
        </w:rPr>
        <w:lastRenderedPageBreak/>
        <w:t>Section 2: The Disciplinary Identity of History in the UK Academy</w:t>
      </w:r>
      <w:bookmarkEnd w:id="38"/>
    </w:p>
    <w:p w14:paraId="78104FCF"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To comprehend the range of responses from historians to the ESD mandate, it is essential first to establish the disciplinary identity of History as it is formally understood within the UK academy. This identity is not arbitrary; it is codified in the QAA's own Subject Benchmark Statement for History, which provides the professional and intellectual framework against which the "foreign" concepts of ESD are implicitly and explicitly judged.</w:t>
      </w:r>
    </w:p>
    <w:p w14:paraId="24D2B568" w14:textId="77777777" w:rsidR="00905C61" w:rsidRPr="00AB6BEA" w:rsidRDefault="00905C61" w:rsidP="00905C61">
      <w:pPr>
        <w:pStyle w:val="Heading3"/>
        <w:rPr>
          <w:b/>
          <w:bCs/>
        </w:rPr>
      </w:pPr>
      <w:bookmarkStart w:id="39" w:name="_Toc229750464"/>
      <w:r w:rsidRPr="00AB6BEA">
        <w:rPr>
          <w:b/>
          <w:bCs/>
        </w:rPr>
        <w:t>2.1 The QAA Subject Benchmark Statement: Defining the Discipline</w:t>
      </w:r>
      <w:bookmarkEnd w:id="39"/>
    </w:p>
    <w:p w14:paraId="42861E57"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Subject Benchmark Statement serves as a crucial reference point, defining the "coherence and identity" of the discipline and setting out the standards expected of graduates. While it is designed to allow for flexibility in curriculum design and explicitly rejects the notion of a "national curriculum," it establishes the core principles and methodologies that are fundamental to a history degree in the UK.</w:t>
      </w:r>
    </w:p>
    <w:p w14:paraId="2E46B4FE" w14:textId="77777777" w:rsidR="00905C61" w:rsidRPr="00AB6BEA" w:rsidRDefault="00905C61" w:rsidP="00905C61">
      <w:pPr>
        <w:rPr>
          <w:rFonts w:eastAsia="Times New Roman" w:cs="Arial"/>
          <w:color w:val="1F1F1F"/>
          <w:sz w:val="24"/>
          <w:szCs w:val="24"/>
        </w:rPr>
      </w:pPr>
    </w:p>
    <w:p w14:paraId="699A2F64"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nature of historical inquiry is defined as the "extensive and intensive study of the past," with a focus on examining change and continuity. A central pedagogical aim is to foster an appreciation for the "complexity and diversity of situations, events, and mentalities in the past". A cornerstone of the discipline is "respect for historical context" and the imperative to understand the "otherness" of the past—how people in different eras existed, acted, and thought within a context fundamentally different from our own. The discipline’s core methodologies are built upon the "robust, rigorous analysis of historical evidence," with a particular emphasis on the critical interpretation of primary sources. Pedagogically, this is delivered through a combination of lectures, small-group seminars that encourage discussion and debate, and a significant reliance on independent study, reading, and research.</w:t>
      </w:r>
    </w:p>
    <w:p w14:paraId="5B18F53B" w14:textId="77777777" w:rsidR="00905C61" w:rsidRPr="00AB6BEA" w:rsidRDefault="00905C61" w:rsidP="00905C61">
      <w:pPr>
        <w:rPr>
          <w:rFonts w:eastAsia="Times New Roman" w:cs="Arial"/>
          <w:color w:val="1F1F1F"/>
          <w:sz w:val="24"/>
          <w:szCs w:val="24"/>
        </w:rPr>
      </w:pPr>
    </w:p>
    <w:p w14:paraId="6784B378"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2022 revision of the History Benchmark Statement is particularly noteworthy. The chair of the advisory group stated that "particular attention" was given to themes of Equality, Diversity, and Inclusion (EDI), employability, and, crucially, "education for sustainable development". However, while this phrase is included at a high level, the main body of the statement continues to overwhelmingly detail and prioritise the traditional historical methods of source analysis, argumentation, and contextualisation. This creates a significant ambiguity: is the inclusion of ESD a mandate for a fundamental shift in the discipline's methodology, or is it a pragmatic, top-level acknowledgement of a sector-wide trend? This ambiguity allows for a wide spectrum of interpretation and response from within the discipline.</w:t>
      </w:r>
    </w:p>
    <w:p w14:paraId="68E5F708" w14:textId="77777777" w:rsidR="00905C61" w:rsidRPr="00AB6BEA" w:rsidRDefault="00905C61" w:rsidP="00905C61">
      <w:pPr>
        <w:pStyle w:val="Heading3"/>
        <w:rPr>
          <w:b/>
          <w:bCs/>
        </w:rPr>
      </w:pPr>
      <w:bookmarkStart w:id="40" w:name="_Toc229750465"/>
      <w:r w:rsidRPr="00AB6BEA">
        <w:rPr>
          <w:b/>
          <w:bCs/>
        </w:rPr>
        <w:t>2.2 The Specter of Presentism: The Historian's Cardinal Sin</w:t>
      </w:r>
      <w:bookmarkEnd w:id="40"/>
    </w:p>
    <w:p w14:paraId="5942D216"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lastRenderedPageBreak/>
        <w:t>A defining feature of the professional identity of modern historians is a deep-seated suspicion of "presentism." The term is pejoratively defined as the anachronistic imposition of modern perspectives, values, and concerns onto the past. It is often deployed as a "slur" or "term of abuse" to critique work that is perceived as biased or distorted by contemporary preoccupations. This allergy to presentism is a direct legacy of the nineteenth-century professionalisation of history, which was founded on the positivist ideal of objectivity and the conviction that the past should be studied "for its own sake and not in order to advance other agendas". Within this tradition, anachronism is often regarded as the "most heinous sin of the historian".</w:t>
      </w:r>
    </w:p>
    <w:p w14:paraId="73826A35" w14:textId="77777777" w:rsidR="00905C61" w:rsidRPr="00AB6BEA" w:rsidRDefault="00905C61" w:rsidP="00905C61">
      <w:pPr>
        <w:rPr>
          <w:rFonts w:eastAsia="Times New Roman" w:cs="Arial"/>
          <w:color w:val="1F1F1F"/>
          <w:sz w:val="24"/>
          <w:szCs w:val="24"/>
        </w:rPr>
      </w:pPr>
    </w:p>
    <w:p w14:paraId="6D3179BF"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This traditional view has been subject to debate. Some scholars now distinguish between a "bad" presentism that distorts the past and a "good" or unavoidable presentism that uses the concerns of the present to motivate historical inquiry and aims not just for knowledge but for justice. This creates a fundamental tension between the "historicist," who seeks to understand the world as it was, and the "presentist," who seeks to use the past to change the world as it is. This fault line runs directly through the debate over ESD.</w:t>
      </w:r>
    </w:p>
    <w:p w14:paraId="1E189664" w14:textId="77777777" w:rsidR="00905C61" w:rsidRPr="00AB6BEA" w:rsidRDefault="00905C61" w:rsidP="00905C61">
      <w:pPr>
        <w:rPr>
          <w:rFonts w:eastAsia="Times New Roman" w:cs="Arial"/>
          <w:color w:val="1F1F1F"/>
          <w:sz w:val="24"/>
          <w:szCs w:val="24"/>
        </w:rPr>
      </w:pPr>
    </w:p>
    <w:p w14:paraId="304E3380"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The QAA's dual role as the steward of both the History Benchmark Statement, with its implicit critique of presentism, and the ESD Guidance, with its explicitly future-facing and normative agenda, creates a structural conflict within the UK's quality assurance system. Historians can legitimately use one QAA-endorsed framework, which champions disciplinary integrity and respect for historical context, to critique another QAA-endorsed framework that they perceive as promoting anachronism and activism. The conflict is not merely between a discipline and an external policy, but a contradiction embedded within the policy-making body itself.</w:t>
      </w:r>
    </w:p>
    <w:p w14:paraId="431A7FAE" w14:textId="77777777" w:rsidR="00905C61" w:rsidRPr="00AB6BEA" w:rsidRDefault="00905C61" w:rsidP="00905C61">
      <w:pPr>
        <w:pStyle w:val="Heading3"/>
        <w:rPr>
          <w:b/>
          <w:bCs/>
        </w:rPr>
      </w:pPr>
      <w:bookmarkStart w:id="41" w:name="_Toc229750466"/>
      <w:r w:rsidRPr="00AB6BEA">
        <w:rPr>
          <w:b/>
          <w:bCs/>
        </w:rPr>
        <w:t>2.3 Professional Standards and Ethics</w:t>
      </w:r>
      <w:bookmarkEnd w:id="41"/>
    </w:p>
    <w:p w14:paraId="6AA1094E"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The professional conduct of historians is governed by principles that reinforce the discipline's core identity. Codes of conduct from bodies like the National Council on Public History and ethics procedures in university departments emphasize honesty, rigour, transparency, accountability, and the integrity of research. Historians are ethically bound to present evidence fairly and to adhere to strict protocols when dealing with sensitive materials or human subjects, such as in oral history. These standards reinforce a professional culture that values evidence-based inquiry and intellectual integrity above other considerations.</w:t>
      </w:r>
    </w:p>
    <w:p w14:paraId="3EEEE009" w14:textId="77777777" w:rsidR="00905C61" w:rsidRPr="00AB6BEA" w:rsidRDefault="00905C61" w:rsidP="00905C61">
      <w:pPr>
        <w:rPr>
          <w:rFonts w:eastAsia="Times New Roman" w:cs="Arial"/>
          <w:color w:val="1F1F1F"/>
          <w:sz w:val="24"/>
          <w:szCs w:val="24"/>
        </w:rPr>
      </w:pPr>
    </w:p>
    <w:p w14:paraId="6D1585EB" w14:textId="77777777" w:rsidR="00905C61" w:rsidRPr="00AB6BEA" w:rsidRDefault="00905C61" w:rsidP="00905C61">
      <w:pPr>
        <w:pStyle w:val="Heading2"/>
        <w:rPr>
          <w:b/>
          <w:bCs/>
        </w:rPr>
      </w:pPr>
      <w:bookmarkStart w:id="42" w:name="_Toc229750467"/>
      <w:r w:rsidRPr="00AB6BEA">
        <w:rPr>
          <w:b/>
          <w:bCs/>
        </w:rPr>
        <w:t>Section 3: A Spectrum of Perspectives: History Lecturers on Education for Sustainability</w:t>
      </w:r>
      <w:bookmarkEnd w:id="42"/>
    </w:p>
    <w:p w14:paraId="6DBF819A"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lastRenderedPageBreak/>
        <w:t>Situated between the top-down mandate for ESD and the deep-rooted identity of their discipline, History lecturers in UK universities are likely to adopt a range of stances. These can be conceptualised as five archetypal perspectives, each representing a coherent worldview grounded in the principles and tensions previously established.</w:t>
      </w:r>
    </w:p>
    <w:p w14:paraId="66DBED19" w14:textId="77777777" w:rsidR="00905C61" w:rsidRPr="00AB6BEA" w:rsidRDefault="00905C61" w:rsidP="00905C61">
      <w:pPr>
        <w:pStyle w:val="Heading3"/>
        <w:rPr>
          <w:b/>
          <w:bCs/>
        </w:rPr>
      </w:pPr>
      <w:bookmarkStart w:id="43" w:name="_Toc229750468"/>
      <w:r w:rsidRPr="00AB6BEA">
        <w:rPr>
          <w:b/>
          <w:bCs/>
        </w:rPr>
        <w:t>3.1 The Disciplinary Purist (The Skeptic)</w:t>
      </w:r>
      <w:bookmarkEnd w:id="43"/>
    </w:p>
    <w:p w14:paraId="1E23D78A"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This perspective views ESD as a fundamentally ideological imposition that corrupts the core purpose of historical inquiry. For the Purist, ESD represents a dangerous form of "bad" presentism that threatens the integrity of the discipline.</w:t>
      </w:r>
    </w:p>
    <w:p w14:paraId="60107B7C"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The reasoning is rooted in a defence of the historian's primary professional obligations. ESD's explicit focus on equipping students to solve present and future problems is seen as a direct violation of the principle of understanding the past in its own context and respecting its "otherness". It encourages students to judge historical actors and societies by the standards of twenty-first-century sustainability goals, an approach the Purist sees as the very definition of anachronistic distortion. Furthermore, the call within the ESD framework for students to develop "normative competency" and "agency for a sustainable future" is perceived as a direct assault on scholarly objectivity. It contravenes the professional commitment to detached, evidence-based analysis and the ideal of studying the past for its own sake, not to "advance other agendas". From this viewpoint, ESD instrumentalises history, reducing its complex and multifaceted nature to a simple repository of cautionary tales for the present. The Purist aligns with the "historicist" goal of seeking </w:t>
      </w:r>
      <w:proofErr w:type="gramStart"/>
      <w:r w:rsidRPr="00AB6BEA">
        <w:rPr>
          <w:rFonts w:eastAsia="Times New Roman" w:cs="Arial"/>
          <w:color w:val="1F1F1F"/>
          <w:sz w:val="24"/>
          <w:szCs w:val="24"/>
          <w:bdr w:val="none" w:sz="0" w:space="0" w:color="auto" w:frame="1"/>
        </w:rPr>
        <w:t>knowledge, and</w:t>
      </w:r>
      <w:proofErr w:type="gramEnd"/>
      <w:r w:rsidRPr="00AB6BEA">
        <w:rPr>
          <w:rFonts w:eastAsia="Times New Roman" w:cs="Arial"/>
          <w:color w:val="1F1F1F"/>
          <w:sz w:val="24"/>
          <w:szCs w:val="24"/>
          <w:bdr w:val="none" w:sz="0" w:space="0" w:color="auto" w:frame="1"/>
        </w:rPr>
        <w:t xml:space="preserve"> rejects the "presentist" goal of pursuing justice or political change through their teaching. Finally, the generic competency framework of ESD is often viewed as a form of pedagogical jargon, alien to the discipline, which risks creating a "national curriculum" by stealth and constraining the academic freedom that historians value.</w:t>
      </w:r>
    </w:p>
    <w:p w14:paraId="735E2048" w14:textId="77777777" w:rsidR="00905C61" w:rsidRPr="00AB6BEA" w:rsidRDefault="00905C61" w:rsidP="00905C61">
      <w:pPr>
        <w:pStyle w:val="Heading3"/>
        <w:rPr>
          <w:b/>
          <w:bCs/>
        </w:rPr>
      </w:pPr>
      <w:bookmarkStart w:id="44" w:name="_Toc229750469"/>
      <w:r w:rsidRPr="00AB6BEA">
        <w:rPr>
          <w:b/>
          <w:bCs/>
        </w:rPr>
        <w:t>3.2 The Pragmatic Accommodator (The Compliant)</w:t>
      </w:r>
      <w:bookmarkEnd w:id="44"/>
    </w:p>
    <w:p w14:paraId="7D095AFF"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The Pragmatic Accommodator approaches ESD not as an intellectual movement to be embraced or rejected, but as an institutional reality that must be navigated for professional and strategic reasons. This perspective is driven by an awareness of the managerial and quality assurance frameworks within which modern universities operate.</w:t>
      </w:r>
    </w:p>
    <w:p w14:paraId="6AF4D79A"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The Accommodator acknowledges that ESD is now an explicit part of the QAA's remit and is being written into institutional quality codes and strategic plans. Compliance is therefore understood as a necessary condition for successful course validation, review, and departmental standing. This lecturer is also acutely aware of the dual meaning of "sustainability" in higher education. They recognise that their department's </w:t>
      </w:r>
      <w:r w:rsidRPr="00AB6BEA">
        <w:rPr>
          <w:rFonts w:eastAsia="Times New Roman" w:cs="Arial"/>
          <w:i/>
          <w:iCs/>
          <w:color w:val="1F1F1F"/>
          <w:sz w:val="24"/>
          <w:szCs w:val="24"/>
          <w:bdr w:val="none" w:sz="0" w:space="0" w:color="auto" w:frame="1"/>
        </w:rPr>
        <w:t>financial</w:t>
      </w:r>
      <w:r w:rsidRPr="00AB6BEA">
        <w:rPr>
          <w:rFonts w:eastAsia="Times New Roman" w:cs="Arial"/>
          <w:color w:val="1F1F1F"/>
          <w:sz w:val="24"/>
          <w:szCs w:val="24"/>
          <w:bdr w:val="none" w:sz="0" w:space="0" w:color="auto" w:frame="1"/>
        </w:rPr>
        <w:t xml:space="preserve"> sustainability may depend on its ability to demonstrate alignment with university-wide initiatives like ESD, which are increasingly used in student recruitment and institutional branding. The path of least resistance is to engage in a mapping exercise. Existing module content is reframed to align with ESD terminology. A course on the Industrial Revolution, for instance, can be described in the module guide as exploring the </w:t>
      </w:r>
      <w:r w:rsidRPr="00AB6BEA">
        <w:rPr>
          <w:rFonts w:eastAsia="Times New Roman" w:cs="Arial"/>
          <w:color w:val="1F1F1F"/>
          <w:sz w:val="24"/>
          <w:szCs w:val="24"/>
          <w:bdr w:val="none" w:sz="0" w:space="0" w:color="auto" w:frame="1"/>
        </w:rPr>
        <w:lastRenderedPageBreak/>
        <w:t>historical roots of unsustainable production. The analytical and debating skills developed in a seminar can be mapped directly onto ESD competencies like "critical thinking" or "collaborative competency". This approach requires minimal change to the actual content or pedagogy of the course, focusing instead on a re-articulation of learning outcomes to satisfy external requirements.</w:t>
      </w:r>
    </w:p>
    <w:p w14:paraId="4E002F99" w14:textId="77777777" w:rsidR="00905C61" w:rsidRPr="00AB6BEA" w:rsidRDefault="00905C61" w:rsidP="00905C61">
      <w:pPr>
        <w:pStyle w:val="Heading3"/>
        <w:rPr>
          <w:b/>
          <w:bCs/>
        </w:rPr>
      </w:pPr>
      <w:bookmarkStart w:id="45" w:name="_Toc229750470"/>
      <w:r w:rsidRPr="00AB6BEA">
        <w:rPr>
          <w:b/>
          <w:bCs/>
        </w:rPr>
        <w:t>3.3 The Cautious Integrator (The Engaged)</w:t>
      </w:r>
      <w:bookmarkEnd w:id="45"/>
    </w:p>
    <w:p w14:paraId="782ED5C6"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This lecturer believes that themes related to sustainability can offer new and intellectually stimulating avenues for historical inquiry, but only if they are approached with disciplinary rigour and are "authentic to the discipline". The Cautious Integrator rejects a superficial, "bolt-on" approach, seeking instead to integrate ESD themes where they arise organically from the historical evidence.</w:t>
      </w:r>
    </w:p>
    <w:p w14:paraId="37CBFAED" w14:textId="77777777" w:rsidR="00905C61" w:rsidRPr="00AB6BEA" w:rsidRDefault="00905C61" w:rsidP="00905C61">
      <w:pPr>
        <w:rPr>
          <w:rFonts w:eastAsia="Times New Roman" w:cs="Arial"/>
          <w:color w:val="1F1F1F"/>
          <w:sz w:val="24"/>
          <w:szCs w:val="24"/>
        </w:rPr>
      </w:pPr>
    </w:p>
    <w:p w14:paraId="27662274"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For this historian, the goal is not to use history to solve today's problems, but to historicise the very concepts of sustainability. A course on the British Empire might be an ideal place to explore the history of resource extraction, the environmental consequences of colonial policies, or the clash between imperial and indigenous land management systems. This approach uses themes from the sustainability discourse to ask new and more nuanced </w:t>
      </w:r>
      <w:r w:rsidRPr="00AB6BEA">
        <w:rPr>
          <w:rFonts w:eastAsia="Times New Roman" w:cs="Arial"/>
          <w:i/>
          <w:iCs/>
          <w:color w:val="1F1F1F"/>
          <w:sz w:val="24"/>
          <w:szCs w:val="24"/>
          <w:bdr w:val="none" w:sz="0" w:space="0" w:color="auto" w:frame="1"/>
        </w:rPr>
        <w:t>historical</w:t>
      </w:r>
      <w:r w:rsidRPr="00AB6BEA">
        <w:rPr>
          <w:rFonts w:eastAsia="Times New Roman" w:cs="Arial"/>
          <w:color w:val="1F1F1F"/>
          <w:sz w:val="24"/>
          <w:szCs w:val="24"/>
          <w:bdr w:val="none" w:sz="0" w:space="0" w:color="auto" w:frame="1"/>
        </w:rPr>
        <w:t xml:space="preserve"> questions, thereby maintaining disciplinary integrity. The Integrator also sees a powerful synergy between traditional historical skills and the ESD competency framework. The historian's craft of sifting through biased, incomplete, and contradictory primary sources is a masterclass in "critical thinking". The analysis of the complex interplay of political, economic, and social factors in any major historical event is a profound exercise in "systems thinking". While engaging with these topics, the Cautious Integrator would remain vigilant about maintaining critical distance, insisting on contextualising past actions and values to avoid simplistic moral judgments and navigate the fine line between engaged scholarship and distorting presentism.</w:t>
      </w:r>
    </w:p>
    <w:p w14:paraId="14447324" w14:textId="77777777" w:rsidR="00905C61" w:rsidRPr="00AB6BEA" w:rsidRDefault="00905C61" w:rsidP="00905C61">
      <w:pPr>
        <w:pStyle w:val="Heading3"/>
        <w:rPr>
          <w:b/>
          <w:bCs/>
        </w:rPr>
      </w:pPr>
      <w:bookmarkStart w:id="46" w:name="_Toc229750471"/>
      <w:r w:rsidRPr="00AB6BEA">
        <w:rPr>
          <w:b/>
          <w:bCs/>
        </w:rPr>
        <w:t>3.4 The Environmental Historian (The Specialist)</w:t>
      </w:r>
      <w:bookmarkEnd w:id="46"/>
    </w:p>
    <w:p w14:paraId="2101EBFF"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For the Environmental Historian, the institutional push for ESD is not an imposition but a welcome validation of a sub-discipline that is already deeply engaged with these issues. This perspective sees ESD as providing a valuable common framework and institutional legitimacy for their existing work.</w:t>
      </w:r>
    </w:p>
    <w:p w14:paraId="61C746CA" w14:textId="77777777" w:rsidR="00905C61" w:rsidRPr="00AB6BEA"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The alignment is natural and obvious. Environmental History, which focuses on the interactions between human societies and the non-human world, is inherently concerned with the core themes of ESD. Research centres and modules dedicated to this field already exist across the UK, exploring topics from historical climatology to the environmental impact of empires. The field is also already profoundly interdisciplinary, frequently drawing on methodologies from geography, archaeology, climatology, and the life sciences. The cross-disciplinary nature of ESD therefore </w:t>
      </w:r>
      <w:r w:rsidRPr="00AB6BEA">
        <w:rPr>
          <w:rFonts w:eastAsia="Times New Roman" w:cs="Arial"/>
          <w:color w:val="1F1F1F"/>
          <w:sz w:val="24"/>
          <w:szCs w:val="24"/>
          <w:bdr w:val="none" w:sz="0" w:space="0" w:color="auto" w:frame="1"/>
        </w:rPr>
        <w:lastRenderedPageBreak/>
        <w:t xml:space="preserve">feels familiar and productive, rather than alien or threatening. The institutional mandate for ESD is seen as an opportunity. It can bring increased visibility, new resources for teaching and research, and possibilities for inter-faculty collaboration with departments like Geography or Environmental Science. This lecturer is perfectly positioned to act as a bridge between the broader discipline of History and the university's sustainability agenda, often leading the development of new curricula, such as the joint </w:t>
      </w:r>
      <w:proofErr w:type="gramStart"/>
      <w:r w:rsidRPr="00AB6BEA">
        <w:rPr>
          <w:rFonts w:eastAsia="Times New Roman" w:cs="Arial"/>
          <w:color w:val="1F1F1F"/>
          <w:sz w:val="24"/>
          <w:szCs w:val="24"/>
          <w:bdr w:val="none" w:sz="0" w:space="0" w:color="auto" w:frame="1"/>
        </w:rPr>
        <w:t>honours</w:t>
      </w:r>
      <w:proofErr w:type="gramEnd"/>
      <w:r w:rsidRPr="00AB6BEA">
        <w:rPr>
          <w:rFonts w:eastAsia="Times New Roman" w:cs="Arial"/>
          <w:color w:val="1F1F1F"/>
          <w:sz w:val="24"/>
          <w:szCs w:val="24"/>
          <w:bdr w:val="none" w:sz="0" w:space="0" w:color="auto" w:frame="1"/>
        </w:rPr>
        <w:t xml:space="preserve"> degree in History and Global Sustainable Development offered at the University of Warwick.</w:t>
      </w:r>
    </w:p>
    <w:p w14:paraId="34F39338" w14:textId="77777777" w:rsidR="00905C61" w:rsidRPr="00AB6BEA" w:rsidRDefault="00905C61" w:rsidP="00905C61">
      <w:pPr>
        <w:pStyle w:val="Heading3"/>
        <w:rPr>
          <w:b/>
          <w:bCs/>
        </w:rPr>
      </w:pPr>
      <w:bookmarkStart w:id="47" w:name="_Toc229750472"/>
      <w:r w:rsidRPr="00AB6BEA">
        <w:rPr>
          <w:b/>
          <w:bCs/>
        </w:rPr>
        <w:t>3.5 The Public Historian / Activist Scholar (The Advocate)</w:t>
      </w:r>
      <w:bookmarkEnd w:id="47"/>
    </w:p>
    <w:p w14:paraId="7F638B07"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This perspective asserts that the discipline of History has a moral and civic responsibility to contribute to solving the world's most pressing challenges. For the Advocate, ESD provides an essential and welcome framework for fulfilling this public duty.</w:t>
      </w:r>
    </w:p>
    <w:p w14:paraId="28D99AE2" w14:textId="77777777" w:rsidR="00905C61" w:rsidRDefault="00905C61" w:rsidP="00905C61">
      <w:pPr>
        <w:rPr>
          <w:rFonts w:eastAsia="Times New Roman" w:cs="Arial"/>
          <w:color w:val="1F1F1F"/>
          <w:sz w:val="24"/>
          <w:szCs w:val="24"/>
          <w:bdr w:val="none" w:sz="0" w:space="0" w:color="auto" w:frame="1"/>
        </w:rPr>
      </w:pPr>
      <w:r w:rsidRPr="00AB6BEA">
        <w:rPr>
          <w:rFonts w:eastAsia="Times New Roman" w:cs="Arial"/>
          <w:color w:val="1F1F1F"/>
          <w:sz w:val="24"/>
          <w:szCs w:val="24"/>
          <w:bdr w:val="none" w:sz="0" w:space="0" w:color="auto" w:frame="1"/>
        </w:rPr>
        <w:t xml:space="preserve">This view explicitly embraces a form of "good presentism," arguing that the </w:t>
      </w:r>
      <w:proofErr w:type="gramStart"/>
      <w:r w:rsidRPr="00AB6BEA">
        <w:rPr>
          <w:rFonts w:eastAsia="Times New Roman" w:cs="Arial"/>
          <w:color w:val="1F1F1F"/>
          <w:sz w:val="24"/>
          <w:szCs w:val="24"/>
          <w:bdr w:val="none" w:sz="0" w:space="0" w:color="auto" w:frame="1"/>
        </w:rPr>
        <w:t>ultimate goal</w:t>
      </w:r>
      <w:proofErr w:type="gramEnd"/>
      <w:r w:rsidRPr="00AB6BEA">
        <w:rPr>
          <w:rFonts w:eastAsia="Times New Roman" w:cs="Arial"/>
          <w:color w:val="1F1F1F"/>
          <w:sz w:val="24"/>
          <w:szCs w:val="24"/>
          <w:bdr w:val="none" w:sz="0" w:space="0" w:color="auto" w:frame="1"/>
        </w:rPr>
        <w:t xml:space="preserve"> of historical study should be not just knowledge, but also justice and positive societal change. The Advocate believes that a deep historical understanding of the roots of current crises—such as climate change, global inequality, or social injustice—is indispensable for informing effective future action. They align enthusiastically with ESD's "educational change agenda" and its goal of fostering student agency. The aim is to empower students to use their historical knowledge to become active, critical, and engaged citizens who can contribute to building a better world. This perspective is often linked to the field of public history, which emphasizes the historian's responsibility to engage with and serve communities beyond the academy. The focus within ESD on community engagement and addressing real-world problems is therefore a natural fit. Finally, the Advocate argues that for the discipline of History to remain relevant and valued in the twenty-first century, it </w:t>
      </w:r>
      <w:r w:rsidRPr="00AB6BEA">
        <w:rPr>
          <w:rFonts w:eastAsia="Times New Roman" w:cs="Arial"/>
          <w:i/>
          <w:iCs/>
          <w:color w:val="1F1F1F"/>
          <w:sz w:val="24"/>
          <w:szCs w:val="24"/>
          <w:bdr w:val="none" w:sz="0" w:space="0" w:color="auto" w:frame="1"/>
        </w:rPr>
        <w:t>must</w:t>
      </w:r>
      <w:r w:rsidRPr="00AB6BEA">
        <w:rPr>
          <w:rFonts w:eastAsia="Times New Roman" w:cs="Arial"/>
          <w:color w:val="1F1F1F"/>
          <w:sz w:val="24"/>
          <w:szCs w:val="24"/>
          <w:bdr w:val="none" w:sz="0" w:space="0" w:color="auto" w:frame="1"/>
        </w:rPr>
        <w:t xml:space="preserve"> demonstrate its direct applicability to contemporary issues. Engaging with ESD is thus not only a moral imperative but also a pragmatic strategy for ensuring the discipline's continued vitality.</w:t>
      </w:r>
    </w:p>
    <w:p w14:paraId="3F179603" w14:textId="77777777" w:rsidR="00905C61" w:rsidRPr="00AB6BEA" w:rsidRDefault="00905C61" w:rsidP="00905C61">
      <w:pPr>
        <w:rPr>
          <w:rFonts w:eastAsia="Times New Roman" w:cs="Arial"/>
          <w:color w:val="1F1F1F"/>
          <w:sz w:val="24"/>
          <w:szCs w:val="24"/>
        </w:rPr>
      </w:pPr>
    </w:p>
    <w:p w14:paraId="06E2B6A1" w14:textId="77777777" w:rsidR="00905C61" w:rsidRPr="00AB6BEA" w:rsidRDefault="00905C61" w:rsidP="00905C61">
      <w:pPr>
        <w:pStyle w:val="Heading2"/>
        <w:rPr>
          <w:b/>
          <w:bCs/>
        </w:rPr>
      </w:pPr>
      <w:bookmarkStart w:id="48" w:name="_Toc229750473"/>
      <w:r w:rsidRPr="00AB6BEA">
        <w:rPr>
          <w:b/>
          <w:bCs/>
        </w:rPr>
        <w:t>Section 4: Analysis of Core Tensions and Synergies</w:t>
      </w:r>
      <w:bookmarkEnd w:id="48"/>
    </w:p>
    <w:p w14:paraId="4284E12E"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The spectrum of perspectives reveals a set of fundamental tensions and potential synergies between the discipline of History and the Education for Sustainability agenda. These points of conflict and convergence define the landscape for any attempt at meaningful integration.</w:t>
      </w:r>
    </w:p>
    <w:p w14:paraId="7EBF7F5E" w14:textId="77777777" w:rsidR="00905C61" w:rsidRPr="00AB6BEA" w:rsidRDefault="00905C61" w:rsidP="00905C61">
      <w:pPr>
        <w:pStyle w:val="Heading3"/>
        <w:rPr>
          <w:b/>
          <w:bCs/>
        </w:rPr>
      </w:pPr>
      <w:bookmarkStart w:id="49" w:name="_Toc229750474"/>
      <w:r w:rsidRPr="00AB6BEA">
        <w:rPr>
          <w:b/>
          <w:bCs/>
        </w:rPr>
        <w:t>4.1 Key Tensions: A Disciplinary Standoff</w:t>
      </w:r>
      <w:bookmarkEnd w:id="49"/>
    </w:p>
    <w:p w14:paraId="13863B4D"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Three core tensions emerge from the analysis:</w:t>
      </w:r>
    </w:p>
    <w:p w14:paraId="1F9DC015" w14:textId="77777777" w:rsidR="00905C61" w:rsidRPr="00AB6BEA" w:rsidRDefault="00905C61" w:rsidP="00905C61">
      <w:pPr>
        <w:numPr>
          <w:ilvl w:val="0"/>
          <w:numId w:val="3"/>
        </w:numPr>
        <w:rPr>
          <w:rFonts w:eastAsia="Times New Roman" w:cs="Arial"/>
          <w:color w:val="1F1F1F"/>
          <w:sz w:val="24"/>
          <w:szCs w:val="24"/>
        </w:rPr>
      </w:pPr>
      <w:r w:rsidRPr="00AB6BEA">
        <w:rPr>
          <w:rFonts w:eastAsia="Times New Roman" w:cs="Arial"/>
          <w:b/>
          <w:bCs/>
          <w:color w:val="1F1F1F"/>
          <w:sz w:val="24"/>
          <w:szCs w:val="24"/>
          <w:bdr w:val="none" w:sz="0" w:space="0" w:color="auto" w:frame="1"/>
        </w:rPr>
        <w:t>Presentism vs. Historical Context:</w:t>
      </w:r>
      <w:r w:rsidRPr="00AB6BEA">
        <w:rPr>
          <w:rFonts w:eastAsia="Times New Roman" w:cs="Arial"/>
          <w:color w:val="1F1F1F"/>
          <w:sz w:val="24"/>
          <w:szCs w:val="24"/>
          <w:bdr w:val="none" w:sz="0" w:space="0" w:color="auto" w:frame="1"/>
        </w:rPr>
        <w:t xml:space="preserve"> This is the central philosophical conflict. ESD's forward-looking, problem-solving orientation is fundamentally at odds with History's core </w:t>
      </w:r>
      <w:r w:rsidRPr="00AB6BEA">
        <w:rPr>
          <w:rFonts w:eastAsia="Times New Roman" w:cs="Arial"/>
          <w:color w:val="1F1F1F"/>
          <w:sz w:val="24"/>
          <w:szCs w:val="24"/>
          <w:bdr w:val="none" w:sz="0" w:space="0" w:color="auto" w:frame="1"/>
        </w:rPr>
        <w:lastRenderedPageBreak/>
        <w:t>professional commitment to understanding the past on its own terms, respecting its "otherness," and rigorously avoiding anachronism.</w:t>
      </w:r>
    </w:p>
    <w:p w14:paraId="01DEA792" w14:textId="77777777" w:rsidR="00905C61" w:rsidRPr="00AB6BEA" w:rsidRDefault="00905C61" w:rsidP="00905C61">
      <w:pPr>
        <w:numPr>
          <w:ilvl w:val="0"/>
          <w:numId w:val="3"/>
        </w:numPr>
        <w:rPr>
          <w:rFonts w:eastAsia="Times New Roman" w:cs="Arial"/>
          <w:color w:val="1F1F1F"/>
          <w:sz w:val="24"/>
          <w:szCs w:val="24"/>
        </w:rPr>
      </w:pPr>
      <w:r w:rsidRPr="00AB6BEA">
        <w:rPr>
          <w:rFonts w:eastAsia="Times New Roman" w:cs="Arial"/>
          <w:b/>
          <w:bCs/>
          <w:color w:val="1F1F1F"/>
          <w:sz w:val="24"/>
          <w:szCs w:val="24"/>
          <w:bdr w:val="none" w:sz="0" w:space="0" w:color="auto" w:frame="1"/>
        </w:rPr>
        <w:t>Activism vs. Objectivity:</w:t>
      </w:r>
      <w:r w:rsidRPr="00AB6BEA">
        <w:rPr>
          <w:rFonts w:eastAsia="Times New Roman" w:cs="Arial"/>
          <w:color w:val="1F1F1F"/>
          <w:sz w:val="24"/>
          <w:szCs w:val="24"/>
          <w:bdr w:val="none" w:sz="0" w:space="0" w:color="auto" w:frame="1"/>
        </w:rPr>
        <w:t xml:space="preserve"> ESD's explicit goal of empowering students for action and to "transform society" challenges the traditional scholarly ideal of the detached, objective observer whose primary loyalty is to the evidence, not to a predetermined political or social agenda.</w:t>
      </w:r>
    </w:p>
    <w:p w14:paraId="55CF3985" w14:textId="77777777" w:rsidR="00905C61" w:rsidRPr="00AB6BEA" w:rsidRDefault="00905C61" w:rsidP="00905C61">
      <w:pPr>
        <w:numPr>
          <w:ilvl w:val="0"/>
          <w:numId w:val="3"/>
        </w:numPr>
        <w:rPr>
          <w:rFonts w:eastAsia="Times New Roman" w:cs="Arial"/>
          <w:color w:val="1F1F1F"/>
          <w:sz w:val="24"/>
          <w:szCs w:val="24"/>
        </w:rPr>
      </w:pPr>
      <w:r w:rsidRPr="00AB6BEA">
        <w:rPr>
          <w:rFonts w:eastAsia="Times New Roman" w:cs="Arial"/>
          <w:b/>
          <w:bCs/>
          <w:color w:val="1F1F1F"/>
          <w:sz w:val="24"/>
          <w:szCs w:val="24"/>
          <w:bdr w:val="none" w:sz="0" w:space="0" w:color="auto" w:frame="1"/>
        </w:rPr>
        <w:t>Universal Competencies vs. Disciplinary Authenticity:</w:t>
      </w:r>
      <w:r w:rsidRPr="00AB6BEA">
        <w:rPr>
          <w:rFonts w:eastAsia="Times New Roman" w:cs="Arial"/>
          <w:color w:val="1F1F1F"/>
          <w:sz w:val="24"/>
          <w:szCs w:val="24"/>
          <w:bdr w:val="none" w:sz="0" w:space="0" w:color="auto" w:frame="1"/>
        </w:rPr>
        <w:t xml:space="preserve"> The imposition of a generic, cross-disciplinary competency framework can be perceived as a threat to the unique, deeply rooted methodologies of historical practice. The critical question is whether these competencies can be integrated in a way that is truly "authentic to the discipline".</w:t>
      </w:r>
    </w:p>
    <w:p w14:paraId="09DE86FA" w14:textId="77777777" w:rsidR="00905C61" w:rsidRPr="00AB6BEA" w:rsidRDefault="00905C61" w:rsidP="00905C61">
      <w:pPr>
        <w:pStyle w:val="Heading3"/>
        <w:rPr>
          <w:b/>
          <w:bCs/>
        </w:rPr>
      </w:pPr>
      <w:bookmarkStart w:id="50" w:name="_Toc229750475"/>
      <w:r w:rsidRPr="00AB6BEA">
        <w:rPr>
          <w:b/>
          <w:bCs/>
        </w:rPr>
        <w:t>4.2 Key Synergies: Finding Common Ground</w:t>
      </w:r>
      <w:bookmarkEnd w:id="50"/>
    </w:p>
    <w:p w14:paraId="38ECDF44"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Despite these tensions, there are significant areas of synergy that provide a foundation for productive engagement:</w:t>
      </w:r>
    </w:p>
    <w:p w14:paraId="723E0140" w14:textId="77777777" w:rsidR="00905C61" w:rsidRPr="00AB6BEA" w:rsidRDefault="00905C61" w:rsidP="00905C61">
      <w:pPr>
        <w:numPr>
          <w:ilvl w:val="0"/>
          <w:numId w:val="4"/>
        </w:numPr>
        <w:rPr>
          <w:rFonts w:eastAsia="Times New Roman" w:cs="Arial"/>
          <w:color w:val="1F1F1F"/>
          <w:sz w:val="24"/>
          <w:szCs w:val="24"/>
        </w:rPr>
      </w:pPr>
      <w:r w:rsidRPr="00AB6BEA">
        <w:rPr>
          <w:rFonts w:eastAsia="Times New Roman" w:cs="Arial"/>
          <w:b/>
          <w:bCs/>
          <w:color w:val="1F1F1F"/>
          <w:sz w:val="24"/>
          <w:szCs w:val="24"/>
          <w:bdr w:val="none" w:sz="0" w:space="0" w:color="auto" w:frame="1"/>
        </w:rPr>
        <w:t>The Primacy of Critical Thinking:</w:t>
      </w:r>
      <w:r w:rsidRPr="00AB6BEA">
        <w:rPr>
          <w:rFonts w:eastAsia="Times New Roman" w:cs="Arial"/>
          <w:color w:val="1F1F1F"/>
          <w:sz w:val="24"/>
          <w:szCs w:val="24"/>
          <w:bdr w:val="none" w:sz="0" w:space="0" w:color="auto" w:frame="1"/>
        </w:rPr>
        <w:t xml:space="preserve"> Both ESD and History place a supreme value on critical thinking. The ESD guidance lists it as a key competency, while the History Benchmark Statement is, in effect, a detailed blueprint for developing critical thinking through the rigorous evaluation of sources, arguments, and interpretations. This shared principle is the most powerful point of convergence.</w:t>
      </w:r>
    </w:p>
    <w:p w14:paraId="4FC2F460" w14:textId="77777777" w:rsidR="00905C61" w:rsidRPr="00AB6BEA" w:rsidRDefault="00905C61" w:rsidP="00905C61">
      <w:pPr>
        <w:numPr>
          <w:ilvl w:val="0"/>
          <w:numId w:val="4"/>
        </w:numPr>
        <w:rPr>
          <w:rFonts w:eastAsia="Times New Roman" w:cs="Arial"/>
          <w:color w:val="1F1F1F"/>
          <w:sz w:val="24"/>
          <w:szCs w:val="24"/>
        </w:rPr>
      </w:pPr>
      <w:r w:rsidRPr="00AB6BEA">
        <w:rPr>
          <w:rFonts w:eastAsia="Times New Roman" w:cs="Arial"/>
          <w:b/>
          <w:bCs/>
          <w:color w:val="1F1F1F"/>
          <w:sz w:val="24"/>
          <w:szCs w:val="24"/>
          <w:bdr w:val="none" w:sz="0" w:space="0" w:color="auto" w:frame="1"/>
        </w:rPr>
        <w:t>The Inevitability of Systems Thinking:</w:t>
      </w:r>
      <w:r w:rsidRPr="00AB6BEA">
        <w:rPr>
          <w:rFonts w:eastAsia="Times New Roman" w:cs="Arial"/>
          <w:color w:val="1F1F1F"/>
          <w:sz w:val="24"/>
          <w:szCs w:val="24"/>
          <w:bdr w:val="none" w:sz="0" w:space="0" w:color="auto" w:frame="1"/>
        </w:rPr>
        <w:t xml:space="preserve"> University-level historical study inherently involves the analysis of complex systems—the dynamic interplay of social, economic, political, cultural, and environmental forces over time. This practice aligns directly with the ESD competency of "systems thinking," offering a clear and authentic bridge for integration without compromising disciplinary methods.</w:t>
      </w:r>
    </w:p>
    <w:p w14:paraId="0525F7F2" w14:textId="77777777" w:rsidR="00905C61" w:rsidRPr="00AB6BEA" w:rsidRDefault="00905C61" w:rsidP="00905C61">
      <w:pPr>
        <w:numPr>
          <w:ilvl w:val="0"/>
          <w:numId w:val="4"/>
        </w:numPr>
        <w:rPr>
          <w:rFonts w:eastAsia="Times New Roman" w:cs="Arial"/>
          <w:color w:val="1F1F1F"/>
          <w:sz w:val="24"/>
          <w:szCs w:val="24"/>
        </w:rPr>
      </w:pPr>
      <w:r w:rsidRPr="00AB6BEA">
        <w:rPr>
          <w:rFonts w:eastAsia="Times New Roman" w:cs="Arial"/>
          <w:b/>
          <w:bCs/>
          <w:color w:val="1F1F1F"/>
          <w:sz w:val="24"/>
          <w:szCs w:val="24"/>
          <w:bdr w:val="none" w:sz="0" w:space="0" w:color="auto" w:frame="1"/>
        </w:rPr>
        <w:t>Historicising "Normative Competency":</w:t>
      </w:r>
      <w:r w:rsidRPr="00AB6BEA">
        <w:rPr>
          <w:rFonts w:eastAsia="Times New Roman" w:cs="Arial"/>
          <w:color w:val="1F1F1F"/>
          <w:sz w:val="24"/>
          <w:szCs w:val="24"/>
          <w:bdr w:val="none" w:sz="0" w:space="0" w:color="auto" w:frame="1"/>
        </w:rPr>
        <w:t xml:space="preserve"> While the term "normative competency" may sound like a call for activism to a historian, it can be re-interpreted through a historical lens. It can be framed as the study of how different societies have developed, contested, and changed their norms and values over time—a core activity of social and cultural history that is central to understanding the past.</w:t>
      </w:r>
    </w:p>
    <w:p w14:paraId="1CA5B610" w14:textId="77777777" w:rsidR="00905C61" w:rsidRDefault="00905C61" w:rsidP="00905C61">
      <w:pPr>
        <w:spacing w:after="150"/>
        <w:rPr>
          <w:rFonts w:eastAsia="Times New Roman" w:cs="Arial"/>
          <w:color w:val="1F1F1F"/>
          <w:sz w:val="24"/>
          <w:szCs w:val="24"/>
        </w:rPr>
      </w:pPr>
    </w:p>
    <w:p w14:paraId="1C4651AA"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To facilitate dialogue between institutional leaders promoting ESD and academic historians, it is useful to create a "translation device." The following table maps the policy-driven language of the ESD competency framework onto the discipline-specific skills and practices codified in the History Benchmark Statement. It demonstrates that in many cases, historians are already teaching these competencies, albeit under a different name.</w:t>
      </w:r>
    </w:p>
    <w:p w14:paraId="50B7B608" w14:textId="77777777" w:rsidR="00905C61" w:rsidRPr="00AB6BEA" w:rsidRDefault="00905C61" w:rsidP="00905C61">
      <w:pPr>
        <w:pStyle w:val="Heading4"/>
        <w:rPr>
          <w:b/>
          <w:bCs/>
        </w:rPr>
      </w:pPr>
      <w:r w:rsidRPr="00AB6BEA">
        <w:rPr>
          <w:b/>
          <w:bCs/>
        </w:rPr>
        <w:lastRenderedPageBreak/>
        <w:t>Table 1: Mapping ESD Competencies to Historical Skills: A Tool for Translation</w:t>
      </w:r>
    </w:p>
    <w:tbl>
      <w:tblPr>
        <w:tblW w:w="0" w:type="auto"/>
        <w:tblCellSpacing w:w="15" w:type="dxa"/>
        <w:tblCellMar>
          <w:left w:w="0" w:type="dxa"/>
          <w:right w:w="0" w:type="dxa"/>
        </w:tblCellMar>
        <w:tblLook w:val="04A0" w:firstRow="1" w:lastRow="0" w:firstColumn="1" w:lastColumn="0" w:noHBand="0" w:noVBand="1"/>
      </w:tblPr>
      <w:tblGrid>
        <w:gridCol w:w="2393"/>
        <w:gridCol w:w="5240"/>
        <w:gridCol w:w="1711"/>
      </w:tblGrid>
      <w:tr w:rsidR="00905C61" w:rsidRPr="00AB6BEA" w14:paraId="05DF7B95" w14:textId="77777777" w:rsidTr="00413AC0">
        <w:trPr>
          <w:tblHeade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2CF317D"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ESD Competency (QAA/Advance HE)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1AA676B"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Manifestation in the History Curriculum (QAA History Benchmark)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14E5A00"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Supporting Sources</w:t>
            </w:r>
          </w:p>
        </w:tc>
      </w:tr>
      <w:tr w:rsidR="00905C61" w:rsidRPr="00AB6BEA" w14:paraId="4D226B27"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994C4D7"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Systems Thinking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505169"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Analysing the interconnectedness of political, social, economic, and cultural factors; understanding long-term trends, causal chains, and the complexity of past societies.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34FF2CD" w14:textId="77777777" w:rsidR="00905C61" w:rsidRPr="00AB6BEA" w:rsidRDefault="00905C61" w:rsidP="00413AC0">
            <w:pPr>
              <w:rPr>
                <w:rFonts w:eastAsia="Times New Roman" w:cs="Arial"/>
                <w:color w:val="1F1F1F"/>
                <w:sz w:val="24"/>
                <w:szCs w:val="24"/>
              </w:rPr>
            </w:pPr>
          </w:p>
        </w:tc>
      </w:tr>
      <w:tr w:rsidR="00905C61" w:rsidRPr="00AB6BEA" w14:paraId="3D9F5483"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C75985A"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Critical Thinking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6627EBA"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Evaluating primary sources for bias, purpose, and reliability; deconstructing conflicting historical interpretations; questioning norms and practices of past societies.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BA46ABC" w14:textId="77777777" w:rsidR="00905C61" w:rsidRPr="00AB6BEA" w:rsidRDefault="00905C61" w:rsidP="00413AC0">
            <w:pPr>
              <w:rPr>
                <w:rFonts w:eastAsia="Times New Roman" w:cs="Arial"/>
                <w:color w:val="1F1F1F"/>
                <w:sz w:val="24"/>
                <w:szCs w:val="24"/>
              </w:rPr>
            </w:pPr>
          </w:p>
        </w:tc>
      </w:tr>
      <w:tr w:rsidR="00905C61" w:rsidRPr="00AB6BEA" w14:paraId="2654E31C"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479F17F"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Anticipatory Competency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753248AF"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Studying past societies' responses to crises (environmental, political, economic) to understand the consequences of actions and the nature of risk and change over time.</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51B6094" w14:textId="77777777" w:rsidR="00905C61" w:rsidRPr="00AB6BEA" w:rsidRDefault="00905C61" w:rsidP="00413AC0">
            <w:pPr>
              <w:rPr>
                <w:rFonts w:eastAsia="Times New Roman" w:cs="Arial"/>
                <w:color w:val="1F1F1F"/>
                <w:sz w:val="24"/>
                <w:szCs w:val="24"/>
              </w:rPr>
            </w:pPr>
          </w:p>
        </w:tc>
      </w:tr>
      <w:tr w:rsidR="00905C61" w:rsidRPr="00AB6BEA" w14:paraId="5002471A"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21997EBE"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Normative Competency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8A00323"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Reflecting on the development of different value systems, ethical frameworks, and societal norms over time and in different cultural contexts, understanding their historical contingency.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4DA50D76" w14:textId="77777777" w:rsidR="00905C61" w:rsidRPr="00AB6BEA" w:rsidRDefault="00905C61" w:rsidP="00413AC0">
            <w:pPr>
              <w:rPr>
                <w:rFonts w:eastAsia="Times New Roman" w:cs="Arial"/>
                <w:color w:val="1F1F1F"/>
                <w:sz w:val="24"/>
                <w:szCs w:val="24"/>
              </w:rPr>
            </w:pPr>
          </w:p>
        </w:tc>
      </w:tr>
      <w:tr w:rsidR="00905C61" w:rsidRPr="00AB6BEA" w14:paraId="40F8700A"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26E851E"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Strategic &amp; Collaborative Competency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4F58D1D"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Developed through seminar discussions, group presentations, and peer feedback, fostering skills in marshalling evidence, constructing arguments, and engaging in collaborative inquiry.</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3B337ABD" w14:textId="77777777" w:rsidR="00905C61" w:rsidRPr="00AB6BEA" w:rsidRDefault="00905C61" w:rsidP="00413AC0">
            <w:pPr>
              <w:rPr>
                <w:rFonts w:eastAsia="Times New Roman" w:cs="Arial"/>
                <w:color w:val="1F1F1F"/>
                <w:sz w:val="24"/>
                <w:szCs w:val="24"/>
              </w:rPr>
            </w:pPr>
          </w:p>
        </w:tc>
      </w:tr>
      <w:tr w:rsidR="00905C61" w:rsidRPr="00AB6BEA" w14:paraId="36D6B6FC"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15EEFF22"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t>Self-Awareness</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CBE8A7B"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Reflecting on the nature of history itself (historiography), the positionality of the historian, and the ethical responsibilities of interpreting and representing the past.</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4D33CF8" w14:textId="77777777" w:rsidR="00905C61" w:rsidRPr="00AB6BEA" w:rsidRDefault="00905C61" w:rsidP="00413AC0">
            <w:pPr>
              <w:rPr>
                <w:rFonts w:eastAsia="Times New Roman" w:cs="Arial"/>
                <w:color w:val="1F1F1F"/>
                <w:sz w:val="24"/>
                <w:szCs w:val="24"/>
              </w:rPr>
            </w:pPr>
          </w:p>
        </w:tc>
      </w:tr>
      <w:tr w:rsidR="00905C61" w:rsidRPr="00AB6BEA" w14:paraId="118513F2" w14:textId="77777777" w:rsidTr="00413AC0">
        <w:trPr>
          <w:tblCellSpacing w:w="15" w:type="dxa"/>
        </w:trPr>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6636A08F" w14:textId="77777777" w:rsidR="00905C61" w:rsidRPr="00AB6BEA" w:rsidRDefault="00905C61" w:rsidP="00413AC0">
            <w:pPr>
              <w:rPr>
                <w:rFonts w:eastAsia="Times New Roman" w:cs="Arial"/>
                <w:color w:val="1F1F1F"/>
                <w:sz w:val="24"/>
                <w:szCs w:val="24"/>
              </w:rPr>
            </w:pPr>
            <w:r w:rsidRPr="00AB6BEA">
              <w:rPr>
                <w:rFonts w:eastAsia="Times New Roman" w:cs="Arial"/>
                <w:b/>
                <w:bCs/>
                <w:color w:val="1F1F1F"/>
                <w:sz w:val="24"/>
                <w:szCs w:val="24"/>
                <w:bdr w:val="none" w:sz="0" w:space="0" w:color="auto" w:frame="1"/>
              </w:rPr>
              <w:lastRenderedPageBreak/>
              <w:t>Integrated Problem-Solving</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58BA84EF" w14:textId="77777777" w:rsidR="00905C61" w:rsidRPr="00AB6BEA" w:rsidRDefault="00905C61" w:rsidP="00413AC0">
            <w:pPr>
              <w:rPr>
                <w:rFonts w:eastAsia="Times New Roman" w:cs="Arial"/>
                <w:color w:val="1F1F1F"/>
                <w:sz w:val="24"/>
                <w:szCs w:val="24"/>
              </w:rPr>
            </w:pPr>
            <w:r w:rsidRPr="00AB6BEA">
              <w:rPr>
                <w:rFonts w:eastAsia="Times New Roman" w:cs="Arial"/>
                <w:color w:val="1F1F1F"/>
                <w:sz w:val="24"/>
                <w:szCs w:val="24"/>
                <w:bdr w:val="none" w:sz="0" w:space="0" w:color="auto" w:frame="1"/>
              </w:rPr>
              <w:t>Synthesising diverse and often contradictory evidence (textual, material, visual) to construct a coherent and nuanced historical account or argument in an extended piece of work.</w:t>
            </w:r>
          </w:p>
        </w:tc>
        <w:tc>
          <w:tcPr>
            <w:tcW w:w="0" w:type="auto"/>
            <w:tcBorders>
              <w:top w:val="single" w:sz="6" w:space="0" w:color="auto"/>
              <w:left w:val="single" w:sz="6" w:space="0" w:color="auto"/>
              <w:bottom w:val="single" w:sz="6" w:space="0" w:color="auto"/>
              <w:right w:val="single" w:sz="6" w:space="0" w:color="auto"/>
            </w:tcBorders>
            <w:tcMar>
              <w:top w:w="120" w:type="dxa"/>
              <w:left w:w="180" w:type="dxa"/>
              <w:bottom w:w="120" w:type="dxa"/>
              <w:right w:w="180" w:type="dxa"/>
            </w:tcMar>
            <w:vAlign w:val="center"/>
            <w:hideMark/>
          </w:tcPr>
          <w:p w14:paraId="068AAFC0" w14:textId="77777777" w:rsidR="00905C61" w:rsidRPr="00AB6BEA" w:rsidRDefault="00905C61" w:rsidP="00413AC0">
            <w:pPr>
              <w:rPr>
                <w:rFonts w:eastAsia="Times New Roman" w:cs="Arial"/>
                <w:color w:val="1F1F1F"/>
                <w:sz w:val="24"/>
                <w:szCs w:val="24"/>
              </w:rPr>
            </w:pPr>
          </w:p>
        </w:tc>
      </w:tr>
    </w:tbl>
    <w:p w14:paraId="395AF16C" w14:textId="77777777" w:rsidR="00905C61" w:rsidRDefault="00905C61" w:rsidP="00905C61">
      <w:pPr>
        <w:pStyle w:val="Heading2"/>
        <w:rPr>
          <w:b/>
          <w:bCs/>
        </w:rPr>
      </w:pPr>
    </w:p>
    <w:p w14:paraId="70EC9326" w14:textId="77777777" w:rsidR="00905C61" w:rsidRPr="00AB6BEA" w:rsidRDefault="00905C61" w:rsidP="00905C61">
      <w:pPr>
        <w:pStyle w:val="Heading2"/>
        <w:rPr>
          <w:b/>
          <w:bCs/>
        </w:rPr>
      </w:pPr>
      <w:bookmarkStart w:id="51" w:name="_Toc229750476"/>
      <w:r w:rsidRPr="00AB6BEA">
        <w:rPr>
          <w:b/>
          <w:bCs/>
        </w:rPr>
        <w:t>Section 5: Implications for Curriculum Development and Institutional Dialogue</w:t>
      </w:r>
      <w:bookmarkEnd w:id="51"/>
    </w:p>
    <w:p w14:paraId="3ED60D9E"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The analysis of these perspectives, tensions, and synergies leads to a series of actionable implications for History departments, institutional leaders, and policymakers seeking to navigate the integration of ESD into the curriculum.</w:t>
      </w:r>
    </w:p>
    <w:p w14:paraId="34D54722" w14:textId="77777777" w:rsidR="00905C61" w:rsidRPr="00AB6BEA" w:rsidRDefault="00905C61" w:rsidP="00905C61">
      <w:pPr>
        <w:pStyle w:val="Heading3"/>
        <w:rPr>
          <w:b/>
          <w:bCs/>
        </w:rPr>
      </w:pPr>
      <w:bookmarkStart w:id="52" w:name="_Toc229750477"/>
      <w:r w:rsidRPr="00AB6BEA">
        <w:rPr>
          <w:b/>
          <w:bCs/>
        </w:rPr>
        <w:t>5.1 For Curriculum Designers and History Departments</w:t>
      </w:r>
      <w:bookmarkEnd w:id="52"/>
    </w:p>
    <w:p w14:paraId="7516A9EE"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 xml:space="preserve">History departments can engage with the ESD agenda proactively while safeguarding disciplinary integrity. The greatest risk is not outright opposition from "Disciplinary Purists," but rather superficial compliance from "Pragmatic Accommodators." Such an approach, which involves merely </w:t>
      </w:r>
      <w:proofErr w:type="spellStart"/>
      <w:r w:rsidRPr="00AB6BEA">
        <w:rPr>
          <w:rFonts w:eastAsia="Times New Roman" w:cs="Arial"/>
          <w:color w:val="1F1F1F"/>
          <w:sz w:val="24"/>
          <w:szCs w:val="24"/>
        </w:rPr>
        <w:t>relabeling</w:t>
      </w:r>
      <w:proofErr w:type="spellEnd"/>
      <w:r w:rsidRPr="00AB6BEA">
        <w:rPr>
          <w:rFonts w:eastAsia="Times New Roman" w:cs="Arial"/>
          <w:color w:val="1F1F1F"/>
          <w:sz w:val="24"/>
          <w:szCs w:val="24"/>
        </w:rPr>
        <w:t xml:space="preserve"> existing content, creates a "Potemkin curriculum" that appears sustainable on paper but fails to deliver the transformative educational goals of ESD, while potentially devaluing the intellectual rigour of the history modules themselves. To foster authentic engagement, departments should:</w:t>
      </w:r>
    </w:p>
    <w:p w14:paraId="018213B7" w14:textId="77777777" w:rsidR="00905C61" w:rsidRPr="00AB6BEA" w:rsidRDefault="00905C61" w:rsidP="00905C61">
      <w:pPr>
        <w:numPr>
          <w:ilvl w:val="0"/>
          <w:numId w:val="5"/>
        </w:numPr>
        <w:rPr>
          <w:rFonts w:eastAsia="Times New Roman" w:cs="Arial"/>
          <w:color w:val="1F1F1F"/>
          <w:sz w:val="24"/>
          <w:szCs w:val="24"/>
        </w:rPr>
      </w:pPr>
      <w:r w:rsidRPr="00AB6BEA">
        <w:rPr>
          <w:rFonts w:eastAsia="Times New Roman" w:cs="Arial"/>
          <w:b/>
          <w:bCs/>
          <w:color w:val="1F1F1F"/>
          <w:sz w:val="24"/>
          <w:szCs w:val="24"/>
          <w:bdr w:val="none" w:sz="0" w:space="0" w:color="auto" w:frame="1"/>
        </w:rPr>
        <w:t>Lead with Synergy:</w:t>
      </w:r>
      <w:r w:rsidRPr="00AB6BEA">
        <w:rPr>
          <w:rFonts w:eastAsia="Times New Roman" w:cs="Arial"/>
          <w:color w:val="1F1F1F"/>
          <w:sz w:val="24"/>
          <w:szCs w:val="24"/>
        </w:rPr>
        <w:t xml:space="preserve"> Frame the integration of ESD around the shared commitment to critical and systems thinking. This presents ESD not as a replacement for historical method, but as a lens that can be applied </w:t>
      </w:r>
      <w:r w:rsidRPr="00AB6BEA">
        <w:rPr>
          <w:rFonts w:eastAsia="Times New Roman" w:cs="Arial"/>
          <w:i/>
          <w:iCs/>
          <w:color w:val="1F1F1F"/>
          <w:sz w:val="24"/>
          <w:szCs w:val="24"/>
          <w:bdr w:val="none" w:sz="0" w:space="0" w:color="auto" w:frame="1"/>
        </w:rPr>
        <w:t>using</w:t>
      </w:r>
      <w:r w:rsidRPr="00AB6BEA">
        <w:rPr>
          <w:rFonts w:eastAsia="Times New Roman" w:cs="Arial"/>
          <w:color w:val="1F1F1F"/>
          <w:sz w:val="24"/>
          <w:szCs w:val="24"/>
        </w:rPr>
        <w:t xml:space="preserve"> historical method.</w:t>
      </w:r>
    </w:p>
    <w:p w14:paraId="763AF785" w14:textId="77777777" w:rsidR="00905C61" w:rsidRPr="00AB6BEA" w:rsidRDefault="00905C61" w:rsidP="00905C61">
      <w:pPr>
        <w:numPr>
          <w:ilvl w:val="0"/>
          <w:numId w:val="5"/>
        </w:numPr>
        <w:rPr>
          <w:rFonts w:eastAsia="Times New Roman" w:cs="Arial"/>
          <w:color w:val="1F1F1F"/>
          <w:sz w:val="24"/>
          <w:szCs w:val="24"/>
        </w:rPr>
      </w:pPr>
      <w:r w:rsidRPr="00AB6BEA">
        <w:rPr>
          <w:rFonts w:eastAsia="Times New Roman" w:cs="Arial"/>
          <w:b/>
          <w:bCs/>
          <w:color w:val="1F1F1F"/>
          <w:sz w:val="24"/>
          <w:szCs w:val="24"/>
          <w:bdr w:val="none" w:sz="0" w:space="0" w:color="auto" w:frame="1"/>
        </w:rPr>
        <w:t>Leverage Environmental History:</w:t>
      </w:r>
      <w:r w:rsidRPr="00AB6BEA">
        <w:rPr>
          <w:rFonts w:eastAsia="Times New Roman" w:cs="Arial"/>
          <w:color w:val="1F1F1F"/>
          <w:sz w:val="24"/>
          <w:szCs w:val="24"/>
          <w:bdr w:val="none" w:sz="0" w:space="0" w:color="auto" w:frame="1"/>
        </w:rPr>
        <w:t xml:space="preserve"> Utilise the expertise within the sub-discipline of Environmental History as a natural starting point and a centre of excellence. However, care should be taken to avoid "siloing" sustainability, encouraging all colleagues to consider how themes of resource, climate, and society apply to their specialist areas.</w:t>
      </w:r>
    </w:p>
    <w:p w14:paraId="4F369151" w14:textId="77777777" w:rsidR="00905C61" w:rsidRPr="00AB6BEA" w:rsidRDefault="00905C61" w:rsidP="00905C61">
      <w:pPr>
        <w:numPr>
          <w:ilvl w:val="0"/>
          <w:numId w:val="5"/>
        </w:numPr>
        <w:rPr>
          <w:rFonts w:eastAsia="Times New Roman" w:cs="Arial"/>
          <w:color w:val="1F1F1F"/>
          <w:sz w:val="24"/>
          <w:szCs w:val="24"/>
        </w:rPr>
      </w:pPr>
      <w:r w:rsidRPr="00AB6BEA">
        <w:rPr>
          <w:rFonts w:eastAsia="Times New Roman" w:cs="Arial"/>
          <w:b/>
          <w:bCs/>
          <w:color w:val="1F1F1F"/>
          <w:sz w:val="24"/>
          <w:szCs w:val="24"/>
          <w:bdr w:val="none" w:sz="0" w:space="0" w:color="auto" w:frame="1"/>
        </w:rPr>
        <w:t>Focus on "Historicising Sustainability":</w:t>
      </w:r>
      <w:r w:rsidRPr="00AB6BEA">
        <w:rPr>
          <w:rFonts w:eastAsia="Times New Roman" w:cs="Arial"/>
          <w:color w:val="1F1F1F"/>
          <w:sz w:val="24"/>
          <w:szCs w:val="24"/>
          <w:bdr w:val="none" w:sz="0" w:space="0" w:color="auto" w:frame="1"/>
        </w:rPr>
        <w:t xml:space="preserve"> Develop content around historical questions, such as "How did early modern cities manage waste?" or "What was the social impact of the Little Ice Age?" This approach maintains disciplinary rigour while directly addressing ESD themes, with the joint degree at Warwick serving as a powerful model.</w:t>
      </w:r>
    </w:p>
    <w:p w14:paraId="7B71BA4C" w14:textId="77777777" w:rsidR="00905C61" w:rsidRPr="00AB6BEA" w:rsidRDefault="00905C61" w:rsidP="00905C61">
      <w:pPr>
        <w:numPr>
          <w:ilvl w:val="0"/>
          <w:numId w:val="5"/>
        </w:numPr>
        <w:rPr>
          <w:rFonts w:eastAsia="Times New Roman" w:cs="Arial"/>
          <w:color w:val="1F1F1F"/>
          <w:sz w:val="24"/>
          <w:szCs w:val="24"/>
        </w:rPr>
      </w:pPr>
      <w:r w:rsidRPr="00AB6BEA">
        <w:rPr>
          <w:rFonts w:eastAsia="Times New Roman" w:cs="Arial"/>
          <w:b/>
          <w:bCs/>
          <w:color w:val="1F1F1F"/>
          <w:sz w:val="24"/>
          <w:szCs w:val="24"/>
          <w:bdr w:val="none" w:sz="0" w:space="0" w:color="auto" w:frame="1"/>
        </w:rPr>
        <w:lastRenderedPageBreak/>
        <w:t>Acknowledge the Debate:</w:t>
      </w:r>
      <w:r w:rsidRPr="00AB6BEA">
        <w:rPr>
          <w:rFonts w:eastAsia="Times New Roman" w:cs="Arial"/>
          <w:color w:val="1F1F1F"/>
          <w:sz w:val="24"/>
          <w:szCs w:val="24"/>
          <w:bdr w:val="none" w:sz="0" w:space="0" w:color="auto" w:frame="1"/>
        </w:rPr>
        <w:t xml:space="preserve"> Explicitly teach the historiographical debate around presentism. This allows students to engage critically with the very tensions at the heart of this issue, transforming a potential pitfall into a sophisticated learning opportunity about the nature of historical knowledge.</w:t>
      </w:r>
    </w:p>
    <w:p w14:paraId="5504E8B3" w14:textId="77777777" w:rsidR="00905C61" w:rsidRPr="00AB6BEA" w:rsidRDefault="00905C61" w:rsidP="00905C61">
      <w:pPr>
        <w:pStyle w:val="Heading3"/>
        <w:rPr>
          <w:b/>
          <w:bCs/>
        </w:rPr>
      </w:pPr>
      <w:bookmarkStart w:id="53" w:name="_Toc229750478"/>
      <w:r w:rsidRPr="00AB6BEA">
        <w:rPr>
          <w:b/>
          <w:bCs/>
        </w:rPr>
        <w:t>5.2 For Institutional Leaders and Policy Makers</w:t>
      </w:r>
      <w:bookmarkEnd w:id="53"/>
    </w:p>
    <w:p w14:paraId="385FF4DE"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To foster genuine buy-in and avoid tokenistic compliance, institutional leaders must engage with the specific disciplinary culture of History. A one-size-fits-all mandate is likely to be counterproductive. Instead, they should:</w:t>
      </w:r>
    </w:p>
    <w:p w14:paraId="5441BA52" w14:textId="77777777" w:rsidR="00905C61" w:rsidRPr="00AB6BEA" w:rsidRDefault="00905C61" w:rsidP="00905C61">
      <w:pPr>
        <w:numPr>
          <w:ilvl w:val="0"/>
          <w:numId w:val="6"/>
        </w:numPr>
        <w:rPr>
          <w:rFonts w:eastAsia="Times New Roman" w:cs="Arial"/>
          <w:color w:val="1F1F1F"/>
          <w:sz w:val="24"/>
          <w:szCs w:val="24"/>
        </w:rPr>
      </w:pPr>
      <w:r w:rsidRPr="00AB6BEA">
        <w:rPr>
          <w:rFonts w:eastAsia="Times New Roman" w:cs="Arial"/>
          <w:b/>
          <w:bCs/>
          <w:color w:val="1F1F1F"/>
          <w:sz w:val="24"/>
          <w:szCs w:val="24"/>
          <w:bdr w:val="none" w:sz="0" w:space="0" w:color="auto" w:frame="1"/>
        </w:rPr>
        <w:t>Use a Disciplinary Dialect:</w:t>
      </w:r>
      <w:r w:rsidRPr="00AB6BEA">
        <w:rPr>
          <w:rFonts w:eastAsia="Times New Roman" w:cs="Arial"/>
          <w:color w:val="1F1F1F"/>
          <w:sz w:val="24"/>
          <w:szCs w:val="24"/>
        </w:rPr>
        <w:t xml:space="preserve"> When engaging with History departments, use the language of the discipline. The "translation device" in Table 1 can be a valuable tool for demonstrating how ESD enhances skills that historians already value, rather than imposing an alien framework.</w:t>
      </w:r>
    </w:p>
    <w:p w14:paraId="7895B52D" w14:textId="77777777" w:rsidR="00905C61" w:rsidRPr="00AB6BEA" w:rsidRDefault="00905C61" w:rsidP="00905C61">
      <w:pPr>
        <w:numPr>
          <w:ilvl w:val="0"/>
          <w:numId w:val="6"/>
        </w:numPr>
        <w:rPr>
          <w:rFonts w:eastAsia="Times New Roman" w:cs="Arial"/>
          <w:color w:val="1F1F1F"/>
          <w:sz w:val="24"/>
          <w:szCs w:val="24"/>
        </w:rPr>
      </w:pPr>
      <w:r w:rsidRPr="00AB6BEA">
        <w:rPr>
          <w:rFonts w:eastAsia="Times New Roman" w:cs="Arial"/>
          <w:b/>
          <w:bCs/>
          <w:color w:val="1F1F1F"/>
          <w:sz w:val="24"/>
          <w:szCs w:val="24"/>
          <w:bdr w:val="none" w:sz="0" w:space="0" w:color="auto" w:frame="1"/>
        </w:rPr>
        <w:t>Avoid a One-Size-Fits-All Mandate:</w:t>
      </w:r>
      <w:r w:rsidRPr="00AB6BEA">
        <w:rPr>
          <w:rFonts w:eastAsia="Times New Roman" w:cs="Arial"/>
          <w:color w:val="1F1F1F"/>
          <w:sz w:val="24"/>
          <w:szCs w:val="24"/>
          <w:bdr w:val="none" w:sz="0" w:space="0" w:color="auto" w:frame="1"/>
        </w:rPr>
        <w:t xml:space="preserve"> Recognise the legitimate disciplinary concerns about presentism and objectivity. Support and champion "authentic" integration that respects the discipline's methodologies, rather than enforcing crude, metric-based compliance that encourages superficial box-ticking.</w:t>
      </w:r>
    </w:p>
    <w:p w14:paraId="225473F0" w14:textId="77777777" w:rsidR="00905C61" w:rsidRPr="00AB6BEA" w:rsidRDefault="00905C61" w:rsidP="00905C61">
      <w:pPr>
        <w:numPr>
          <w:ilvl w:val="0"/>
          <w:numId w:val="6"/>
        </w:numPr>
        <w:rPr>
          <w:rFonts w:eastAsia="Times New Roman" w:cs="Arial"/>
          <w:color w:val="1F1F1F"/>
          <w:sz w:val="24"/>
          <w:szCs w:val="24"/>
        </w:rPr>
      </w:pPr>
      <w:r w:rsidRPr="00AB6BEA">
        <w:rPr>
          <w:rFonts w:eastAsia="Times New Roman" w:cs="Arial"/>
          <w:b/>
          <w:bCs/>
          <w:color w:val="1F1F1F"/>
          <w:sz w:val="24"/>
          <w:szCs w:val="24"/>
          <w:bdr w:val="none" w:sz="0" w:space="0" w:color="auto" w:frame="1"/>
        </w:rPr>
        <w:t>Resource and Reward:</w:t>
      </w:r>
      <w:r w:rsidRPr="00AB6BEA">
        <w:rPr>
          <w:rFonts w:eastAsia="Times New Roman" w:cs="Arial"/>
          <w:color w:val="1F1F1F"/>
          <w:sz w:val="24"/>
          <w:szCs w:val="24"/>
          <w:bdr w:val="none" w:sz="0" w:space="0" w:color="auto" w:frame="1"/>
        </w:rPr>
        <w:t xml:space="preserve"> As advocated by Advance HE, provide tangible support for staff development, interdisciplinary projects, and curriculum redesign. Acknowledge and reward good practice where ESD has been integrated in ways that are intellectually robust and </w:t>
      </w:r>
      <w:proofErr w:type="gramStart"/>
      <w:r w:rsidRPr="00AB6BEA">
        <w:rPr>
          <w:rFonts w:eastAsia="Times New Roman" w:cs="Arial"/>
          <w:color w:val="1F1F1F"/>
          <w:sz w:val="24"/>
          <w:szCs w:val="24"/>
          <w:bdr w:val="none" w:sz="0" w:space="0" w:color="auto" w:frame="1"/>
        </w:rPr>
        <w:t>discipline-appropriate</w:t>
      </w:r>
      <w:proofErr w:type="gramEnd"/>
      <w:r w:rsidRPr="00AB6BEA">
        <w:rPr>
          <w:rFonts w:eastAsia="Times New Roman" w:cs="Arial"/>
          <w:color w:val="1F1F1F"/>
          <w:sz w:val="24"/>
          <w:szCs w:val="24"/>
          <w:bdr w:val="none" w:sz="0" w:space="0" w:color="auto" w:frame="1"/>
        </w:rPr>
        <w:t>.</w:t>
      </w:r>
    </w:p>
    <w:p w14:paraId="1CF089F1" w14:textId="77777777" w:rsidR="00905C61" w:rsidRDefault="00905C61" w:rsidP="00905C61">
      <w:pPr>
        <w:spacing w:after="150"/>
        <w:rPr>
          <w:rFonts w:eastAsia="Times New Roman" w:cs="Arial"/>
          <w:color w:val="1F1F1F"/>
          <w:sz w:val="24"/>
          <w:szCs w:val="24"/>
        </w:rPr>
      </w:pPr>
    </w:p>
    <w:p w14:paraId="52E8AE87" w14:textId="77777777" w:rsidR="00905C61" w:rsidRPr="00AB6BEA" w:rsidRDefault="00905C61" w:rsidP="00905C61">
      <w:pPr>
        <w:spacing w:after="150"/>
        <w:rPr>
          <w:rFonts w:eastAsia="Times New Roman" w:cs="Arial"/>
          <w:color w:val="1F1F1F"/>
          <w:sz w:val="24"/>
          <w:szCs w:val="24"/>
        </w:rPr>
      </w:pPr>
      <w:r w:rsidRPr="00AB6BEA">
        <w:rPr>
          <w:rFonts w:eastAsia="Times New Roman" w:cs="Arial"/>
          <w:color w:val="1F1F1F"/>
          <w:sz w:val="24"/>
          <w:szCs w:val="24"/>
        </w:rPr>
        <w:t xml:space="preserve">Ultimately, the debate over ESD within History is a microcosm of a larger, existential conversation within the humanities about their public role in the twenty-first century. It forces a confrontation with a fundamental question: is the primary purpose of a history education to understand the past for its own sake, or is it to use that understanding to help shape a better future? How a department, and the </w:t>
      </w:r>
      <w:proofErr w:type="gramStart"/>
      <w:r w:rsidRPr="00AB6BEA">
        <w:rPr>
          <w:rFonts w:eastAsia="Times New Roman" w:cs="Arial"/>
          <w:color w:val="1F1F1F"/>
          <w:sz w:val="24"/>
          <w:szCs w:val="24"/>
        </w:rPr>
        <w:t>discipline as a whole, responds</w:t>
      </w:r>
      <w:proofErr w:type="gramEnd"/>
      <w:r w:rsidRPr="00AB6BEA">
        <w:rPr>
          <w:rFonts w:eastAsia="Times New Roman" w:cs="Arial"/>
          <w:color w:val="1F1F1F"/>
          <w:sz w:val="24"/>
          <w:szCs w:val="24"/>
        </w:rPr>
        <w:t xml:space="preserve"> to the ESD mandate is therefore indicative of its broader philosophical stance on the purpose of historical education in the modern world, making this a profoundly important diagnostic issue for the future of the discipline.</w:t>
      </w:r>
    </w:p>
    <w:p w14:paraId="437C51ED" w14:textId="2EA2A2AC" w:rsidR="00905C61" w:rsidRPr="00825D96" w:rsidRDefault="00905C61" w:rsidP="00905C61">
      <w:pPr>
        <w:pStyle w:val="Heading2"/>
      </w:pPr>
      <w:bookmarkStart w:id="54" w:name="_Toc229750479"/>
      <w:r>
        <w:t>List of Sources Used</w:t>
      </w:r>
      <w:r w:rsidR="001F29D1">
        <w:t xml:space="preserve"> by Google GEmini</w:t>
      </w:r>
      <w:bookmarkEnd w:id="54"/>
    </w:p>
    <w:p w14:paraId="135FC59F" w14:textId="77777777" w:rsidR="00905C61" w:rsidRDefault="00905C61" w:rsidP="00905C61">
      <w:pPr>
        <w:rPr>
          <w:sz w:val="24"/>
          <w:szCs w:val="24"/>
        </w:rPr>
      </w:pPr>
    </w:p>
    <w:p w14:paraId="5C2D140A"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and Quality Assurance Agency for Higher Education (QAA). (2021). </w:t>
      </w:r>
      <w:r w:rsidRPr="00825D96">
        <w:rPr>
          <w:rFonts w:eastAsia="Times New Roman" w:cs="Arial"/>
          <w:i/>
          <w:iCs/>
          <w:color w:val="1F1F1F"/>
          <w:sz w:val="20"/>
          <w:szCs w:val="20"/>
          <w:bdr w:val="none" w:sz="0" w:space="0" w:color="auto" w:frame="1"/>
        </w:rPr>
        <w:t>Education for Sustainable Development Guidance</w:t>
      </w:r>
      <w:r w:rsidRPr="00825D96">
        <w:rPr>
          <w:rFonts w:eastAsia="Times New Roman" w:cs="Arial"/>
          <w:color w:val="1F1F1F"/>
          <w:sz w:val="20"/>
          <w:szCs w:val="20"/>
        </w:rPr>
        <w:t>.</w:t>
      </w:r>
    </w:p>
    <w:p w14:paraId="4866B51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lastRenderedPageBreak/>
        <w:t xml:space="preserve">Quality Assurance Agency for Higher Education (QAA). (2021). </w:t>
      </w:r>
      <w:r w:rsidRPr="00825D96">
        <w:rPr>
          <w:rFonts w:eastAsia="Times New Roman" w:cs="Arial"/>
          <w:i/>
          <w:iCs/>
          <w:color w:val="1F1F1F"/>
          <w:sz w:val="20"/>
          <w:szCs w:val="20"/>
          <w:bdr w:val="none" w:sz="0" w:space="0" w:color="auto" w:frame="1"/>
        </w:rPr>
        <w:t>ESD Guidance: Defining Sustainability and Tripartite Frameworks</w:t>
      </w:r>
      <w:r w:rsidRPr="00825D96">
        <w:rPr>
          <w:rFonts w:eastAsia="Times New Roman" w:cs="Arial"/>
          <w:color w:val="1F1F1F"/>
          <w:sz w:val="20"/>
          <w:szCs w:val="20"/>
        </w:rPr>
        <w:t>.</w:t>
      </w:r>
    </w:p>
    <w:p w14:paraId="273D73E5"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UNESCO. (2017). </w:t>
      </w:r>
      <w:r w:rsidRPr="00825D96">
        <w:rPr>
          <w:rFonts w:eastAsia="Times New Roman" w:cs="Arial"/>
          <w:i/>
          <w:iCs/>
          <w:color w:val="1F1F1F"/>
          <w:sz w:val="20"/>
          <w:szCs w:val="20"/>
          <w:bdr w:val="none" w:sz="0" w:space="0" w:color="auto" w:frame="1"/>
        </w:rPr>
        <w:t>Education for Sustainable Development Goals: Learning Objectives and Key Competencies</w:t>
      </w:r>
      <w:r w:rsidRPr="00825D96">
        <w:rPr>
          <w:rFonts w:eastAsia="Times New Roman" w:cs="Arial"/>
          <w:color w:val="1F1F1F"/>
          <w:sz w:val="20"/>
          <w:szCs w:val="20"/>
        </w:rPr>
        <w:t>.</w:t>
      </w:r>
    </w:p>
    <w:p w14:paraId="7B93D16F"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(2021). </w:t>
      </w:r>
      <w:r w:rsidRPr="00825D96">
        <w:rPr>
          <w:rFonts w:eastAsia="Times New Roman" w:cs="Arial"/>
          <w:i/>
          <w:iCs/>
          <w:color w:val="1F1F1F"/>
          <w:sz w:val="20"/>
          <w:szCs w:val="20"/>
          <w:bdr w:val="none" w:sz="0" w:space="0" w:color="auto" w:frame="1"/>
        </w:rPr>
        <w:t>ESD Guidance: Environmental, Social, and Economic Pillars</w:t>
      </w:r>
      <w:r w:rsidRPr="00825D96">
        <w:rPr>
          <w:rFonts w:eastAsia="Times New Roman" w:cs="Arial"/>
          <w:color w:val="1F1F1F"/>
          <w:sz w:val="20"/>
          <w:szCs w:val="20"/>
        </w:rPr>
        <w:t>.</w:t>
      </w:r>
    </w:p>
    <w:p w14:paraId="70D686D5"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and QAA. (2021). </w:t>
      </w:r>
      <w:r w:rsidRPr="00825D96">
        <w:rPr>
          <w:rFonts w:eastAsia="Times New Roman" w:cs="Arial"/>
          <w:i/>
          <w:iCs/>
          <w:color w:val="1F1F1F"/>
          <w:sz w:val="20"/>
          <w:szCs w:val="20"/>
          <w:bdr w:val="none" w:sz="0" w:space="0" w:color="auto" w:frame="1"/>
        </w:rPr>
        <w:t>ESD Guidance: Educational Change Agenda and Critical Pedagogy</w:t>
      </w:r>
      <w:r w:rsidRPr="00825D96">
        <w:rPr>
          <w:rFonts w:eastAsia="Times New Roman" w:cs="Arial"/>
          <w:color w:val="1F1F1F"/>
          <w:sz w:val="20"/>
          <w:szCs w:val="20"/>
        </w:rPr>
        <w:t>.</w:t>
      </w:r>
    </w:p>
    <w:p w14:paraId="70FF8ECA"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(2021). </w:t>
      </w:r>
      <w:r w:rsidRPr="00825D96">
        <w:rPr>
          <w:rFonts w:eastAsia="Times New Roman" w:cs="Arial"/>
          <w:i/>
          <w:iCs/>
          <w:color w:val="1F1F1F"/>
          <w:sz w:val="20"/>
          <w:szCs w:val="20"/>
          <w:bdr w:val="none" w:sz="0" w:space="0" w:color="auto" w:frame="1"/>
        </w:rPr>
        <w:t>Practice Guides to support Education for Sustainable Development in Higher Education</w:t>
      </w:r>
      <w:r w:rsidRPr="00825D96">
        <w:rPr>
          <w:rFonts w:eastAsia="Times New Roman" w:cs="Arial"/>
          <w:color w:val="1F1F1F"/>
          <w:sz w:val="20"/>
          <w:szCs w:val="20"/>
        </w:rPr>
        <w:t>.</w:t>
      </w:r>
    </w:p>
    <w:p w14:paraId="1715CD80"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(2021). </w:t>
      </w:r>
      <w:r w:rsidRPr="00825D96">
        <w:rPr>
          <w:rFonts w:eastAsia="Times New Roman" w:cs="Arial"/>
          <w:i/>
          <w:iCs/>
          <w:color w:val="1F1F1F"/>
          <w:sz w:val="20"/>
          <w:szCs w:val="20"/>
          <w:bdr w:val="none" w:sz="0" w:space="0" w:color="auto" w:frame="1"/>
        </w:rPr>
        <w:t>ESD Framework: Connecting Strategic Priorities and Employability</w:t>
      </w:r>
      <w:r w:rsidRPr="00825D96">
        <w:rPr>
          <w:rFonts w:eastAsia="Times New Roman" w:cs="Arial"/>
          <w:color w:val="1F1F1F"/>
          <w:sz w:val="20"/>
          <w:szCs w:val="20"/>
        </w:rPr>
        <w:t>.</w:t>
      </w:r>
    </w:p>
    <w:p w14:paraId="3A79738E"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Students Organising for Sustainability (SOS-UK). (2020). </w:t>
      </w:r>
      <w:r w:rsidRPr="00825D96">
        <w:rPr>
          <w:rFonts w:eastAsia="Times New Roman" w:cs="Arial"/>
          <w:i/>
          <w:iCs/>
          <w:color w:val="1F1F1F"/>
          <w:sz w:val="20"/>
          <w:szCs w:val="20"/>
          <w:bdr w:val="none" w:sz="0" w:space="0" w:color="auto" w:frame="1"/>
        </w:rPr>
        <w:t>Sustainability Skills Survey Results</w:t>
      </w:r>
      <w:r w:rsidRPr="00825D96">
        <w:rPr>
          <w:rFonts w:eastAsia="Times New Roman" w:cs="Arial"/>
          <w:color w:val="1F1F1F"/>
          <w:sz w:val="20"/>
          <w:szCs w:val="20"/>
        </w:rPr>
        <w:t>.</w:t>
      </w:r>
    </w:p>
    <w:p w14:paraId="6052D012"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Reading. (2021). </w:t>
      </w:r>
      <w:r w:rsidRPr="00825D96">
        <w:rPr>
          <w:rFonts w:eastAsia="Times New Roman" w:cs="Arial"/>
          <w:i/>
          <w:iCs/>
          <w:color w:val="1F1F1F"/>
          <w:sz w:val="20"/>
          <w:szCs w:val="20"/>
          <w:bdr w:val="none" w:sz="0" w:space="0" w:color="auto" w:frame="1"/>
        </w:rPr>
        <w:t>National Metrics and Student Demand for Sustainable Development</w:t>
      </w:r>
      <w:r w:rsidRPr="00825D96">
        <w:rPr>
          <w:rFonts w:eastAsia="Times New Roman" w:cs="Arial"/>
          <w:color w:val="1F1F1F"/>
          <w:sz w:val="20"/>
          <w:szCs w:val="20"/>
        </w:rPr>
        <w:t>.</w:t>
      </w:r>
    </w:p>
    <w:p w14:paraId="6405394C"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Reading. (2020). </w:t>
      </w:r>
      <w:r w:rsidRPr="00825D96">
        <w:rPr>
          <w:rFonts w:eastAsia="Times New Roman" w:cs="Arial"/>
          <w:i/>
          <w:iCs/>
          <w:color w:val="1F1F1F"/>
          <w:sz w:val="20"/>
          <w:szCs w:val="20"/>
          <w:bdr w:val="none" w:sz="0" w:space="0" w:color="auto" w:frame="1"/>
        </w:rPr>
        <w:t>Sustainability Strategic Plan 2020-2026</w:t>
      </w:r>
      <w:r w:rsidRPr="00825D96">
        <w:rPr>
          <w:rFonts w:eastAsia="Times New Roman" w:cs="Arial"/>
          <w:color w:val="1F1F1F"/>
          <w:sz w:val="20"/>
          <w:szCs w:val="20"/>
        </w:rPr>
        <w:t>.</w:t>
      </w:r>
    </w:p>
    <w:p w14:paraId="377414FE"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(2021). </w:t>
      </w:r>
      <w:r w:rsidRPr="00825D96">
        <w:rPr>
          <w:rFonts w:eastAsia="Times New Roman" w:cs="Arial"/>
          <w:i/>
          <w:iCs/>
          <w:color w:val="1F1F1F"/>
          <w:sz w:val="20"/>
          <w:szCs w:val="20"/>
          <w:bdr w:val="none" w:sz="0" w:space="0" w:color="auto" w:frame="1"/>
        </w:rPr>
        <w:t>Strategic Positioning of ESD in Institutional Quality Codes</w:t>
      </w:r>
      <w:r w:rsidRPr="00825D96">
        <w:rPr>
          <w:rFonts w:eastAsia="Times New Roman" w:cs="Arial"/>
          <w:color w:val="1F1F1F"/>
          <w:sz w:val="20"/>
          <w:szCs w:val="20"/>
        </w:rPr>
        <w:t>.</w:t>
      </w:r>
    </w:p>
    <w:p w14:paraId="7B561BD4"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(2021). </w:t>
      </w:r>
      <w:r w:rsidRPr="00825D96">
        <w:rPr>
          <w:rFonts w:eastAsia="Times New Roman" w:cs="Arial"/>
          <w:i/>
          <w:iCs/>
          <w:color w:val="1F1F1F"/>
          <w:sz w:val="20"/>
          <w:szCs w:val="20"/>
          <w:bdr w:val="none" w:sz="0" w:space="0" w:color="auto" w:frame="1"/>
        </w:rPr>
        <w:t>Fostering Student Agency and Citizenship for a Sustainable Future</w:t>
      </w:r>
      <w:r w:rsidRPr="00825D96">
        <w:rPr>
          <w:rFonts w:eastAsia="Times New Roman" w:cs="Arial"/>
          <w:color w:val="1F1F1F"/>
          <w:sz w:val="20"/>
          <w:szCs w:val="20"/>
        </w:rPr>
        <w:t>.</w:t>
      </w:r>
    </w:p>
    <w:p w14:paraId="31767FC4"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Advance HE. (2021). </w:t>
      </w:r>
      <w:r w:rsidRPr="00825D96">
        <w:rPr>
          <w:rFonts w:eastAsia="Times New Roman" w:cs="Arial"/>
          <w:i/>
          <w:iCs/>
          <w:color w:val="1F1F1F"/>
          <w:sz w:val="20"/>
          <w:szCs w:val="20"/>
          <w:bdr w:val="none" w:sz="0" w:space="0" w:color="auto" w:frame="1"/>
        </w:rPr>
        <w:t>Mapping and Evaluating Staff and Student Engagement with ESD</w:t>
      </w:r>
      <w:r w:rsidRPr="00825D96">
        <w:rPr>
          <w:rFonts w:eastAsia="Times New Roman" w:cs="Arial"/>
          <w:color w:val="1F1F1F"/>
          <w:sz w:val="20"/>
          <w:szCs w:val="20"/>
        </w:rPr>
        <w:t>.</w:t>
      </w:r>
    </w:p>
    <w:p w14:paraId="2A103D5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(2022). </w:t>
      </w:r>
      <w:r w:rsidRPr="00825D96">
        <w:rPr>
          <w:rFonts w:eastAsia="Times New Roman" w:cs="Arial"/>
          <w:i/>
          <w:iCs/>
          <w:color w:val="1F1F1F"/>
          <w:sz w:val="20"/>
          <w:szCs w:val="20"/>
          <w:bdr w:val="none" w:sz="0" w:space="0" w:color="auto" w:frame="1"/>
        </w:rPr>
        <w:t>Subject Benchmark Statement for History</w:t>
      </w:r>
      <w:r w:rsidRPr="00825D96">
        <w:rPr>
          <w:rFonts w:eastAsia="Times New Roman" w:cs="Arial"/>
          <w:color w:val="1F1F1F"/>
          <w:sz w:val="20"/>
          <w:szCs w:val="20"/>
        </w:rPr>
        <w:t>.</w:t>
      </w:r>
    </w:p>
    <w:p w14:paraId="4C0D58B1"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Fulton, E. (2022). </w:t>
      </w:r>
      <w:r w:rsidRPr="00825D96">
        <w:rPr>
          <w:rFonts w:eastAsia="Times New Roman" w:cs="Arial"/>
          <w:i/>
          <w:iCs/>
          <w:color w:val="1F1F1F"/>
          <w:sz w:val="20"/>
          <w:szCs w:val="20"/>
          <w:bdr w:val="none" w:sz="0" w:space="0" w:color="auto" w:frame="1"/>
        </w:rPr>
        <w:t>Chair's Statement: 2022 History Benchmark Statement Advisory Group</w:t>
      </w:r>
      <w:r w:rsidRPr="00825D96">
        <w:rPr>
          <w:rFonts w:eastAsia="Times New Roman" w:cs="Arial"/>
          <w:color w:val="1F1F1F"/>
          <w:sz w:val="20"/>
          <w:szCs w:val="20"/>
        </w:rPr>
        <w:t>.</w:t>
      </w:r>
    </w:p>
    <w:p w14:paraId="37105957"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Stott, V. (2022). </w:t>
      </w:r>
      <w:r w:rsidRPr="00825D96">
        <w:rPr>
          <w:rFonts w:eastAsia="Times New Roman" w:cs="Arial"/>
          <w:i/>
          <w:iCs/>
          <w:color w:val="1F1F1F"/>
          <w:sz w:val="20"/>
          <w:szCs w:val="20"/>
          <w:bdr w:val="none" w:sz="0" w:space="0" w:color="auto" w:frame="1"/>
        </w:rPr>
        <w:t>Response to Criticism of Subject Benchmark Statement Restrictiveness</w:t>
      </w:r>
      <w:r w:rsidRPr="00825D96">
        <w:rPr>
          <w:rFonts w:eastAsia="Times New Roman" w:cs="Arial"/>
          <w:color w:val="1F1F1F"/>
          <w:sz w:val="20"/>
          <w:szCs w:val="20"/>
        </w:rPr>
        <w:t>.</w:t>
      </w:r>
    </w:p>
    <w:p w14:paraId="09402CAF"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(2022). </w:t>
      </w:r>
      <w:r w:rsidRPr="00825D96">
        <w:rPr>
          <w:rFonts w:eastAsia="Times New Roman" w:cs="Arial"/>
          <w:i/>
          <w:iCs/>
          <w:color w:val="1F1F1F"/>
          <w:sz w:val="20"/>
          <w:szCs w:val="20"/>
          <w:bdr w:val="none" w:sz="0" w:space="0" w:color="auto" w:frame="1"/>
        </w:rPr>
        <w:t>Nature of Study and Academic Standards: History</w:t>
      </w:r>
      <w:r w:rsidRPr="00825D96">
        <w:rPr>
          <w:rFonts w:eastAsia="Times New Roman" w:cs="Arial"/>
          <w:color w:val="1F1F1F"/>
          <w:sz w:val="20"/>
          <w:szCs w:val="20"/>
        </w:rPr>
        <w:t>.</w:t>
      </w:r>
    </w:p>
    <w:p w14:paraId="7DFEF36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(2022). </w:t>
      </w:r>
      <w:r w:rsidRPr="00825D96">
        <w:rPr>
          <w:rFonts w:eastAsia="Times New Roman" w:cs="Arial"/>
          <w:i/>
          <w:iCs/>
          <w:color w:val="1F1F1F"/>
          <w:sz w:val="20"/>
          <w:szCs w:val="20"/>
          <w:bdr w:val="none" w:sz="0" w:space="0" w:color="auto" w:frame="1"/>
        </w:rPr>
        <w:t>History Subject Benchmark Statement: Core Methodologies and evidence analysis</w:t>
      </w:r>
      <w:r w:rsidRPr="00825D96">
        <w:rPr>
          <w:rFonts w:eastAsia="Times New Roman" w:cs="Arial"/>
          <w:color w:val="1F1F1F"/>
          <w:sz w:val="20"/>
          <w:szCs w:val="20"/>
        </w:rPr>
        <w:t>.</w:t>
      </w:r>
    </w:p>
    <w:p w14:paraId="38CC178C"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Royal Historical Society (RHS). (2024). </w:t>
      </w:r>
      <w:r w:rsidRPr="00825D96">
        <w:rPr>
          <w:rFonts w:eastAsia="Times New Roman" w:cs="Arial"/>
          <w:i/>
          <w:iCs/>
          <w:color w:val="1F1F1F"/>
          <w:sz w:val="20"/>
          <w:szCs w:val="20"/>
          <w:bdr w:val="none" w:sz="0" w:space="0" w:color="auto" w:frame="1"/>
        </w:rPr>
        <w:t>History and Sustainability: Thinking like a Historian and Deconstructing Narratives</w:t>
      </w:r>
      <w:r w:rsidRPr="00825D96">
        <w:rPr>
          <w:rFonts w:eastAsia="Times New Roman" w:cs="Arial"/>
          <w:color w:val="1F1F1F"/>
          <w:sz w:val="20"/>
          <w:szCs w:val="20"/>
        </w:rPr>
        <w:t>.</w:t>
      </w:r>
    </w:p>
    <w:p w14:paraId="08B035FF"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Royal Historical Society (RHS). (2022). </w:t>
      </w:r>
      <w:r w:rsidRPr="00825D96">
        <w:rPr>
          <w:rFonts w:eastAsia="Times New Roman" w:cs="Arial"/>
          <w:i/>
          <w:iCs/>
          <w:color w:val="1F1F1F"/>
          <w:sz w:val="20"/>
          <w:szCs w:val="20"/>
          <w:bdr w:val="none" w:sz="0" w:space="0" w:color="auto" w:frame="1"/>
        </w:rPr>
        <w:t>Reflecting on Value Systems and Norms in Historical Contexts</w:t>
      </w:r>
      <w:r w:rsidRPr="00825D96">
        <w:rPr>
          <w:rFonts w:eastAsia="Times New Roman" w:cs="Arial"/>
          <w:color w:val="1F1F1F"/>
          <w:sz w:val="20"/>
          <w:szCs w:val="20"/>
        </w:rPr>
        <w:t>.</w:t>
      </w:r>
    </w:p>
    <w:p w14:paraId="6B142CD5"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White, R. M., Kemp, S., Price, E. A. C., &amp; Longhurst, J. W. S. (Eds.). (2025). </w:t>
      </w:r>
      <w:r w:rsidRPr="00825D96">
        <w:rPr>
          <w:rFonts w:eastAsia="Times New Roman" w:cs="Arial"/>
          <w:i/>
          <w:iCs/>
          <w:color w:val="1F1F1F"/>
          <w:sz w:val="20"/>
          <w:szCs w:val="20"/>
          <w:bdr w:val="none" w:sz="0" w:space="0" w:color="auto" w:frame="1"/>
        </w:rPr>
        <w:t>Perspectives and Practices of Education for Sustainable Development</w:t>
      </w:r>
      <w:r w:rsidRPr="00825D96">
        <w:rPr>
          <w:rFonts w:eastAsia="Times New Roman" w:cs="Arial"/>
          <w:color w:val="1F1F1F"/>
          <w:sz w:val="20"/>
          <w:szCs w:val="20"/>
        </w:rPr>
        <w:t>.</w:t>
      </w:r>
    </w:p>
    <w:p w14:paraId="0008E63D"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White, R. M., &amp; </w:t>
      </w:r>
      <w:proofErr w:type="spellStart"/>
      <w:r w:rsidRPr="00825D96">
        <w:rPr>
          <w:rFonts w:eastAsia="Times New Roman" w:cs="Arial"/>
          <w:color w:val="1F1F1F"/>
          <w:sz w:val="20"/>
          <w:szCs w:val="20"/>
        </w:rPr>
        <w:t>Preist</w:t>
      </w:r>
      <w:proofErr w:type="spellEnd"/>
      <w:r w:rsidRPr="00825D96">
        <w:rPr>
          <w:rFonts w:eastAsia="Times New Roman" w:cs="Arial"/>
          <w:color w:val="1F1F1F"/>
          <w:sz w:val="20"/>
          <w:szCs w:val="20"/>
        </w:rPr>
        <w:t xml:space="preserve">, C. (2025). </w:t>
      </w:r>
      <w:r w:rsidRPr="00825D96">
        <w:rPr>
          <w:rFonts w:eastAsia="Times New Roman" w:cs="Arial"/>
          <w:i/>
          <w:iCs/>
          <w:color w:val="1F1F1F"/>
          <w:sz w:val="20"/>
          <w:szCs w:val="20"/>
          <w:bdr w:val="none" w:sz="0" w:space="0" w:color="auto" w:frame="1"/>
        </w:rPr>
        <w:t>ESD: From Disciplinary to Transdisciplinary Approaches</w:t>
      </w:r>
      <w:r w:rsidRPr="00825D96">
        <w:rPr>
          <w:rFonts w:eastAsia="Times New Roman" w:cs="Arial"/>
          <w:color w:val="1F1F1F"/>
          <w:sz w:val="20"/>
          <w:szCs w:val="20"/>
        </w:rPr>
        <w:t>.</w:t>
      </w:r>
    </w:p>
    <w:p w14:paraId="7075533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National Council on Public History. (2022). </w:t>
      </w:r>
      <w:r w:rsidRPr="00825D96">
        <w:rPr>
          <w:rFonts w:eastAsia="Times New Roman" w:cs="Arial"/>
          <w:i/>
          <w:iCs/>
          <w:color w:val="1F1F1F"/>
          <w:sz w:val="20"/>
          <w:szCs w:val="20"/>
          <w:bdr w:val="none" w:sz="0" w:space="0" w:color="auto" w:frame="1"/>
        </w:rPr>
        <w:t>Ethics and Professional Conduct for Historians</w:t>
      </w:r>
      <w:r w:rsidRPr="00825D96">
        <w:rPr>
          <w:rFonts w:eastAsia="Times New Roman" w:cs="Arial"/>
          <w:color w:val="1F1F1F"/>
          <w:sz w:val="20"/>
          <w:szCs w:val="20"/>
        </w:rPr>
        <w:t>.</w:t>
      </w:r>
    </w:p>
    <w:p w14:paraId="6005CFB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Royal Historical Society (RHS). (2023). </w:t>
      </w:r>
      <w:r w:rsidRPr="00825D96">
        <w:rPr>
          <w:rFonts w:eastAsia="Times New Roman" w:cs="Arial"/>
          <w:i/>
          <w:iCs/>
          <w:color w:val="1F1F1F"/>
          <w:sz w:val="20"/>
          <w:szCs w:val="20"/>
          <w:bdr w:val="none" w:sz="0" w:space="0" w:color="auto" w:frame="1"/>
        </w:rPr>
        <w:t>Annual Report: Advocacy and Support for Historical Research</w:t>
      </w:r>
      <w:r w:rsidRPr="00825D96">
        <w:rPr>
          <w:rFonts w:eastAsia="Times New Roman" w:cs="Arial"/>
          <w:color w:val="1F1F1F"/>
          <w:sz w:val="20"/>
          <w:szCs w:val="20"/>
        </w:rPr>
        <w:t>.</w:t>
      </w:r>
    </w:p>
    <w:p w14:paraId="59FDFD6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Royal Historical Society (RHS). (2023). </w:t>
      </w:r>
      <w:r w:rsidRPr="00825D96">
        <w:rPr>
          <w:rFonts w:eastAsia="Times New Roman" w:cs="Arial"/>
          <w:i/>
          <w:iCs/>
          <w:color w:val="1F1F1F"/>
          <w:sz w:val="20"/>
          <w:szCs w:val="20"/>
          <w:bdr w:val="none" w:sz="0" w:space="0" w:color="auto" w:frame="1"/>
        </w:rPr>
        <w:t>Trustees' Report on Ethical Rigour and Transparency</w:t>
      </w:r>
      <w:r w:rsidRPr="00825D96">
        <w:rPr>
          <w:rFonts w:eastAsia="Times New Roman" w:cs="Arial"/>
          <w:color w:val="1F1F1F"/>
          <w:sz w:val="20"/>
          <w:szCs w:val="20"/>
        </w:rPr>
        <w:t>.</w:t>
      </w:r>
    </w:p>
    <w:p w14:paraId="7FEEA65D"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lastRenderedPageBreak/>
        <w:t xml:space="preserve">RHS, History UK, and Historical Association. (2024). </w:t>
      </w:r>
      <w:r w:rsidRPr="00825D96">
        <w:rPr>
          <w:rFonts w:eastAsia="Times New Roman" w:cs="Arial"/>
          <w:i/>
          <w:iCs/>
          <w:color w:val="1F1F1F"/>
          <w:sz w:val="20"/>
          <w:szCs w:val="20"/>
          <w:bdr w:val="none" w:sz="0" w:space="0" w:color="auto" w:frame="1"/>
        </w:rPr>
        <w:t>Protecting What Matters: Joint Statement on History Teaching and Social Cohesion</w:t>
      </w:r>
      <w:r w:rsidRPr="00825D96">
        <w:rPr>
          <w:rFonts w:eastAsia="Times New Roman" w:cs="Arial"/>
          <w:color w:val="1F1F1F"/>
          <w:sz w:val="20"/>
          <w:szCs w:val="20"/>
        </w:rPr>
        <w:t>.</w:t>
      </w:r>
    </w:p>
    <w:p w14:paraId="0171311B"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(2022). </w:t>
      </w:r>
      <w:r w:rsidRPr="00825D96">
        <w:rPr>
          <w:rFonts w:eastAsia="Times New Roman" w:cs="Arial"/>
          <w:i/>
          <w:iCs/>
          <w:color w:val="1F1F1F"/>
          <w:sz w:val="20"/>
          <w:szCs w:val="20"/>
          <w:bdr w:val="none" w:sz="0" w:space="0" w:color="auto" w:frame="1"/>
        </w:rPr>
        <w:t>Institutional Review and Quality Codes for Sustainability Integration</w:t>
      </w:r>
      <w:r w:rsidRPr="00825D96">
        <w:rPr>
          <w:rFonts w:eastAsia="Times New Roman" w:cs="Arial"/>
          <w:color w:val="1F1F1F"/>
          <w:sz w:val="20"/>
          <w:szCs w:val="20"/>
        </w:rPr>
        <w:t>.</w:t>
      </w:r>
    </w:p>
    <w:p w14:paraId="6E757AE6"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Reading. (2024). </w:t>
      </w:r>
      <w:r w:rsidRPr="00825D96">
        <w:rPr>
          <w:rFonts w:eastAsia="Times New Roman" w:cs="Arial"/>
          <w:i/>
          <w:iCs/>
          <w:color w:val="1F1F1F"/>
          <w:sz w:val="20"/>
          <w:szCs w:val="20"/>
          <w:bdr w:val="none" w:sz="0" w:space="0" w:color="auto" w:frame="1"/>
        </w:rPr>
        <w:t>ESD Ratings and Institutional Success in National Metrics</w:t>
      </w:r>
      <w:r w:rsidRPr="00825D96">
        <w:rPr>
          <w:rFonts w:eastAsia="Times New Roman" w:cs="Arial"/>
          <w:color w:val="1F1F1F"/>
          <w:sz w:val="20"/>
          <w:szCs w:val="20"/>
        </w:rPr>
        <w:t>.</w:t>
      </w:r>
    </w:p>
    <w:p w14:paraId="2BF8BC33"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Reading. (2023). </w:t>
      </w:r>
      <w:r w:rsidRPr="00825D96">
        <w:rPr>
          <w:rFonts w:eastAsia="Times New Roman" w:cs="Arial"/>
          <w:i/>
          <w:iCs/>
          <w:color w:val="1F1F1F"/>
          <w:sz w:val="20"/>
          <w:szCs w:val="20"/>
          <w:bdr w:val="none" w:sz="0" w:space="0" w:color="auto" w:frame="1"/>
        </w:rPr>
        <w:t>ESD as an Organising Principle in Higher Education</w:t>
      </w:r>
      <w:r w:rsidRPr="00825D96">
        <w:rPr>
          <w:rFonts w:eastAsia="Times New Roman" w:cs="Arial"/>
          <w:color w:val="1F1F1F"/>
          <w:sz w:val="20"/>
          <w:szCs w:val="20"/>
        </w:rPr>
        <w:t>.</w:t>
      </w:r>
    </w:p>
    <w:p w14:paraId="0058AC19"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SOAS, University of London. (2024). </w:t>
      </w:r>
      <w:r w:rsidRPr="00825D96">
        <w:rPr>
          <w:rFonts w:eastAsia="Times New Roman" w:cs="Arial"/>
          <w:i/>
          <w:iCs/>
          <w:color w:val="1F1F1F"/>
          <w:sz w:val="20"/>
          <w:szCs w:val="20"/>
          <w:bdr w:val="none" w:sz="0" w:space="0" w:color="auto" w:frame="1"/>
        </w:rPr>
        <w:t>Teaching History Inclusively: Case Study on Empire, Resource Extraction, and Education</w:t>
      </w:r>
      <w:r w:rsidRPr="00825D96">
        <w:rPr>
          <w:rFonts w:eastAsia="Times New Roman" w:cs="Arial"/>
          <w:color w:val="1F1F1F"/>
          <w:sz w:val="20"/>
          <w:szCs w:val="20"/>
        </w:rPr>
        <w:t>.</w:t>
      </w:r>
    </w:p>
    <w:p w14:paraId="64CEFE11"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Institution of Environmental Sciences (IES). (2022). </w:t>
      </w:r>
      <w:r w:rsidRPr="00825D96">
        <w:rPr>
          <w:rFonts w:eastAsia="Times New Roman" w:cs="Arial"/>
          <w:i/>
          <w:iCs/>
          <w:color w:val="1F1F1F"/>
          <w:sz w:val="20"/>
          <w:szCs w:val="20"/>
          <w:bdr w:val="none" w:sz="0" w:space="0" w:color="auto" w:frame="1"/>
        </w:rPr>
        <w:t>50 Years of Environmental Science: A Historical Perspective</w:t>
      </w:r>
      <w:r w:rsidRPr="00825D96">
        <w:rPr>
          <w:rFonts w:eastAsia="Times New Roman" w:cs="Arial"/>
          <w:color w:val="1F1F1F"/>
          <w:sz w:val="20"/>
          <w:szCs w:val="20"/>
        </w:rPr>
        <w:t>.</w:t>
      </w:r>
    </w:p>
    <w:p w14:paraId="73F5BAD9"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Institution of Environmental Sciences (IES). (2022). </w:t>
      </w:r>
      <w:r w:rsidRPr="00825D96">
        <w:rPr>
          <w:rFonts w:eastAsia="Times New Roman" w:cs="Arial"/>
          <w:i/>
          <w:iCs/>
          <w:color w:val="1F1F1F"/>
          <w:sz w:val="20"/>
          <w:szCs w:val="20"/>
          <w:bdr w:val="none" w:sz="0" w:space="0" w:color="auto" w:frame="1"/>
        </w:rPr>
        <w:t>Causes, Consequences and Solutions: The Rise of Environmental Science Since 1972</w:t>
      </w:r>
      <w:r w:rsidRPr="00825D96">
        <w:rPr>
          <w:rFonts w:eastAsia="Times New Roman" w:cs="Arial"/>
          <w:color w:val="1F1F1F"/>
          <w:sz w:val="20"/>
          <w:szCs w:val="20"/>
        </w:rPr>
        <w:t>.</w:t>
      </w:r>
    </w:p>
    <w:p w14:paraId="350E1BE8"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Kentucky. (2018). </w:t>
      </w:r>
      <w:r w:rsidRPr="00825D96">
        <w:rPr>
          <w:rFonts w:eastAsia="Times New Roman" w:cs="Arial"/>
          <w:i/>
          <w:iCs/>
          <w:color w:val="1F1F1F"/>
          <w:sz w:val="20"/>
          <w:szCs w:val="20"/>
          <w:bdr w:val="none" w:sz="0" w:space="0" w:color="auto" w:frame="1"/>
        </w:rPr>
        <w:t>Environmental Humanities Initiative and Interdisciplinary Research Centres</w:t>
      </w:r>
      <w:r w:rsidRPr="00825D96">
        <w:rPr>
          <w:rFonts w:eastAsia="Times New Roman" w:cs="Arial"/>
          <w:color w:val="1F1F1F"/>
          <w:sz w:val="20"/>
          <w:szCs w:val="20"/>
        </w:rPr>
        <w:t>.</w:t>
      </w:r>
    </w:p>
    <w:p w14:paraId="79515D88"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Cambridge Elements. (2024). </w:t>
      </w:r>
      <w:r w:rsidRPr="00825D96">
        <w:rPr>
          <w:rFonts w:eastAsia="Times New Roman" w:cs="Arial"/>
          <w:i/>
          <w:iCs/>
          <w:color w:val="1F1F1F"/>
          <w:sz w:val="20"/>
          <w:szCs w:val="20"/>
          <w:bdr w:val="none" w:sz="0" w:space="0" w:color="auto" w:frame="1"/>
        </w:rPr>
        <w:t>Environmental Humanities and Species History Awareness</w:t>
      </w:r>
      <w:r w:rsidRPr="00825D96">
        <w:rPr>
          <w:rFonts w:eastAsia="Times New Roman" w:cs="Arial"/>
          <w:color w:val="1F1F1F"/>
          <w:sz w:val="20"/>
          <w:szCs w:val="20"/>
        </w:rPr>
        <w:t>.</w:t>
      </w:r>
    </w:p>
    <w:p w14:paraId="417E2AD5"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Routledge. (2025). </w:t>
      </w:r>
      <w:r w:rsidRPr="00825D96">
        <w:rPr>
          <w:rFonts w:eastAsia="Times New Roman" w:cs="Arial"/>
          <w:i/>
          <w:iCs/>
          <w:color w:val="1F1F1F"/>
          <w:sz w:val="20"/>
          <w:szCs w:val="20"/>
          <w:bdr w:val="none" w:sz="0" w:space="0" w:color="auto" w:frame="1"/>
        </w:rPr>
        <w:t>Environmental Humanities Series: Interdisciplinary Lenses on Sustainability</w:t>
      </w:r>
      <w:r w:rsidRPr="00825D96">
        <w:rPr>
          <w:rFonts w:eastAsia="Times New Roman" w:cs="Arial"/>
          <w:color w:val="1F1F1F"/>
          <w:sz w:val="20"/>
          <w:szCs w:val="20"/>
        </w:rPr>
        <w:t>.</w:t>
      </w:r>
    </w:p>
    <w:p w14:paraId="203E13F5"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Quality Assurance Agency for Higher Education (QAA). (2022). </w:t>
      </w:r>
      <w:r w:rsidRPr="00825D96">
        <w:rPr>
          <w:rFonts w:eastAsia="Times New Roman" w:cs="Arial"/>
          <w:i/>
          <w:iCs/>
          <w:color w:val="1F1F1F"/>
          <w:sz w:val="20"/>
          <w:szCs w:val="20"/>
          <w:bdr w:val="none" w:sz="0" w:space="0" w:color="auto" w:frame="1"/>
        </w:rPr>
        <w:t>Curriculum Design and Review: Collaborative Enhancement Projects (University of Warwick/UWE)</w:t>
      </w:r>
      <w:r w:rsidRPr="00825D96">
        <w:rPr>
          <w:rFonts w:eastAsia="Times New Roman" w:cs="Arial"/>
          <w:color w:val="1F1F1F"/>
          <w:sz w:val="20"/>
          <w:szCs w:val="20"/>
        </w:rPr>
        <w:t>.</w:t>
      </w:r>
    </w:p>
    <w:p w14:paraId="08906B09"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White, R. M. (2025). </w:t>
      </w:r>
      <w:r w:rsidRPr="00825D96">
        <w:rPr>
          <w:rFonts w:eastAsia="Times New Roman" w:cs="Arial"/>
          <w:i/>
          <w:iCs/>
          <w:color w:val="1F1F1F"/>
          <w:sz w:val="20"/>
          <w:szCs w:val="20"/>
          <w:bdr w:val="none" w:sz="0" w:space="0" w:color="auto" w:frame="1"/>
        </w:rPr>
        <w:t>Conclusions: Creating Hope Through Education for Future Generations</w:t>
      </w:r>
      <w:r w:rsidRPr="00825D96">
        <w:rPr>
          <w:rFonts w:eastAsia="Times New Roman" w:cs="Arial"/>
          <w:color w:val="1F1F1F"/>
          <w:sz w:val="20"/>
          <w:szCs w:val="20"/>
        </w:rPr>
        <w:t>.</w:t>
      </w:r>
    </w:p>
    <w:p w14:paraId="2766E142"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REF 2021. (2021). </w:t>
      </w:r>
      <w:r w:rsidRPr="00825D96">
        <w:rPr>
          <w:rFonts w:eastAsia="Times New Roman" w:cs="Arial"/>
          <w:i/>
          <w:iCs/>
          <w:color w:val="1F1F1F"/>
          <w:sz w:val="20"/>
          <w:szCs w:val="20"/>
          <w:bdr w:val="none" w:sz="0" w:space="0" w:color="auto" w:frame="1"/>
        </w:rPr>
        <w:t>Environment Statement: Public History, Heritage, and Civic Mission</w:t>
      </w:r>
      <w:r w:rsidRPr="00825D96">
        <w:rPr>
          <w:rFonts w:eastAsia="Times New Roman" w:cs="Arial"/>
          <w:color w:val="1F1F1F"/>
          <w:sz w:val="20"/>
          <w:szCs w:val="20"/>
        </w:rPr>
        <w:t>.</w:t>
      </w:r>
    </w:p>
    <w:p w14:paraId="30DC622A"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University of the West of England (UWE). (2024). </w:t>
      </w:r>
      <w:r w:rsidRPr="00825D96">
        <w:rPr>
          <w:rFonts w:eastAsia="Times New Roman" w:cs="Arial"/>
          <w:i/>
          <w:iCs/>
          <w:color w:val="1F1F1F"/>
          <w:sz w:val="20"/>
          <w:szCs w:val="20"/>
          <w:bdr w:val="none" w:sz="0" w:space="0" w:color="auto" w:frame="1"/>
        </w:rPr>
        <w:t>History in ICT for Sustainability Teaching and Skills Mapping</w:t>
      </w:r>
      <w:r w:rsidRPr="00825D96">
        <w:rPr>
          <w:rFonts w:eastAsia="Times New Roman" w:cs="Arial"/>
          <w:color w:val="1F1F1F"/>
          <w:sz w:val="20"/>
          <w:szCs w:val="20"/>
        </w:rPr>
        <w:t>.</w:t>
      </w:r>
    </w:p>
    <w:p w14:paraId="11AEC026" w14:textId="77777777" w:rsidR="00905C61" w:rsidRPr="00825D96" w:rsidRDefault="00905C61" w:rsidP="00905C61">
      <w:pPr>
        <w:numPr>
          <w:ilvl w:val="0"/>
          <w:numId w:val="7"/>
        </w:numPr>
        <w:rPr>
          <w:rFonts w:eastAsia="Times New Roman" w:cs="Arial"/>
          <w:color w:val="1F1F1F"/>
          <w:sz w:val="20"/>
          <w:szCs w:val="20"/>
        </w:rPr>
      </w:pPr>
      <w:r w:rsidRPr="00825D96">
        <w:rPr>
          <w:rFonts w:eastAsia="Times New Roman" w:cs="Arial"/>
          <w:color w:val="1F1F1F"/>
          <w:sz w:val="20"/>
          <w:szCs w:val="20"/>
        </w:rPr>
        <w:t xml:space="preserve">Royal Historical Society and University of the West of England. (2024). </w:t>
      </w:r>
      <w:r w:rsidRPr="00825D96">
        <w:rPr>
          <w:rFonts w:eastAsia="Times New Roman" w:cs="Arial"/>
          <w:i/>
          <w:iCs/>
          <w:color w:val="1F1F1F"/>
          <w:sz w:val="20"/>
          <w:szCs w:val="20"/>
          <w:bdr w:val="none" w:sz="0" w:space="0" w:color="auto" w:frame="1"/>
        </w:rPr>
        <w:t>Learning Together: History and Sustainability in ICT Students</w:t>
      </w:r>
      <w:r w:rsidRPr="00825D96">
        <w:rPr>
          <w:rFonts w:eastAsia="Times New Roman" w:cs="Arial"/>
          <w:color w:val="1F1F1F"/>
          <w:sz w:val="20"/>
          <w:szCs w:val="20"/>
        </w:rPr>
        <w:t>.</w:t>
      </w:r>
    </w:p>
    <w:p w14:paraId="780E31F1" w14:textId="77777777" w:rsidR="00905C61" w:rsidRPr="00AB6BEA" w:rsidRDefault="00905C61" w:rsidP="00905C61">
      <w:pPr>
        <w:rPr>
          <w:sz w:val="24"/>
          <w:szCs w:val="24"/>
        </w:rPr>
      </w:pPr>
    </w:p>
    <w:p w14:paraId="0A85D801" w14:textId="77777777" w:rsidR="00905C61" w:rsidRDefault="00905C61">
      <w:pPr>
        <w:rPr>
          <w:rFonts w:asciiTheme="minorHAnsi" w:hAnsiTheme="minorHAnsi"/>
          <w:sz w:val="24"/>
          <w:szCs w:val="24"/>
        </w:rPr>
      </w:pPr>
    </w:p>
    <w:p w14:paraId="5D10A119" w14:textId="77777777" w:rsidR="00905C61" w:rsidRDefault="00905C61">
      <w:pPr>
        <w:rPr>
          <w:rFonts w:asciiTheme="minorHAnsi" w:hAnsiTheme="minorHAnsi"/>
          <w:sz w:val="24"/>
          <w:szCs w:val="24"/>
        </w:rPr>
      </w:pPr>
    </w:p>
    <w:p w14:paraId="61565203" w14:textId="77777777" w:rsidR="00905C61" w:rsidRDefault="00905C61">
      <w:pPr>
        <w:rPr>
          <w:rFonts w:asciiTheme="minorHAnsi" w:hAnsiTheme="minorHAnsi"/>
          <w:sz w:val="24"/>
          <w:szCs w:val="24"/>
        </w:rPr>
      </w:pPr>
    </w:p>
    <w:p w14:paraId="41E4A8DC" w14:textId="77777777" w:rsidR="00905C61" w:rsidRDefault="00905C61">
      <w:pPr>
        <w:rPr>
          <w:rFonts w:asciiTheme="minorHAnsi" w:hAnsiTheme="minorHAnsi"/>
          <w:sz w:val="24"/>
          <w:szCs w:val="24"/>
        </w:rPr>
      </w:pPr>
    </w:p>
    <w:p w14:paraId="2CBDFB81" w14:textId="77777777" w:rsidR="00905C61" w:rsidRDefault="00905C61">
      <w:pPr>
        <w:rPr>
          <w:rFonts w:asciiTheme="minorHAnsi" w:hAnsiTheme="minorHAnsi"/>
          <w:sz w:val="24"/>
          <w:szCs w:val="24"/>
        </w:rPr>
      </w:pPr>
    </w:p>
    <w:p w14:paraId="63316A90" w14:textId="77777777" w:rsidR="00905C61" w:rsidRDefault="00905C61">
      <w:pPr>
        <w:rPr>
          <w:rFonts w:asciiTheme="minorHAnsi" w:hAnsiTheme="minorHAnsi"/>
          <w:sz w:val="24"/>
          <w:szCs w:val="24"/>
        </w:rPr>
      </w:pPr>
    </w:p>
    <w:p w14:paraId="09DF2CD7" w14:textId="77777777" w:rsidR="00905C61" w:rsidRDefault="00905C61">
      <w:pPr>
        <w:rPr>
          <w:rFonts w:asciiTheme="minorHAnsi" w:hAnsiTheme="minorHAnsi"/>
          <w:sz w:val="24"/>
          <w:szCs w:val="24"/>
        </w:rPr>
      </w:pPr>
    </w:p>
    <w:p w14:paraId="2C6981F5" w14:textId="77777777" w:rsidR="00905C61" w:rsidRDefault="00905C61" w:rsidP="00905C61">
      <w:pPr>
        <w:pStyle w:val="Heading1"/>
      </w:pPr>
      <w:bookmarkStart w:id="55" w:name="_Toc229750480"/>
      <w:r>
        <w:lastRenderedPageBreak/>
        <w:t>Appendix 2: The Concourse – statements generated from the Google Gemini ‘Deep Research’ report, Notebook LM and Google Gemini’s Canvas tool.</w:t>
      </w:r>
      <w:bookmarkEnd w:id="55"/>
    </w:p>
    <w:p w14:paraId="66AB5B42" w14:textId="77777777" w:rsidR="00905C61" w:rsidRPr="0025409A" w:rsidRDefault="00905C61" w:rsidP="00905C61">
      <w:pPr>
        <w:pStyle w:val="Heading2"/>
      </w:pPr>
      <w:bookmarkStart w:id="56" w:name="_Toc229750481"/>
      <w:r w:rsidRPr="00C4377F">
        <w:t>Gemini concourse generated from Deep Research report</w:t>
      </w:r>
      <w:bookmarkEnd w:id="56"/>
    </w:p>
    <w:p w14:paraId="56D8E936" w14:textId="77777777" w:rsidR="00905C61" w:rsidRPr="0025409A" w:rsidRDefault="007F0CE8" w:rsidP="00905C61">
      <w:pPr>
        <w:spacing w:after="120" w:line="240" w:lineRule="auto"/>
        <w:rPr>
          <w:rFonts w:eastAsia="Times New Roman" w:cs="Arial"/>
          <w:color w:val="1B1C1D"/>
        </w:rPr>
      </w:pPr>
      <w:r>
        <w:rPr>
          <w:rFonts w:eastAsia="Times New Roman" w:cs="Arial"/>
          <w:noProof/>
          <w:color w:val="1B1C1D"/>
        </w:rPr>
      </w:r>
      <w:r w:rsidR="007F0CE8">
        <w:rPr>
          <w:rFonts w:eastAsia="Times New Roman" w:cs="Arial"/>
          <w:noProof/>
          <w:color w:val="1B1C1D"/>
        </w:rPr>
        <w:pict w14:anchorId="4533CBBA">
          <v:rect id="_x0000_i1040" alt="" style="width:468pt;height:.05pt;mso-width-percent:0;mso-height-percent:0;mso-width-percent:0;mso-height-percent:0" o:hralign="center" o:hrstd="t" o:hrnoshade="t" o:hr="t" fillcolor="gray" stroked="f"/>
        </w:pict>
      </w:r>
    </w:p>
    <w:p w14:paraId="5A77AE95" w14:textId="77777777" w:rsidR="00905C61" w:rsidRPr="0025409A" w:rsidRDefault="00905C61" w:rsidP="00905C61">
      <w:pPr>
        <w:spacing w:after="120" w:line="240" w:lineRule="auto"/>
        <w:outlineLvl w:val="1"/>
        <w:rPr>
          <w:rFonts w:eastAsia="Times New Roman" w:cs="Arial"/>
          <w:b/>
          <w:bCs/>
          <w:color w:val="1B1C1D"/>
        </w:rPr>
      </w:pPr>
      <w:bookmarkStart w:id="57" w:name="_Toc229750482"/>
      <w:r w:rsidRPr="0025409A">
        <w:rPr>
          <w:rFonts w:eastAsia="Times New Roman" w:cs="Arial"/>
          <w:b/>
          <w:bCs/>
          <w:color w:val="1B1C1D"/>
        </w:rPr>
        <w:t>Expanded Concourse of Statements</w:t>
      </w:r>
      <w:bookmarkEnd w:id="57"/>
    </w:p>
    <w:p w14:paraId="3C716E89"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Education for Sustainability is fundamentally an ideological agenda being imposed on the discipline, not a genuine educational one</w:t>
      </w:r>
      <w:r w:rsidRPr="0025409A">
        <w:rPr>
          <w:rFonts w:eastAsia="Times New Roman" w:cs="Arial"/>
          <w:color w:val="1B1C1D"/>
        </w:rPr>
        <w:t>.</w:t>
      </w:r>
    </w:p>
    <w:p w14:paraId="66AA408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primary professional duty is to teach the past on its own terms, not to use it to solve the problems of the present and future</w:t>
      </w:r>
      <w:r w:rsidRPr="0025409A">
        <w:rPr>
          <w:rFonts w:eastAsia="Times New Roman" w:cs="Arial"/>
          <w:color w:val="1B1C1D"/>
        </w:rPr>
        <w:t>.</w:t>
      </w:r>
    </w:p>
    <w:p w14:paraId="2C7A752D"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call for students to develop 'normative competency' is a direct assault on the core historical principle of scholarly objectivity</w:t>
      </w:r>
      <w:r w:rsidRPr="0025409A">
        <w:rPr>
          <w:rFonts w:eastAsia="Times New Roman" w:cs="Arial"/>
          <w:color w:val="1B1C1D"/>
        </w:rPr>
        <w:t>.</w:t>
      </w:r>
    </w:p>
    <w:p w14:paraId="70EE1C08"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Ultimately, ESD instrumentalises history, reducing its complexity to a simple repository of cautionary tales for today</w:t>
      </w:r>
      <w:r w:rsidRPr="0025409A">
        <w:rPr>
          <w:rFonts w:eastAsia="Times New Roman" w:cs="Arial"/>
          <w:color w:val="1B1C1D"/>
        </w:rPr>
        <w:t>.</w:t>
      </w:r>
    </w:p>
    <w:p w14:paraId="79B65331"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Teaching history through the lens of 21st-century sustainability goals is the very definition of anachronism—the historian's most heinous sin</w:t>
      </w:r>
      <w:r w:rsidRPr="0025409A">
        <w:rPr>
          <w:rFonts w:eastAsia="Times New Roman" w:cs="Arial"/>
          <w:color w:val="1B1C1D"/>
        </w:rPr>
        <w:t>.</w:t>
      </w:r>
    </w:p>
    <w:p w14:paraId="62A27B68"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language of ESD, with its focus on 'competencies', is just meaningless pedagogical jargon that is alien to the historian's craft</w:t>
      </w:r>
      <w:r w:rsidRPr="0025409A">
        <w:rPr>
          <w:rFonts w:eastAsia="Times New Roman" w:cs="Arial"/>
          <w:color w:val="1B1C1D"/>
        </w:rPr>
        <w:t>.</w:t>
      </w:r>
    </w:p>
    <w:p w14:paraId="0E652152"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Whether I personally agree with it or not, engaging with the ESD agenda is now a professional necessity for course validation and departmental survival</w:t>
      </w:r>
      <w:r w:rsidRPr="0025409A">
        <w:rPr>
          <w:rFonts w:eastAsia="Times New Roman" w:cs="Arial"/>
          <w:color w:val="1B1C1D"/>
        </w:rPr>
        <w:t>.</w:t>
      </w:r>
    </w:p>
    <w:p w14:paraId="58BC06C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Frankly, this is a box-ticking exercise; the most efficient way to deal with the mandate is to simply map our existing course content onto the required terminology</w:t>
      </w:r>
      <w:r w:rsidRPr="0025409A">
        <w:rPr>
          <w:rFonts w:eastAsia="Times New Roman" w:cs="Arial"/>
          <w:color w:val="1B1C1D"/>
        </w:rPr>
        <w:t>.</w:t>
      </w:r>
    </w:p>
    <w:p w14:paraId="405CDEC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Our department's financial sustainability partly depends on showing we are aligned with university-wide initiatives like ESD, which are important for recruitment</w:t>
      </w:r>
      <w:r w:rsidRPr="0025409A">
        <w:rPr>
          <w:rFonts w:eastAsia="Times New Roman" w:cs="Arial"/>
          <w:color w:val="1B1C1D"/>
        </w:rPr>
        <w:t>.</w:t>
      </w:r>
    </w:p>
    <w:p w14:paraId="45DB5401"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A superficial 'bolt-on' approach is worse than doing nothing; any engagement with sustainability must be intellectually rigorous and authentic to the discipline</w:t>
      </w:r>
      <w:r w:rsidRPr="0025409A">
        <w:rPr>
          <w:rFonts w:eastAsia="Times New Roman" w:cs="Arial"/>
          <w:color w:val="1B1C1D"/>
        </w:rPr>
        <w:t>.</w:t>
      </w:r>
    </w:p>
    <w:p w14:paraId="0A3290CB"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role is to historicise the concept of 'sustainability' itself, not to use my teaching as a platform for environmental advocacy</w:t>
      </w:r>
      <w:r w:rsidRPr="0025409A">
        <w:rPr>
          <w:rFonts w:eastAsia="Times New Roman" w:cs="Arial"/>
          <w:color w:val="1B1C1D"/>
        </w:rPr>
        <w:t>.</w:t>
      </w:r>
    </w:p>
    <w:p w14:paraId="50E97AD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core skills of a historian—rigorous source analysis and understanding complex causal factors—are already a masterclass in what ESD calls 'critical and systems thinking'</w:t>
      </w:r>
      <w:r w:rsidRPr="0025409A">
        <w:rPr>
          <w:rFonts w:eastAsia="Times New Roman" w:cs="Arial"/>
          <w:color w:val="1B1C1D"/>
        </w:rPr>
        <w:t>.</w:t>
      </w:r>
    </w:p>
    <w:p w14:paraId="281A3B5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It is perfectly possible to explore historical themes of environmental impact and resource use while maintaining critical distance and avoiding simplistic moral judgements</w:t>
      </w:r>
      <w:r w:rsidRPr="0025409A">
        <w:rPr>
          <w:rFonts w:eastAsia="Times New Roman" w:cs="Arial"/>
          <w:color w:val="1B1C1D"/>
        </w:rPr>
        <w:t>.</w:t>
      </w:r>
    </w:p>
    <w:p w14:paraId="116312AF"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institutional push for ESD is a welcome validation of the work that Environmental History as a sub-discipline has been engaged in for years</w:t>
      </w:r>
      <w:r w:rsidRPr="0025409A">
        <w:rPr>
          <w:rFonts w:eastAsia="Times New Roman" w:cs="Arial"/>
          <w:color w:val="1B1C1D"/>
        </w:rPr>
        <w:t>.</w:t>
      </w:r>
    </w:p>
    <w:p w14:paraId="20D07F25"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interdisciplinary nature of ESD feels productive and familiar, not threatening; it's an opportunity for new collaborations and resources</w:t>
      </w:r>
      <w:r w:rsidRPr="0025409A">
        <w:rPr>
          <w:rFonts w:eastAsia="Times New Roman" w:cs="Arial"/>
          <w:color w:val="1B1C1D"/>
        </w:rPr>
        <w:t>.</w:t>
      </w:r>
    </w:p>
    <w:p w14:paraId="79AA716D"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discipline of History has a clear moral and civic responsibility to contribute to solving the world's most pressing challenges, including the climate crisis</w:t>
      </w:r>
      <w:r w:rsidRPr="0025409A">
        <w:rPr>
          <w:rFonts w:eastAsia="Times New Roman" w:cs="Arial"/>
          <w:color w:val="1B1C1D"/>
        </w:rPr>
        <w:t>.</w:t>
      </w:r>
    </w:p>
    <w:p w14:paraId="1ACE4B4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 xml:space="preserve">The </w:t>
      </w:r>
      <w:proofErr w:type="gramStart"/>
      <w:r w:rsidRPr="0025409A">
        <w:rPr>
          <w:rFonts w:eastAsia="Times New Roman" w:cs="Arial"/>
          <w:color w:val="1B1C1D"/>
          <w:bdr w:val="none" w:sz="0" w:space="0" w:color="auto" w:frame="1"/>
        </w:rPr>
        <w:t>ultimate goal</w:t>
      </w:r>
      <w:proofErr w:type="gramEnd"/>
      <w:r w:rsidRPr="0025409A">
        <w:rPr>
          <w:rFonts w:eastAsia="Times New Roman" w:cs="Arial"/>
          <w:color w:val="1B1C1D"/>
          <w:bdr w:val="none" w:sz="0" w:space="0" w:color="auto" w:frame="1"/>
        </w:rPr>
        <w:t xml:space="preserve"> of historical study should be not just knowledge for its own sake, but justice and positive societal change</w:t>
      </w:r>
      <w:r w:rsidRPr="0025409A">
        <w:rPr>
          <w:rFonts w:eastAsia="Times New Roman" w:cs="Arial"/>
          <w:color w:val="1B1C1D"/>
        </w:rPr>
        <w:t>.</w:t>
      </w:r>
    </w:p>
    <w:p w14:paraId="772A8CD3"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We must empower our students to use their historical knowledge to become active, engaged citizens capable of building a better worl</w:t>
      </w:r>
      <w:r>
        <w:rPr>
          <w:rFonts w:eastAsia="Times New Roman" w:cs="Arial"/>
          <w:color w:val="1B1C1D"/>
          <w:bdr w:val="none" w:sz="0" w:space="0" w:color="auto" w:frame="1"/>
        </w:rPr>
        <w:t>d</w:t>
      </w:r>
      <w:r w:rsidRPr="0025409A">
        <w:rPr>
          <w:rFonts w:eastAsia="Times New Roman" w:cs="Arial"/>
          <w:color w:val="1B1C1D"/>
        </w:rPr>
        <w:t>.</w:t>
      </w:r>
    </w:p>
    <w:p w14:paraId="36697709"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lastRenderedPageBreak/>
        <w:t>To remain relevant in the 21st century, our discipline must demonstrate its direct applicability to contemporary issues and real-world problems</w:t>
      </w:r>
      <w:r w:rsidRPr="0025409A">
        <w:rPr>
          <w:rFonts w:eastAsia="Times New Roman" w:cs="Arial"/>
          <w:color w:val="1B1C1D"/>
        </w:rPr>
        <w:t>.</w:t>
      </w:r>
    </w:p>
    <w:p w14:paraId="07085BD4"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A purely historicist approach is a dereliction of duty; we should embrace a 'good presentism' that explicitly connects the past to today's struggles for justice</w:t>
      </w:r>
      <w:r w:rsidRPr="0025409A">
        <w:rPr>
          <w:rFonts w:eastAsia="Times New Roman" w:cs="Arial"/>
          <w:color w:val="1B1C1D"/>
        </w:rPr>
        <w:t>.</w:t>
      </w:r>
    </w:p>
    <w:p w14:paraId="66B7996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QAA is promoting a structural conflict by championing an activist ESD agenda while its own History Benchmark Statement prizes detached objectivity</w:t>
      </w:r>
      <w:r w:rsidRPr="0025409A">
        <w:rPr>
          <w:rFonts w:eastAsia="Times New Roman" w:cs="Arial"/>
          <w:color w:val="1B1C1D"/>
        </w:rPr>
        <w:t>.</w:t>
      </w:r>
    </w:p>
    <w:p w14:paraId="2C84BF8A"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biggest danger here isn't outright opposition, but rather superficial compliance that creates a 'Potemkin curriculum'—sustainable on paper but intellectually hollow</w:t>
      </w:r>
      <w:r w:rsidRPr="0025409A">
        <w:rPr>
          <w:rFonts w:eastAsia="Times New Roman" w:cs="Arial"/>
          <w:color w:val="1B1C1D"/>
        </w:rPr>
        <w:t>.</w:t>
      </w:r>
    </w:p>
    <w:p w14:paraId="7BB4D0AB"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 xml:space="preserve">This whole debate forces us to confront a fundamental question: is the purpose of a history education to understand the </w:t>
      </w:r>
      <w:proofErr w:type="gramStart"/>
      <w:r w:rsidRPr="0025409A">
        <w:rPr>
          <w:rFonts w:eastAsia="Times New Roman" w:cs="Arial"/>
          <w:color w:val="1B1C1D"/>
          <w:bdr w:val="none" w:sz="0" w:space="0" w:color="auto" w:frame="1"/>
        </w:rPr>
        <w:t>past, or</w:t>
      </w:r>
      <w:proofErr w:type="gramEnd"/>
      <w:r w:rsidRPr="0025409A">
        <w:rPr>
          <w:rFonts w:eastAsia="Times New Roman" w:cs="Arial"/>
          <w:color w:val="1B1C1D"/>
          <w:bdr w:val="none" w:sz="0" w:space="0" w:color="auto" w:frame="1"/>
        </w:rPr>
        <w:t xml:space="preserve"> is it to use that understanding to shape the </w:t>
      </w:r>
      <w:proofErr w:type="gramStart"/>
      <w:r w:rsidRPr="0025409A">
        <w:rPr>
          <w:rFonts w:eastAsia="Times New Roman" w:cs="Arial"/>
          <w:color w:val="1B1C1D"/>
          <w:bdr w:val="none" w:sz="0" w:space="0" w:color="auto" w:frame="1"/>
        </w:rPr>
        <w:t>future?</w:t>
      </w:r>
      <w:r w:rsidRPr="0025409A">
        <w:rPr>
          <w:rFonts w:eastAsia="Times New Roman" w:cs="Arial"/>
          <w:color w:val="1B1C1D"/>
        </w:rPr>
        <w:t>.</w:t>
      </w:r>
      <w:proofErr w:type="gramEnd"/>
    </w:p>
    <w:p w14:paraId="62B63185"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specialist work in Environmental History is perfectly positioned to act as a bridge between the broader discipline and the university's sustainability agenda</w:t>
      </w:r>
      <w:r w:rsidRPr="0025409A">
        <w:rPr>
          <w:rFonts w:eastAsia="Times New Roman" w:cs="Arial"/>
          <w:color w:val="1B1C1D"/>
        </w:rPr>
        <w:t>.</w:t>
      </w:r>
    </w:p>
    <w:p w14:paraId="0296AFD5"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Forcing a generic competency framework onto our curriculum threatens the unique, deeply rooted methodologies of historical practice</w:t>
      </w:r>
      <w:r w:rsidRPr="0025409A">
        <w:rPr>
          <w:rFonts w:eastAsia="Times New Roman" w:cs="Arial"/>
          <w:color w:val="1B1C1D"/>
        </w:rPr>
        <w:t>.</w:t>
      </w:r>
    </w:p>
    <w:p w14:paraId="69E44329"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agenda is not a peripheral movement; it is a strategic priority being driven from the very top by bodies like the QAA and Advance HE</w:t>
      </w:r>
      <w:r w:rsidRPr="0025409A">
        <w:rPr>
          <w:rFonts w:eastAsia="Times New Roman" w:cs="Arial"/>
          <w:color w:val="1B1C1D"/>
        </w:rPr>
        <w:t>.</w:t>
      </w:r>
    </w:p>
    <w:p w14:paraId="74F1725B"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Significant student demand for sustainability in courses means we cannot simply ignore this issue</w:t>
      </w:r>
      <w:r w:rsidRPr="0025409A">
        <w:rPr>
          <w:rFonts w:eastAsia="Times New Roman" w:cs="Arial"/>
          <w:color w:val="1B1C1D"/>
        </w:rPr>
        <w:t>.</w:t>
      </w:r>
    </w:p>
    <w:p w14:paraId="6DBD0491"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commitment to respecting the "otherness" of the past is fundamentally at odds with ESD's forward-looking, problem-solving orientation</w:t>
      </w:r>
      <w:r w:rsidRPr="0025409A">
        <w:rPr>
          <w:rFonts w:eastAsia="Times New Roman" w:cs="Arial"/>
          <w:color w:val="1B1C1D"/>
        </w:rPr>
        <w:t>.</w:t>
      </w:r>
    </w:p>
    <w:p w14:paraId="07652418"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mandate contravenes the professional ideal of studying the past for its own sake, not to "advance other agendas"</w:t>
      </w:r>
      <w:r w:rsidRPr="0025409A">
        <w:rPr>
          <w:rFonts w:eastAsia="Times New Roman" w:cs="Arial"/>
          <w:color w:val="1B1C1D"/>
        </w:rPr>
        <w:t>.</w:t>
      </w:r>
    </w:p>
    <w:p w14:paraId="4E26521C"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Non-engagement with ESD is a professional risk, as it's a deviation from both national and institutional expectations</w:t>
      </w:r>
      <w:r w:rsidRPr="0025409A">
        <w:rPr>
          <w:rFonts w:eastAsia="Times New Roman" w:cs="Arial"/>
          <w:color w:val="1B1C1D"/>
        </w:rPr>
        <w:t>.</w:t>
      </w:r>
    </w:p>
    <w:p w14:paraId="2F28C82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This is less about changing what we teach and more about re-articulating learning outcomes to satisfy external quality assurance requirements</w:t>
      </w:r>
      <w:r w:rsidRPr="0025409A">
        <w:rPr>
          <w:rFonts w:eastAsia="Times New Roman" w:cs="Arial"/>
          <w:color w:val="1B1C1D"/>
        </w:rPr>
        <w:t>.</w:t>
      </w:r>
    </w:p>
    <w:p w14:paraId="4A933AB0"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path of least resistance is to engage in a simple mapping exercise with minimal change to actual course content or pedagogy</w:t>
      </w:r>
      <w:r w:rsidRPr="0025409A">
        <w:rPr>
          <w:rFonts w:eastAsia="Times New Roman" w:cs="Arial"/>
          <w:color w:val="1B1C1D"/>
        </w:rPr>
        <w:t>.</w:t>
      </w:r>
    </w:p>
    <w:p w14:paraId="0D3F467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Sustainability themes must arise organically from the historical evidence; they cannot be forced onto topics where they don't belong</w:t>
      </w:r>
      <w:r w:rsidRPr="0025409A">
        <w:rPr>
          <w:rFonts w:eastAsia="Times New Roman" w:cs="Arial"/>
          <w:color w:val="1B1C1D"/>
        </w:rPr>
        <w:t>.</w:t>
      </w:r>
    </w:p>
    <w:p w14:paraId="4F7ECC25"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framework gives me valuable institutional legitimacy and a common language to describe the work I am already doing as an environmental historian</w:t>
      </w:r>
      <w:r w:rsidRPr="0025409A">
        <w:rPr>
          <w:rFonts w:eastAsia="Times New Roman" w:cs="Arial"/>
          <w:color w:val="1B1C1D"/>
        </w:rPr>
        <w:t>.</w:t>
      </w:r>
    </w:p>
    <w:p w14:paraId="4E6A98E2"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ESD's activist, future-oriented ethos creates an immediate and foundational tension with the retrospective nature of the historical profession</w:t>
      </w:r>
      <w:r w:rsidRPr="0025409A">
        <w:rPr>
          <w:rFonts w:eastAsia="Times New Roman" w:cs="Arial"/>
          <w:color w:val="1B1C1D"/>
        </w:rPr>
        <w:t>.</w:t>
      </w:r>
    </w:p>
    <w:p w14:paraId="6A77F01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A deep historical understanding of the roots of the climate crisis is indispensable for informing effective future action</w:t>
      </w:r>
      <w:r w:rsidRPr="0025409A">
        <w:rPr>
          <w:rFonts w:eastAsia="Times New Roman" w:cs="Arial"/>
          <w:color w:val="1B1C1D"/>
        </w:rPr>
        <w:t>.</w:t>
      </w:r>
    </w:p>
    <w:p w14:paraId="164281F8"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For my teaching to be effective, I must empower learners to "create and pursue visions of a better world"</w:t>
      </w:r>
      <w:r w:rsidRPr="0025409A">
        <w:rPr>
          <w:rFonts w:eastAsia="Times New Roman" w:cs="Arial"/>
          <w:color w:val="1B1C1D"/>
        </w:rPr>
        <w:t>.</w:t>
      </w:r>
    </w:p>
    <w:p w14:paraId="1080B1E2"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primary pedagogical aim is to foster an appreciation for the complexity and diversity of situations in the past, not to judge them by modern standards</w:t>
      </w:r>
      <w:r w:rsidRPr="0025409A">
        <w:rPr>
          <w:rFonts w:eastAsia="Times New Roman" w:cs="Arial"/>
          <w:color w:val="1B1C1D"/>
        </w:rPr>
        <w:t>.</w:t>
      </w:r>
    </w:p>
    <w:p w14:paraId="3434D3B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ESD is about much more than just environmentalism; it correctly links environmental issues with social and economic wellbeing</w:t>
      </w:r>
      <w:r w:rsidRPr="0025409A">
        <w:rPr>
          <w:rFonts w:eastAsia="Times New Roman" w:cs="Arial"/>
          <w:color w:val="1B1C1D"/>
        </w:rPr>
        <w:t>.</w:t>
      </w:r>
    </w:p>
    <w:p w14:paraId="69AAD830"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My professional ethics bind me to a rigorous, evidence-based inquiry, which is threatened by ESD’s normative, action-oriented goals</w:t>
      </w:r>
      <w:r w:rsidRPr="0025409A">
        <w:rPr>
          <w:rFonts w:eastAsia="Times New Roman" w:cs="Arial"/>
          <w:color w:val="1B1C1D"/>
        </w:rPr>
        <w:t>.</w:t>
      </w:r>
    </w:p>
    <w:p w14:paraId="5A3498EE"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There is a "good" presentism that rightly uses the concerns of the present to motivate historical inquiry and seek justice</w:t>
      </w:r>
      <w:r w:rsidRPr="0025409A">
        <w:rPr>
          <w:rFonts w:eastAsia="Times New Roman" w:cs="Arial"/>
          <w:color w:val="1B1C1D"/>
        </w:rPr>
        <w:t>.</w:t>
      </w:r>
    </w:p>
    <w:p w14:paraId="2EDBC717"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mandate provides a welcome opportunity for inter-faculty collaboration with departments like Geography or Environmental Science</w:t>
      </w:r>
      <w:r w:rsidRPr="0025409A">
        <w:rPr>
          <w:rFonts w:eastAsia="Times New Roman" w:cs="Arial"/>
          <w:color w:val="1B1C1D"/>
        </w:rPr>
        <w:t>.</w:t>
      </w:r>
    </w:p>
    <w:p w14:paraId="4071950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lastRenderedPageBreak/>
        <w:t>My role as a historian extends beyond the academy; it involves serving and engaging with the wider community on pressing issues</w:t>
      </w:r>
      <w:r w:rsidRPr="0025409A">
        <w:rPr>
          <w:rFonts w:eastAsia="Times New Roman" w:cs="Arial"/>
          <w:color w:val="1B1C1D"/>
        </w:rPr>
        <w:t>.</w:t>
      </w:r>
    </w:p>
    <w:p w14:paraId="606ECE9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agenda is part of a wider "educational change agenda" that I am enthusiastic to support</w:t>
      </w:r>
      <w:r w:rsidRPr="0025409A">
        <w:rPr>
          <w:rFonts w:eastAsia="Times New Roman" w:cs="Arial"/>
          <w:color w:val="1B1C1D"/>
        </w:rPr>
        <w:t>.</w:t>
      </w:r>
    </w:p>
    <w:p w14:paraId="15F82E4E"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To avoid tokenism, institutional leaders must speak our disciplinary dialect and respect our legitimate concerns about presentism</w:t>
      </w:r>
      <w:r w:rsidRPr="0025409A">
        <w:rPr>
          <w:rFonts w:eastAsia="Times New Roman" w:cs="Arial"/>
          <w:color w:val="1B1C1D"/>
        </w:rPr>
        <w:t>.</w:t>
      </w:r>
    </w:p>
    <w:p w14:paraId="6D1529B2"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We should explicitly teach the historiographical debate around presentism itself, turning this professional tension into a sophisticated learning opportunity</w:t>
      </w:r>
      <w:r w:rsidRPr="0025409A">
        <w:rPr>
          <w:rFonts w:eastAsia="Times New Roman" w:cs="Arial"/>
          <w:color w:val="1B1C1D"/>
        </w:rPr>
        <w:t>.</w:t>
      </w:r>
    </w:p>
    <w:p w14:paraId="5FED76D1"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This is a classic top-down mandate, and my response is driven by an awareness of the managerial frameworks in which modern universities operate</w:t>
      </w:r>
      <w:r w:rsidRPr="0025409A">
        <w:rPr>
          <w:rFonts w:eastAsia="Times New Roman" w:cs="Arial"/>
          <w:color w:val="1B1C1D"/>
        </w:rPr>
        <w:t>.</w:t>
      </w:r>
    </w:p>
    <w:p w14:paraId="33F41202"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The ESD push for "integrated problem-solving" is just another name for what historians do when we build a coherent argument from diverse and contradictory evidence</w:t>
      </w:r>
      <w:r w:rsidRPr="0025409A">
        <w:rPr>
          <w:rFonts w:eastAsia="Times New Roman" w:cs="Arial"/>
          <w:color w:val="1B1C1D"/>
        </w:rPr>
        <w:t>.</w:t>
      </w:r>
    </w:p>
    <w:p w14:paraId="3563A7A6" w14:textId="77777777" w:rsidR="00905C61" w:rsidRPr="0025409A"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I see my role as a defender of the discipline's integrity against the corrosive influence of present-day political fads</w:t>
      </w:r>
      <w:r w:rsidRPr="0025409A">
        <w:rPr>
          <w:rFonts w:eastAsia="Times New Roman" w:cs="Arial"/>
          <w:color w:val="1B1C1D"/>
        </w:rPr>
        <w:t>.</w:t>
      </w:r>
    </w:p>
    <w:p w14:paraId="4B236BBD" w14:textId="77777777" w:rsidR="00905C61" w:rsidRPr="00C4377F" w:rsidRDefault="00905C61" w:rsidP="00905C61">
      <w:pPr>
        <w:numPr>
          <w:ilvl w:val="0"/>
          <w:numId w:val="8"/>
        </w:numPr>
        <w:spacing w:after="0" w:line="240" w:lineRule="auto"/>
        <w:rPr>
          <w:rFonts w:eastAsia="Times New Roman" w:cs="Arial"/>
          <w:color w:val="1B1C1D"/>
        </w:rPr>
      </w:pPr>
      <w:r w:rsidRPr="0025409A">
        <w:rPr>
          <w:rFonts w:eastAsia="Times New Roman" w:cs="Arial"/>
          <w:color w:val="1B1C1D"/>
          <w:bdr w:val="none" w:sz="0" w:space="0" w:color="auto" w:frame="1"/>
        </w:rPr>
        <w:t>How our department responds to the ESD mandate is a diagnostic issue for the future of the discipline and its purpose in the modern world</w:t>
      </w:r>
      <w:r w:rsidRPr="0025409A">
        <w:rPr>
          <w:rFonts w:eastAsia="Times New Roman" w:cs="Arial"/>
          <w:color w:val="1B1C1D"/>
        </w:rPr>
        <w:t>.</w:t>
      </w:r>
    </w:p>
    <w:p w14:paraId="28E902BC" w14:textId="77777777" w:rsidR="00905C61" w:rsidRPr="00C4377F" w:rsidRDefault="00905C61" w:rsidP="00905C61">
      <w:pPr>
        <w:spacing w:after="0" w:line="240" w:lineRule="auto"/>
        <w:rPr>
          <w:rFonts w:eastAsia="Times New Roman" w:cs="Arial"/>
          <w:color w:val="1B1C1D"/>
        </w:rPr>
      </w:pPr>
    </w:p>
    <w:p w14:paraId="0E1AAE4E" w14:textId="77777777" w:rsidR="00905C61" w:rsidRPr="00C4377F" w:rsidRDefault="00905C61" w:rsidP="00905C61">
      <w:pPr>
        <w:spacing w:after="0" w:line="240" w:lineRule="auto"/>
        <w:rPr>
          <w:rFonts w:eastAsia="Times New Roman" w:cs="Arial"/>
          <w:color w:val="1B1C1D"/>
        </w:rPr>
      </w:pPr>
    </w:p>
    <w:p w14:paraId="309DAF2B" w14:textId="77777777" w:rsidR="00905C61" w:rsidRPr="00C4377F" w:rsidRDefault="00905C61" w:rsidP="00905C61">
      <w:pPr>
        <w:pStyle w:val="Heading2"/>
      </w:pPr>
      <w:bookmarkStart w:id="58" w:name="_Toc229750483"/>
      <w:r w:rsidRPr="00C4377F">
        <w:t>Notebook LM concourse from lit</w:t>
      </w:r>
      <w:r>
        <w:t>erature</w:t>
      </w:r>
      <w:r w:rsidRPr="00C4377F">
        <w:t xml:space="preserve"> review sources</w:t>
      </w:r>
      <w:bookmarkEnd w:id="58"/>
    </w:p>
    <w:p w14:paraId="2C55CD61" w14:textId="77777777" w:rsidR="00905C61" w:rsidRPr="00C4377F" w:rsidRDefault="00905C61" w:rsidP="00905C61">
      <w:pPr>
        <w:spacing w:after="0" w:line="240" w:lineRule="auto"/>
        <w:rPr>
          <w:rFonts w:eastAsia="Times New Roman" w:cs="Arial"/>
          <w:color w:val="1B1C1D"/>
        </w:rPr>
      </w:pPr>
    </w:p>
    <w:p w14:paraId="72B4C406" w14:textId="77777777" w:rsidR="00905C61" w:rsidRPr="0025409A" w:rsidRDefault="00905C61" w:rsidP="00905C61">
      <w:pPr>
        <w:spacing w:before="100" w:beforeAutospacing="1" w:after="100" w:afterAutospacing="1" w:line="240" w:lineRule="auto"/>
        <w:rPr>
          <w:rFonts w:eastAsia="Times New Roman" w:cs="Times New Roman"/>
        </w:rPr>
      </w:pPr>
      <w:r w:rsidRPr="0025409A">
        <w:rPr>
          <w:rFonts w:eastAsia="Times New Roman" w:cs="Times New Roman"/>
        </w:rPr>
        <w:t>Below is a generated concourse organized by key themes, drawing directly from the information presented in the articles:</w:t>
      </w:r>
    </w:p>
    <w:p w14:paraId="1BD10674" w14:textId="77777777" w:rsidR="00905C61" w:rsidRPr="0025409A" w:rsidRDefault="007F0CE8" w:rsidP="00905C61">
      <w:pPr>
        <w:spacing w:after="0" w:line="240" w:lineRule="auto"/>
        <w:rPr>
          <w:rFonts w:eastAsia="Times New Roman" w:cs="Times New Roman"/>
        </w:rPr>
      </w:pPr>
      <w:r>
        <w:rPr>
          <w:rFonts w:eastAsia="Times New Roman" w:cs="Times New Roman"/>
          <w:noProof/>
        </w:rPr>
      </w:r>
      <w:r w:rsidR="007F0CE8">
        <w:rPr>
          <w:rFonts w:eastAsia="Times New Roman" w:cs="Times New Roman"/>
          <w:noProof/>
        </w:rPr>
        <w:pict w14:anchorId="0F7B0193">
          <v:rect id="_x0000_i1039" alt="" style="width:468pt;height:.05pt;mso-width-percent:0;mso-height-percent:0;mso-width-percent:0;mso-height-percent:0" o:hralign="center" o:hrstd="t" o:hr="t" fillcolor="#a0a0a0" stroked="f"/>
        </w:pict>
      </w:r>
    </w:p>
    <w:p w14:paraId="3CF155C0" w14:textId="77777777" w:rsidR="00905C61" w:rsidRPr="0025409A" w:rsidRDefault="00905C61" w:rsidP="00905C61">
      <w:pPr>
        <w:spacing w:before="100" w:beforeAutospacing="1" w:after="100" w:afterAutospacing="1" w:line="240" w:lineRule="auto"/>
        <w:outlineLvl w:val="1"/>
        <w:rPr>
          <w:rFonts w:eastAsia="Times New Roman" w:cs="Times New Roman"/>
          <w:b/>
          <w:bCs/>
        </w:rPr>
      </w:pPr>
      <w:bookmarkStart w:id="59" w:name="_Toc229750484"/>
      <w:r w:rsidRPr="0025409A">
        <w:rPr>
          <w:rFonts w:eastAsia="Times New Roman" w:cs="Times New Roman"/>
          <w:b/>
          <w:bCs/>
        </w:rPr>
        <w:t xml:space="preserve">Concourse of Statements for a Q-Methodology Study on History Lecturers and </w:t>
      </w:r>
      <w:proofErr w:type="spellStart"/>
      <w:r w:rsidRPr="0025409A">
        <w:rPr>
          <w:rFonts w:eastAsia="Times New Roman" w:cs="Times New Roman"/>
          <w:b/>
          <w:bCs/>
        </w:rPr>
        <w:t>EfS</w:t>
      </w:r>
      <w:bookmarkEnd w:id="59"/>
      <w:proofErr w:type="spellEnd"/>
    </w:p>
    <w:p w14:paraId="117376C7" w14:textId="77777777" w:rsidR="00905C61" w:rsidRPr="0025409A" w:rsidRDefault="00905C61" w:rsidP="00905C61">
      <w:pPr>
        <w:spacing w:before="100" w:beforeAutospacing="1" w:after="100" w:afterAutospacing="1" w:line="240" w:lineRule="auto"/>
        <w:outlineLvl w:val="2"/>
        <w:rPr>
          <w:rFonts w:eastAsia="Times New Roman" w:cs="Times New Roman"/>
          <w:b/>
          <w:bCs/>
        </w:rPr>
      </w:pPr>
      <w:bookmarkStart w:id="60" w:name="_Toc229750485"/>
      <w:r w:rsidRPr="0025409A">
        <w:rPr>
          <w:rFonts w:eastAsia="Times New Roman" w:cs="Times New Roman"/>
          <w:b/>
          <w:bCs/>
        </w:rPr>
        <w:t>I. The Nature and Relevance of Education for Sustainability (</w:t>
      </w:r>
      <w:proofErr w:type="spellStart"/>
      <w:r w:rsidRPr="0025409A">
        <w:rPr>
          <w:rFonts w:eastAsia="Times New Roman" w:cs="Times New Roman"/>
          <w:b/>
          <w:bCs/>
        </w:rPr>
        <w:t>EfS</w:t>
      </w:r>
      <w:proofErr w:type="spellEnd"/>
      <w:r w:rsidRPr="0025409A">
        <w:rPr>
          <w:rFonts w:eastAsia="Times New Roman" w:cs="Times New Roman"/>
          <w:b/>
          <w:bCs/>
        </w:rPr>
        <w:t>) in History</w:t>
      </w:r>
      <w:bookmarkEnd w:id="60"/>
    </w:p>
    <w:p w14:paraId="15A06379"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Sustainability in higher education should not be an optional extra; it should underpin everything the university does.</w:t>
      </w:r>
    </w:p>
    <w:p w14:paraId="4514CEC1"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The perceived irrelevance of Education for Sustainable Development (ESD) to certain subject areas, including some in History, is a major barrier to its inclusion in the curriculum.</w:t>
      </w:r>
    </w:p>
    <w:p w14:paraId="4A4CABFD"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The decision on whether to include sustainable development in the curriculum depends heavily on the lecturer’s personal beliefs rather than solely the disciplinary context.</w:t>
      </w:r>
    </w:p>
    <w:p w14:paraId="7A6ED5A2"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History departments should integrate environmental subjects into their programs because youth climate change movements suggest keen demographic engagement among potential undergraduate students for environment-centred courses.</w:t>
      </w:r>
    </w:p>
    <w:p w14:paraId="0906A80F"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Academics in History, Classics, and Archaeology (HCA) disciplines must safeguard their freedom to ask critical questions about sustainability that might be constrained in disciplines focused on technology transfer or business interests.</w:t>
      </w:r>
    </w:p>
    <w:p w14:paraId="5F69F2D5"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Discussions around sustainability require going beyond simplistic critiques of science and looking for more constructive modes of engagement with the natural sciences.</w:t>
      </w:r>
    </w:p>
    <w:p w14:paraId="7E95B5BC"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The disciplines of History and Archaeology provide essential background for students to understand why 'sustainability' is important and to recognize that it is not a novel issue.</w:t>
      </w:r>
    </w:p>
    <w:p w14:paraId="5069DDC3"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lastRenderedPageBreak/>
        <w:t>Historical connections need to be made to contemporary questions of survival, drawing fully upon ancient and medieval historical and archaeological findings.</w:t>
      </w:r>
    </w:p>
    <w:p w14:paraId="086D7469"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 xml:space="preserve">Attempting to fit the wide variety of academic life within a </w:t>
      </w:r>
      <w:proofErr w:type="gramStart"/>
      <w:r w:rsidRPr="0025409A">
        <w:rPr>
          <w:rFonts w:eastAsia="Times New Roman" w:cs="Times New Roman"/>
        </w:rPr>
        <w:t>single ESD definition leads</w:t>
      </w:r>
      <w:proofErr w:type="gramEnd"/>
      <w:r w:rsidRPr="0025409A">
        <w:rPr>
          <w:rFonts w:eastAsia="Times New Roman" w:cs="Times New Roman"/>
        </w:rPr>
        <w:t xml:space="preserve"> to simplistic thinking.</w:t>
      </w:r>
    </w:p>
    <w:p w14:paraId="6A178934" w14:textId="77777777" w:rsidR="00905C61" w:rsidRPr="0025409A" w:rsidRDefault="00905C61" w:rsidP="00905C61">
      <w:pPr>
        <w:numPr>
          <w:ilvl w:val="0"/>
          <w:numId w:val="9"/>
        </w:numPr>
        <w:spacing w:before="100" w:beforeAutospacing="1" w:after="100" w:afterAutospacing="1" w:line="240" w:lineRule="auto"/>
        <w:rPr>
          <w:rFonts w:eastAsia="Times New Roman" w:cs="Times New Roman"/>
        </w:rPr>
      </w:pPr>
      <w:r w:rsidRPr="0025409A">
        <w:rPr>
          <w:rFonts w:eastAsia="Times New Roman" w:cs="Times New Roman"/>
        </w:rPr>
        <w:t>The concept of sustainability is ambiguous or "fuzzy," which allows for productive critical discussion and differing interpretations by academics.</w:t>
      </w:r>
    </w:p>
    <w:p w14:paraId="23F77E69" w14:textId="77777777" w:rsidR="00905C61" w:rsidRPr="0025409A" w:rsidRDefault="00905C61" w:rsidP="00905C61">
      <w:pPr>
        <w:spacing w:before="100" w:beforeAutospacing="1" w:after="100" w:afterAutospacing="1" w:line="240" w:lineRule="auto"/>
        <w:outlineLvl w:val="2"/>
        <w:rPr>
          <w:rFonts w:eastAsia="Times New Roman" w:cs="Times New Roman"/>
          <w:b/>
          <w:bCs/>
        </w:rPr>
      </w:pPr>
      <w:bookmarkStart w:id="61" w:name="_Toc229750486"/>
      <w:r w:rsidRPr="0025409A">
        <w:rPr>
          <w:rFonts w:eastAsia="Times New Roman" w:cs="Times New Roman"/>
          <w:b/>
          <w:bCs/>
        </w:rPr>
        <w:t>II. Pedagogical Approaches and Curriculum Design</w:t>
      </w:r>
      <w:bookmarkEnd w:id="61"/>
    </w:p>
    <w:p w14:paraId="68B958E9"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ESD requires a radical rethink of pedagogy, moving away from traditional, 'one-way' lecturing formats.</w:t>
      </w:r>
    </w:p>
    <w:p w14:paraId="2994C986"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Pedagogical approaches for ESD must promote active, participatory, experiential learning, engaging the head, heart, and hands.</w:t>
      </w:r>
    </w:p>
    <w:p w14:paraId="4C03DC37"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Teaching sustainability requires employing methods that encourage critical thinking, as these skills are often already valued and emphasized as graduate attributes.</w:t>
      </w:r>
    </w:p>
    <w:p w14:paraId="4B240F35"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Seminars and tutorials are important spaces where student-centred methods like discussions and critical thinking can be explored for ESD, even within conventional course structures.</w:t>
      </w:r>
    </w:p>
    <w:p w14:paraId="41684D4E"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Exposing students to different definitions of Sustainable Development (SD) is a useful way to stimulate debate and critical reflection in the classroom.</w:t>
      </w:r>
    </w:p>
    <w:p w14:paraId="596A7623"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For History students, combining historical information with scientific equipment on field trips can help overcome disadvantages in interpreting scientific data.</w:t>
      </w:r>
    </w:p>
    <w:p w14:paraId="6442FD85"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The challenge in History teaching is to move beyond passive, results-fixated methods that leave students ill-prepared for university study.</w:t>
      </w:r>
    </w:p>
    <w:p w14:paraId="7904CB3A"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Utilizing oral history interviewing requires students to expend far more thought on research processes and the creation of evidence than traditional historical study typically requires.</w:t>
      </w:r>
    </w:p>
    <w:p w14:paraId="47F57033"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Integrating sustainability can be achieved covertly or informally (through "second-best solutions") in teaching, such as through choice of resources or topics within existing modules, rather than formal curriculum redesign.</w:t>
      </w:r>
    </w:p>
    <w:p w14:paraId="2DDE1F3B"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When sustainability content is not assessed explicitly, students tend to view it as unimportant and may ignore it.</w:t>
      </w:r>
    </w:p>
    <w:p w14:paraId="3D60F7F2"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Developing 'sustainability literacy' means furnishing students with essential skills, rather than making the implicit connections to sustainable development crudely explicit.</w:t>
      </w:r>
    </w:p>
    <w:p w14:paraId="4C14CCC4" w14:textId="77777777" w:rsidR="00905C61" w:rsidRPr="0025409A" w:rsidRDefault="00905C61" w:rsidP="00905C61">
      <w:pPr>
        <w:numPr>
          <w:ilvl w:val="0"/>
          <w:numId w:val="10"/>
        </w:numPr>
        <w:spacing w:before="100" w:beforeAutospacing="1" w:after="100" w:afterAutospacing="1" w:line="240" w:lineRule="auto"/>
        <w:rPr>
          <w:rFonts w:eastAsia="Times New Roman" w:cs="Times New Roman"/>
        </w:rPr>
      </w:pPr>
      <w:r w:rsidRPr="0025409A">
        <w:rPr>
          <w:rFonts w:eastAsia="Times New Roman" w:cs="Times New Roman"/>
        </w:rPr>
        <w:t>The use of case studies can effectively bring sustainability issues into history curriculum that would not traditionally involve environment or sustainability issues.</w:t>
      </w:r>
    </w:p>
    <w:p w14:paraId="55004A7A" w14:textId="77777777" w:rsidR="00905C61" w:rsidRPr="0025409A" w:rsidRDefault="00905C61" w:rsidP="00905C61">
      <w:pPr>
        <w:spacing w:before="100" w:beforeAutospacing="1" w:after="100" w:afterAutospacing="1" w:line="240" w:lineRule="auto"/>
        <w:outlineLvl w:val="2"/>
        <w:rPr>
          <w:rFonts w:eastAsia="Times New Roman" w:cs="Times New Roman"/>
          <w:b/>
          <w:bCs/>
        </w:rPr>
      </w:pPr>
      <w:bookmarkStart w:id="62" w:name="_Toc229750487"/>
      <w:r w:rsidRPr="0025409A">
        <w:rPr>
          <w:rFonts w:eastAsia="Times New Roman" w:cs="Times New Roman"/>
          <w:b/>
          <w:bCs/>
        </w:rPr>
        <w:t>III. Institutional and Structural Barriers</w:t>
      </w:r>
      <w:bookmarkEnd w:id="62"/>
    </w:p>
    <w:p w14:paraId="07360AE8"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Institutional and sectoral barriers, such as audit processes and structures, are serious obstacles to the successful development of ESD.</w:t>
      </w:r>
    </w:p>
    <w:p w14:paraId="3F4D1EED"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The lack of consistency across higher education on how to assimilate students into university makes the transition difficult and contributes to high drop-out rates.</w:t>
      </w:r>
    </w:p>
    <w:p w14:paraId="0CA8503A"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Academics who champion sustainability are generally not sufficiently supported or incentivized by academic institutions.</w:t>
      </w:r>
    </w:p>
    <w:p w14:paraId="301A8AA7"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Academics often find the language of ESD inaccessible, contributing to a lack of shared understanding required for effective embedding strategies.</w:t>
      </w:r>
    </w:p>
    <w:p w14:paraId="0545EA62"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When teaching enthusiasts migrate from institutions, their implicit ESD teaching provision is usually lost due to a lack of curriculum embedding.</w:t>
      </w:r>
    </w:p>
    <w:p w14:paraId="663D708A"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lastRenderedPageBreak/>
        <w:t>Stronger institutional support, such as embedding SD in the university's mission statement and policies, would positively impact a lecturer's ability to include it in teaching.</w:t>
      </w:r>
    </w:p>
    <w:p w14:paraId="5E134E26"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Faculty and administrators often have uncoordinated goals regarding sustainability, making successful initiatives difficult to implement.</w:t>
      </w:r>
    </w:p>
    <w:p w14:paraId="25A9F6DA"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The institutional focus on scientific and economic productivity (rankings and benchmarking) has pushed teaching goals aside, making academics reluctant to engage with transformative ESD.</w:t>
      </w:r>
    </w:p>
    <w:p w14:paraId="046FC405" w14:textId="77777777" w:rsidR="00905C61" w:rsidRPr="0025409A"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Designing new courses or reviewing existing curricula provides necessary time for academics to integrate sustainability without increasing already high workloads.</w:t>
      </w:r>
    </w:p>
    <w:p w14:paraId="4EBF977B" w14:textId="77777777" w:rsidR="00905C61" w:rsidRPr="00C4377F" w:rsidRDefault="00905C61" w:rsidP="00905C61">
      <w:pPr>
        <w:numPr>
          <w:ilvl w:val="0"/>
          <w:numId w:val="11"/>
        </w:numPr>
        <w:spacing w:before="100" w:beforeAutospacing="1" w:after="100" w:afterAutospacing="1" w:line="240" w:lineRule="auto"/>
        <w:rPr>
          <w:rFonts w:eastAsia="Times New Roman" w:cs="Times New Roman"/>
        </w:rPr>
      </w:pPr>
      <w:r w:rsidRPr="0025409A">
        <w:rPr>
          <w:rFonts w:eastAsia="Times New Roman" w:cs="Times New Roman"/>
        </w:rPr>
        <w:t>There is a need for greater consistency and agreement in history departments on how best to teach the subject in ways that motivate today’s undergraduates and postgraduates.</w:t>
      </w:r>
    </w:p>
    <w:p w14:paraId="27233535" w14:textId="77777777" w:rsidR="00905C61" w:rsidRPr="00C4377F" w:rsidRDefault="00905C61" w:rsidP="00905C61">
      <w:pPr>
        <w:spacing w:before="100" w:beforeAutospacing="1" w:after="100" w:afterAutospacing="1" w:line="240" w:lineRule="auto"/>
        <w:rPr>
          <w:rFonts w:eastAsia="Times New Roman" w:cs="Times New Roman"/>
        </w:rPr>
      </w:pPr>
    </w:p>
    <w:p w14:paraId="0CBCFED6" w14:textId="77777777" w:rsidR="00905C61" w:rsidRPr="00C4377F" w:rsidRDefault="00905C61" w:rsidP="00905C61">
      <w:pPr>
        <w:pStyle w:val="Heading2"/>
      </w:pPr>
      <w:bookmarkStart w:id="63" w:name="_Toc229750488"/>
      <w:r>
        <w:t xml:space="preserve">Statements from </w:t>
      </w:r>
      <w:r w:rsidRPr="00C4377F">
        <w:t xml:space="preserve">Gemini interactive </w:t>
      </w:r>
      <w:r>
        <w:t xml:space="preserve">(‘Canvas’) </w:t>
      </w:r>
      <w:r w:rsidRPr="00C4377F">
        <w:t>tool</w:t>
      </w:r>
      <w:r>
        <w:t xml:space="preserve"> generated as the first iteration of the online Q-sort</w:t>
      </w:r>
      <w:bookmarkEnd w:id="63"/>
    </w:p>
    <w:p w14:paraId="4988FD48"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should be integrated across all History modules</w:t>
      </w:r>
    </w:p>
    <w:p w14:paraId="27698D12" w14:textId="77777777" w:rsidR="00905C61" w:rsidRPr="00C4377F" w:rsidRDefault="00905C61" w:rsidP="00905C61">
      <w:pPr>
        <w:autoSpaceDE w:val="0"/>
        <w:autoSpaceDN w:val="0"/>
        <w:adjustRightInd w:val="0"/>
        <w:spacing w:after="0" w:line="240" w:lineRule="auto"/>
        <w:rPr>
          <w:rFonts w:cs="System Font"/>
          <w:lang w:val="en-US"/>
        </w:rPr>
      </w:pPr>
    </w:p>
    <w:p w14:paraId="1755C42F"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Environmental history is sufficient for addressing sustainability</w:t>
      </w:r>
    </w:p>
    <w:p w14:paraId="5053EDFB" w14:textId="77777777" w:rsidR="00905C61" w:rsidRPr="00C4377F" w:rsidRDefault="00905C61" w:rsidP="00905C61">
      <w:pPr>
        <w:autoSpaceDE w:val="0"/>
        <w:autoSpaceDN w:val="0"/>
        <w:adjustRightInd w:val="0"/>
        <w:spacing w:after="0" w:line="240" w:lineRule="auto"/>
        <w:rPr>
          <w:rFonts w:cs="System Font"/>
          <w:lang w:val="en-US"/>
        </w:rPr>
      </w:pPr>
    </w:p>
    <w:p w14:paraId="3EDD84C9"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 xml:space="preserve">Students expect sustainability content in their </w:t>
      </w:r>
      <w:proofErr w:type="gramStart"/>
      <w:r w:rsidRPr="00C4377F">
        <w:rPr>
          <w:rFonts w:cs="System Font"/>
          <w:lang w:val="en-US"/>
        </w:rPr>
        <w:t>History</w:t>
      </w:r>
      <w:proofErr w:type="gramEnd"/>
      <w:r w:rsidRPr="00C4377F">
        <w:rPr>
          <w:rFonts w:cs="System Font"/>
          <w:lang w:val="en-US"/>
        </w:rPr>
        <w:t xml:space="preserve"> degree</w:t>
      </w:r>
    </w:p>
    <w:p w14:paraId="533BDB40" w14:textId="77777777" w:rsidR="00905C61" w:rsidRPr="00C4377F" w:rsidRDefault="00905C61" w:rsidP="00905C61">
      <w:pPr>
        <w:autoSpaceDE w:val="0"/>
        <w:autoSpaceDN w:val="0"/>
        <w:adjustRightInd w:val="0"/>
        <w:spacing w:after="0" w:line="240" w:lineRule="auto"/>
        <w:rPr>
          <w:rFonts w:cs="System Font"/>
          <w:lang w:val="en-US"/>
        </w:rPr>
      </w:pPr>
    </w:p>
    <w:p w14:paraId="3A5703FC"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Teaching sustainability detracts from core historical content</w:t>
      </w:r>
    </w:p>
    <w:p w14:paraId="3740BD4E" w14:textId="77777777" w:rsidR="00905C61" w:rsidRPr="00C4377F" w:rsidRDefault="00905C61" w:rsidP="00905C61">
      <w:pPr>
        <w:autoSpaceDE w:val="0"/>
        <w:autoSpaceDN w:val="0"/>
        <w:adjustRightInd w:val="0"/>
        <w:spacing w:after="0" w:line="240" w:lineRule="auto"/>
        <w:rPr>
          <w:rFonts w:cs="System Font"/>
          <w:lang w:val="en-US"/>
        </w:rPr>
      </w:pPr>
    </w:p>
    <w:p w14:paraId="49AB1C3F"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 feel confident teaching sustainability-related topics</w:t>
      </w:r>
    </w:p>
    <w:p w14:paraId="44677E98" w14:textId="77777777" w:rsidR="00905C61" w:rsidRPr="00C4377F" w:rsidRDefault="00905C61" w:rsidP="00905C61">
      <w:pPr>
        <w:autoSpaceDE w:val="0"/>
        <w:autoSpaceDN w:val="0"/>
        <w:adjustRightInd w:val="0"/>
        <w:spacing w:after="0" w:line="240" w:lineRule="auto"/>
        <w:rPr>
          <w:rFonts w:cs="System Font"/>
          <w:lang w:val="en-US"/>
        </w:rPr>
      </w:pPr>
    </w:p>
    <w:p w14:paraId="517061AA"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is relevant to understanding historical processes</w:t>
      </w:r>
    </w:p>
    <w:p w14:paraId="5F5F856E" w14:textId="77777777" w:rsidR="00905C61" w:rsidRPr="00C4377F" w:rsidRDefault="00905C61" w:rsidP="00905C61">
      <w:pPr>
        <w:autoSpaceDE w:val="0"/>
        <w:autoSpaceDN w:val="0"/>
        <w:adjustRightInd w:val="0"/>
        <w:spacing w:after="0" w:line="240" w:lineRule="auto"/>
        <w:rPr>
          <w:rFonts w:cs="System Font"/>
          <w:lang w:val="en-US"/>
        </w:rPr>
      </w:pPr>
    </w:p>
    <w:p w14:paraId="6E8EC285"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There is institutional pressure to include sustainability</w:t>
      </w:r>
    </w:p>
    <w:p w14:paraId="75C9684A" w14:textId="77777777" w:rsidR="00905C61" w:rsidRPr="00C4377F" w:rsidRDefault="00905C61" w:rsidP="00905C61">
      <w:pPr>
        <w:autoSpaceDE w:val="0"/>
        <w:autoSpaceDN w:val="0"/>
        <w:adjustRightInd w:val="0"/>
        <w:spacing w:after="0" w:line="240" w:lineRule="auto"/>
        <w:rPr>
          <w:rFonts w:cs="System Font"/>
          <w:lang w:val="en-US"/>
        </w:rPr>
      </w:pPr>
    </w:p>
    <w:p w14:paraId="4AB2E860"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fits naturally within History pedagogy</w:t>
      </w:r>
    </w:p>
    <w:p w14:paraId="4C8990B4" w14:textId="77777777" w:rsidR="00905C61" w:rsidRPr="00C4377F" w:rsidRDefault="00905C61" w:rsidP="00905C61">
      <w:pPr>
        <w:autoSpaceDE w:val="0"/>
        <w:autoSpaceDN w:val="0"/>
        <w:adjustRightInd w:val="0"/>
        <w:spacing w:after="0" w:line="240" w:lineRule="auto"/>
        <w:rPr>
          <w:rFonts w:cs="System Font"/>
          <w:lang w:val="en-US"/>
        </w:rPr>
      </w:pPr>
    </w:p>
    <w:p w14:paraId="54811D76"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 need more training to teach sustainability effectively</w:t>
      </w:r>
    </w:p>
    <w:p w14:paraId="78540A0F" w14:textId="77777777" w:rsidR="00905C61" w:rsidRPr="00C4377F" w:rsidRDefault="00905C61" w:rsidP="00905C61">
      <w:pPr>
        <w:autoSpaceDE w:val="0"/>
        <w:autoSpaceDN w:val="0"/>
        <w:adjustRightInd w:val="0"/>
        <w:spacing w:after="0" w:line="240" w:lineRule="auto"/>
        <w:rPr>
          <w:rFonts w:cs="System Font"/>
          <w:lang w:val="en-US"/>
        </w:rPr>
      </w:pPr>
    </w:p>
    <w:p w14:paraId="4B12EB9E"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enhances students' critical thinking skills</w:t>
      </w:r>
    </w:p>
    <w:p w14:paraId="2FE5E424" w14:textId="77777777" w:rsidR="00905C61" w:rsidRPr="00C4377F" w:rsidRDefault="00905C61" w:rsidP="00905C61">
      <w:pPr>
        <w:autoSpaceDE w:val="0"/>
        <w:autoSpaceDN w:val="0"/>
        <w:adjustRightInd w:val="0"/>
        <w:spacing w:after="0" w:line="240" w:lineRule="auto"/>
        <w:rPr>
          <w:rFonts w:cs="System Font"/>
          <w:lang w:val="en-US"/>
        </w:rPr>
      </w:pPr>
    </w:p>
    <w:p w14:paraId="216E0775"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is a passing trend in higher education</w:t>
      </w:r>
    </w:p>
    <w:p w14:paraId="1520C6D5" w14:textId="77777777" w:rsidR="00905C61" w:rsidRPr="00C4377F" w:rsidRDefault="00905C61" w:rsidP="00905C61">
      <w:pPr>
        <w:autoSpaceDE w:val="0"/>
        <w:autoSpaceDN w:val="0"/>
        <w:adjustRightInd w:val="0"/>
        <w:spacing w:after="0" w:line="240" w:lineRule="auto"/>
        <w:rPr>
          <w:rFonts w:cs="System Font"/>
          <w:lang w:val="en-US"/>
        </w:rPr>
      </w:pPr>
    </w:p>
    <w:p w14:paraId="25789D1E"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Historical perspective is essential for sustainability education</w:t>
      </w:r>
    </w:p>
    <w:p w14:paraId="1F30432B" w14:textId="77777777" w:rsidR="00905C61" w:rsidRPr="00C4377F" w:rsidRDefault="00905C61" w:rsidP="00905C61">
      <w:pPr>
        <w:autoSpaceDE w:val="0"/>
        <w:autoSpaceDN w:val="0"/>
        <w:adjustRightInd w:val="0"/>
        <w:spacing w:after="0" w:line="240" w:lineRule="auto"/>
        <w:rPr>
          <w:rFonts w:cs="System Font"/>
          <w:lang w:val="en-US"/>
        </w:rPr>
      </w:pPr>
    </w:p>
    <w:p w14:paraId="198D961A"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topics engage students more than traditional content</w:t>
      </w:r>
    </w:p>
    <w:p w14:paraId="67C40FE0" w14:textId="77777777" w:rsidR="00905C61" w:rsidRPr="00C4377F" w:rsidRDefault="00905C61" w:rsidP="00905C61">
      <w:pPr>
        <w:autoSpaceDE w:val="0"/>
        <w:autoSpaceDN w:val="0"/>
        <w:adjustRightInd w:val="0"/>
        <w:spacing w:after="0" w:line="240" w:lineRule="auto"/>
        <w:rPr>
          <w:rFonts w:cs="System Font"/>
          <w:lang w:val="en-US"/>
        </w:rPr>
      </w:pPr>
    </w:p>
    <w:p w14:paraId="67A1F990"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Disciplinary boundaries limit sustainability integration</w:t>
      </w:r>
    </w:p>
    <w:p w14:paraId="4BEFE673" w14:textId="77777777" w:rsidR="00905C61" w:rsidRPr="00C4377F" w:rsidRDefault="00905C61" w:rsidP="00905C61">
      <w:pPr>
        <w:autoSpaceDE w:val="0"/>
        <w:autoSpaceDN w:val="0"/>
        <w:adjustRightInd w:val="0"/>
        <w:spacing w:after="0" w:line="240" w:lineRule="auto"/>
        <w:rPr>
          <w:rFonts w:cs="System Font"/>
          <w:lang w:val="en-US"/>
        </w:rPr>
      </w:pPr>
    </w:p>
    <w:p w14:paraId="4D689B26"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should be optional, not mandatory content</w:t>
      </w:r>
    </w:p>
    <w:p w14:paraId="4114E4AF" w14:textId="77777777" w:rsidR="00905C61" w:rsidRPr="00C4377F" w:rsidRDefault="00905C61" w:rsidP="00905C61">
      <w:pPr>
        <w:autoSpaceDE w:val="0"/>
        <w:autoSpaceDN w:val="0"/>
        <w:adjustRightInd w:val="0"/>
        <w:spacing w:after="0" w:line="240" w:lineRule="auto"/>
        <w:rPr>
          <w:rFonts w:cs="System Font"/>
          <w:lang w:val="en-US"/>
        </w:rPr>
      </w:pPr>
    </w:p>
    <w:p w14:paraId="5995EC48"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My research interests align with sustainability themes</w:t>
      </w:r>
    </w:p>
    <w:p w14:paraId="679676C5" w14:textId="77777777" w:rsidR="00905C61" w:rsidRPr="00C4377F" w:rsidRDefault="00905C61" w:rsidP="00905C61">
      <w:pPr>
        <w:autoSpaceDE w:val="0"/>
        <w:autoSpaceDN w:val="0"/>
        <w:adjustRightInd w:val="0"/>
        <w:spacing w:after="0" w:line="240" w:lineRule="auto"/>
        <w:rPr>
          <w:rFonts w:cs="System Font"/>
          <w:lang w:val="en-US"/>
        </w:rPr>
      </w:pPr>
    </w:p>
    <w:p w14:paraId="125763FF"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Colleagues are supportive of sustainability initiatives</w:t>
      </w:r>
    </w:p>
    <w:p w14:paraId="3DA3EDDA" w14:textId="77777777" w:rsidR="00905C61" w:rsidRPr="00C4377F" w:rsidRDefault="00905C61" w:rsidP="00905C61">
      <w:pPr>
        <w:autoSpaceDE w:val="0"/>
        <w:autoSpaceDN w:val="0"/>
        <w:adjustRightInd w:val="0"/>
        <w:spacing w:after="0" w:line="240" w:lineRule="auto"/>
        <w:rPr>
          <w:rFonts w:cs="System Font"/>
          <w:lang w:val="en-US"/>
        </w:rPr>
      </w:pPr>
    </w:p>
    <w:p w14:paraId="54E89138"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Assessment structures hinder sustainability teaching</w:t>
      </w:r>
    </w:p>
    <w:p w14:paraId="7918070E" w14:textId="77777777" w:rsidR="00905C61" w:rsidRPr="00C4377F" w:rsidRDefault="00905C61" w:rsidP="00905C61">
      <w:pPr>
        <w:autoSpaceDE w:val="0"/>
        <w:autoSpaceDN w:val="0"/>
        <w:adjustRightInd w:val="0"/>
        <w:spacing w:after="0" w:line="240" w:lineRule="auto"/>
        <w:rPr>
          <w:rFonts w:cs="System Font"/>
          <w:lang w:val="en-US"/>
        </w:rPr>
      </w:pPr>
    </w:p>
    <w:p w14:paraId="29D38BA3"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Sustainability education prepares students for future careers</w:t>
      </w:r>
    </w:p>
    <w:p w14:paraId="33A0C71B" w14:textId="77777777" w:rsidR="00905C61" w:rsidRPr="00C4377F" w:rsidRDefault="00905C61" w:rsidP="00905C61">
      <w:pPr>
        <w:autoSpaceDE w:val="0"/>
        <w:autoSpaceDN w:val="0"/>
        <w:adjustRightInd w:val="0"/>
        <w:spacing w:after="0" w:line="240" w:lineRule="auto"/>
        <w:rPr>
          <w:rFonts w:cs="System Font"/>
          <w:lang w:val="en-US"/>
        </w:rPr>
      </w:pPr>
    </w:p>
    <w:p w14:paraId="3A0316F3"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There are sufficient resources for teaching sustainability</w:t>
      </w:r>
    </w:p>
    <w:p w14:paraId="23942E56" w14:textId="77777777" w:rsidR="00905C61" w:rsidRPr="00C4377F" w:rsidRDefault="00905C61" w:rsidP="00905C61">
      <w:pPr>
        <w:autoSpaceDE w:val="0"/>
        <w:autoSpaceDN w:val="0"/>
        <w:adjustRightInd w:val="0"/>
        <w:spacing w:after="0" w:line="240" w:lineRule="auto"/>
        <w:rPr>
          <w:rFonts w:cs="System Font"/>
          <w:lang w:val="en-US"/>
        </w:rPr>
      </w:pPr>
    </w:p>
    <w:p w14:paraId="06C26CB7"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 historical discipline has a moral duty to address sustainability challenges</w:t>
      </w:r>
    </w:p>
    <w:p w14:paraId="6BD1694B" w14:textId="77777777" w:rsidR="00905C61" w:rsidRPr="00C4377F" w:rsidRDefault="00905C61" w:rsidP="00905C61">
      <w:pPr>
        <w:autoSpaceDE w:val="0"/>
        <w:autoSpaceDN w:val="0"/>
        <w:adjustRightInd w:val="0"/>
        <w:spacing w:after="0" w:line="240" w:lineRule="auto"/>
        <w:rPr>
          <w:rFonts w:cs="System Font"/>
          <w:lang w:val="en-US"/>
        </w:rPr>
      </w:pPr>
    </w:p>
    <w:p w14:paraId="5BC140A8"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Integrating sustainability is an opportunity to innovate History teaching methods</w:t>
      </w:r>
    </w:p>
    <w:p w14:paraId="1FDA41C7" w14:textId="77777777" w:rsidR="00905C61" w:rsidRPr="00C4377F" w:rsidRDefault="00905C61" w:rsidP="00905C61">
      <w:pPr>
        <w:autoSpaceDE w:val="0"/>
        <w:autoSpaceDN w:val="0"/>
        <w:adjustRightInd w:val="0"/>
        <w:spacing w:after="0" w:line="240" w:lineRule="auto"/>
        <w:rPr>
          <w:rFonts w:cs="System Font"/>
          <w:lang w:val="en-US"/>
        </w:rPr>
      </w:pPr>
    </w:p>
    <w:p w14:paraId="131A337B"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 worry about the political implications of teaching sustainability</w:t>
      </w:r>
    </w:p>
    <w:p w14:paraId="6F35B465" w14:textId="77777777" w:rsidR="00905C61" w:rsidRPr="00C4377F" w:rsidRDefault="00905C61" w:rsidP="00905C61">
      <w:pPr>
        <w:autoSpaceDE w:val="0"/>
        <w:autoSpaceDN w:val="0"/>
        <w:adjustRightInd w:val="0"/>
        <w:spacing w:after="0" w:line="240" w:lineRule="auto"/>
        <w:rPr>
          <w:rFonts w:cs="System Font"/>
          <w:lang w:val="en-US"/>
        </w:rPr>
      </w:pPr>
    </w:p>
    <w:p w14:paraId="7A56882A"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Current curriculum frameworks make it difficult to include sustainability</w:t>
      </w:r>
    </w:p>
    <w:p w14:paraId="64B2AEAA" w14:textId="77777777" w:rsidR="00905C61" w:rsidRPr="00C4377F" w:rsidRDefault="00905C61" w:rsidP="00905C61">
      <w:pPr>
        <w:autoSpaceDE w:val="0"/>
        <w:autoSpaceDN w:val="0"/>
        <w:adjustRightInd w:val="0"/>
        <w:spacing w:after="0" w:line="240" w:lineRule="auto"/>
        <w:rPr>
          <w:rFonts w:cs="System Font"/>
          <w:lang w:val="en-US"/>
        </w:rPr>
      </w:pPr>
    </w:p>
    <w:p w14:paraId="35E38FE4"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History provides unique insights into the long-term human-environment relationship</w:t>
      </w:r>
    </w:p>
    <w:p w14:paraId="7613F963" w14:textId="77777777" w:rsidR="00905C61" w:rsidRPr="00C4377F" w:rsidRDefault="00905C61" w:rsidP="00905C61">
      <w:pPr>
        <w:autoSpaceDE w:val="0"/>
        <w:autoSpaceDN w:val="0"/>
        <w:adjustRightInd w:val="0"/>
        <w:spacing w:after="0" w:line="240" w:lineRule="auto"/>
        <w:rPr>
          <w:rFonts w:cs="System Font"/>
          <w:lang w:val="en-US"/>
        </w:rPr>
      </w:pPr>
    </w:p>
    <w:p w14:paraId="775349D1"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Students' understanding of sustainability is too basic for academic treatment in History</w:t>
      </w:r>
    </w:p>
    <w:p w14:paraId="5143C4B2" w14:textId="77777777" w:rsidR="00905C61" w:rsidRPr="00C4377F" w:rsidRDefault="00905C61" w:rsidP="00905C61">
      <w:pPr>
        <w:autoSpaceDE w:val="0"/>
        <w:autoSpaceDN w:val="0"/>
        <w:adjustRightInd w:val="0"/>
        <w:spacing w:after="0" w:line="240" w:lineRule="auto"/>
        <w:rPr>
          <w:rFonts w:cs="System Font"/>
          <w:lang w:val="en-US"/>
        </w:rPr>
      </w:pPr>
    </w:p>
    <w:p w14:paraId="2FDDBE8D"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 am concerned that sustainability teaching may be seen as a form of activism</w:t>
      </w:r>
    </w:p>
    <w:p w14:paraId="68E3F18D" w14:textId="77777777" w:rsidR="00905C61" w:rsidRPr="00C4377F" w:rsidRDefault="00905C61" w:rsidP="00905C61">
      <w:pPr>
        <w:autoSpaceDE w:val="0"/>
        <w:autoSpaceDN w:val="0"/>
        <w:adjustRightInd w:val="0"/>
        <w:spacing w:after="0" w:line="240" w:lineRule="auto"/>
        <w:rPr>
          <w:rFonts w:cs="System Font"/>
          <w:lang w:val="en-US"/>
        </w:rPr>
      </w:pPr>
    </w:p>
    <w:p w14:paraId="0BB68F42"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Teaching sustainability attracts a more diverse range of students to History</w:t>
      </w:r>
    </w:p>
    <w:p w14:paraId="75A29311" w14:textId="77777777" w:rsidR="00905C61" w:rsidRPr="00C4377F" w:rsidRDefault="00905C61" w:rsidP="00905C61">
      <w:pPr>
        <w:autoSpaceDE w:val="0"/>
        <w:autoSpaceDN w:val="0"/>
        <w:adjustRightInd w:val="0"/>
        <w:spacing w:after="0" w:line="240" w:lineRule="auto"/>
        <w:rPr>
          <w:rFonts w:cs="System Font"/>
          <w:lang w:val="en-US"/>
        </w:rPr>
      </w:pPr>
    </w:p>
    <w:p w14:paraId="78F0E6F0"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There is not enough time in the syllabus to include sustainability content</w:t>
      </w:r>
    </w:p>
    <w:p w14:paraId="4CD87774" w14:textId="77777777" w:rsidR="00905C61" w:rsidRPr="00C4377F" w:rsidRDefault="00905C61" w:rsidP="00905C61">
      <w:pPr>
        <w:autoSpaceDE w:val="0"/>
        <w:autoSpaceDN w:val="0"/>
        <w:adjustRightInd w:val="0"/>
        <w:spacing w:after="0" w:line="240" w:lineRule="auto"/>
        <w:rPr>
          <w:rFonts w:cs="System Font"/>
          <w:lang w:val="en-US"/>
        </w:rPr>
      </w:pPr>
    </w:p>
    <w:p w14:paraId="276B7722"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 university should provide more central support for sustainability in teaching</w:t>
      </w:r>
    </w:p>
    <w:p w14:paraId="60C60C98" w14:textId="77777777" w:rsidR="00905C61" w:rsidRPr="00C4377F" w:rsidRDefault="00905C61" w:rsidP="00905C61">
      <w:pPr>
        <w:autoSpaceDE w:val="0"/>
        <w:autoSpaceDN w:val="0"/>
        <w:adjustRightInd w:val="0"/>
        <w:spacing w:after="0" w:line="240" w:lineRule="auto"/>
        <w:rPr>
          <w:rFonts w:cs="System Font"/>
          <w:lang w:val="en-US"/>
        </w:rPr>
      </w:pPr>
    </w:p>
    <w:p w14:paraId="28DE1ABB"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Historical research on environmental change can inform current sustainability policies</w:t>
      </w:r>
    </w:p>
    <w:p w14:paraId="6BB446E8" w14:textId="77777777" w:rsidR="00905C61" w:rsidRPr="00C4377F" w:rsidRDefault="00905C61" w:rsidP="00905C61">
      <w:pPr>
        <w:autoSpaceDE w:val="0"/>
        <w:autoSpaceDN w:val="0"/>
        <w:adjustRightInd w:val="0"/>
        <w:spacing w:after="0" w:line="240" w:lineRule="auto"/>
        <w:rPr>
          <w:rFonts w:cs="System Font"/>
          <w:lang w:val="en-US"/>
        </w:rPr>
      </w:pPr>
    </w:p>
    <w:p w14:paraId="7E111D5A"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The concept of sustainability is historically situated and has evolved over time</w:t>
      </w:r>
    </w:p>
    <w:p w14:paraId="719FF543" w14:textId="77777777" w:rsidR="00905C61" w:rsidRPr="00C4377F" w:rsidRDefault="00905C61" w:rsidP="00905C61">
      <w:pPr>
        <w:autoSpaceDE w:val="0"/>
        <w:autoSpaceDN w:val="0"/>
        <w:adjustRightInd w:val="0"/>
        <w:spacing w:after="0" w:line="240" w:lineRule="auto"/>
        <w:rPr>
          <w:rFonts w:cs="System Font"/>
          <w:lang w:val="en-US"/>
        </w:rPr>
      </w:pPr>
    </w:p>
    <w:p w14:paraId="2090F704"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Incorporating sustainability into History requires us to rethink what constitutes 'good' history</w:t>
      </w:r>
    </w:p>
    <w:p w14:paraId="746108AD" w14:textId="77777777" w:rsidR="00905C61" w:rsidRPr="00C4377F" w:rsidRDefault="00905C61" w:rsidP="00905C61">
      <w:pPr>
        <w:autoSpaceDE w:val="0"/>
        <w:autoSpaceDN w:val="0"/>
        <w:adjustRightInd w:val="0"/>
        <w:spacing w:after="0" w:line="240" w:lineRule="auto"/>
        <w:rPr>
          <w:rFonts w:cs="System Font"/>
          <w:lang w:val="en-US"/>
        </w:rPr>
      </w:pPr>
    </w:p>
    <w:p w14:paraId="4996C5D7" w14:textId="77777777" w:rsidR="00905C61" w:rsidRPr="00C4377F" w:rsidRDefault="00905C61" w:rsidP="00905C61">
      <w:pPr>
        <w:pStyle w:val="ListParagraph"/>
        <w:numPr>
          <w:ilvl w:val="0"/>
          <w:numId w:val="12"/>
        </w:numPr>
        <w:autoSpaceDE w:val="0"/>
        <w:autoSpaceDN w:val="0"/>
        <w:adjustRightInd w:val="0"/>
        <w:spacing w:after="0" w:line="240" w:lineRule="auto"/>
        <w:rPr>
          <w:rFonts w:cs="System Font"/>
          <w:lang w:val="en-US"/>
        </w:rPr>
      </w:pPr>
      <w:r w:rsidRPr="00C4377F">
        <w:rPr>
          <w:rFonts w:cs="System Font"/>
          <w:lang w:val="en-US"/>
        </w:rPr>
        <w:t>It is important to teach sustainability without promoting a specific political agenda</w:t>
      </w:r>
    </w:p>
    <w:p w14:paraId="38309FA6" w14:textId="77777777" w:rsidR="00905C61" w:rsidRPr="00C4377F" w:rsidRDefault="00905C61" w:rsidP="00905C61">
      <w:pPr>
        <w:rPr>
          <w:lang w:val="en-US"/>
        </w:rPr>
      </w:pPr>
    </w:p>
    <w:p w14:paraId="3C697547" w14:textId="77777777" w:rsidR="00905C61" w:rsidRPr="0025409A" w:rsidRDefault="00905C61" w:rsidP="00905C61">
      <w:pPr>
        <w:spacing w:after="0" w:line="240" w:lineRule="auto"/>
        <w:rPr>
          <w:rFonts w:eastAsia="Times New Roman" w:cs="Arial"/>
          <w:color w:val="1B1C1D"/>
        </w:rPr>
      </w:pPr>
    </w:p>
    <w:p w14:paraId="34C4F3B2" w14:textId="77777777" w:rsidR="00905C61" w:rsidRPr="00C4377F" w:rsidRDefault="00905C61" w:rsidP="00905C61"/>
    <w:p w14:paraId="7AC76AEC" w14:textId="77777777" w:rsidR="00905C61" w:rsidRDefault="00905C61">
      <w:pPr>
        <w:rPr>
          <w:rFonts w:asciiTheme="minorHAnsi" w:hAnsiTheme="minorHAnsi"/>
          <w:sz w:val="24"/>
          <w:szCs w:val="24"/>
        </w:rPr>
      </w:pPr>
    </w:p>
    <w:p w14:paraId="337D48BA" w14:textId="77777777" w:rsidR="00905C61" w:rsidRDefault="00905C61">
      <w:pPr>
        <w:rPr>
          <w:rFonts w:asciiTheme="minorHAnsi" w:hAnsiTheme="minorHAnsi"/>
          <w:sz w:val="24"/>
          <w:szCs w:val="24"/>
        </w:rPr>
      </w:pPr>
    </w:p>
    <w:p w14:paraId="283C66CF" w14:textId="77777777" w:rsidR="00905C61" w:rsidRDefault="00905C61">
      <w:pPr>
        <w:rPr>
          <w:rFonts w:asciiTheme="minorHAnsi" w:hAnsiTheme="minorHAnsi"/>
          <w:sz w:val="24"/>
          <w:szCs w:val="24"/>
        </w:rPr>
      </w:pPr>
    </w:p>
    <w:p w14:paraId="43DB60F0" w14:textId="77777777" w:rsidR="00905C61" w:rsidRDefault="00905C61">
      <w:pPr>
        <w:rPr>
          <w:rFonts w:asciiTheme="minorHAnsi" w:hAnsiTheme="minorHAnsi"/>
          <w:sz w:val="24"/>
          <w:szCs w:val="24"/>
        </w:rPr>
      </w:pPr>
    </w:p>
    <w:p w14:paraId="477651A2" w14:textId="77777777" w:rsidR="00905C61" w:rsidRDefault="00905C61" w:rsidP="00905C61">
      <w:pPr>
        <w:pStyle w:val="Heading1"/>
      </w:pPr>
      <w:bookmarkStart w:id="64" w:name="_Toc229750489"/>
      <w:r>
        <w:lastRenderedPageBreak/>
        <w:t>Appendix 3: The Q-set</w:t>
      </w:r>
      <w:bookmarkEnd w:id="64"/>
    </w:p>
    <w:p w14:paraId="21268B5F" w14:textId="77777777" w:rsidR="00905C61" w:rsidRPr="00AF4148" w:rsidRDefault="00905C61" w:rsidP="00905C61">
      <w:r>
        <w:t xml:space="preserve">The ‘Q-set’ (the statements to be ‘sorted’ by participants in the first stage of data collection) are listed below. </w:t>
      </w:r>
    </w:p>
    <w:p w14:paraId="5EBD74FB" w14:textId="77777777" w:rsidR="00905C61" w:rsidRPr="00997A19" w:rsidRDefault="00905C61" w:rsidP="00905C61">
      <w:pPr>
        <w:pStyle w:val="Heading2"/>
      </w:pPr>
      <w:bookmarkStart w:id="65" w:name="_Toc229750490"/>
      <w:r w:rsidRPr="00997A19">
        <w:t>Q-Set</w:t>
      </w:r>
      <w:bookmarkEnd w:id="65"/>
    </w:p>
    <w:p w14:paraId="253DA73D" w14:textId="77777777" w:rsidR="00905C61" w:rsidRPr="00C123D0" w:rsidRDefault="00905C61" w:rsidP="00905C61">
      <w:pPr>
        <w:pStyle w:val="ListParagraph"/>
        <w:numPr>
          <w:ilvl w:val="0"/>
          <w:numId w:val="13"/>
        </w:numPr>
        <w:spacing w:before="100" w:beforeAutospacing="1" w:after="100" w:afterAutospacing="1" w:line="240" w:lineRule="auto"/>
        <w:rPr>
          <w:rFonts w:eastAsia="Times New Roman" w:cs="Times New Roman"/>
          <w:color w:val="000000" w:themeColor="text1"/>
        </w:rPr>
      </w:pPr>
      <w:r w:rsidRPr="00997A19">
        <w:rPr>
          <w:rFonts w:eastAsia="Times New Roman" w:cs="Times New Roman"/>
          <w:color w:val="000000" w:themeColor="text1"/>
        </w:rPr>
        <w:t>The concept of sustainability is ambiguous or ‘fuzzy,’ which allows for productive critical discussion and differing interpretations by academics.</w:t>
      </w:r>
    </w:p>
    <w:p w14:paraId="494591C5" w14:textId="77777777" w:rsidR="00905C61" w:rsidRPr="00C123D0" w:rsidRDefault="00905C61" w:rsidP="00905C61">
      <w:pPr>
        <w:pStyle w:val="ListParagraph"/>
        <w:numPr>
          <w:ilvl w:val="0"/>
          <w:numId w:val="13"/>
        </w:numPr>
        <w:spacing w:before="100" w:beforeAutospacing="1" w:after="100" w:afterAutospacing="1" w:line="240" w:lineRule="auto"/>
        <w:rPr>
          <w:rFonts w:eastAsia="Times New Roman" w:cs="Times New Roman"/>
          <w:color w:val="000000" w:themeColor="text1"/>
        </w:rPr>
      </w:pPr>
      <w:r w:rsidRPr="00997A19">
        <w:rPr>
          <w:rFonts w:eastAsia="Times New Roman" w:cs="Times New Roman"/>
          <w:color w:val="000000" w:themeColor="text1"/>
        </w:rPr>
        <w:t>Integrating sustainability can be achieved covertly or informally in teaching, such as through adjustments to learning outcomes of teaching and learning approaches within existing modules, rather than formal curriculum redesign.</w:t>
      </w:r>
    </w:p>
    <w:p w14:paraId="0CF61EC4" w14:textId="77777777" w:rsidR="00905C61" w:rsidRPr="00C123D0" w:rsidRDefault="00905C61" w:rsidP="00905C61">
      <w:pPr>
        <w:pStyle w:val="ListParagraph"/>
        <w:numPr>
          <w:ilvl w:val="0"/>
          <w:numId w:val="13"/>
        </w:numPr>
        <w:spacing w:before="100" w:beforeAutospacing="1" w:after="100" w:afterAutospacing="1" w:line="240" w:lineRule="auto"/>
        <w:rPr>
          <w:rFonts w:eastAsia="Times New Roman" w:cs="Times New Roman"/>
          <w:color w:val="000000" w:themeColor="text1"/>
        </w:rPr>
      </w:pPr>
      <w:r w:rsidRPr="00997A19">
        <w:rPr>
          <w:rFonts w:eastAsia="Times New Roman" w:cs="Times New Roman"/>
          <w:color w:val="000000" w:themeColor="text1"/>
        </w:rPr>
        <w:t>Developing 'sustainability literacy' means furnishing students with essential skills, rather than making the implicit connections to sustainable development crudely explicit.</w:t>
      </w:r>
    </w:p>
    <w:p w14:paraId="590703C4" w14:textId="77777777" w:rsidR="00905C61" w:rsidRPr="00C123D0" w:rsidRDefault="00905C61" w:rsidP="00905C61">
      <w:pPr>
        <w:pStyle w:val="ListParagraph"/>
        <w:numPr>
          <w:ilvl w:val="0"/>
          <w:numId w:val="13"/>
        </w:numPr>
        <w:spacing w:before="100" w:beforeAutospacing="1" w:after="100" w:afterAutospacing="1" w:line="240" w:lineRule="auto"/>
        <w:rPr>
          <w:rFonts w:eastAsia="Times New Roman" w:cs="Times New Roman"/>
          <w:color w:val="000000" w:themeColor="text1"/>
        </w:rPr>
      </w:pPr>
      <w:r w:rsidRPr="00997A19">
        <w:rPr>
          <w:rFonts w:eastAsia="Times New Roman" w:cs="Times New Roman"/>
          <w:color w:val="000000" w:themeColor="text1"/>
        </w:rPr>
        <w:t xml:space="preserve">Academics often find the language of </w:t>
      </w:r>
      <w:proofErr w:type="spellStart"/>
      <w:r w:rsidRPr="00997A19">
        <w:rPr>
          <w:rFonts w:eastAsia="Times New Roman" w:cs="Times New Roman"/>
          <w:color w:val="000000" w:themeColor="text1"/>
        </w:rPr>
        <w:t>Sustainabilty</w:t>
      </w:r>
      <w:proofErr w:type="spellEnd"/>
      <w:r w:rsidRPr="00997A19">
        <w:rPr>
          <w:rFonts w:eastAsia="Times New Roman" w:cs="Times New Roman"/>
          <w:color w:val="000000" w:themeColor="text1"/>
        </w:rPr>
        <w:t>/Sustainable Development inconsistent, contributing to a lack of shared understanding required for effective embedding strategies.</w:t>
      </w:r>
    </w:p>
    <w:p w14:paraId="7D2869BD" w14:textId="77777777" w:rsidR="00905C61" w:rsidRPr="00C123D0" w:rsidRDefault="00905C61" w:rsidP="00905C61">
      <w:pPr>
        <w:pStyle w:val="ListParagraph"/>
        <w:numPr>
          <w:ilvl w:val="0"/>
          <w:numId w:val="13"/>
        </w:numPr>
        <w:spacing w:before="100" w:beforeAutospacing="1" w:after="100" w:afterAutospacing="1" w:line="240" w:lineRule="auto"/>
        <w:rPr>
          <w:rFonts w:eastAsia="Times New Roman" w:cs="Times New Roman"/>
          <w:color w:val="000000" w:themeColor="text1"/>
        </w:rPr>
      </w:pPr>
      <w:r w:rsidRPr="00997A19">
        <w:rPr>
          <w:rFonts w:eastAsia="Times New Roman" w:cs="Times New Roman"/>
          <w:color w:val="000000" w:themeColor="text1"/>
        </w:rPr>
        <w:t>There is a need for greater consistency and agreement in history departments on how best to teach the subject in ways that motivate today’s students.</w:t>
      </w:r>
    </w:p>
    <w:p w14:paraId="126D7B50"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should be integrated across all History modules</w:t>
      </w:r>
      <w:r>
        <w:rPr>
          <w:rFonts w:cs="System Font"/>
          <w:color w:val="000000" w:themeColor="text1"/>
          <w:lang w:val="en-US"/>
        </w:rPr>
        <w:t>.</w:t>
      </w:r>
    </w:p>
    <w:p w14:paraId="0D206516"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Environmental history is sufficient for addressing sustainability.</w:t>
      </w:r>
    </w:p>
    <w:p w14:paraId="2ED2B93C"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 xml:space="preserve">Students expect sustainability content in their </w:t>
      </w:r>
      <w:proofErr w:type="gramStart"/>
      <w:r w:rsidRPr="00997A19">
        <w:rPr>
          <w:rFonts w:cs="System Font"/>
          <w:color w:val="000000" w:themeColor="text1"/>
          <w:lang w:val="en-US"/>
        </w:rPr>
        <w:t>History</w:t>
      </w:r>
      <w:proofErr w:type="gramEnd"/>
      <w:r w:rsidRPr="00997A19">
        <w:rPr>
          <w:rFonts w:cs="System Font"/>
          <w:color w:val="000000" w:themeColor="text1"/>
          <w:lang w:val="en-US"/>
        </w:rPr>
        <w:t xml:space="preserve"> degree.</w:t>
      </w:r>
    </w:p>
    <w:p w14:paraId="65190E22"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Teaching sustainability detracts from core historical content</w:t>
      </w:r>
    </w:p>
    <w:p w14:paraId="0D40184E"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I feel confident teaching sustainability-related topics.</w:t>
      </w:r>
    </w:p>
    <w:p w14:paraId="6EF115AA"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fits naturally within current approaches to teaching History in higher education.</w:t>
      </w:r>
    </w:p>
    <w:p w14:paraId="31D916D7"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I need more training to teach sustainability effectively.</w:t>
      </w:r>
    </w:p>
    <w:p w14:paraId="704E0826"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themes and approaches to teaching enhance students' critical thinking skills.</w:t>
      </w:r>
    </w:p>
    <w:p w14:paraId="7C9B9608"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and sustainable development are passing trends in higher education.</w:t>
      </w:r>
    </w:p>
    <w:p w14:paraId="77D7B740"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should be optional, not mandatory content.</w:t>
      </w:r>
    </w:p>
    <w:p w14:paraId="299E0651"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My research interests align with sustainability themes.</w:t>
      </w:r>
    </w:p>
    <w:p w14:paraId="2E6512D7"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Sustainability education prepares students for future careers.</w:t>
      </w:r>
    </w:p>
    <w:p w14:paraId="76908B88"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There are sufficient resources for embedding ESD in course and assessment design.</w:t>
      </w:r>
    </w:p>
    <w:p w14:paraId="2245E0E9"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The historical discipline has a moral duty to address sustainability challenges.</w:t>
      </w:r>
    </w:p>
    <w:p w14:paraId="6DD211E6"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Integrating sustainability is an opportunity to innovate History teaching methods.</w:t>
      </w:r>
    </w:p>
    <w:p w14:paraId="2F059ACB"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I worry about the political implications of teaching sustainability.</w:t>
      </w:r>
    </w:p>
    <w:p w14:paraId="0510295A"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History provides unique insights into the long-term human-environment relationship.</w:t>
      </w:r>
    </w:p>
    <w:p w14:paraId="580F1FBC"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There is not enough room in the syllabus to include sustainability content.</w:t>
      </w:r>
    </w:p>
    <w:p w14:paraId="5741586C"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Historical research on environmental change can inform current sustainability policies.</w:t>
      </w:r>
    </w:p>
    <w:p w14:paraId="00E9FB02" w14:textId="77777777" w:rsidR="00905C61"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997A19">
        <w:rPr>
          <w:rFonts w:cs="System Font"/>
          <w:color w:val="000000" w:themeColor="text1"/>
          <w:lang w:val="en-US"/>
        </w:rPr>
        <w:t>It is important to teach sustainability without promoting a specific political agenda.</w:t>
      </w:r>
    </w:p>
    <w:p w14:paraId="2B4F320D" w14:textId="77777777" w:rsidR="00905C61" w:rsidRPr="00C123D0" w:rsidRDefault="00905C61" w:rsidP="00905C61">
      <w:pPr>
        <w:pStyle w:val="ListParagraph"/>
        <w:numPr>
          <w:ilvl w:val="0"/>
          <w:numId w:val="13"/>
        </w:numPr>
        <w:autoSpaceDE w:val="0"/>
        <w:autoSpaceDN w:val="0"/>
        <w:adjustRightInd w:val="0"/>
        <w:spacing w:after="0" w:line="240" w:lineRule="auto"/>
        <w:rPr>
          <w:rFonts w:cs="System Font"/>
          <w:color w:val="000000" w:themeColor="text1"/>
          <w:lang w:val="en-US"/>
        </w:rPr>
      </w:pPr>
      <w:r w:rsidRPr="00C123D0">
        <w:rPr>
          <w:rFonts w:eastAsia="Times New Roman" w:cs="Arial"/>
          <w:color w:val="000000" w:themeColor="text1"/>
          <w:bdr w:val="none" w:sz="0" w:space="0" w:color="auto" w:frame="1"/>
        </w:rPr>
        <w:t>ESD is fundamentally an ideological agenda being imposed on academic disciplines, not a genuine educational one</w:t>
      </w:r>
      <w:r w:rsidRPr="00C123D0">
        <w:rPr>
          <w:rFonts w:eastAsia="Times New Roman" w:cs="Arial"/>
          <w:color w:val="000000" w:themeColor="text1"/>
        </w:rPr>
        <w:t>.</w:t>
      </w:r>
    </w:p>
    <w:p w14:paraId="183FEAA7"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My primary professional duty is to teach the past on its own terms, not to use it to solve the problems of the present and future</w:t>
      </w:r>
      <w:r w:rsidRPr="00997A19">
        <w:rPr>
          <w:rFonts w:eastAsia="Times New Roman" w:cs="Arial"/>
          <w:color w:val="000000" w:themeColor="text1"/>
        </w:rPr>
        <w:t>.</w:t>
      </w:r>
    </w:p>
    <w:p w14:paraId="6719C40C" w14:textId="77777777" w:rsidR="00905C61" w:rsidRPr="00C123D0" w:rsidRDefault="00905C61" w:rsidP="00905C61">
      <w:pPr>
        <w:pStyle w:val="ListParagraph"/>
        <w:numPr>
          <w:ilvl w:val="0"/>
          <w:numId w:val="13"/>
        </w:numPr>
        <w:autoSpaceDE w:val="0"/>
        <w:autoSpaceDN w:val="0"/>
        <w:adjustRightInd w:val="0"/>
        <w:spacing w:after="0" w:line="240" w:lineRule="auto"/>
        <w:rPr>
          <w:rFonts w:eastAsia="Times New Roman" w:cs="Arial"/>
          <w:color w:val="000000" w:themeColor="text1"/>
          <w:bdr w:val="none" w:sz="0" w:space="0" w:color="auto" w:frame="1"/>
        </w:rPr>
      </w:pPr>
      <w:r w:rsidRPr="00997A19">
        <w:rPr>
          <w:rFonts w:eastAsia="Times New Roman" w:cs="Arial"/>
          <w:color w:val="000000" w:themeColor="text1"/>
          <w:bdr w:val="none" w:sz="0" w:space="0" w:color="auto" w:frame="1"/>
        </w:rPr>
        <w:t>Ultimately, ESD instrumentalises history, reducing its complexity to a simple repository of cautionary tales for today.</w:t>
      </w:r>
    </w:p>
    <w:p w14:paraId="6282EB78"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Whether I personally agree with it or not, engaging with the ESD agenda is now a professional necessity for course validation and departmental survival</w:t>
      </w:r>
      <w:r w:rsidRPr="00997A19">
        <w:rPr>
          <w:rFonts w:eastAsia="Times New Roman" w:cs="Arial"/>
          <w:color w:val="000000" w:themeColor="text1"/>
        </w:rPr>
        <w:t>.</w:t>
      </w:r>
    </w:p>
    <w:p w14:paraId="53903A6D"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lastRenderedPageBreak/>
        <w:t>A superficial 'bolt-on' approach is worse than doing nothing; any engagement with sustainability must be intellectually rigorous and authentic to the discipline</w:t>
      </w:r>
      <w:r w:rsidRPr="00997A19">
        <w:rPr>
          <w:rFonts w:eastAsia="Times New Roman" w:cs="Arial"/>
          <w:color w:val="000000" w:themeColor="text1"/>
        </w:rPr>
        <w:t>.</w:t>
      </w:r>
    </w:p>
    <w:p w14:paraId="5F1E4DA6"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core skills of a historian – rigorous source analysis and understanding complex causal factors – are already highly compatible with what ESD calls 'critical and systems thinking'</w:t>
      </w:r>
      <w:r w:rsidRPr="00997A19">
        <w:rPr>
          <w:rFonts w:eastAsia="Times New Roman" w:cs="Arial"/>
          <w:color w:val="000000" w:themeColor="text1"/>
        </w:rPr>
        <w:t>.</w:t>
      </w:r>
    </w:p>
    <w:p w14:paraId="2895C248"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discipline of History has a clear moral and civic responsibility to contribute to solving the world's most pressing challenges, including the climate crisis</w:t>
      </w:r>
      <w:r w:rsidRPr="00997A19">
        <w:rPr>
          <w:rFonts w:eastAsia="Times New Roman" w:cs="Arial"/>
          <w:color w:val="000000" w:themeColor="text1"/>
        </w:rPr>
        <w:t>.</w:t>
      </w:r>
    </w:p>
    <w:p w14:paraId="144B09FE"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 xml:space="preserve">The </w:t>
      </w:r>
      <w:proofErr w:type="gramStart"/>
      <w:r w:rsidRPr="00997A19">
        <w:rPr>
          <w:rFonts w:eastAsia="Times New Roman" w:cs="Arial"/>
          <w:color w:val="000000" w:themeColor="text1"/>
          <w:bdr w:val="none" w:sz="0" w:space="0" w:color="auto" w:frame="1"/>
        </w:rPr>
        <w:t>ultimate goal</w:t>
      </w:r>
      <w:proofErr w:type="gramEnd"/>
      <w:r w:rsidRPr="00997A19">
        <w:rPr>
          <w:rFonts w:eastAsia="Times New Roman" w:cs="Arial"/>
          <w:color w:val="000000" w:themeColor="text1"/>
          <w:bdr w:val="none" w:sz="0" w:space="0" w:color="auto" w:frame="1"/>
        </w:rPr>
        <w:t xml:space="preserve"> of historical study should be not just knowledge for its own sake, but justice and positive societal change</w:t>
      </w:r>
      <w:r w:rsidRPr="00997A19">
        <w:rPr>
          <w:rFonts w:eastAsia="Times New Roman" w:cs="Arial"/>
          <w:color w:val="000000" w:themeColor="text1"/>
        </w:rPr>
        <w:t>.</w:t>
      </w:r>
    </w:p>
    <w:p w14:paraId="1DCB13D7"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We must empower our students to use their historical knowledge to become active, engaged citizens capable of building a better world</w:t>
      </w:r>
      <w:r w:rsidRPr="00997A19">
        <w:rPr>
          <w:rFonts w:eastAsia="Times New Roman" w:cs="Arial"/>
          <w:color w:val="000000" w:themeColor="text1"/>
        </w:rPr>
        <w:t>.</w:t>
      </w:r>
    </w:p>
    <w:p w14:paraId="12C4EC49"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To remain relevant in the 21st century, our discipline must demonstrate its direct applicability to contemporary issues and real-world problems</w:t>
      </w:r>
      <w:r w:rsidRPr="00997A19">
        <w:rPr>
          <w:rFonts w:eastAsia="Times New Roman" w:cs="Arial"/>
          <w:color w:val="000000" w:themeColor="text1"/>
        </w:rPr>
        <w:t>.</w:t>
      </w:r>
    </w:p>
    <w:p w14:paraId="27A96372"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My specialist work in Environmental History is perfectly positioned to act as a bridge between the broader discipline and the university's sustainability agenda</w:t>
      </w:r>
      <w:r w:rsidRPr="00997A19">
        <w:rPr>
          <w:rFonts w:eastAsia="Times New Roman" w:cs="Arial"/>
          <w:color w:val="000000" w:themeColor="text1"/>
        </w:rPr>
        <w:t>.</w:t>
      </w:r>
    </w:p>
    <w:p w14:paraId="2858C55D"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Forcing a generic competency framework, such as the ESD key competencies, onto our curriculum threatens the unique, deeply rooted methodologies of historical practice</w:t>
      </w:r>
      <w:r w:rsidRPr="00997A19">
        <w:rPr>
          <w:rFonts w:eastAsia="Times New Roman" w:cs="Arial"/>
          <w:color w:val="000000" w:themeColor="text1"/>
        </w:rPr>
        <w:t>.</w:t>
      </w:r>
    </w:p>
    <w:p w14:paraId="7098360E"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Significant student demand for sustainability in courses means we cannot simply ignore this issue</w:t>
      </w:r>
      <w:r w:rsidRPr="00997A19">
        <w:rPr>
          <w:rFonts w:eastAsia="Times New Roman" w:cs="Arial"/>
          <w:color w:val="000000" w:themeColor="text1"/>
        </w:rPr>
        <w:t>.</w:t>
      </w:r>
    </w:p>
    <w:p w14:paraId="1A5EBCE9"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My commitment to respecting the ‘otherness’ of the past is fundamentally at odds with ESD's forward-looking, problem-solving orientation</w:t>
      </w:r>
      <w:r w:rsidRPr="00997A19">
        <w:rPr>
          <w:rFonts w:eastAsia="Times New Roman" w:cs="Arial"/>
          <w:color w:val="000000" w:themeColor="text1"/>
        </w:rPr>
        <w:t>.</w:t>
      </w:r>
    </w:p>
    <w:p w14:paraId="3F81F9DB"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Non-engagement with ESD is a professional risk, as it's a deviation from both national and institutional expectations</w:t>
      </w:r>
      <w:r w:rsidRPr="00997A19">
        <w:rPr>
          <w:rFonts w:eastAsia="Times New Roman" w:cs="Arial"/>
          <w:color w:val="000000" w:themeColor="text1"/>
        </w:rPr>
        <w:t>.</w:t>
      </w:r>
    </w:p>
    <w:p w14:paraId="785B1DC6"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This is less about changing what we teach and more about re-articulating learning outcomes to satisfy external quality assurance requirements</w:t>
      </w:r>
      <w:r w:rsidRPr="00997A19">
        <w:rPr>
          <w:rFonts w:eastAsia="Times New Roman" w:cs="Arial"/>
          <w:color w:val="000000" w:themeColor="text1"/>
        </w:rPr>
        <w:t>.</w:t>
      </w:r>
    </w:p>
    <w:p w14:paraId="5A921F40"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path of least resistance is to engage in a simple mapping exercise with minimal change to actual course content or pedagogy</w:t>
      </w:r>
      <w:r w:rsidRPr="00997A19">
        <w:rPr>
          <w:rFonts w:eastAsia="Times New Roman" w:cs="Arial"/>
          <w:color w:val="000000" w:themeColor="text1"/>
        </w:rPr>
        <w:t>.</w:t>
      </w:r>
    </w:p>
    <w:p w14:paraId="32C5D0DD"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Sustainability themes must arise organically from the historical evidence; they cannot be forced onto topics where they don't belong</w:t>
      </w:r>
      <w:r w:rsidRPr="00997A19">
        <w:rPr>
          <w:rFonts w:eastAsia="Times New Roman" w:cs="Arial"/>
          <w:color w:val="000000" w:themeColor="text1"/>
        </w:rPr>
        <w:t>.</w:t>
      </w:r>
    </w:p>
    <w:p w14:paraId="69EA765D"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ESD's activist, future-oriented ethos creates an immediate and foundational tension with the retrospective nature of the historical profession</w:t>
      </w:r>
      <w:r w:rsidRPr="00997A19">
        <w:rPr>
          <w:rFonts w:eastAsia="Times New Roman" w:cs="Arial"/>
          <w:color w:val="000000" w:themeColor="text1"/>
        </w:rPr>
        <w:t>.</w:t>
      </w:r>
    </w:p>
    <w:p w14:paraId="62CBC3F2"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A deep historical understanding of the roots of the climate crisis is indispensable for informing effective future action</w:t>
      </w:r>
      <w:r w:rsidRPr="00997A19">
        <w:rPr>
          <w:rFonts w:eastAsia="Times New Roman" w:cs="Arial"/>
          <w:color w:val="000000" w:themeColor="text1"/>
        </w:rPr>
        <w:t>.</w:t>
      </w:r>
    </w:p>
    <w:p w14:paraId="3E2905E9"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Good presentism rightly uses the concerns of the present to motivate historical inquiry and seek justice</w:t>
      </w:r>
      <w:r w:rsidRPr="00997A19">
        <w:rPr>
          <w:rFonts w:eastAsia="Times New Roman" w:cs="Arial"/>
          <w:color w:val="000000" w:themeColor="text1"/>
        </w:rPr>
        <w:t>.</w:t>
      </w:r>
    </w:p>
    <w:p w14:paraId="46D4A42B"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ESD mandate provides a welcome opportunity for interdisciplinary collaboration</w:t>
      </w:r>
      <w:r w:rsidRPr="00997A19">
        <w:rPr>
          <w:rFonts w:eastAsia="Times New Roman" w:cs="Arial"/>
          <w:color w:val="000000" w:themeColor="text1"/>
        </w:rPr>
        <w:t>.</w:t>
      </w:r>
    </w:p>
    <w:p w14:paraId="66AAEE5E"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ESD agenda is part of a wider educational change agenda that I am enthusiastic to support</w:t>
      </w:r>
      <w:r w:rsidRPr="00997A19">
        <w:rPr>
          <w:rFonts w:eastAsia="Times New Roman" w:cs="Arial"/>
          <w:color w:val="000000" w:themeColor="text1"/>
        </w:rPr>
        <w:t>.</w:t>
      </w:r>
    </w:p>
    <w:p w14:paraId="468789CE" w14:textId="77777777" w:rsidR="00905C61" w:rsidRPr="00C123D0"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The ESD push for ‘integrated problem-solving' is just another name for what historians do when we build a coherent argument from diverse and contradictory evidence</w:t>
      </w:r>
      <w:r w:rsidRPr="00997A19">
        <w:rPr>
          <w:rFonts w:eastAsia="Times New Roman" w:cs="Arial"/>
          <w:color w:val="000000" w:themeColor="text1"/>
        </w:rPr>
        <w:t>.</w:t>
      </w:r>
    </w:p>
    <w:p w14:paraId="58BE6EC3" w14:textId="77777777" w:rsidR="00905C61" w:rsidRDefault="00905C61" w:rsidP="00905C61">
      <w:pPr>
        <w:pStyle w:val="ListParagraph"/>
        <w:numPr>
          <w:ilvl w:val="0"/>
          <w:numId w:val="13"/>
        </w:numPr>
        <w:spacing w:after="0" w:line="240" w:lineRule="auto"/>
        <w:rPr>
          <w:rFonts w:eastAsia="Times New Roman" w:cs="Arial"/>
          <w:color w:val="000000" w:themeColor="text1"/>
        </w:rPr>
      </w:pPr>
      <w:r w:rsidRPr="00997A19">
        <w:rPr>
          <w:rFonts w:eastAsia="Times New Roman" w:cs="Arial"/>
          <w:color w:val="000000" w:themeColor="text1"/>
          <w:bdr w:val="none" w:sz="0" w:space="0" w:color="auto" w:frame="1"/>
        </w:rPr>
        <w:t>How our department responds to the ESD mandate is a diagnostic issue for the future of the discipline and its purpose in the modern world</w:t>
      </w:r>
      <w:r w:rsidRPr="00997A19">
        <w:rPr>
          <w:rFonts w:eastAsia="Times New Roman" w:cs="Arial"/>
          <w:color w:val="000000" w:themeColor="text1"/>
        </w:rPr>
        <w:t>.</w:t>
      </w:r>
    </w:p>
    <w:p w14:paraId="1CAC2142" w14:textId="77777777" w:rsidR="00905C61" w:rsidRDefault="00905C61" w:rsidP="00905C61">
      <w:pPr>
        <w:pStyle w:val="ListParagraph"/>
        <w:numPr>
          <w:ilvl w:val="0"/>
          <w:numId w:val="13"/>
        </w:numPr>
        <w:spacing w:after="0" w:line="240" w:lineRule="auto"/>
        <w:rPr>
          <w:rFonts w:eastAsia="Times New Roman" w:cs="Arial"/>
          <w:color w:val="000000" w:themeColor="text1"/>
        </w:rPr>
      </w:pPr>
      <w:r>
        <w:rPr>
          <w:rFonts w:eastAsia="Times New Roman" w:cs="Arial"/>
          <w:color w:val="000000" w:themeColor="text1"/>
        </w:rPr>
        <w:t>The ESD mandate contravenes the professional ideal of studying the past for its own sake, rather than to advance other agendas.</w:t>
      </w:r>
    </w:p>
    <w:p w14:paraId="1284A278" w14:textId="77777777" w:rsidR="00905C61" w:rsidRDefault="00905C61" w:rsidP="00905C61">
      <w:pPr>
        <w:pStyle w:val="ListParagraph"/>
        <w:numPr>
          <w:ilvl w:val="0"/>
          <w:numId w:val="13"/>
        </w:numPr>
        <w:spacing w:after="0" w:line="240" w:lineRule="auto"/>
        <w:rPr>
          <w:rFonts w:eastAsia="Times New Roman" w:cs="Arial"/>
          <w:color w:val="000000" w:themeColor="text1"/>
        </w:rPr>
      </w:pPr>
      <w:r>
        <w:rPr>
          <w:rFonts w:eastAsia="Times New Roman" w:cs="Arial"/>
          <w:color w:val="000000" w:themeColor="text1"/>
        </w:rPr>
        <w:t>I can’t teach about sustainability without worrying about being accused of being an ‘activist’.</w:t>
      </w:r>
    </w:p>
    <w:p w14:paraId="05597FA2" w14:textId="77777777" w:rsidR="00905C61" w:rsidRDefault="00905C61" w:rsidP="00905C61"/>
    <w:p w14:paraId="16B4D950" w14:textId="77777777" w:rsidR="00905C61" w:rsidRDefault="00905C61">
      <w:pPr>
        <w:rPr>
          <w:rFonts w:asciiTheme="minorHAnsi" w:hAnsiTheme="minorHAnsi"/>
          <w:sz w:val="24"/>
          <w:szCs w:val="24"/>
        </w:rPr>
      </w:pPr>
    </w:p>
    <w:p w14:paraId="4C2E53B6" w14:textId="77777777" w:rsidR="00905C61" w:rsidRDefault="00905C61">
      <w:pPr>
        <w:rPr>
          <w:rFonts w:asciiTheme="minorHAnsi" w:hAnsiTheme="minorHAnsi"/>
          <w:sz w:val="24"/>
          <w:szCs w:val="24"/>
        </w:rPr>
      </w:pPr>
    </w:p>
    <w:p w14:paraId="0C23FF89" w14:textId="77777777" w:rsidR="00905C61" w:rsidRDefault="00905C61" w:rsidP="00905C61">
      <w:pPr>
        <w:pStyle w:val="Heading1"/>
      </w:pPr>
      <w:bookmarkStart w:id="66" w:name="_Toc229750491"/>
      <w:r>
        <w:lastRenderedPageBreak/>
        <w:t>Appendix 4: The Online Tool</w:t>
      </w:r>
      <w:bookmarkEnd w:id="66"/>
    </w:p>
    <w:p w14:paraId="5C0EE3DD" w14:textId="77777777" w:rsidR="00905C61" w:rsidRDefault="00905C61" w:rsidP="00905C61">
      <w:r>
        <w:t>The online Q-sort tool was created through a combination of natural language programming (Wang et al., 2023; Pickering et al., n.d.), in which I used the Google Gemini ‘Canvas’ tool and prose text prompting to produce a first iteration of the tool, and traditional coding on the React platform.</w:t>
      </w:r>
    </w:p>
    <w:p w14:paraId="42488D3C" w14:textId="77777777" w:rsidR="00905C61" w:rsidRDefault="00905C61" w:rsidP="00905C61">
      <w:r>
        <w:t xml:space="preserve">The online tool, which can be viewed and tested here: </w:t>
      </w:r>
      <w:hyperlink r:id="rId30" w:history="1">
        <w:r w:rsidRPr="00AF4148">
          <w:rPr>
            <w:rStyle w:val="Hyperlink"/>
          </w:rPr>
          <w:t>Q-Sort: Education for Sustainable Development in History</w:t>
        </w:r>
      </w:hyperlink>
      <w:r>
        <w:t>, allows the participant to first sort the statements into 3 categories (Disagree, Neutral, Agree), and then requires sorting onto the grid, representing a bell-shaped curve. An output of the Q-sort is illustrated in the screenshot below.</w:t>
      </w:r>
    </w:p>
    <w:p w14:paraId="5BDFEF60" w14:textId="0BD45C57" w:rsidR="00905C61" w:rsidRPr="00905C61" w:rsidRDefault="00905C61" w:rsidP="00905C61">
      <w:pPr>
        <w:jc w:val="center"/>
      </w:pPr>
      <w:r>
        <w:rPr>
          <w:rFonts w:eastAsia="Times New Roman" w:cs="Arial"/>
          <w:noProof/>
          <w:color w:val="000000" w:themeColor="text1"/>
        </w:rPr>
        <w:lastRenderedPageBreak/>
        <w:drawing>
          <wp:inline distT="0" distB="0" distL="0" distR="0" wp14:anchorId="0066D3DD" wp14:editId="03DA6715">
            <wp:extent cx="5718810" cy="8229600"/>
            <wp:effectExtent l="0" t="0" r="0" b="0"/>
            <wp:docPr id="2093903062" name="Picture 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3903062" name="Picture 1" descr="A screenshot of a computer&#10;&#10;AI-generated content may be incorrect."/>
                    <pic:cNvPicPr/>
                  </pic:nvPicPr>
                  <pic:blipFill>
                    <a:blip r:embed="rId31">
                      <a:extLst>
                        <a:ext uri="{28A0092B-C50C-407E-A947-70E740481C1C}">
                          <a14:useLocalDpi xmlns:a14="http://schemas.microsoft.com/office/drawing/2010/main" val="0"/>
                        </a:ext>
                      </a:extLst>
                    </a:blip>
                    <a:stretch>
                      <a:fillRect/>
                    </a:stretch>
                  </pic:blipFill>
                  <pic:spPr>
                    <a:xfrm>
                      <a:off x="0" y="0"/>
                      <a:ext cx="5718810" cy="8229600"/>
                    </a:xfrm>
                    <a:prstGeom prst="rect">
                      <a:avLst/>
                    </a:prstGeom>
                  </pic:spPr>
                </pic:pic>
              </a:graphicData>
            </a:graphic>
          </wp:inline>
        </w:drawing>
      </w:r>
    </w:p>
    <w:sectPr w:rsidR="00905C61" w:rsidRPr="00905C61" w:rsidSect="00D24FA2">
      <w:footerReference w:type="default" r:id="rId32"/>
      <w:footerReference w:type="first" r:id="rId33"/>
      <w:pgSz w:w="12240" w:h="15840"/>
      <w:pgMar w:top="1440" w:right="1440" w:bottom="1440" w:left="1440" w:header="720" w:footer="720" w:gutter="0"/>
      <w:pgNumType w:start="1"/>
      <w:cols w:space="720"/>
      <w:noEndnote/>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3710113" w14:textId="77777777" w:rsidR="00436BDA" w:rsidRDefault="00436BDA" w:rsidP="006F15E1">
      <w:pPr>
        <w:spacing w:after="0" w:line="240" w:lineRule="auto"/>
      </w:pPr>
      <w:r>
        <w:separator/>
      </w:r>
    </w:p>
  </w:endnote>
  <w:endnote w:type="continuationSeparator" w:id="0">
    <w:p w14:paraId="754117DF" w14:textId="77777777" w:rsidR="00436BDA" w:rsidRDefault="00436BDA" w:rsidP="006F15E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ptos">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AppleSystemUIFont">
    <w:altName w:val="Calibri"/>
    <w:panose1 w:val="020B0604020202020204"/>
    <w:charset w:val="00"/>
    <w:family w:val="auto"/>
    <w:notTrueType/>
    <w:pitch w:val="default"/>
    <w:sig w:usb0="00000003" w:usb1="00000000" w:usb2="00000000" w:usb3="00000000" w:csb0="00000001" w:csb1="00000000"/>
  </w:font>
  <w:font w:name="System 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25707371"/>
      <w:docPartObj>
        <w:docPartGallery w:val="Page Numbers (Bottom of Page)"/>
        <w:docPartUnique/>
      </w:docPartObj>
    </w:sdtPr>
    <w:sdtContent>
      <w:p w14:paraId="2EA347AD" w14:textId="5C449E59" w:rsidR="006F15E1" w:rsidRDefault="006F15E1" w:rsidP="00D24FA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60E536D" w14:textId="77777777" w:rsidR="006F15E1" w:rsidRDefault="006F15E1" w:rsidP="006F15E1">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77D3BDE" w14:textId="77777777" w:rsidR="006F15E1" w:rsidRDefault="006F15E1" w:rsidP="006F15E1">
    <w:pPr>
      <w:pStyle w:val="Footer"/>
      <w:ind w:right="360"/>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2065863794"/>
      <w:docPartObj>
        <w:docPartGallery w:val="Page Numbers (Bottom of Page)"/>
        <w:docPartUnique/>
      </w:docPartObj>
    </w:sdtPr>
    <w:sdtContent>
      <w:p w14:paraId="6D72DF80" w14:textId="6719095B" w:rsidR="00D24FA2" w:rsidRDefault="00D24FA2" w:rsidP="00961C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1ABBA23" w14:textId="77777777" w:rsidR="00D24FA2" w:rsidRDefault="00D24FA2" w:rsidP="006F15E1">
    <w:pPr>
      <w:pStyle w:val="Footer"/>
      <w:ind w:right="360"/>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645278676"/>
      <w:docPartObj>
        <w:docPartGallery w:val="Page Numbers (Bottom of Page)"/>
        <w:docPartUnique/>
      </w:docPartObj>
    </w:sdtPr>
    <w:sdtContent>
      <w:p w14:paraId="088E4FC7" w14:textId="22F5B929" w:rsidR="00D24FA2" w:rsidRDefault="00D24FA2" w:rsidP="00961C8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0AE4C06" w14:textId="77777777" w:rsidR="007F0CE8" w:rsidRDefault="007F0CE8" w:rsidP="00D24FA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194E0F6" w14:textId="77777777" w:rsidR="00436BDA" w:rsidRDefault="00436BDA" w:rsidP="006F15E1">
      <w:pPr>
        <w:spacing w:after="0" w:line="240" w:lineRule="auto"/>
      </w:pPr>
      <w:r>
        <w:separator/>
      </w:r>
    </w:p>
  </w:footnote>
  <w:footnote w:type="continuationSeparator" w:id="0">
    <w:p w14:paraId="76DC838A" w14:textId="77777777" w:rsidR="00436BDA" w:rsidRDefault="00436BDA" w:rsidP="006F15E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7E68C9"/>
    <w:multiLevelType w:val="multilevel"/>
    <w:tmpl w:val="45C85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D228A8"/>
    <w:multiLevelType w:val="multilevel"/>
    <w:tmpl w:val="D05CD80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3403C60"/>
    <w:multiLevelType w:val="multilevel"/>
    <w:tmpl w:val="F6B8B1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5F506C1"/>
    <w:multiLevelType w:val="multilevel"/>
    <w:tmpl w:val="B172D7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67C57C6"/>
    <w:multiLevelType w:val="multilevel"/>
    <w:tmpl w:val="25688B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ADA2F1B"/>
    <w:multiLevelType w:val="hybridMultilevel"/>
    <w:tmpl w:val="BF60625A"/>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3DE545DD"/>
    <w:multiLevelType w:val="hybridMultilevel"/>
    <w:tmpl w:val="E5E4E04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4CD952F5"/>
    <w:multiLevelType w:val="multilevel"/>
    <w:tmpl w:val="6AD847D6"/>
    <w:lvl w:ilvl="0">
      <w:start w:val="2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58143C6D"/>
    <w:multiLevelType w:val="multilevel"/>
    <w:tmpl w:val="BB2655A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74361297"/>
    <w:multiLevelType w:val="hybridMultilevel"/>
    <w:tmpl w:val="C5A874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6A74759"/>
    <w:multiLevelType w:val="multilevel"/>
    <w:tmpl w:val="CFA0A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79D23C84"/>
    <w:multiLevelType w:val="multilevel"/>
    <w:tmpl w:val="CD62AA82"/>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7F85549D"/>
    <w:multiLevelType w:val="multilevel"/>
    <w:tmpl w:val="A5C049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89920738">
    <w:abstractNumId w:val="9"/>
  </w:num>
  <w:num w:numId="2" w16cid:durableId="426393600">
    <w:abstractNumId w:val="1"/>
  </w:num>
  <w:num w:numId="3" w16cid:durableId="1640263387">
    <w:abstractNumId w:val="10"/>
  </w:num>
  <w:num w:numId="4" w16cid:durableId="1495492475">
    <w:abstractNumId w:val="4"/>
  </w:num>
  <w:num w:numId="5" w16cid:durableId="2094475423">
    <w:abstractNumId w:val="12"/>
  </w:num>
  <w:num w:numId="6" w16cid:durableId="409085867">
    <w:abstractNumId w:val="2"/>
  </w:num>
  <w:num w:numId="7" w16cid:durableId="1356999909">
    <w:abstractNumId w:val="3"/>
  </w:num>
  <w:num w:numId="8" w16cid:durableId="2022971529">
    <w:abstractNumId w:val="0"/>
  </w:num>
  <w:num w:numId="9" w16cid:durableId="1253054047">
    <w:abstractNumId w:val="8"/>
  </w:num>
  <w:num w:numId="10" w16cid:durableId="2008825908">
    <w:abstractNumId w:val="11"/>
  </w:num>
  <w:num w:numId="11" w16cid:durableId="570580670">
    <w:abstractNumId w:val="7"/>
  </w:num>
  <w:num w:numId="12" w16cid:durableId="86000104">
    <w:abstractNumId w:val="5"/>
  </w:num>
  <w:num w:numId="13" w16cid:durableId="1666038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applyBreakingRules/>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6D06"/>
    <w:rsid w:val="00056324"/>
    <w:rsid w:val="000D10AB"/>
    <w:rsid w:val="001712C0"/>
    <w:rsid w:val="001C0784"/>
    <w:rsid w:val="001F29D1"/>
    <w:rsid w:val="003937EF"/>
    <w:rsid w:val="00436BDA"/>
    <w:rsid w:val="004456E9"/>
    <w:rsid w:val="005E001C"/>
    <w:rsid w:val="006310E0"/>
    <w:rsid w:val="006507D4"/>
    <w:rsid w:val="00693900"/>
    <w:rsid w:val="006B0708"/>
    <w:rsid w:val="006F15E1"/>
    <w:rsid w:val="006F46FE"/>
    <w:rsid w:val="00783F9B"/>
    <w:rsid w:val="007F0CE8"/>
    <w:rsid w:val="00846D06"/>
    <w:rsid w:val="00881906"/>
    <w:rsid w:val="00905C61"/>
    <w:rsid w:val="009A7A56"/>
    <w:rsid w:val="00A07190"/>
    <w:rsid w:val="00A07EF4"/>
    <w:rsid w:val="00A4555F"/>
    <w:rsid w:val="00BD25FE"/>
    <w:rsid w:val="00CF474E"/>
    <w:rsid w:val="00D02BFC"/>
    <w:rsid w:val="00D24FA2"/>
    <w:rsid w:val="00D32585"/>
    <w:rsid w:val="00D448B2"/>
    <w:rsid w:val="00E67D46"/>
    <w:rsid w:val="00FA0A77"/>
    <w:rsid w:val="00FF596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57C85C1"/>
  <w15:chartTrackingRefBased/>
  <w15:docId w15:val="{9524EC8A-9C8C-634D-BA67-D5A334EA93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ajorHAnsi" w:eastAsiaTheme="majorEastAsia" w:hAnsiTheme="majorHAnsi" w:cstheme="majorBidi"/>
        <w:sz w:val="22"/>
        <w:szCs w:val="22"/>
        <w:lang w:val="en-GB" w:eastAsia="zh-CN" w:bidi="ar-SA"/>
      </w:rPr>
    </w:rPrDefault>
    <w:pPrDefault>
      <w:pPr>
        <w:spacing w:after="20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46D06"/>
  </w:style>
  <w:style w:type="paragraph" w:styleId="Heading1">
    <w:name w:val="heading 1"/>
    <w:basedOn w:val="Normal"/>
    <w:next w:val="Normal"/>
    <w:link w:val="Heading1Char"/>
    <w:uiPriority w:val="9"/>
    <w:qFormat/>
    <w:rsid w:val="00846D06"/>
    <w:pPr>
      <w:pBdr>
        <w:bottom w:val="thinThickSmallGap" w:sz="12" w:space="1" w:color="BF4E14" w:themeColor="accent2" w:themeShade="BF"/>
      </w:pBdr>
      <w:spacing w:before="400"/>
      <w:jc w:val="center"/>
      <w:outlineLvl w:val="0"/>
    </w:pPr>
    <w:rPr>
      <w:caps/>
      <w:color w:val="80340D" w:themeColor="accent2" w:themeShade="80"/>
      <w:spacing w:val="20"/>
      <w:sz w:val="28"/>
      <w:szCs w:val="28"/>
    </w:rPr>
  </w:style>
  <w:style w:type="paragraph" w:styleId="Heading2">
    <w:name w:val="heading 2"/>
    <w:basedOn w:val="Normal"/>
    <w:next w:val="Normal"/>
    <w:link w:val="Heading2Char"/>
    <w:uiPriority w:val="9"/>
    <w:unhideWhenUsed/>
    <w:qFormat/>
    <w:rsid w:val="00846D06"/>
    <w:pPr>
      <w:pBdr>
        <w:bottom w:val="single" w:sz="4" w:space="1" w:color="7F340D" w:themeColor="accent2" w:themeShade="7F"/>
      </w:pBdr>
      <w:spacing w:before="400"/>
      <w:jc w:val="center"/>
      <w:outlineLvl w:val="1"/>
    </w:pPr>
    <w:rPr>
      <w:caps/>
      <w:color w:val="80340D" w:themeColor="accent2" w:themeShade="80"/>
      <w:spacing w:val="15"/>
      <w:sz w:val="24"/>
      <w:szCs w:val="24"/>
    </w:rPr>
  </w:style>
  <w:style w:type="paragraph" w:styleId="Heading3">
    <w:name w:val="heading 3"/>
    <w:basedOn w:val="Normal"/>
    <w:next w:val="Normal"/>
    <w:link w:val="Heading3Char"/>
    <w:uiPriority w:val="9"/>
    <w:unhideWhenUsed/>
    <w:qFormat/>
    <w:rsid w:val="00846D06"/>
    <w:pPr>
      <w:pBdr>
        <w:top w:val="dotted" w:sz="4" w:space="1" w:color="7F340D" w:themeColor="accent2" w:themeShade="7F"/>
        <w:bottom w:val="dotted" w:sz="4" w:space="1" w:color="7F340D" w:themeColor="accent2" w:themeShade="7F"/>
      </w:pBdr>
      <w:spacing w:before="300"/>
      <w:jc w:val="center"/>
      <w:outlineLvl w:val="2"/>
    </w:pPr>
    <w:rPr>
      <w:caps/>
      <w:color w:val="7F340D" w:themeColor="accent2" w:themeShade="7F"/>
      <w:sz w:val="24"/>
      <w:szCs w:val="24"/>
    </w:rPr>
  </w:style>
  <w:style w:type="paragraph" w:styleId="Heading4">
    <w:name w:val="heading 4"/>
    <w:basedOn w:val="Normal"/>
    <w:next w:val="Normal"/>
    <w:link w:val="Heading4Char"/>
    <w:uiPriority w:val="9"/>
    <w:unhideWhenUsed/>
    <w:qFormat/>
    <w:rsid w:val="00846D06"/>
    <w:pPr>
      <w:pBdr>
        <w:bottom w:val="dotted" w:sz="4" w:space="1" w:color="BF4E14" w:themeColor="accent2" w:themeShade="BF"/>
      </w:pBdr>
      <w:spacing w:after="120"/>
      <w:jc w:val="center"/>
      <w:outlineLvl w:val="3"/>
    </w:pPr>
    <w:rPr>
      <w:caps/>
      <w:color w:val="7F340D" w:themeColor="accent2" w:themeShade="7F"/>
      <w:spacing w:val="10"/>
    </w:rPr>
  </w:style>
  <w:style w:type="paragraph" w:styleId="Heading5">
    <w:name w:val="heading 5"/>
    <w:basedOn w:val="Normal"/>
    <w:next w:val="Normal"/>
    <w:link w:val="Heading5Char"/>
    <w:uiPriority w:val="9"/>
    <w:semiHidden/>
    <w:unhideWhenUsed/>
    <w:qFormat/>
    <w:rsid w:val="00846D06"/>
    <w:pPr>
      <w:spacing w:before="320" w:after="120"/>
      <w:jc w:val="center"/>
      <w:outlineLvl w:val="4"/>
    </w:pPr>
    <w:rPr>
      <w:caps/>
      <w:color w:val="7F340D" w:themeColor="accent2" w:themeShade="7F"/>
      <w:spacing w:val="10"/>
    </w:rPr>
  </w:style>
  <w:style w:type="paragraph" w:styleId="Heading6">
    <w:name w:val="heading 6"/>
    <w:basedOn w:val="Normal"/>
    <w:next w:val="Normal"/>
    <w:link w:val="Heading6Char"/>
    <w:uiPriority w:val="9"/>
    <w:semiHidden/>
    <w:unhideWhenUsed/>
    <w:qFormat/>
    <w:rsid w:val="00846D06"/>
    <w:pPr>
      <w:spacing w:after="120"/>
      <w:jc w:val="center"/>
      <w:outlineLvl w:val="5"/>
    </w:pPr>
    <w:rPr>
      <w:caps/>
      <w:color w:val="BF4E14" w:themeColor="accent2" w:themeShade="BF"/>
      <w:spacing w:val="10"/>
    </w:rPr>
  </w:style>
  <w:style w:type="paragraph" w:styleId="Heading7">
    <w:name w:val="heading 7"/>
    <w:basedOn w:val="Normal"/>
    <w:next w:val="Normal"/>
    <w:link w:val="Heading7Char"/>
    <w:uiPriority w:val="9"/>
    <w:semiHidden/>
    <w:unhideWhenUsed/>
    <w:qFormat/>
    <w:rsid w:val="00846D06"/>
    <w:pPr>
      <w:spacing w:after="120"/>
      <w:jc w:val="center"/>
      <w:outlineLvl w:val="6"/>
    </w:pPr>
    <w:rPr>
      <w:i/>
      <w:iCs/>
      <w:caps/>
      <w:color w:val="BF4E14" w:themeColor="accent2" w:themeShade="BF"/>
      <w:spacing w:val="10"/>
    </w:rPr>
  </w:style>
  <w:style w:type="paragraph" w:styleId="Heading8">
    <w:name w:val="heading 8"/>
    <w:basedOn w:val="Normal"/>
    <w:next w:val="Normal"/>
    <w:link w:val="Heading8Char"/>
    <w:uiPriority w:val="9"/>
    <w:semiHidden/>
    <w:unhideWhenUsed/>
    <w:qFormat/>
    <w:rsid w:val="00846D06"/>
    <w:pPr>
      <w:spacing w:after="120"/>
      <w:jc w:val="center"/>
      <w:outlineLvl w:val="7"/>
    </w:pPr>
    <w:rPr>
      <w:caps/>
      <w:spacing w:val="10"/>
      <w:sz w:val="20"/>
      <w:szCs w:val="20"/>
    </w:rPr>
  </w:style>
  <w:style w:type="paragraph" w:styleId="Heading9">
    <w:name w:val="heading 9"/>
    <w:basedOn w:val="Normal"/>
    <w:next w:val="Normal"/>
    <w:link w:val="Heading9Char"/>
    <w:uiPriority w:val="9"/>
    <w:semiHidden/>
    <w:unhideWhenUsed/>
    <w:qFormat/>
    <w:rsid w:val="00846D06"/>
    <w:pPr>
      <w:spacing w:after="120"/>
      <w:jc w:val="center"/>
      <w:outlineLvl w:val="8"/>
    </w:pPr>
    <w:rPr>
      <w:i/>
      <w:iCs/>
      <w:caps/>
      <w:spacing w:val="10"/>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46D06"/>
    <w:rPr>
      <w:caps/>
      <w:color w:val="80340D" w:themeColor="accent2" w:themeShade="80"/>
      <w:spacing w:val="20"/>
      <w:sz w:val="28"/>
      <w:szCs w:val="28"/>
    </w:rPr>
  </w:style>
  <w:style w:type="character" w:customStyle="1" w:styleId="Heading2Char">
    <w:name w:val="Heading 2 Char"/>
    <w:basedOn w:val="DefaultParagraphFont"/>
    <w:link w:val="Heading2"/>
    <w:uiPriority w:val="9"/>
    <w:rsid w:val="00846D06"/>
    <w:rPr>
      <w:caps/>
      <w:color w:val="80340D" w:themeColor="accent2" w:themeShade="80"/>
      <w:spacing w:val="15"/>
      <w:sz w:val="24"/>
      <w:szCs w:val="24"/>
    </w:rPr>
  </w:style>
  <w:style w:type="character" w:customStyle="1" w:styleId="Heading3Char">
    <w:name w:val="Heading 3 Char"/>
    <w:basedOn w:val="DefaultParagraphFont"/>
    <w:link w:val="Heading3"/>
    <w:uiPriority w:val="9"/>
    <w:rsid w:val="00846D06"/>
    <w:rPr>
      <w:caps/>
      <w:color w:val="7F340D" w:themeColor="accent2" w:themeShade="7F"/>
      <w:sz w:val="24"/>
      <w:szCs w:val="24"/>
    </w:rPr>
  </w:style>
  <w:style w:type="character" w:customStyle="1" w:styleId="Heading4Char">
    <w:name w:val="Heading 4 Char"/>
    <w:basedOn w:val="DefaultParagraphFont"/>
    <w:link w:val="Heading4"/>
    <w:uiPriority w:val="9"/>
    <w:rsid w:val="00846D06"/>
    <w:rPr>
      <w:caps/>
      <w:color w:val="7F340D" w:themeColor="accent2" w:themeShade="7F"/>
      <w:spacing w:val="10"/>
    </w:rPr>
  </w:style>
  <w:style w:type="character" w:customStyle="1" w:styleId="Heading5Char">
    <w:name w:val="Heading 5 Char"/>
    <w:basedOn w:val="DefaultParagraphFont"/>
    <w:link w:val="Heading5"/>
    <w:uiPriority w:val="9"/>
    <w:semiHidden/>
    <w:rsid w:val="00846D06"/>
    <w:rPr>
      <w:caps/>
      <w:color w:val="7F340D" w:themeColor="accent2" w:themeShade="7F"/>
      <w:spacing w:val="10"/>
    </w:rPr>
  </w:style>
  <w:style w:type="character" w:customStyle="1" w:styleId="Heading6Char">
    <w:name w:val="Heading 6 Char"/>
    <w:basedOn w:val="DefaultParagraphFont"/>
    <w:link w:val="Heading6"/>
    <w:uiPriority w:val="9"/>
    <w:semiHidden/>
    <w:rsid w:val="00846D06"/>
    <w:rPr>
      <w:caps/>
      <w:color w:val="BF4E14" w:themeColor="accent2" w:themeShade="BF"/>
      <w:spacing w:val="10"/>
    </w:rPr>
  </w:style>
  <w:style w:type="character" w:customStyle="1" w:styleId="Heading7Char">
    <w:name w:val="Heading 7 Char"/>
    <w:basedOn w:val="DefaultParagraphFont"/>
    <w:link w:val="Heading7"/>
    <w:uiPriority w:val="9"/>
    <w:semiHidden/>
    <w:rsid w:val="00846D06"/>
    <w:rPr>
      <w:i/>
      <w:iCs/>
      <w:caps/>
      <w:color w:val="BF4E14" w:themeColor="accent2" w:themeShade="BF"/>
      <w:spacing w:val="10"/>
    </w:rPr>
  </w:style>
  <w:style w:type="character" w:customStyle="1" w:styleId="Heading8Char">
    <w:name w:val="Heading 8 Char"/>
    <w:basedOn w:val="DefaultParagraphFont"/>
    <w:link w:val="Heading8"/>
    <w:uiPriority w:val="9"/>
    <w:semiHidden/>
    <w:rsid w:val="00846D06"/>
    <w:rPr>
      <w:caps/>
      <w:spacing w:val="10"/>
      <w:sz w:val="20"/>
      <w:szCs w:val="20"/>
    </w:rPr>
  </w:style>
  <w:style w:type="character" w:customStyle="1" w:styleId="Heading9Char">
    <w:name w:val="Heading 9 Char"/>
    <w:basedOn w:val="DefaultParagraphFont"/>
    <w:link w:val="Heading9"/>
    <w:uiPriority w:val="9"/>
    <w:semiHidden/>
    <w:rsid w:val="00846D06"/>
    <w:rPr>
      <w:i/>
      <w:iCs/>
      <w:caps/>
      <w:spacing w:val="10"/>
      <w:sz w:val="20"/>
      <w:szCs w:val="20"/>
    </w:rPr>
  </w:style>
  <w:style w:type="paragraph" w:styleId="Title">
    <w:name w:val="Title"/>
    <w:basedOn w:val="Normal"/>
    <w:next w:val="Normal"/>
    <w:link w:val="TitleChar"/>
    <w:uiPriority w:val="10"/>
    <w:qFormat/>
    <w:rsid w:val="00846D06"/>
    <w:pPr>
      <w:pBdr>
        <w:top w:val="dotted" w:sz="2" w:space="1" w:color="80340D" w:themeColor="accent2" w:themeShade="80"/>
        <w:bottom w:val="dotted" w:sz="2" w:space="6" w:color="80340D" w:themeColor="accent2" w:themeShade="80"/>
      </w:pBdr>
      <w:spacing w:before="500" w:after="300" w:line="240" w:lineRule="auto"/>
      <w:jc w:val="center"/>
    </w:pPr>
    <w:rPr>
      <w:caps/>
      <w:color w:val="80340D" w:themeColor="accent2" w:themeShade="80"/>
      <w:spacing w:val="50"/>
      <w:sz w:val="44"/>
      <w:szCs w:val="44"/>
    </w:rPr>
  </w:style>
  <w:style w:type="character" w:customStyle="1" w:styleId="TitleChar">
    <w:name w:val="Title Char"/>
    <w:basedOn w:val="DefaultParagraphFont"/>
    <w:link w:val="Title"/>
    <w:uiPriority w:val="10"/>
    <w:rsid w:val="00846D06"/>
    <w:rPr>
      <w:caps/>
      <w:color w:val="80340D" w:themeColor="accent2" w:themeShade="80"/>
      <w:spacing w:val="50"/>
      <w:sz w:val="44"/>
      <w:szCs w:val="44"/>
    </w:rPr>
  </w:style>
  <w:style w:type="paragraph" w:styleId="Subtitle">
    <w:name w:val="Subtitle"/>
    <w:basedOn w:val="Normal"/>
    <w:next w:val="Normal"/>
    <w:link w:val="SubtitleChar"/>
    <w:uiPriority w:val="11"/>
    <w:qFormat/>
    <w:rsid w:val="00846D06"/>
    <w:pPr>
      <w:spacing w:after="560" w:line="240" w:lineRule="auto"/>
      <w:jc w:val="center"/>
    </w:pPr>
    <w:rPr>
      <w:caps/>
      <w:spacing w:val="20"/>
      <w:sz w:val="18"/>
      <w:szCs w:val="18"/>
    </w:rPr>
  </w:style>
  <w:style w:type="character" w:customStyle="1" w:styleId="SubtitleChar">
    <w:name w:val="Subtitle Char"/>
    <w:basedOn w:val="DefaultParagraphFont"/>
    <w:link w:val="Subtitle"/>
    <w:uiPriority w:val="11"/>
    <w:rsid w:val="00846D06"/>
    <w:rPr>
      <w:caps/>
      <w:spacing w:val="20"/>
      <w:sz w:val="18"/>
      <w:szCs w:val="18"/>
    </w:rPr>
  </w:style>
  <w:style w:type="paragraph" w:styleId="Quote">
    <w:name w:val="Quote"/>
    <w:basedOn w:val="Normal"/>
    <w:next w:val="Normal"/>
    <w:link w:val="QuoteChar"/>
    <w:uiPriority w:val="29"/>
    <w:qFormat/>
    <w:rsid w:val="00846D06"/>
    <w:rPr>
      <w:i/>
      <w:iCs/>
    </w:rPr>
  </w:style>
  <w:style w:type="character" w:customStyle="1" w:styleId="QuoteChar">
    <w:name w:val="Quote Char"/>
    <w:basedOn w:val="DefaultParagraphFont"/>
    <w:link w:val="Quote"/>
    <w:uiPriority w:val="29"/>
    <w:rsid w:val="00846D06"/>
    <w:rPr>
      <w:i/>
      <w:iCs/>
    </w:rPr>
  </w:style>
  <w:style w:type="paragraph" w:styleId="ListParagraph">
    <w:name w:val="List Paragraph"/>
    <w:basedOn w:val="Normal"/>
    <w:uiPriority w:val="34"/>
    <w:qFormat/>
    <w:rsid w:val="00846D06"/>
    <w:pPr>
      <w:ind w:left="720"/>
      <w:contextualSpacing/>
    </w:pPr>
  </w:style>
  <w:style w:type="character" w:styleId="IntenseEmphasis">
    <w:name w:val="Intense Emphasis"/>
    <w:uiPriority w:val="21"/>
    <w:qFormat/>
    <w:rsid w:val="00846D06"/>
    <w:rPr>
      <w:i/>
      <w:iCs/>
      <w:caps/>
      <w:spacing w:val="10"/>
      <w:sz w:val="20"/>
      <w:szCs w:val="20"/>
    </w:rPr>
  </w:style>
  <w:style w:type="paragraph" w:styleId="IntenseQuote">
    <w:name w:val="Intense Quote"/>
    <w:basedOn w:val="Normal"/>
    <w:next w:val="Normal"/>
    <w:link w:val="IntenseQuoteChar"/>
    <w:uiPriority w:val="30"/>
    <w:qFormat/>
    <w:rsid w:val="00846D06"/>
    <w:pPr>
      <w:pBdr>
        <w:top w:val="dotted" w:sz="2" w:space="10" w:color="80340D" w:themeColor="accent2" w:themeShade="80"/>
        <w:bottom w:val="dotted" w:sz="2" w:space="4" w:color="80340D" w:themeColor="accent2" w:themeShade="80"/>
      </w:pBdr>
      <w:spacing w:before="160" w:line="300" w:lineRule="auto"/>
      <w:ind w:left="1440" w:right="1440"/>
    </w:pPr>
    <w:rPr>
      <w:caps/>
      <w:color w:val="7F340D" w:themeColor="accent2" w:themeShade="7F"/>
      <w:spacing w:val="5"/>
      <w:sz w:val="20"/>
      <w:szCs w:val="20"/>
    </w:rPr>
  </w:style>
  <w:style w:type="character" w:customStyle="1" w:styleId="IntenseQuoteChar">
    <w:name w:val="Intense Quote Char"/>
    <w:basedOn w:val="DefaultParagraphFont"/>
    <w:link w:val="IntenseQuote"/>
    <w:uiPriority w:val="30"/>
    <w:rsid w:val="00846D06"/>
    <w:rPr>
      <w:caps/>
      <w:color w:val="7F340D" w:themeColor="accent2" w:themeShade="7F"/>
      <w:spacing w:val="5"/>
      <w:sz w:val="20"/>
      <w:szCs w:val="20"/>
    </w:rPr>
  </w:style>
  <w:style w:type="character" w:styleId="IntenseReference">
    <w:name w:val="Intense Reference"/>
    <w:uiPriority w:val="32"/>
    <w:qFormat/>
    <w:rsid w:val="00846D06"/>
    <w:rPr>
      <w:rFonts w:asciiTheme="minorHAnsi" w:eastAsiaTheme="minorEastAsia" w:hAnsiTheme="minorHAnsi" w:cstheme="minorBidi"/>
      <w:b/>
      <w:bCs/>
      <w:i/>
      <w:iCs/>
      <w:color w:val="7F340D" w:themeColor="accent2" w:themeShade="7F"/>
    </w:rPr>
  </w:style>
  <w:style w:type="paragraph" w:styleId="Caption">
    <w:name w:val="caption"/>
    <w:basedOn w:val="Normal"/>
    <w:next w:val="Normal"/>
    <w:uiPriority w:val="35"/>
    <w:unhideWhenUsed/>
    <w:qFormat/>
    <w:rsid w:val="00846D06"/>
    <w:rPr>
      <w:caps/>
      <w:spacing w:val="10"/>
      <w:sz w:val="18"/>
      <w:szCs w:val="18"/>
    </w:rPr>
  </w:style>
  <w:style w:type="character" w:styleId="Strong">
    <w:name w:val="Strong"/>
    <w:uiPriority w:val="22"/>
    <w:qFormat/>
    <w:rsid w:val="00846D06"/>
    <w:rPr>
      <w:b/>
      <w:bCs/>
      <w:color w:val="BF4E14" w:themeColor="accent2" w:themeShade="BF"/>
      <w:spacing w:val="5"/>
    </w:rPr>
  </w:style>
  <w:style w:type="character" w:styleId="Emphasis">
    <w:name w:val="Emphasis"/>
    <w:uiPriority w:val="20"/>
    <w:qFormat/>
    <w:rsid w:val="00846D06"/>
    <w:rPr>
      <w:caps/>
      <w:spacing w:val="5"/>
      <w:sz w:val="20"/>
      <w:szCs w:val="20"/>
    </w:rPr>
  </w:style>
  <w:style w:type="paragraph" w:styleId="NoSpacing">
    <w:name w:val="No Spacing"/>
    <w:basedOn w:val="Normal"/>
    <w:link w:val="NoSpacingChar"/>
    <w:uiPriority w:val="1"/>
    <w:qFormat/>
    <w:rsid w:val="00846D06"/>
    <w:pPr>
      <w:spacing w:after="0" w:line="240" w:lineRule="auto"/>
    </w:pPr>
  </w:style>
  <w:style w:type="character" w:customStyle="1" w:styleId="NoSpacingChar">
    <w:name w:val="No Spacing Char"/>
    <w:basedOn w:val="DefaultParagraphFont"/>
    <w:link w:val="NoSpacing"/>
    <w:uiPriority w:val="1"/>
    <w:rsid w:val="00846D06"/>
  </w:style>
  <w:style w:type="character" w:styleId="SubtleEmphasis">
    <w:name w:val="Subtle Emphasis"/>
    <w:uiPriority w:val="19"/>
    <w:qFormat/>
    <w:rsid w:val="00846D06"/>
    <w:rPr>
      <w:i/>
      <w:iCs/>
    </w:rPr>
  </w:style>
  <w:style w:type="character" w:styleId="SubtleReference">
    <w:name w:val="Subtle Reference"/>
    <w:basedOn w:val="DefaultParagraphFont"/>
    <w:uiPriority w:val="31"/>
    <w:qFormat/>
    <w:rsid w:val="00846D06"/>
    <w:rPr>
      <w:rFonts w:asciiTheme="minorHAnsi" w:eastAsiaTheme="minorEastAsia" w:hAnsiTheme="minorHAnsi" w:cstheme="minorBidi"/>
      <w:i/>
      <w:iCs/>
      <w:color w:val="7F340D" w:themeColor="accent2" w:themeShade="7F"/>
    </w:rPr>
  </w:style>
  <w:style w:type="character" w:styleId="BookTitle">
    <w:name w:val="Book Title"/>
    <w:uiPriority w:val="33"/>
    <w:qFormat/>
    <w:rsid w:val="00846D06"/>
    <w:rPr>
      <w:caps/>
      <w:color w:val="7F340D" w:themeColor="accent2" w:themeShade="7F"/>
      <w:spacing w:val="5"/>
      <w:u w:color="7F340D" w:themeColor="accent2" w:themeShade="7F"/>
    </w:rPr>
  </w:style>
  <w:style w:type="paragraph" w:styleId="TOCHeading">
    <w:name w:val="TOC Heading"/>
    <w:basedOn w:val="Heading1"/>
    <w:next w:val="Normal"/>
    <w:uiPriority w:val="39"/>
    <w:unhideWhenUsed/>
    <w:qFormat/>
    <w:rsid w:val="00846D06"/>
    <w:pPr>
      <w:outlineLvl w:val="9"/>
    </w:pPr>
  </w:style>
  <w:style w:type="paragraph" w:styleId="Footer">
    <w:name w:val="footer"/>
    <w:basedOn w:val="Normal"/>
    <w:link w:val="FooterChar"/>
    <w:uiPriority w:val="99"/>
    <w:unhideWhenUsed/>
    <w:rsid w:val="006F15E1"/>
    <w:pPr>
      <w:tabs>
        <w:tab w:val="center" w:pos="4680"/>
        <w:tab w:val="right" w:pos="9360"/>
      </w:tabs>
      <w:spacing w:after="0" w:line="240" w:lineRule="auto"/>
    </w:pPr>
  </w:style>
  <w:style w:type="character" w:customStyle="1" w:styleId="FooterChar">
    <w:name w:val="Footer Char"/>
    <w:basedOn w:val="DefaultParagraphFont"/>
    <w:link w:val="Footer"/>
    <w:uiPriority w:val="99"/>
    <w:rsid w:val="006F15E1"/>
  </w:style>
  <w:style w:type="character" w:styleId="PageNumber">
    <w:name w:val="page number"/>
    <w:basedOn w:val="DefaultParagraphFont"/>
    <w:uiPriority w:val="99"/>
    <w:semiHidden/>
    <w:unhideWhenUsed/>
    <w:rsid w:val="006F15E1"/>
  </w:style>
  <w:style w:type="character" w:styleId="Hyperlink">
    <w:name w:val="Hyperlink"/>
    <w:basedOn w:val="DefaultParagraphFont"/>
    <w:uiPriority w:val="99"/>
    <w:unhideWhenUsed/>
    <w:rsid w:val="00905C61"/>
    <w:rPr>
      <w:color w:val="467886" w:themeColor="hyperlink"/>
      <w:u w:val="single"/>
    </w:rPr>
  </w:style>
  <w:style w:type="paragraph" w:styleId="TOC1">
    <w:name w:val="toc 1"/>
    <w:basedOn w:val="Normal"/>
    <w:next w:val="Normal"/>
    <w:autoRedefine/>
    <w:uiPriority w:val="39"/>
    <w:unhideWhenUsed/>
    <w:rsid w:val="00693900"/>
    <w:pPr>
      <w:spacing w:before="120" w:after="0"/>
    </w:pPr>
    <w:rPr>
      <w:rFonts w:asciiTheme="minorHAnsi" w:hAnsiTheme="minorHAnsi" w:cs="Times New Roman"/>
      <w:b/>
      <w:bCs/>
      <w:i/>
      <w:iCs/>
      <w:sz w:val="24"/>
      <w:szCs w:val="28"/>
    </w:rPr>
  </w:style>
  <w:style w:type="paragraph" w:styleId="TOC2">
    <w:name w:val="toc 2"/>
    <w:basedOn w:val="Normal"/>
    <w:next w:val="Normal"/>
    <w:autoRedefine/>
    <w:uiPriority w:val="39"/>
    <w:unhideWhenUsed/>
    <w:rsid w:val="00693900"/>
    <w:pPr>
      <w:spacing w:before="120" w:after="0"/>
      <w:ind w:left="220"/>
    </w:pPr>
    <w:rPr>
      <w:rFonts w:asciiTheme="minorHAnsi" w:hAnsiTheme="minorHAnsi" w:cs="Times New Roman"/>
      <w:b/>
      <w:bCs/>
      <w:szCs w:val="26"/>
    </w:rPr>
  </w:style>
  <w:style w:type="paragraph" w:styleId="TOC3">
    <w:name w:val="toc 3"/>
    <w:basedOn w:val="Normal"/>
    <w:next w:val="Normal"/>
    <w:autoRedefine/>
    <w:uiPriority w:val="39"/>
    <w:unhideWhenUsed/>
    <w:rsid w:val="00693900"/>
    <w:pPr>
      <w:spacing w:after="0"/>
      <w:ind w:left="440"/>
    </w:pPr>
    <w:rPr>
      <w:rFonts w:asciiTheme="minorHAnsi" w:hAnsiTheme="minorHAnsi" w:cs="Times New Roman"/>
      <w:sz w:val="20"/>
      <w:szCs w:val="24"/>
    </w:rPr>
  </w:style>
  <w:style w:type="paragraph" w:styleId="TOC4">
    <w:name w:val="toc 4"/>
    <w:basedOn w:val="Normal"/>
    <w:next w:val="Normal"/>
    <w:autoRedefine/>
    <w:uiPriority w:val="39"/>
    <w:semiHidden/>
    <w:unhideWhenUsed/>
    <w:rsid w:val="00693900"/>
    <w:pPr>
      <w:spacing w:after="0"/>
      <w:ind w:left="660"/>
    </w:pPr>
    <w:rPr>
      <w:rFonts w:asciiTheme="minorHAnsi" w:hAnsiTheme="minorHAnsi" w:cs="Times New Roman"/>
      <w:sz w:val="20"/>
      <w:szCs w:val="24"/>
    </w:rPr>
  </w:style>
  <w:style w:type="paragraph" w:styleId="TOC5">
    <w:name w:val="toc 5"/>
    <w:basedOn w:val="Normal"/>
    <w:next w:val="Normal"/>
    <w:autoRedefine/>
    <w:uiPriority w:val="39"/>
    <w:semiHidden/>
    <w:unhideWhenUsed/>
    <w:rsid w:val="00693900"/>
    <w:pPr>
      <w:spacing w:after="0"/>
      <w:ind w:left="880"/>
    </w:pPr>
    <w:rPr>
      <w:rFonts w:asciiTheme="minorHAnsi" w:hAnsiTheme="minorHAnsi" w:cs="Times New Roman"/>
      <w:sz w:val="20"/>
      <w:szCs w:val="24"/>
    </w:rPr>
  </w:style>
  <w:style w:type="paragraph" w:styleId="TOC6">
    <w:name w:val="toc 6"/>
    <w:basedOn w:val="Normal"/>
    <w:next w:val="Normal"/>
    <w:autoRedefine/>
    <w:uiPriority w:val="39"/>
    <w:semiHidden/>
    <w:unhideWhenUsed/>
    <w:rsid w:val="00693900"/>
    <w:pPr>
      <w:spacing w:after="0"/>
      <w:ind w:left="1100"/>
    </w:pPr>
    <w:rPr>
      <w:rFonts w:asciiTheme="minorHAnsi" w:hAnsiTheme="minorHAnsi" w:cs="Times New Roman"/>
      <w:sz w:val="20"/>
      <w:szCs w:val="24"/>
    </w:rPr>
  </w:style>
  <w:style w:type="paragraph" w:styleId="TOC7">
    <w:name w:val="toc 7"/>
    <w:basedOn w:val="Normal"/>
    <w:next w:val="Normal"/>
    <w:autoRedefine/>
    <w:uiPriority w:val="39"/>
    <w:semiHidden/>
    <w:unhideWhenUsed/>
    <w:rsid w:val="00693900"/>
    <w:pPr>
      <w:spacing w:after="0"/>
      <w:ind w:left="1320"/>
    </w:pPr>
    <w:rPr>
      <w:rFonts w:asciiTheme="minorHAnsi" w:hAnsiTheme="minorHAnsi" w:cs="Times New Roman"/>
      <w:sz w:val="20"/>
      <w:szCs w:val="24"/>
    </w:rPr>
  </w:style>
  <w:style w:type="paragraph" w:styleId="TOC8">
    <w:name w:val="toc 8"/>
    <w:basedOn w:val="Normal"/>
    <w:next w:val="Normal"/>
    <w:autoRedefine/>
    <w:uiPriority w:val="39"/>
    <w:semiHidden/>
    <w:unhideWhenUsed/>
    <w:rsid w:val="00693900"/>
    <w:pPr>
      <w:spacing w:after="0"/>
      <w:ind w:left="1540"/>
    </w:pPr>
    <w:rPr>
      <w:rFonts w:asciiTheme="minorHAnsi" w:hAnsiTheme="minorHAnsi" w:cs="Times New Roman"/>
      <w:sz w:val="20"/>
      <w:szCs w:val="24"/>
    </w:rPr>
  </w:style>
  <w:style w:type="paragraph" w:styleId="TOC9">
    <w:name w:val="toc 9"/>
    <w:basedOn w:val="Normal"/>
    <w:next w:val="Normal"/>
    <w:autoRedefine/>
    <w:uiPriority w:val="39"/>
    <w:semiHidden/>
    <w:unhideWhenUsed/>
    <w:rsid w:val="00693900"/>
    <w:pPr>
      <w:spacing w:after="0"/>
      <w:ind w:left="1760"/>
    </w:pPr>
    <w:rPr>
      <w:rFonts w:asciiTheme="minorHAnsi" w:hAnsiTheme="minorHAnsi" w:cs="Times New Roman"/>
      <w:sz w:val="20"/>
      <w:szCs w:val="24"/>
    </w:rPr>
  </w:style>
  <w:style w:type="paragraph" w:styleId="TableofFigures">
    <w:name w:val="table of figures"/>
    <w:basedOn w:val="Normal"/>
    <w:next w:val="Normal"/>
    <w:uiPriority w:val="99"/>
    <w:unhideWhenUsed/>
    <w:rsid w:val="00693900"/>
    <w:pPr>
      <w:spacing w:after="0"/>
    </w:pPr>
  </w:style>
  <w:style w:type="paragraph" w:styleId="Header">
    <w:name w:val="header"/>
    <w:basedOn w:val="Normal"/>
    <w:link w:val="HeaderChar"/>
    <w:uiPriority w:val="99"/>
    <w:unhideWhenUsed/>
    <w:rsid w:val="007F0C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7F0C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hyperlink" Target="https://sas-space.sas.ac.uk/4321/1/History_teaching_in_Higher_Education_breaking_down_the_barriers_to_progression_and_dialogue.pdf" TargetMode="External"/><Relationship Id="rId26" Type="http://schemas.openxmlformats.org/officeDocument/2006/relationships/hyperlink" Target="https://schmolck.org/qmethod/" TargetMode="External"/><Relationship Id="rId3" Type="http://schemas.openxmlformats.org/officeDocument/2006/relationships/styles" Target="styles.xml"/><Relationship Id="rId21" Type="http://schemas.openxmlformats.org/officeDocument/2006/relationships/hyperlink" Target="https://cusp.ac.uk/wp-content/uploads/WP36%E2%80%94embedding-sustainability-in-higher-education.pdf" TargetMode="External"/><Relationship Id="rId34"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shawnbanasick.github.io/ken-q-analysis/" TargetMode="External"/><Relationship Id="rId17" Type="http://schemas.openxmlformats.org/officeDocument/2006/relationships/hyperlink" Target="https://archives.history.ac.uk/makinghistory/resources/articles/teaching_of_history.html" TargetMode="External"/><Relationship Id="rId25" Type="http://schemas.openxmlformats.org/officeDocument/2006/relationships/hyperlink" Target="https://jonathansandling.com/q-methodology-complete-beginners-guide/" TargetMode="External"/><Relationship Id="rId33" Type="http://schemas.openxmlformats.org/officeDocument/2006/relationships/footer" Target="footer4.xml"/><Relationship Id="rId2" Type="http://schemas.openxmlformats.org/officeDocument/2006/relationships/numbering" Target="numbering.xml"/><Relationship Id="rId16" Type="http://schemas.openxmlformats.org/officeDocument/2006/relationships/hyperlink" Target="https://shawnbanasick.github.io/ken-q-analysis/" TargetMode="External"/><Relationship Id="rId20" Type="http://schemas.openxmlformats.org/officeDocument/2006/relationships/hyperlink" Target="https://qmethodsoftware.com/" TargetMode="External"/><Relationship Id="rId29" Type="http://schemas.openxmlformats.org/officeDocument/2006/relationships/hyperlink" Target="https://notebooklm.google.com/notebook/cef4ec7d-148d-4cb4-b328-ef28f18ed5fa?authuser=1"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24" Type="http://schemas.openxmlformats.org/officeDocument/2006/relationships/hyperlink" Target="https://www.qaa.ac.uk/the-quality-code/subject-benchmark-statements/history" TargetMode="External"/><Relationship Id="rId32" Type="http://schemas.openxmlformats.org/officeDocument/2006/relationships/footer" Target="footer3.xml"/><Relationship Id="rId5" Type="http://schemas.openxmlformats.org/officeDocument/2006/relationships/webSettings" Target="webSettings.xml"/><Relationship Id="rId15" Type="http://schemas.openxmlformats.org/officeDocument/2006/relationships/hyperlink" Target="https://www.advance-he.ac.uk/knowledge-hub/education-sustainable-development-guidance" TargetMode="External"/><Relationship Id="rId23" Type="http://schemas.openxmlformats.org/officeDocument/2006/relationships/hyperlink" Target="https://www.qaa.ac.uk/the-quality-code/subject-benchmark-statements" TargetMode="External"/><Relationship Id="rId28" Type="http://schemas.openxmlformats.org/officeDocument/2006/relationships/hyperlink" Target="https://qmethod.org/portfolio/van-exel-and-de-graaf-a-q-methodology-sneak-preview/" TargetMode="External"/><Relationship Id="rId10" Type="http://schemas.openxmlformats.org/officeDocument/2006/relationships/footer" Target="footer2.xml"/><Relationship Id="rId19" Type="http://schemas.openxmlformats.org/officeDocument/2006/relationships/hyperlink" Target="https://warwick.ac.uk/fac/cross_fac/heahistory/resources/br_brooks_esd_200604xx_01.pdf" TargetMode="External"/><Relationship Id="rId31" Type="http://schemas.openxmlformats.org/officeDocument/2006/relationships/image" Target="media/image5.pn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image" Target="media/image4.png"/><Relationship Id="rId22" Type="http://schemas.openxmlformats.org/officeDocument/2006/relationships/hyperlink" Target="https://www.google.com/search?q=https://q-assessor.com&amp;authuser=1" TargetMode="External"/><Relationship Id="rId27" Type="http://schemas.openxmlformats.org/officeDocument/2006/relationships/hyperlink" Target="https://www.sussex.ac.uk/cweh/" TargetMode="External"/><Relationship Id="rId30" Type="http://schemas.openxmlformats.org/officeDocument/2006/relationships/hyperlink" Target="https://2577213.playcode.io/" TargetMode="External"/><Relationship Id="rId35" Type="http://schemas.openxmlformats.org/officeDocument/2006/relationships/theme" Target="theme/theme1.xml"/><Relationship Id="rId8"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CTRHarvard_.xsl" StyleName="Harvard - UHI CTR" Version="1"/>
</file>

<file path=customXml/itemProps1.xml><?xml version="1.0" encoding="utf-8"?>
<ds:datastoreItem xmlns:ds="http://schemas.openxmlformats.org/officeDocument/2006/customXml" ds:itemID="{B211B553-5DEF-4C45-9E3D-20BF51ED91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138</TotalTime>
  <Pages>85</Pages>
  <Words>24447</Words>
  <Characters>139351</Characters>
  <Application>Microsoft Office Word</Application>
  <DocSecurity>0</DocSecurity>
  <Lines>1161</Lines>
  <Paragraphs>326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163472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Katy Bernardelli (2311581)</dc:creator>
  <cp:keywords/>
  <dc:description/>
  <cp:lastModifiedBy>Katy Bernardelli (2311581)</cp:lastModifiedBy>
  <cp:revision>9</cp:revision>
  <dcterms:created xsi:type="dcterms:W3CDTF">2026-05-14T15:26:00Z</dcterms:created>
  <dcterms:modified xsi:type="dcterms:W3CDTF">2026-05-15T14:38:00Z</dcterms:modified>
</cp:coreProperties>
</file>