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ackground w:color="ffffff">
    <v:background o:targetscreensize="1024,768">
      <v:fill type="solid" color="#ffffff" opacity="1.000000" color2="#ffffff" o:opacity2="1.000000" rotate="f" angle="0.000000" focusposition="0.000000,0.000000"/>
    </v:background>
  </w:background>
  <w:body>
    <w:p w14:paraId="00000001">
      <w:pPr>
        <w:pStyle w:val="Normal"/>
        <w:spacing w:line="360" w:lineRule="auto"/>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3407410" cy="112585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49" name=""/>
                    <pic:cNvPicPr>
                      <a:picLocks noGrp="0" noSelect="0" noChangeAspect="1" noMove="0"/>
                    </pic:cNvPicPr>
                  </pic:nvPicPr>
                  <pic:blipFill>
                    <a:blip r:embed="rId5"/>
                    <a:srcRect/>
                    <a:stretch>
                      <a:fillRect/>
                    </a:stretch>
                  </pic:blipFill>
                  <pic:spPr>
                    <a:xfrm>
                      <a:off x="0" y="0"/>
                      <a:ext cx="3407410" cy="1125855"/>
                    </a:xfrm>
                    <a:prstGeom prst="rect">
                      <a:avLst/>
                    </a:prstGeom>
                    <a:noFill/>
                    <a:ln>
                      <a:noFill/>
                      <a:miter/>
                    </a:ln>
                  </pic:spPr>
                </pic:pic>
              </a:graphicData>
            </a:graphic>
          </wp:inline>
        </w:drawing>
      </w:r>
    </w:p>
    <w:p w14:paraId="00000002">
      <w:pPr>
        <w:pStyle w:val="Normal"/>
        <w:spacing w:line="360" w:lineRule="auto"/>
        <w:jc w:val="center"/>
        <w:rPr>
          <w:rFonts w:ascii="Times New Roman" w:cs="Times New Roman" w:hAnsi="Times New Roman"/>
          <w:sz w:val="32"/>
          <w:szCs w:val="32"/>
        </w:rPr>
      </w:pPr>
    </w:p>
    <w:p w14:paraId="00000003">
      <w:pPr>
        <w:pStyle w:val="Normal"/>
        <w:spacing w:line="360" w:lineRule="auto"/>
        <w:jc w:val="center"/>
        <w:rPr>
          <w:rFonts w:ascii="Times New Roman" w:cs="Times New Roman" w:hAnsi="Times New Roman"/>
          <w:b/>
          <w:bCs/>
          <w:sz w:val="24"/>
          <w:szCs w:val="24"/>
        </w:rPr>
      </w:pPr>
      <w:r>
        <w:rPr>
          <w:rFonts w:ascii="Times New Roman" w:cs="Times New Roman" w:hAnsi="Times New Roman"/>
          <w:b/>
          <w:bCs/>
          <w:sz w:val="32"/>
          <w:szCs w:val="32"/>
        </w:rPr>
        <w:t>Hyatt Hotels Corporation: A Comprehensive Analysis of Structure, Culture, and Strategic Direction</w:t>
      </w:r>
    </w:p>
    <w:p w14:paraId="00000004">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t>Student name:</w:t>
      </w:r>
      <w:r>
        <w:rPr>
          <w:rFonts w:ascii="Times New Roman" w:cs="Times New Roman" w:hAnsi="Times New Roman"/>
          <w:sz w:val="24"/>
          <w:szCs w:val="24"/>
        </w:rPr>
        <w:t xml:space="preserve"> </w:t>
      </w:r>
      <w:r>
        <w:rPr>
          <w:rFonts w:ascii="Times New Roman" w:cs="Times New Roman" w:hAnsi="Times New Roman"/>
          <w:sz w:val="24"/>
          <w:szCs w:val="24"/>
        </w:rPr>
        <w:t xml:space="preserve">Andreea </w:t>
      </w:r>
      <w:r>
        <w:rPr>
          <w:rFonts w:ascii="Times New Roman" w:cs="Times New Roman" w:hAnsi="Times New Roman"/>
          <w:sz w:val="24"/>
          <w:szCs w:val="24"/>
        </w:rPr>
        <w:t>Maria Crozolo</w:t>
      </w:r>
    </w:p>
    <w:p w14:paraId="00000005">
      <w:pPr>
        <w:pStyle w:val="Normal"/>
        <w:spacing w:line="360" w:lineRule="auto"/>
        <w:jc w:val="center"/>
        <w:rPr>
          <w:rFonts w:ascii="Times New Roman" w:cs="Times New Roman" w:hAnsi="Times New Roman"/>
          <w:b/>
          <w:bCs/>
          <w:sz w:val="24"/>
          <w:szCs w:val="24"/>
        </w:rPr>
      </w:pPr>
      <w:r>
        <w:rPr>
          <w:rFonts w:ascii="Times New Roman" w:cs="Times New Roman" w:hAnsi="Times New Roman"/>
          <w:sz w:val="24"/>
          <w:szCs w:val="24"/>
        </w:rPr>
        <w:t>Student ID number:</w:t>
      </w:r>
      <w:r>
        <w:rPr>
          <w:rFonts w:ascii="Times New Roman" w:cs="Times New Roman" w:hAnsi="Times New Roman"/>
          <w:sz w:val="24"/>
          <w:szCs w:val="24"/>
        </w:rPr>
        <w:t xml:space="preserve"> 2226837</w:t>
      </w:r>
    </w:p>
    <w:p w14:paraId="00000006">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b/>
          <w:sz w:val="24"/>
          <w:szCs w:val="24"/>
        </w:rPr>
        <w:t>School of Hospitality and Tourism Management</w:t>
      </w:r>
      <w:r>
        <w:rPr>
          <w:rFonts w:ascii="Times New Roman" w:cs="Times New Roman" w:hAnsi="Times New Roman"/>
          <w:b/>
          <w:sz w:val="24"/>
          <w:szCs w:val="24"/>
        </w:rPr>
        <w:t xml:space="preserve"> </w:t>
      </w:r>
    </w:p>
    <w:p w14:paraId="00000007">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b/>
          <w:sz w:val="24"/>
          <w:szCs w:val="24"/>
        </w:rPr>
        <w:t>BA International Hotel Management</w:t>
      </w:r>
      <w:r>
        <w:rPr>
          <w:rFonts w:ascii="Times New Roman" w:cs="Times New Roman" w:hAnsi="Times New Roman"/>
          <w:b/>
          <w:sz w:val="24"/>
          <w:szCs w:val="24"/>
        </w:rPr>
        <w:t xml:space="preserve"> </w:t>
      </w:r>
    </w:p>
    <w:p w14:paraId="00000008">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b/>
          <w:sz w:val="24"/>
          <w:szCs w:val="24"/>
        </w:rPr>
        <w:t>Module Handbook Autumn Term 2024</w:t>
      </w:r>
      <w:r>
        <w:rPr>
          <w:rFonts w:ascii="Times New Roman" w:cs="Times New Roman" w:hAnsi="Times New Roman"/>
          <w:b/>
          <w:sz w:val="24"/>
          <w:szCs w:val="24"/>
        </w:rPr>
        <w:t xml:space="preserve"> </w:t>
      </w:r>
    </w:p>
    <w:p w14:paraId="00000009">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t>BMIH500</w:t>
      </w:r>
      <w:r>
        <w:rPr>
          <w:rFonts w:ascii="Times New Roman" w:cs="Times New Roman" w:hAnsi="Times New Roman"/>
          <w:sz w:val="24"/>
          <w:szCs w:val="24"/>
        </w:rPr>
        <w:t>4  Management and Organisational Behaviour</w:t>
      </w:r>
      <w:r>
        <w:rPr>
          <w:rFonts w:ascii="Times New Roman" w:cs="Times New Roman" w:hAnsi="Times New Roman"/>
          <w:sz w:val="24"/>
          <w:szCs w:val="24"/>
        </w:rPr>
        <w:t xml:space="preserve"> </w:t>
      </w:r>
    </w:p>
    <w:p w14:paraId="0000000A">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t>LEVEL 5</w:t>
      </w:r>
      <w:r>
        <w:rPr>
          <w:rFonts w:ascii="Times New Roman" w:cs="Times New Roman" w:hAnsi="Times New Roman"/>
          <w:sz w:val="24"/>
          <w:szCs w:val="24"/>
        </w:rPr>
        <w:t xml:space="preserve"> </w:t>
      </w:r>
    </w:p>
    <w:p w14:paraId="0000000B">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t>Module Lead:  Daniel Payne</w:t>
      </w:r>
      <w:r>
        <w:rPr>
          <w:rFonts w:ascii="Times New Roman" w:cs="Times New Roman" w:hAnsi="Times New Roman"/>
          <w:sz w:val="24"/>
          <w:szCs w:val="24"/>
        </w:rPr>
        <w:t xml:space="preserve"> </w:t>
      </w:r>
    </w:p>
    <w:p w14:paraId="0000000C">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color w:val="0000ff"/>
          <w:sz w:val="24"/>
          <w:szCs w:val="24"/>
        </w:rPr>
      </w:pPr>
      <w:r>
        <w:rPr>
          <w:rFonts w:ascii="Times New Roman" w:cs="Times New Roman" w:hAnsi="Times New Roman"/>
          <w:color w:val="0000ff"/>
          <w:sz w:val="24"/>
          <w:szCs w:val="24"/>
        </w:rPr>
        <w:t>d.payne@uwtsd.ac.uk</w:t>
      </w:r>
      <w:r>
        <w:rPr>
          <w:rFonts w:ascii="Times New Roman" w:cs="Times New Roman" w:hAnsi="Times New Roman"/>
          <w:color w:val="0000ff"/>
          <w:sz w:val="24"/>
          <w:szCs w:val="24"/>
        </w:rPr>
        <w:t xml:space="preserve"> </w:t>
      </w:r>
    </w:p>
    <w:p w14:paraId="0000000D">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t>September 2024</w:t>
      </w:r>
    </w:p>
    <w:p w14:paraId="0000000E">
      <w:pPr>
        <w:pStyle w:val="Normal"/>
        <w:spacing w:line="360" w:lineRule="auto"/>
        <w:jc w:val="right"/>
        <w:rPr>
          <w:rFonts w:ascii="Times New Roman" w:cs="Times New Roman" w:hAnsi="Times New Roman"/>
          <w:sz w:val="24"/>
          <w:szCs w:val="24"/>
        </w:rPr>
      </w:pPr>
    </w:p>
    <w:p w14:paraId="0000000F">
      <w:pPr>
        <w:pStyle w:val="Normal"/>
        <w:spacing w:line="360" w:lineRule="auto"/>
        <w:jc w:val="right"/>
        <w:rPr>
          <w:rFonts w:ascii="Times New Roman" w:cs="Times New Roman" w:hAnsi="Times New Roman"/>
          <w:sz w:val="24"/>
          <w:szCs w:val="24"/>
        </w:rPr>
      </w:pPr>
    </w:p>
    <w:p w14:paraId="00000010">
      <w:pPr>
        <w:pStyle w:val="Normal"/>
        <w:spacing w:line="360" w:lineRule="auto"/>
        <w:jc w:val="right"/>
        <w:rPr>
          <w:rFonts w:ascii="Times New Roman" w:cs="Times New Roman" w:hAnsi="Times New Roman"/>
          <w:sz w:val="24"/>
          <w:szCs w:val="24"/>
        </w:rPr>
      </w:pPr>
    </w:p>
    <w:p w14:paraId="00000011">
      <w:pPr>
        <w:pStyle w:val="Normal"/>
        <w:spacing w:line="360" w:lineRule="auto"/>
        <w:jc w:val="right"/>
        <w:rPr>
          <w:rFonts w:ascii="Times New Roman" w:cs="Times New Roman" w:hAnsi="Times New Roman"/>
          <w:sz w:val="24"/>
          <w:szCs w:val="24"/>
        </w:rPr>
      </w:pPr>
    </w:p>
    <w:p w14:paraId="00000012">
      <w:pPr>
        <w:pStyle w:val="Normal"/>
        <w:spacing w:line="360" w:lineRule="auto"/>
        <w:jc w:val="right"/>
        <w:rPr>
          <w:rFonts w:ascii="Times New Roman" w:cs="Times New Roman" w:hAnsi="Times New Roman"/>
          <w:sz w:val="24"/>
          <w:szCs w:val="24"/>
        </w:rPr>
      </w:pPr>
    </w:p>
    <w:p w14:paraId="00000013">
      <w:pPr>
        <w:pStyle w:val="Normal"/>
        <w:spacing w:line="360" w:lineRule="auto"/>
        <w:jc w:val="right"/>
        <w:rPr>
          <w:rFonts w:ascii="Times New Roman" w:cs="Times New Roman" w:hAnsi="Times New Roman"/>
          <w:sz w:val="24"/>
          <w:szCs w:val="24"/>
        </w:rPr>
      </w:pPr>
    </w:p>
    <w:p w14:paraId="00000014">
      <w:pPr>
        <w:pStyle w:val="Normal"/>
        <w:spacing w:line="360" w:lineRule="auto"/>
        <w:jc w:val="right"/>
        <w:rPr>
          <w:rFonts w:ascii="Times New Roman" w:cs="Times New Roman" w:hAnsi="Times New Roman"/>
          <w:sz w:val="24"/>
          <w:szCs w:val="24"/>
        </w:rPr>
      </w:pPr>
    </w:p>
    <w:p w14:paraId="00000015">
      <w:pPr>
        <w:pStyle w:val="Normal"/>
        <w:spacing w:line="360" w:lineRule="auto"/>
        <w:jc w:val="right"/>
        <w:rPr>
          <w:rFonts w:ascii="Times New Roman" w:cs="Times New Roman" w:hAnsi="Times New Roman"/>
          <w:sz w:val="24"/>
          <w:szCs w:val="24"/>
        </w:rPr>
      </w:pPr>
    </w:p>
    <w:p w14:paraId="00000016">
      <w:pPr>
        <w:pStyle w:val="Normal"/>
        <w:rPr/>
      </w:pPr>
    </w:p>
    <w:p w14:paraId="00000017">
      <w:pPr>
        <w:pStyle w:val="Normal"/>
        <w:rPr/>
      </w:pPr>
    </w:p>
    <w:p w14:paraId="00000018">
      <w:pPr>
        <w:pStyle w:val="Normal"/>
        <w:rPr>
          <w:sz w:val="24"/>
          <w:szCs w:val="24"/>
        </w:rPr>
      </w:pPr>
      <w:r>
        <w:rPr>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w:t>
      </w:r>
      <w:r>
        <w:rPr>
          <w:sz w:val="24"/>
          <w:szCs w:val="24"/>
        </w:rPr>
        <w:t>may be asked to provide in evidence.</w:t>
      </w:r>
    </w:p>
    <w:p w14:paraId="00000019">
      <w:pPr>
        <w:pStyle w:val="Normal"/>
        <w:rPr/>
      </w:pPr>
    </w:p>
    <w:p w14:paraId="0000001A">
      <w:pPr>
        <w:pStyle w:val="Normal"/>
        <w:rPr/>
      </w:pPr>
    </w:p>
    <w:p w14:paraId="0000001B">
      <w:pPr>
        <w:pStyle w:val="Normal"/>
        <w:rPr/>
      </w:pPr>
    </w:p>
    <w:p w14:paraId="0000001C">
      <w:pPr>
        <w:pStyle w:val="Normal"/>
        <w:rPr/>
      </w:pPr>
    </w:p>
    <w:p w14:paraId="0000001D">
      <w:pPr>
        <w:pStyle w:val="Normal"/>
        <w:rPr/>
      </w:pPr>
    </w:p>
    <w:p w14:paraId="0000001E">
      <w:pPr>
        <w:pStyle w:val="Normal"/>
        <w:rPr/>
      </w:pPr>
    </w:p>
    <w:p w14:paraId="0000001F">
      <w:pPr>
        <w:pStyle w:val="Normal"/>
        <w:rPr/>
      </w:pPr>
    </w:p>
    <w:p w14:paraId="00000020">
      <w:pPr>
        <w:pStyle w:val="Normal"/>
        <w:rPr/>
      </w:pPr>
    </w:p>
    <w:p w14:paraId="00000021">
      <w:pPr>
        <w:pStyle w:val="Normal"/>
        <w:rPr/>
      </w:pPr>
    </w:p>
    <w:p w14:paraId="00000022">
      <w:pPr>
        <w:pStyle w:val="Normal"/>
        <w:rPr/>
      </w:pPr>
    </w:p>
    <w:p w14:paraId="00000023">
      <w:pPr>
        <w:pStyle w:val="Normal"/>
        <w:rPr/>
      </w:pPr>
    </w:p>
    <w:p w14:paraId="00000024">
      <w:pPr>
        <w:pStyle w:val="Normal"/>
        <w:rPr/>
      </w:pPr>
    </w:p>
    <w:p w14:paraId="00000025">
      <w:pPr>
        <w:pStyle w:val="Normal"/>
        <w:rPr/>
      </w:pPr>
    </w:p>
    <w:p w14:paraId="00000026">
      <w:pPr>
        <w:pStyle w:val="Normal"/>
        <w:rPr/>
      </w:pPr>
    </w:p>
    <w:p w14:paraId="00000027">
      <w:pPr>
        <w:pStyle w:val="Normal"/>
        <w:rPr/>
      </w:pPr>
    </w:p>
    <w:p w14:paraId="00000028">
      <w:pPr>
        <w:pStyle w:val="Normal"/>
        <w:rPr/>
      </w:pPr>
    </w:p>
    <w:p w14:paraId="00000029">
      <w:pPr>
        <w:pStyle w:val="Normal"/>
        <w:rPr/>
      </w:pPr>
    </w:p>
    <w:p w14:paraId="0000002A">
      <w:pPr>
        <w:pStyle w:val="Normal"/>
        <w:rPr/>
      </w:pPr>
    </w:p>
    <w:p w14:paraId="0000002B">
      <w:pPr>
        <w:pStyle w:val="Normal"/>
        <w:rPr/>
      </w:pPr>
    </w:p>
    <w:p w14:paraId="0000002C">
      <w:pPr>
        <w:pStyle w:val="Normal"/>
        <w:rPr/>
      </w:pPr>
    </w:p>
    <w:p w14:paraId="0000002D">
      <w:pPr>
        <w:pStyle w:val="Normal"/>
        <w:rPr/>
      </w:pPr>
    </w:p>
    <w:p w14:paraId="0000002E">
      <w:pPr>
        <w:pStyle w:val="Normal"/>
        <w:rPr/>
      </w:pPr>
    </w:p>
    <w:p w14:paraId="0000002F">
      <w:pPr>
        <w:pStyle w:val="Normal"/>
        <w:rPr/>
      </w:pPr>
    </w:p>
    <w:p w14:paraId="00000030">
      <w:pPr>
        <w:pStyle w:val="Normal"/>
        <w:rPr/>
      </w:pPr>
    </w:p>
    <w:p w14:paraId="00000031">
      <w:pPr>
        <w:pStyle w:val="Normal"/>
        <w:spacing w:line="360" w:lineRule="auto"/>
        <w:jc w:val="right"/>
        <w:rPr>
          <w:rFonts w:ascii="Times New Roman" w:cs="Times New Roman" w:hAnsi="Times New Roman"/>
          <w:sz w:val="24"/>
          <w:szCs w:val="24"/>
        </w:rPr>
      </w:pPr>
    </w:p>
    <w:p w14:paraId="00000032">
      <w:pPr>
        <w:pStyle w:val="Normal"/>
        <w:spacing w:line="360" w:lineRule="auto"/>
        <w:jc w:val="right"/>
        <w:rPr>
          <w:rFonts w:ascii="Times New Roman" w:cs="Times New Roman" w:hAnsi="Times New Roman"/>
          <w:sz w:val="24"/>
          <w:szCs w:val="24"/>
        </w:rPr>
      </w:pPr>
    </w:p>
    <w:p w14:paraId="00000033">
      <w:pPr>
        <w:pStyle w:val="Heading1"/>
        <w:spacing w:line="360" w:lineRule="auto"/>
        <w:rPr>
          <w:rFonts w:ascii="Times New Roman" w:hAnsi="Times New Roman"/>
          <w:b w:val="off"/>
          <w:bCs w:val="off"/>
          <w:sz w:val="24"/>
          <w:szCs w:val="24"/>
        </w:rPr>
      </w:pPr>
      <w:bookmarkStart w:id="0" w:name="_Toc1"/>
      <w:r>
        <w:rPr>
          <w:rFonts w:ascii="Times New Roman" w:hAnsi="Times New Roman"/>
          <w:sz w:val="24"/>
          <w:szCs w:val="24"/>
        </w:rPr>
        <w:t>Executive Summary</w:t>
      </w:r>
      <w:bookmarkEnd w:id="0"/>
    </w:p>
    <w:p w14:paraId="00000034">
      <w:pPr>
        <w:pStyle w:val="Normal"/>
        <w:spacing w:line="360" w:lineRule="auto"/>
        <w:rPr>
          <w:rFonts w:ascii="Times New Roman" w:cs="Times New Roman" w:hAnsi="Times New Roman"/>
          <w:sz w:val="24"/>
          <w:szCs w:val="24"/>
        </w:rPr>
      </w:pPr>
    </w:p>
    <w:p w14:paraId="00000035">
      <w:pPr>
        <w:pStyle w:val="Normal"/>
        <w:spacing w:line="360" w:lineRule="auto"/>
        <w:rPr>
          <w:rFonts w:ascii="Times New Roman" w:cs="Times New Roman" w:hAnsi="Times New Roman"/>
          <w:sz w:val="24"/>
          <w:szCs w:val="24"/>
        </w:rPr>
      </w:pPr>
    </w:p>
    <w:p w14:paraId="00000036">
      <w:pPr>
        <w:pStyle w:val="Normal"/>
        <w:spacing w:line="360" w:lineRule="auto"/>
        <w:rPr>
          <w:rFonts w:ascii="Times New Roman" w:cs="Times New Roman" w:hAnsi="Times New Roman"/>
          <w:sz w:val="24"/>
          <w:szCs w:val="24"/>
        </w:rPr>
      </w:pPr>
      <w:r>
        <w:rPr>
          <w:rFonts w:ascii="Times New Roman" w:cs="Times New Roman" w:hAnsi="Times New Roman"/>
          <w:sz w:val="24"/>
          <w:szCs w:val="24"/>
        </w:rPr>
        <w:t>This report provides an examination of Hyatt Hotels Corporations operations, with a focus on its framework an</w:t>
      </w:r>
      <w:r>
        <w:rPr>
          <w:rFonts w:ascii="Times New Roman" w:cs="Times New Roman" w:hAnsi="Times New Roman"/>
          <w:sz w:val="24"/>
          <w:szCs w:val="24"/>
        </w:rPr>
        <w:t>d company culture along with its strategic goals in mind. Hyatt employs a structure that allows individual hotels to tailor their approaches to fit markets while upholding corporate norms. The company values a people oriented culture that highlights the im</w:t>
      </w:r>
      <w:r>
        <w:rPr>
          <w:rFonts w:ascii="Times New Roman" w:cs="Times New Roman" w:hAnsi="Times New Roman"/>
          <w:sz w:val="24"/>
          <w:szCs w:val="24"/>
        </w:rPr>
        <w:t>portance of empowering employees and delivering customer service which results in both employee retention rates and satisfied guests. Attempt such as expanding their asset light business model and acquiring companies like Apple Leisure Group, Hyatt has pos</w:t>
      </w:r>
      <w:r>
        <w:rPr>
          <w:rFonts w:ascii="Times New Roman" w:cs="Times New Roman" w:hAnsi="Times New Roman"/>
          <w:sz w:val="24"/>
          <w:szCs w:val="24"/>
        </w:rPr>
        <w:t>itioned itself for growth and success, in the industry. The company's significance, on sustainability and social responsibility and its commitment to innovation through programs like Hyatt Thrive enhance efficiency. Build a positive brand image. Additional</w:t>
      </w:r>
      <w:r>
        <w:rPr>
          <w:rFonts w:ascii="Times New Roman" w:cs="Times New Roman" w:hAnsi="Times New Roman"/>
          <w:sz w:val="24"/>
          <w:szCs w:val="24"/>
        </w:rPr>
        <w:t>ly the analysis utilizes management concepts such, as Mintzburgs configurations and Schein's cultural model to delve into Hyatt's evolving business landscape.</w:t>
      </w:r>
      <w:r>
        <w:rPr>
          <w:rFonts w:ascii="Times New Roman" w:cs="Times New Roman" w:hAnsi="Times New Roman"/>
          <w:sz w:val="24"/>
          <w:szCs w:val="24"/>
        </w:rPr>
        <w:t xml:space="preserve"> </w:t>
      </w:r>
    </w:p>
    <w:p w14:paraId="00000037">
      <w:pPr>
        <w:pStyle w:val="Normal"/>
        <w:spacing w:line="360" w:lineRule="auto"/>
        <w:jc w:val="right"/>
        <w:rPr>
          <w:rFonts w:ascii="Times New Roman" w:cs="Times New Roman" w:hAnsi="Times New Roman"/>
          <w:sz w:val="24"/>
          <w:szCs w:val="24"/>
        </w:rPr>
      </w:pPr>
    </w:p>
    <w:p w14:paraId="00000038">
      <w:pPr>
        <w:pStyle w:val="Normal"/>
        <w:spacing w:line="360" w:lineRule="auto"/>
        <w:jc w:val="right"/>
        <w:rPr>
          <w:rFonts w:ascii="Times New Roman" w:cs="Times New Roman" w:hAnsi="Times New Roman"/>
          <w:sz w:val="24"/>
          <w:szCs w:val="24"/>
        </w:rPr>
      </w:pPr>
    </w:p>
    <w:p w14:paraId="00000039">
      <w:pPr>
        <w:pStyle w:val="Normal"/>
        <w:spacing w:line="360" w:lineRule="auto"/>
        <w:jc w:val="right"/>
        <w:rPr>
          <w:rFonts w:ascii="Times New Roman" w:cs="Times New Roman" w:hAnsi="Times New Roman"/>
          <w:sz w:val="24"/>
          <w:szCs w:val="24"/>
        </w:rPr>
      </w:pPr>
    </w:p>
    <w:p w14:paraId="0000003A">
      <w:pPr>
        <w:pStyle w:val="Normal"/>
        <w:spacing w:line="360" w:lineRule="auto"/>
        <w:jc w:val="right"/>
        <w:rPr>
          <w:rFonts w:ascii="Times New Roman" w:cs="Times New Roman" w:hAnsi="Times New Roman"/>
          <w:sz w:val="24"/>
          <w:szCs w:val="24"/>
        </w:rPr>
      </w:pPr>
    </w:p>
    <w:p w14:paraId="0000003B">
      <w:pPr>
        <w:pStyle w:val="Normal"/>
        <w:spacing w:line="360" w:lineRule="auto"/>
        <w:jc w:val="right"/>
        <w:rPr>
          <w:rFonts w:ascii="Times New Roman" w:cs="Times New Roman" w:hAnsi="Times New Roman"/>
          <w:sz w:val="24"/>
          <w:szCs w:val="24"/>
        </w:rPr>
      </w:pPr>
    </w:p>
    <w:p w14:paraId="0000003C">
      <w:pPr>
        <w:pStyle w:val="Normal"/>
        <w:spacing w:line="360" w:lineRule="auto"/>
        <w:jc w:val="right"/>
        <w:rPr>
          <w:rFonts w:ascii="Times New Roman" w:cs="Times New Roman" w:hAnsi="Times New Roman"/>
          <w:sz w:val="24"/>
          <w:szCs w:val="24"/>
        </w:rPr>
      </w:pPr>
    </w:p>
    <w:p w14:paraId="0000003D">
      <w:pPr>
        <w:pStyle w:val="Normal"/>
        <w:spacing w:line="360" w:lineRule="auto"/>
        <w:jc w:val="right"/>
        <w:rPr>
          <w:rFonts w:ascii="Times New Roman" w:cs="Times New Roman" w:hAnsi="Times New Roman"/>
          <w:sz w:val="24"/>
          <w:szCs w:val="24"/>
        </w:rPr>
      </w:pPr>
    </w:p>
    <w:p w14:paraId="0000003E">
      <w:pPr>
        <w:pStyle w:val="Normal"/>
        <w:spacing w:line="360" w:lineRule="auto"/>
        <w:jc w:val="right"/>
        <w:rPr>
          <w:rFonts w:ascii="Times New Roman" w:cs="Times New Roman" w:hAnsi="Times New Roman"/>
          <w:sz w:val="24"/>
          <w:szCs w:val="24"/>
        </w:rPr>
      </w:pPr>
    </w:p>
    <w:p w14:paraId="0000003F">
      <w:pPr>
        <w:pStyle w:val="Tocheading"/>
        <w:spacing w:line="360" w:lineRule="auto"/>
        <w:rPr>
          <w:rFonts w:ascii="Times New Roman" w:hAnsi="Times New Roman"/>
          <w:b/>
          <w:bCs/>
          <w:sz w:val="24"/>
          <w:szCs w:val="24"/>
        </w:rPr>
      </w:pPr>
      <w:r>
        <w:rPr>
          <w:rFonts w:ascii="Times New Roman" w:hAnsi="Times New Roman"/>
          <w:b/>
          <w:bCs/>
          <w:sz w:val="24"/>
          <w:szCs w:val="24"/>
        </w:rPr>
        <w:fldChar w:fldCharType="begin"/>
      </w:r>
      <w:r>
        <w:rPr>
          <w:rFonts w:ascii="Times New Roman" w:hAnsi="Times New Roman"/>
          <w:b/>
          <w:bCs/>
          <w:sz w:val="24"/>
          <w:szCs w:val="24"/>
        </w:rPr>
        <w:instrText xml:space="preserve">TOC \o "1 - 3" \h \u</w:instrText>
      </w:r>
      <w:r>
        <w:rPr>
          <w:rFonts w:ascii="Times New Roman" w:hAnsi="Times New Roman"/>
          <w:b/>
          <w:bCs/>
          <w:sz w:val="24"/>
          <w:szCs w:val="24"/>
        </w:rPr>
        <w:fldChar w:fldCharType="separate"/>
      </w:r>
      <w:r>
        <w:rPr>
          <w:rFonts w:ascii="Times New Roman" w:hAnsi="Times New Roman"/>
          <w:b/>
          <w:bCs/>
          <w:sz w:val="24"/>
          <w:szCs w:val="24"/>
        </w:rPr>
        <w:t>Table of content</w:t>
      </w:r>
    </w:p>
    <w:p w14:paraId="00000040">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"_Toc1"</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Executive Summary</w:t>
        <w:tab/>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PAGEREF _Toc1 \h</w:instrText>
      </w:r>
      <w:r>
        <w:rPr>
          <w:rFonts w:ascii="Times New Roman" w:cs="Times New Roman" w:hAnsi="Times New Roman" w:hint="default"/>
          <w:sz w:val="24"/>
          <w:szCs w:val="24"/>
        </w:rPr>
        <w:fldChar w:fldCharType="separate"/>
      </w:r>
      <w:r>
        <w:rPr>
          <w:rFonts w:ascii="Times New Roman" w:cs="Times New Roman" w:hAnsi="Times New Roman" w:hint="default"/>
          <w:sz w:val="24"/>
          <w:szCs w:val="24"/>
        </w:rPr>
        <w:t>2</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1">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"_Toc6"</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Introduction</w:t>
        <w:tab/>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PAGEREF _Toc6 \h</w:instrText>
      </w:r>
      <w:r>
        <w:rPr>
          <w:rFonts w:ascii="Times New Roman" w:cs="Times New Roman" w:hAnsi="Times New Roman" w:hint="default"/>
          <w:sz w:val="24"/>
          <w:szCs w:val="24"/>
        </w:rPr>
        <w:fldChar w:fldCharType="separate"/>
      </w:r>
      <w:r>
        <w:rPr>
          <w:rFonts w:ascii="Times New Roman" w:cs="Times New Roman" w:hAnsi="Times New Roman" w:hint="default"/>
          <w:sz w:val="24"/>
          <w:szCs w:val="24"/>
        </w:rPr>
        <w:t>4</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2">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"_Toc4"</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Organizational Structure, Culture, and Goals</w:t>
        <w:tab/>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PAGEREF _Toc4 \h</w:instrText>
      </w:r>
      <w:r>
        <w:rPr>
          <w:rFonts w:ascii="Times New Roman" w:cs="Times New Roman" w:hAnsi="Times New Roman" w:hint="default"/>
          <w:sz w:val="24"/>
          <w:szCs w:val="24"/>
        </w:rPr>
        <w:fldChar w:fldCharType="separate"/>
      </w:r>
      <w:r>
        <w:rPr>
          <w:rFonts w:ascii="Times New Roman" w:cs="Times New Roman" w:hAnsi="Times New Roman" w:hint="default"/>
          <w:sz w:val="24"/>
          <w:szCs w:val="24"/>
        </w:rPr>
        <w:t>5</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3">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"_Toc7"</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Application of Mintzberg’s Organizational Configurations</w:t>
        <w:tab/>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PAGEREF _Toc7 \h</w:instrText>
      </w:r>
      <w:r>
        <w:rPr>
          <w:rFonts w:ascii="Times New Roman" w:cs="Times New Roman" w:hAnsi="Times New Roman" w:hint="default"/>
          <w:sz w:val="24"/>
          <w:szCs w:val="24"/>
        </w:rPr>
        <w:fldChar w:fldCharType="separate"/>
      </w:r>
      <w:r>
        <w:rPr>
          <w:rFonts w:ascii="Times New Roman" w:cs="Times New Roman" w:hAnsi="Times New Roman" w:hint="default"/>
          <w:sz w:val="24"/>
          <w:szCs w:val="24"/>
        </w:rPr>
        <w:t>7</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4">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"_Toc9"</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Impact of Corporate Culture on Operations</w:t>
        <w:tab/>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PAGEREF _Toc9 \h</w:instrText>
      </w:r>
      <w:r>
        <w:rPr>
          <w:rFonts w:ascii="Times New Roman" w:cs="Times New Roman" w:hAnsi="Times New Roman" w:hint="default"/>
          <w:sz w:val="24"/>
          <w:szCs w:val="24"/>
        </w:rPr>
        <w:fldChar w:fldCharType="separate"/>
      </w:r>
      <w:r>
        <w:rPr>
          <w:rFonts w:ascii="Times New Roman" w:cs="Times New Roman" w:hAnsi="Times New Roman" w:hint="default"/>
          <w:sz w:val="24"/>
          <w:szCs w:val="24"/>
        </w:rPr>
        <w:t>9</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5">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"_Toc10"</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Application of Schein’s Organizational Culture Model</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_Toc10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11</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6">
      <w:pPr>
        <w:pStyle w:val="Toc3"/>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"_Toc11"</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Organizational Goals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_Toc11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12</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7">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"_Toc15"</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Recent Change Initiatives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_Toc15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14</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8">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"_Toc5"</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Identified Change Initiatives and its impact</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_Toc5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14</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9">
      <w:pPr>
        <w:pStyle w:val="Toc3"/>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"_Toc23"</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Effectiveness of Change Management</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_Toc23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15</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A">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"_Toc25"</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Strategic Direction</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_Toc25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16</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B">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"_Toc26"</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Strategic Direction Overview</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_Toc26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16</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C">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"_Toc28"</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Strategies for Long-Term Objectives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_Toc28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16</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D">
      <w:pPr>
        <w:pStyle w:val="Toc2"/>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"_Toc29"</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Ap</w:t>
      </w:r>
      <w:r>
        <w:rPr>
          <w:rStyle w:val="Hyperlink"/>
          <w:rFonts w:ascii="Times New Roman" w:cs="Times New Roman" w:hAnsi="Times New Roman"/>
          <w:sz w:val="24"/>
          <w:szCs w:val="24"/>
        </w:rPr>
        <w:t>plication of Ansoff’s Growth Matrix</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_Toc29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17</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E">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"_Toc31"</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Conclusion</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_Toc31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19</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4F">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"_Toc3"</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Recommendations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_Toc3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19</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50">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"_Toc32"</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References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_Toc32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20</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51">
      <w:pPr>
        <w:pStyle w:val="Toc1"/>
        <w:tabs>
          <w:tab w:val="right" w:leader="dot" w:pos="9016"/>
        </w:tabs>
        <w:spacing w:line="360" w:lineRule="auto"/>
        <w:rPr>
          <w:rFonts w:ascii="Times New Roman" w:cs="Times New Roman" w:hAnsi="Times New Roman" w:hint="default"/>
          <w:sz w:val="24"/>
          <w:szCs w:val="24"/>
        </w:rPr>
      </w:pP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HYPERLINK \l "_Toc8"</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Appendices</w:t>
        <w:tab/>
      </w:r>
      <w:r>
        <w:rPr>
          <w:rStyle w:val="Hyperlink"/>
          <w:rFonts w:ascii="Times New Roman" w:cs="Times New Roman" w:hAnsi="Times New Roman"/>
          <w:sz w:val="24"/>
          <w:szCs w:val="24"/>
        </w:rPr>
        <w:fldChar w:fldCharType="begin"/>
      </w:r>
      <w:r>
        <w:rPr>
          <w:rStyle w:val="Hyperlink"/>
          <w:rFonts w:ascii="Times New Roman" w:cs="Times New Roman" w:hAnsi="Times New Roman"/>
          <w:sz w:val="24"/>
          <w:szCs w:val="24"/>
        </w:rPr>
        <w:instrText xml:space="preserve">PAGEREF _Toc8 \h</w:instrText>
      </w:r>
      <w:r>
        <w:rPr>
          <w:rStyle w:val="Hyperlink"/>
          <w:rFonts w:ascii="Times New Roman" w:cs="Times New Roman" w:hAnsi="Times New Roman"/>
          <w:sz w:val="24"/>
          <w:szCs w:val="24"/>
        </w:rPr>
        <w:fldChar w:fldCharType="separate"/>
      </w:r>
      <w:r>
        <w:rPr>
          <w:rStyle w:val="Hyperlink"/>
          <w:rFonts w:ascii="Times New Roman" w:cs="Times New Roman" w:hAnsi="Times New Roman"/>
          <w:sz w:val="24"/>
          <w:szCs w:val="24"/>
        </w:rPr>
        <w:t>21</w:t>
      </w:r>
      <w:r>
        <w:rPr>
          <w:rFonts w:ascii="Times New Roman" w:cs="Times New Roman" w:hAnsi="Times New Roman" w:hint="default"/>
          <w:sz w:val="24"/>
          <w:szCs w:val="24"/>
        </w:rPr>
        <w:fldChar w:fldCharType="end"/>
      </w:r>
      <w:r>
        <w:rPr>
          <w:rFonts w:ascii="Times New Roman" w:cs="Times New Roman" w:hAnsi="Times New Roman" w:hint="default"/>
          <w:sz w:val="24"/>
          <w:szCs w:val="24"/>
        </w:rPr>
        <w:fldChar w:fldCharType="end"/>
      </w:r>
    </w:p>
    <w:p w14:paraId="00000052">
      <w:pPr>
        <w:pStyle w:val="Normal"/>
        <w:tabs>
          <w:tab w:val="right" w:leader="dot" w:pos="9016"/>
        </w:tabs>
        <w:spacing w:line="360" w:lineRule="auto"/>
        <w:rPr>
          <w:rFonts w:ascii="Times New Roman" w:cs="Times New Roman" w:hAnsi="Times New Roman"/>
          <w:sz w:val="24"/>
          <w:szCs w:val="24"/>
        </w:rPr>
      </w:pPr>
    </w:p>
    <w:p w14:paraId="00000053">
      <w:pPr>
        <w:pStyle w:val="Heading1"/>
        <w:spacing w:line="360" w:lineRule="auto"/>
        <w:jc w:val="center"/>
        <w:rPr>
          <w:rFonts w:ascii="Times New Roman" w:hAnsi="Times New Roman"/>
          <w:sz w:val="24"/>
          <w:szCs w:val="24"/>
        </w:rPr>
      </w:pPr>
      <w:r>
        <w:rPr>
          <w:rFonts w:ascii="Times New Roman" w:hAnsi="Times New Roman"/>
          <w:sz w:val="24"/>
          <w:szCs w:val="24"/>
        </w:rPr>
        <w:fldChar w:fldCharType="end"/>
      </w:r>
      <w:bookmarkStart w:id="1" w:name="_Toc2"/>
      <w:r>
        <w:rPr>
          <w:rFonts w:ascii="Times New Roman" w:hAnsi="Times New Roman"/>
          <w:sz w:val="24"/>
          <w:szCs w:val="24"/>
        </w:rPr>
        <w:drawing xmlns:mc="http://schemas.openxmlformats.org/markup-compatibility/2006">
          <wp:inline>
            <wp:extent cx="2491105" cy="2491105"/>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0" name=""/>
                    <pic:cNvPicPr>
                      <a:picLocks noGrp="0" noSelect="0" noChangeAspect="1" noMove="0"/>
                    </pic:cNvPicPr>
                  </pic:nvPicPr>
                  <pic:blipFill>
                    <a:blip r:embed="rId6"/>
                    <a:srcRect/>
                    <a:stretch>
                      <a:fillRect/>
                    </a:stretch>
                  </pic:blipFill>
                  <pic:spPr>
                    <a:xfrm>
                      <a:off x="0" y="0"/>
                      <a:ext cx="2491105" cy="2491105"/>
                    </a:xfrm>
                    <a:prstGeom prst="rect">
                      <a:avLst/>
                    </a:prstGeom>
                    <a:noFill/>
                    <a:ln>
                      <a:noFill/>
                      <a:miter/>
                    </a:ln>
                  </pic:spPr>
                </pic:pic>
              </a:graphicData>
            </a:graphic>
          </wp:inline>
        </w:drawing>
      </w:r>
    </w:p>
    <w:p w14:paraId="00000054">
      <w:pPr>
        <w:pStyle w:val="Heading1"/>
        <w:spacing w:line="360" w:lineRule="auto"/>
        <w:rPr>
          <w:rFonts w:ascii="Times New Roman" w:hAnsi="Times New Roman"/>
          <w:b w:val="off"/>
          <w:bCs w:val="off"/>
          <w:sz w:val="24"/>
          <w:szCs w:val="24"/>
        </w:rPr>
      </w:pPr>
      <w:bookmarkStart w:id="2" w:name="_Toc6"/>
      <w:r>
        <w:rPr>
          <w:rFonts w:ascii="Times New Roman" w:hAnsi="Times New Roman"/>
          <w:sz w:val="24"/>
          <w:szCs w:val="24"/>
        </w:rPr>
        <w:t>Introduction</w:t>
      </w:r>
      <w:bookmarkEnd w:id="1"/>
      <w:bookmarkEnd w:id="2"/>
    </w:p>
    <w:p w14:paraId="00000055">
      <w:pPr>
        <w:pStyle w:val="Normal"/>
        <w:spacing w:line="360" w:lineRule="auto"/>
        <w:rPr>
          <w:rFonts w:ascii="Times New Roman" w:cs="Times New Roman" w:hAnsi="Times New Roman"/>
          <w:sz w:val="24"/>
          <w:szCs w:val="24"/>
        </w:rPr>
      </w:pPr>
      <w:r>
        <w:rPr>
          <w:rFonts w:ascii="Times New Roman" w:cs="Times New Roman" w:hAnsi="Times New Roman"/>
          <w:sz w:val="24"/>
          <w:szCs w:val="24"/>
        </w:rPr>
        <w:t>The major participant in the global hotel market such as Hyatt Hotels Corporation is well-known for their commitment to elegance, first-rate service, and inventive hospitality solutions. Launched by</w:t>
      </w:r>
      <w:r>
        <w:rPr>
          <w:rFonts w:ascii="Times New Roman" w:cs="Times New Roman" w:hAnsi="Times New Roman"/>
          <w:sz w:val="24"/>
          <w:szCs w:val="24"/>
        </w:rPr>
        <w:t xml:space="preserve"> Jay Pritzker in 1957, Hyatt has grown from one Los Angeles motel to a global business with about 1,000 hotels all across more than 60 nations. Within the various brands Park Hyatt, Andaz, Grand Hyatt, Hyatt Regency, and Hyatt Place target to different mar</w:t>
      </w:r>
      <w:r>
        <w:rPr>
          <w:rFonts w:ascii="Times New Roman" w:cs="Times New Roman" w:hAnsi="Times New Roman"/>
          <w:sz w:val="24"/>
          <w:szCs w:val="24"/>
        </w:rPr>
        <w:t xml:space="preserve">ket niche and guest predilection. Reflecting its exceptional global presence and financial success,  Hyatt Hotels Corporation reported $220 million net income for the full year 2023 (Appendix 1). The report`s purpose stands both at the corporate level and </w:t>
      </w:r>
      <w:r>
        <w:rPr>
          <w:rFonts w:ascii="Times New Roman" w:cs="Times New Roman" w:hAnsi="Times New Roman"/>
          <w:sz w:val="24"/>
          <w:szCs w:val="24"/>
        </w:rPr>
        <w:t>individual hotel operations, this paper attempts to provide a comprehensive summary, analysis, and critical critique of Hyatt Hotels Corporation. Analysing current change initiatives, the study investigates the structure, culture, and goals of Hyatt and as</w:t>
      </w:r>
      <w:r>
        <w:rPr>
          <w:rFonts w:ascii="Times New Roman" w:cs="Times New Roman" w:hAnsi="Times New Roman"/>
          <w:sz w:val="24"/>
          <w:szCs w:val="24"/>
        </w:rPr>
        <w:t>sesses the strategic direction of long-term aspirations of the business. This paper intends to include relevant management and organisational behaviour theories to offer a whole knowledge of Hyatt's operational dynamics and strategic orientation inside the</w:t>
      </w:r>
      <w:r>
        <w:rPr>
          <w:rFonts w:ascii="Times New Roman" w:cs="Times New Roman" w:hAnsi="Times New Roman"/>
          <w:sz w:val="24"/>
          <w:szCs w:val="24"/>
        </w:rPr>
        <w:t xml:space="preserve"> competitive hotel environment.</w:t>
      </w:r>
    </w:p>
    <w:p w14:paraId="00000056">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7">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8">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9">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A">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B">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05C">
      <w:pPr>
        <w:pStyle w:val="Heading1"/>
        <w:spacing w:line="360" w:lineRule="auto"/>
        <w:rPr>
          <w:rFonts w:ascii="Times New Roman" w:hAnsi="Times New Roman"/>
          <w:color w:val="000000"/>
          <w:sz w:val="24"/>
          <w:szCs w:val="24"/>
        </w:rPr>
      </w:pPr>
      <w:bookmarkStart w:id="3" w:name="_Toc4"/>
      <w:r>
        <w:rPr>
          <w:rFonts w:ascii="Times New Roman" w:hAnsi="Times New Roman"/>
          <w:sz w:val="24"/>
          <w:szCs w:val="24"/>
        </w:rPr>
        <w:t>Organizational Structure, Culture, and Goals</w:t>
      </w:r>
      <w:bookmarkEnd w:id="3"/>
    </w:p>
    <w:p w14:paraId="0000005D">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Hyatt Hotels Corporation uses a hierarchical organisational structure to help to define lines of duty and power. Comprising responsibility for general governance and strateg</w:t>
      </w:r>
      <w:r>
        <w:rPr>
          <w:rFonts w:ascii="Times New Roman" w:cs="Times New Roman" w:hAnsi="Times New Roman"/>
          <w:sz w:val="24"/>
          <w:szCs w:val="24"/>
        </w:rPr>
        <w:t>ic decision-making, the Board of Directors ranks highest on the hierarchy. This framework enables effective coordination and management all around the worldwide activities of the company.</w:t>
      </w:r>
    </w:p>
    <w:p w14:paraId="0000005E">
      <w:pPr>
        <w:pStyle w:val="Normal"/>
        <w:pBdr>
          <w:top w:val="none" w:sz="4" w:space="0"/>
          <w:left w:val="none" w:sz="4" w:space="0"/>
          <w:bottom w:val="none" w:sz="4" w:space="0"/>
          <w:right w:val="none" w:sz="4" w:space="0"/>
          <w:between w:val="none" w:sz="4" w:space="0"/>
        </w:pBdr>
        <w:tabs>
          <w:tab w:val="left" w:leader="none" w:pos="720"/>
        </w:tabs>
        <w:spacing w:after="0" w:line="360" w:lineRule="auto"/>
        <w:jc w:val="center"/>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6409690" cy="3115945"/>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1" name=""/>
                    <pic:cNvPicPr>
                      <a:picLocks noGrp="0" noSelect="0" noChangeAspect="1" noMove="0"/>
                    </pic:cNvPicPr>
                  </pic:nvPicPr>
                  <pic:blipFill>
                    <a:blip r:embed="rId7"/>
                    <a:srcRect/>
                    <a:stretch>
                      <a:fillRect/>
                    </a:stretch>
                  </pic:blipFill>
                  <pic:spPr>
                    <a:xfrm>
                      <a:off x="0" y="0"/>
                      <a:ext cx="6409690" cy="3115945"/>
                    </a:xfrm>
                    <a:prstGeom prst="rect">
                      <a:avLst/>
                    </a:prstGeom>
                    <a:noFill/>
                    <a:ln>
                      <a:noFill/>
                      <a:miter/>
                    </a:ln>
                  </pic:spPr>
                </pic:pic>
              </a:graphicData>
            </a:graphic>
          </wp:inline>
        </w:drawing>
      </w:r>
    </w:p>
    <w:p w14:paraId="0000005F">
      <w:pPr>
        <w:pStyle w:val="Normal"/>
        <w:pBdr>
          <w:top w:val="none" w:sz="4" w:space="0"/>
          <w:left w:val="none" w:sz="4" w:space="0"/>
          <w:bottom w:val="none" w:sz="4" w:space="0"/>
          <w:right w:val="none" w:sz="4" w:space="0"/>
          <w:between w:val="none" w:sz="4" w:space="0"/>
        </w:pBdr>
        <w:tabs>
          <w:tab w:val="left" w:leader="none" w:pos="720"/>
        </w:tabs>
        <w:spacing w:after="0" w:line="360" w:lineRule="auto"/>
        <w:jc w:val="center"/>
        <w:rPr>
          <w:rFonts w:ascii="Times New Roman" w:cs="Times New Roman" w:hAnsi="Times New Roman"/>
          <w:b/>
          <w:bCs/>
          <w:sz w:val="24"/>
          <w:szCs w:val="24"/>
        </w:rPr>
      </w:pPr>
      <w:r>
        <w:rPr>
          <w:rFonts w:ascii="Times New Roman" w:cs="Times New Roman" w:hAnsi="Times New Roman"/>
          <w:b/>
          <w:bCs/>
          <w:sz w:val="24"/>
          <w:szCs w:val="24"/>
        </w:rPr>
        <w:t>Hyatt Hotels' Organizational Structure</w:t>
      </w:r>
      <w:r>
        <w:rPr>
          <w:rFonts w:ascii="Times New Roman" w:cs="Times New Roman" w:hAnsi="Times New Roman"/>
          <w:b/>
          <w:bCs/>
          <w:sz w:val="24"/>
          <w:szCs w:val="24"/>
        </w:rPr>
        <w:t xml:space="preserve"> </w:t>
      </w:r>
    </w:p>
    <w:p w14:paraId="00000060">
      <w:pPr>
        <w:pStyle w:val="Normal"/>
        <w:pBdr>
          <w:top w:val="none" w:sz="4" w:space="0"/>
          <w:left w:val="none" w:sz="4" w:space="0"/>
          <w:bottom w:val="none" w:sz="4" w:space="0"/>
          <w:right w:val="none" w:sz="4" w:space="0"/>
          <w:between w:val="none" w:sz="4" w:space="0"/>
        </w:pBdr>
        <w:tabs>
          <w:tab w:val="left" w:leader="none" w:pos="720"/>
        </w:tabs>
        <w:spacing w:after="0" w:line="360" w:lineRule="auto"/>
        <w:jc w:val="center"/>
        <w:rPr>
          <w:rFonts w:ascii="Times New Roman" w:cs="Times New Roman" w:hAnsi="Times New Roman"/>
          <w:sz w:val="24"/>
          <w:szCs w:val="24"/>
        </w:rPr>
      </w:pPr>
      <w:r>
        <w:rPr>
          <w:rFonts w:ascii="Times New Roman" w:cs="Times New Roman" w:hAnsi="Times New Roman"/>
          <w:sz w:val="24"/>
          <w:szCs w:val="24"/>
        </w:rPr>
        <w:t>Source: (StudyCorgi, 2020)</w:t>
      </w:r>
      <w:r>
        <w:rPr>
          <w:rFonts w:ascii="Times New Roman" w:cs="Times New Roman" w:hAnsi="Times New Roman"/>
          <w:sz w:val="24"/>
          <w:szCs w:val="24"/>
        </w:rPr>
        <w:t>.</w:t>
      </w:r>
    </w:p>
    <w:p w14:paraId="00000061">
      <w:pPr>
        <w:pStyle w:val="Normal"/>
        <w:pBdr>
          <w:top w:val="none" w:sz="4" w:space="0"/>
          <w:left w:val="none" w:sz="4" w:space="0"/>
          <w:bottom w:val="none" w:sz="4" w:space="0"/>
          <w:right w:val="none" w:sz="4" w:space="0"/>
          <w:between w:val="none" w:sz="4" w:space="0"/>
        </w:pBdr>
        <w:tabs>
          <w:tab w:val="left" w:leader="none" w:pos="720"/>
        </w:tabs>
        <w:spacing w:after="0" w:line="360" w:lineRule="auto"/>
        <w:jc w:val="center"/>
        <w:rPr>
          <w:rFonts w:ascii="Times New Roman" w:cs="Times New Roman" w:hAnsi="Times New Roman"/>
          <w:sz w:val="24"/>
          <w:szCs w:val="24"/>
        </w:rPr>
      </w:pPr>
    </w:p>
    <w:p w14:paraId="00000062">
      <w:pPr>
        <w:pStyle w:val="Normal"/>
        <w:pBdr>
          <w:top w:val="none" w:sz="4" w:space="0"/>
          <w:left w:val="none" w:sz="4" w:space="0"/>
          <w:bottom w:val="none" w:sz="4" w:space="0"/>
          <w:right w:val="none" w:sz="4" w:space="0"/>
          <w:between w:val="none" w:sz="4" w:space="0"/>
        </w:pBdr>
        <w:tabs>
          <w:tab w:val="left" w:leader="none" w:pos="720"/>
        </w:tabs>
        <w:spacing w:after="0" w:line="360" w:lineRule="auto"/>
        <w:jc w:val="center"/>
        <w:rPr>
          <w:rFonts w:ascii="Times New Roman" w:cs="Times New Roman" w:hAnsi="Times New Roman"/>
          <w:sz w:val="24"/>
          <w:szCs w:val="24"/>
        </w:rPr>
      </w:pPr>
    </w:p>
    <w:p w14:paraId="00000063">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Regional divisions handling properties within particular geographical areas that help to assist the corporate structure as well. Following this decentralisation, Hyatt may keep the primary corporate standards and brand identity while customising its of</w:t>
      </w:r>
      <w:r>
        <w:rPr>
          <w:rFonts w:ascii="Times New Roman" w:cs="Times New Roman" w:hAnsi="Times New Roman"/>
          <w:sz w:val="24"/>
          <w:szCs w:val="24"/>
        </w:rPr>
        <w:t>ferings to local markets. Moreover, operating with some degree of autonomy, individual hotels can fit local tastes and improve visitor experiences, therefore promoting a balance between corporate control and local adaptability (OECD, 2020).</w:t>
      </w:r>
    </w:p>
    <w:p w14:paraId="00000064">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5">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 xml:space="preserve">The values of </w:t>
      </w:r>
      <w:r>
        <w:rPr>
          <w:rFonts w:ascii="Times New Roman" w:cs="Times New Roman" w:hAnsi="Times New Roman"/>
          <w:sz w:val="24"/>
          <w:szCs w:val="24"/>
        </w:rPr>
        <w:t xml:space="preserve">hospitality, service excellence, and employee empowerment define Hyatt's corporate culture rather thoroughly. Highlighting the people-centric approach, the company values the work of its employees and supports a nice and cooperative workplace. Great rates </w:t>
      </w:r>
      <w:r>
        <w:rPr>
          <w:rFonts w:ascii="Times New Roman" w:cs="Times New Roman" w:hAnsi="Times New Roman"/>
          <w:sz w:val="24"/>
          <w:szCs w:val="24"/>
        </w:rPr>
        <w:t>of staff retention and high degrees of customer loyalty at Hyatt reflect this significance on service and employee happiness in culture. The culture inspires staff members to be proactive and assist the company to grow by means of ongoing development and i</w:t>
      </w:r>
      <w:r>
        <w:rPr>
          <w:rFonts w:ascii="Times New Roman" w:cs="Times New Roman" w:hAnsi="Times New Roman"/>
          <w:sz w:val="24"/>
          <w:szCs w:val="24"/>
        </w:rPr>
        <w:t>nnovation (Herbert, 2024).</w:t>
      </w:r>
    </w:p>
    <w:p w14:paraId="00000066">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7">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At the corporate level, Hyatt has numerous goals with regard to brand value, global presence, and sustainable development promotion. The company seeks to increase operational performance and guest experiences by means of technic</w:t>
      </w:r>
      <w:r>
        <w:rPr>
          <w:rFonts w:ascii="Times New Roman" w:cs="Times New Roman" w:hAnsi="Times New Roman"/>
          <w:sz w:val="24"/>
          <w:szCs w:val="24"/>
        </w:rPr>
        <w:t>al investments, widen its brand portfolio to appeal to various consumer groups, and expand its market share in key sectors. Aiming at the level of the individual hotel, goals line with corporate ones but are matched to specific market conditions. Hotels st</w:t>
      </w:r>
      <w:r>
        <w:rPr>
          <w:rFonts w:ascii="Times New Roman" w:cs="Times New Roman" w:hAnsi="Times New Roman"/>
          <w:sz w:val="24"/>
          <w:szCs w:val="24"/>
        </w:rPr>
        <w:t>ay profitable, give first-rate guest service, and aim for high occupancy rates (Lacalle, 2024). This alignment ensures that every asset supports the overall operation of the business and helps the strategic objectives to be successful.</w:t>
      </w:r>
    </w:p>
    <w:p w14:paraId="00000068">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9">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A">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B">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C">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D">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E">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6F">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0">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1">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2">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3">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4">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5">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6">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7">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78">
      <w:pPr>
        <w:pStyle w:val="Heading2"/>
        <w:spacing w:line="360" w:lineRule="auto"/>
        <w:rPr>
          <w:rFonts w:ascii="Times New Roman" w:hAnsi="Times New Roman"/>
          <w:color w:val="000000"/>
          <w:sz w:val="24"/>
          <w:szCs w:val="24"/>
        </w:rPr>
      </w:pPr>
      <w:bookmarkStart w:id="4" w:name="_Toc7"/>
      <w:r>
        <w:rPr>
          <w:rFonts w:ascii="Times New Roman" w:hAnsi="Times New Roman"/>
          <w:sz w:val="24"/>
          <w:szCs w:val="24"/>
        </w:rPr>
        <w:t>Appl</w:t>
      </w:r>
      <w:r>
        <w:rPr>
          <w:rFonts w:ascii="Times New Roman" w:hAnsi="Times New Roman"/>
          <w:sz w:val="24"/>
          <w:szCs w:val="24"/>
        </w:rPr>
        <w:t>ication of Mintzberg’s Organizational Configurations</w:t>
      </w:r>
      <w:bookmarkEnd w:id="4"/>
    </w:p>
    <w:p w14:paraId="00000079">
      <w:pPr>
        <w:pStyle w:val="Normal"/>
        <w:spacing w:line="360" w:lineRule="auto"/>
        <w:rPr>
          <w:rFonts w:ascii="Times New Roman" w:cs="Times New Roman" w:hAnsi="Times New Roman"/>
          <w:sz w:val="24"/>
          <w:szCs w:val="24"/>
        </w:rPr>
      </w:pPr>
      <w:r>
        <w:rPr>
          <w:rFonts w:ascii="Times New Roman" w:cs="Times New Roman" w:hAnsi="Times New Roman"/>
          <w:sz w:val="24"/>
          <w:szCs w:val="24"/>
        </w:rPr>
        <w:t>According to Peek and Weiss (2023) the management theory developed by Henry Mintzberg highlights the practical aspects of managerial work by categorising managerial roles and organisational structures to</w:t>
      </w:r>
      <w:r>
        <w:rPr>
          <w:rFonts w:ascii="Times New Roman" w:cs="Times New Roman" w:hAnsi="Times New Roman"/>
          <w:sz w:val="24"/>
          <w:szCs w:val="24"/>
        </w:rPr>
        <w:t xml:space="preserve"> enhance efficiency, resolve conflicts, and facilitate workflow prioritisation. Mintzberg's approach highlights the experiential element of managerial abilities and argues that management can not be introduced just in a classroom but rather is developed by</w:t>
      </w:r>
      <w:r>
        <w:rPr>
          <w:rFonts w:ascii="Times New Roman" w:cs="Times New Roman" w:hAnsi="Times New Roman"/>
          <w:sz w:val="24"/>
          <w:szCs w:val="24"/>
        </w:rPr>
        <w:t xml:space="preserve"> practical experience. Small enterprises should pay attention to this idea since it clarifies managerial roles and organisational frameworks essential for operational performance, creativity, and decision-making .</w:t>
      </w:r>
    </w:p>
    <w:p w14:paraId="0000007A">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3993515" cy="419354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2" name=""/>
                    <pic:cNvPicPr>
                      <a:picLocks noGrp="0" noSelect="0" noChangeAspect="1" noMove="0"/>
                    </pic:cNvPicPr>
                  </pic:nvPicPr>
                  <pic:blipFill>
                    <a:blip r:embed="rId8"/>
                    <a:srcRect/>
                    <a:stretch>
                      <a:fillRect/>
                    </a:stretch>
                  </pic:blipFill>
                  <pic:spPr>
                    <a:xfrm>
                      <a:off x="0" y="0"/>
                      <a:ext cx="3993515" cy="4193540"/>
                    </a:xfrm>
                    <a:prstGeom prst="rect">
                      <a:avLst/>
                    </a:prstGeom>
                    <a:noFill/>
                    <a:ln>
                      <a:noFill/>
                      <a:miter/>
                    </a:ln>
                  </pic:spPr>
                </pic:pic>
              </a:graphicData>
            </a:graphic>
          </wp:inline>
        </w:drawing>
      </w:r>
    </w:p>
    <w:p w14:paraId="0000007B">
      <w:pPr>
        <w:pStyle w:val="Normal"/>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Mintzberg Organizational Structure</w:t>
      </w:r>
    </w:p>
    <w:p w14:paraId="0000007C">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t>Sourc</w:t>
      </w:r>
      <w:r>
        <w:rPr>
          <w:rFonts w:ascii="Times New Roman" w:cs="Times New Roman" w:hAnsi="Times New Roman"/>
          <w:sz w:val="24"/>
          <w:szCs w:val="24"/>
        </w:rPr>
        <w:t>e: (Cuofano, 2024)</w:t>
      </w:r>
    </w:p>
    <w:p w14:paraId="0000007D">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Mintzberg's theory can help small businesses create an organisational structure fit for their particular demands and distribute managerial tasks. Whether an entrepreneurial model or another of Mintzberg's five structures like adhocracy, </w:t>
      </w:r>
      <w:r>
        <w:rPr>
          <w:rFonts w:ascii="Times New Roman" w:cs="Times New Roman" w:hAnsi="Times New Roman"/>
          <w:sz w:val="24"/>
          <w:szCs w:val="24"/>
        </w:rPr>
        <w:t>machine, professional, divisional where these ideas help to increase managerial performance and adaptability as the firm expands (Peek and Weiss, 2024). Under Mintzberg's Multidivisional Structure, Hyatt's matrix structure fits where each hotel runs semi-a</w:t>
      </w:r>
      <w:r>
        <w:rPr>
          <w:rFonts w:ascii="Times New Roman" w:cs="Times New Roman" w:hAnsi="Times New Roman"/>
          <w:sz w:val="24"/>
          <w:szCs w:val="24"/>
        </w:rPr>
        <w:t>utonomously following company policies and strategies. This framework helps Hyatt to grow and diversify across several market sectors.</w:t>
      </w:r>
    </w:p>
    <w:p w14:paraId="0000007E">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7F">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b/>
          <w:bCs/>
          <w:sz w:val="24"/>
          <w:szCs w:val="24"/>
        </w:rPr>
      </w:pPr>
      <w:r>
        <w:rPr>
          <w:rFonts w:ascii="Times New Roman" w:cs="Times New Roman" w:hAnsi="Times New Roman"/>
          <w:b/>
          <w:bCs/>
          <w:sz w:val="24"/>
          <w:szCs w:val="24"/>
        </w:rPr>
        <w:t>Corporate Culture</w:t>
      </w:r>
    </w:p>
    <w:p w14:paraId="00000080">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According to Webb (2012), the company’s success hinges on honouring local cultures at its properties w</w:t>
      </w:r>
      <w:r>
        <w:rPr>
          <w:rFonts w:ascii="Times New Roman" w:cs="Times New Roman" w:hAnsi="Times New Roman"/>
          <w:sz w:val="24"/>
          <w:szCs w:val="24"/>
        </w:rPr>
        <w:t>hile empowering its 90,000 employees to deliver excellent service. This is achieved through a decentralised structure that allows each hotel to reflect its local community, providing employees with a strong sense of belonging.</w:t>
      </w:r>
    </w:p>
    <w:p w14:paraId="00000081">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82">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The People Brand project is </w:t>
      </w:r>
      <w:r>
        <w:rPr>
          <w:rFonts w:ascii="Times New Roman" w:cs="Times New Roman" w:hAnsi="Times New Roman"/>
          <w:sz w:val="24"/>
          <w:szCs w:val="24"/>
        </w:rPr>
        <w:t>very important for improving the employee experience since it provides a customised structure that respects local cultural standards yet adjusts worldwide. This program helps to build a good work culture by influencing employee expectations and so fosterin</w:t>
      </w:r>
      <w:r>
        <w:rPr>
          <w:rFonts w:ascii="Times New Roman" w:cs="Times New Roman" w:hAnsi="Times New Roman"/>
          <w:sz w:val="24"/>
          <w:szCs w:val="24"/>
        </w:rPr>
        <w:t xml:space="preserve">g an environment in which they feel appreciated. Hyatt uses quick Gallup polls to engage employee satisfaction, realising that constantly delivering the ideals of the brand depends on highly engaged team members who have emotional connection to their work </w:t>
      </w:r>
      <w:r>
        <w:rPr>
          <w:rFonts w:ascii="Times New Roman" w:cs="Times New Roman" w:hAnsi="Times New Roman"/>
          <w:sz w:val="24"/>
          <w:szCs w:val="24"/>
        </w:rPr>
        <w:t>(Webb, 2012)..</w:t>
      </w:r>
    </w:p>
    <w:p w14:paraId="00000083">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4236720" cy="257492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3" name=""/>
                    <pic:cNvPicPr>
                      <a:picLocks noGrp="0" noSelect="0" noChangeAspect="1" noMove="0"/>
                    </pic:cNvPicPr>
                  </pic:nvPicPr>
                  <pic:blipFill>
                    <a:blip r:embed="rId9"/>
                    <a:srcRect/>
                    <a:stretch>
                      <a:fillRect/>
                    </a:stretch>
                  </pic:blipFill>
                  <pic:spPr>
                    <a:xfrm>
                      <a:off x="0" y="0"/>
                      <a:ext cx="4236720" cy="2574925"/>
                    </a:xfrm>
                    <a:prstGeom prst="rect">
                      <a:avLst/>
                    </a:prstGeom>
                    <a:noFill/>
                    <a:ln>
                      <a:noFill/>
                      <a:miter/>
                    </a:ln>
                  </pic:spPr>
                </pic:pic>
              </a:graphicData>
            </a:graphic>
          </wp:inline>
        </w:drawing>
      </w:r>
    </w:p>
    <w:p w14:paraId="00000084">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b/>
          <w:bCs/>
          <w:sz w:val="24"/>
          <w:szCs w:val="24"/>
        </w:rPr>
      </w:pPr>
      <w:r>
        <w:rPr>
          <w:rFonts w:ascii="Times New Roman" w:cs="Times New Roman" w:hAnsi="Times New Roman"/>
          <w:b/>
          <w:bCs/>
          <w:sz w:val="24"/>
          <w:szCs w:val="24"/>
        </w:rPr>
        <w:t>Hyatt Hotels Award 31 Local Nonprofits</w:t>
      </w:r>
    </w:p>
    <w:p w14:paraId="00000085">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t>Source: (Abdelhamid, 2017).</w:t>
      </w:r>
    </w:p>
    <w:p w14:paraId="0000008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also promote a culture of storytelling by urging employees to share experiences that embody its values. This improve communication and boosts morale within the compan</w:t>
      </w:r>
      <w:r>
        <w:rPr>
          <w:rFonts w:ascii="Times New Roman" w:cs="Times New Roman" w:hAnsi="Times New Roman"/>
          <w:sz w:val="24"/>
          <w:szCs w:val="24"/>
        </w:rPr>
        <w:t xml:space="preserve">y's ranks. Furthermore Hyatt demonstrates a commitment, to the communities where it operates through initiatives like the Hyatt Thrive program, which champions causes like sustainability, education and disaster relief. For instance Hyatt has played a role </w:t>
      </w:r>
      <w:r>
        <w:rPr>
          <w:rFonts w:ascii="Times New Roman" w:cs="Times New Roman" w:hAnsi="Times New Roman"/>
          <w:sz w:val="24"/>
          <w:szCs w:val="24"/>
        </w:rPr>
        <w:t>in rebuilding projects in New Orleans (Siân, 2014). Has provided aid for disaster recovery efforts, in Japan and Thailand. Webb emphasizes the significance of these efforts, in fostering communities and bolstering the organizations commitment, to responsib</w:t>
      </w:r>
      <w:r>
        <w:rPr>
          <w:rFonts w:ascii="Times New Roman" w:cs="Times New Roman" w:hAnsi="Times New Roman"/>
          <w:sz w:val="24"/>
          <w:szCs w:val="24"/>
        </w:rPr>
        <w:t>ility (Webb 2012).</w:t>
      </w:r>
    </w:p>
    <w:p w14:paraId="00000087">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p>
    <w:p w14:paraId="00000088">
      <w:pPr>
        <w:pStyle w:val="Heading2"/>
        <w:spacing w:line="360" w:lineRule="auto"/>
        <w:rPr>
          <w:rFonts w:ascii="Times New Roman" w:hAnsi="Times New Roman"/>
          <w:color w:val="000000"/>
          <w:sz w:val="24"/>
          <w:szCs w:val="24"/>
        </w:rPr>
      </w:pPr>
      <w:bookmarkStart w:id="5" w:name="_Toc9"/>
      <w:r>
        <w:rPr>
          <w:rFonts w:ascii="Times New Roman" w:hAnsi="Times New Roman"/>
          <w:sz w:val="24"/>
          <w:szCs w:val="24"/>
        </w:rPr>
        <w:t>Impact of Corporate Culture on Operations</w:t>
      </w:r>
      <w:bookmarkEnd w:id="5"/>
    </w:p>
    <w:p w14:paraId="00000089">
      <w:pPr>
        <w:pStyle w:val="Normal"/>
        <w:spacing w:line="360" w:lineRule="auto"/>
        <w:rPr>
          <w:rFonts w:ascii="Times New Roman" w:cs="Times New Roman" w:hAnsi="Times New Roman"/>
          <w:sz w:val="24"/>
          <w:szCs w:val="24"/>
        </w:rPr>
      </w:pPr>
      <w:r>
        <w:rPr>
          <w:rFonts w:ascii="Times New Roman" w:cs="Times New Roman" w:hAnsi="Times New Roman"/>
          <w:sz w:val="24"/>
          <w:szCs w:val="24"/>
        </w:rPr>
        <w:t>Being deeply rooted in its goal to "care for people so they may be their best," Hyatt's corporate culture influences all aspect of its business. Strong cultural focus of the organisation resulte</w:t>
      </w:r>
      <w:r>
        <w:rPr>
          <w:rFonts w:ascii="Times New Roman" w:cs="Times New Roman" w:hAnsi="Times New Roman"/>
          <w:sz w:val="24"/>
          <w:szCs w:val="24"/>
        </w:rPr>
        <w:t>d in higher satisfaction among staff and loyalty, which supports better guest service quality (Metz, Ilieș and Nistor, 2020). Maintaining the high standards of the br</w:t>
      </w:r>
      <w:r>
        <w:rPr>
          <w:rFonts w:ascii="Times New Roman" w:cs="Times New Roman" w:hAnsi="Times New Roman"/>
          <w:sz w:val="24"/>
          <w:szCs w:val="24"/>
        </w:rPr>
        <w:t xml:space="preserve">and over all properties globally depends on this focus on people and service quality (Vu, </w:t>
      </w:r>
      <w:r>
        <w:rPr>
          <w:rFonts w:ascii="Times New Roman" w:cs="Times New Roman" w:hAnsi="Times New Roman"/>
          <w:sz w:val="24"/>
          <w:szCs w:val="24"/>
        </w:rPr>
        <w:t>2021). Intending to enhance the entire guest experience by means of an active and inspired workforce,  Hyatt's World of Care program incorporates this cultural attitude in its Environmental, Social, and Governance (ESG) strategies.</w:t>
      </w:r>
    </w:p>
    <w:p w14:paraId="0000008A">
      <w:pPr>
        <w:pStyle w:val="Normal"/>
        <w:spacing w:line="360" w:lineRule="auto"/>
        <w:rPr>
          <w:rFonts w:ascii="Times New Roman" w:cs="Times New Roman" w:hAnsi="Times New Roman"/>
          <w:sz w:val="24"/>
          <w:szCs w:val="24"/>
        </w:rPr>
      </w:pPr>
      <w:r>
        <w:rPr>
          <w:rFonts w:ascii="Times New Roman" w:cs="Times New Roman" w:hAnsi="Times New Roman"/>
          <w:sz w:val="24"/>
          <w:szCs w:val="24"/>
        </w:rPr>
        <w:t>Furthermore, Hyatt's sus</w:t>
      </w:r>
      <w:r>
        <w:rPr>
          <w:rFonts w:ascii="Times New Roman" w:cs="Times New Roman" w:hAnsi="Times New Roman"/>
          <w:sz w:val="24"/>
          <w:szCs w:val="24"/>
        </w:rPr>
        <w:t>tainability initiatives have grown to be a major operational driver, therefore enhancing not only operational effectiveness but also brand reputation. The company's dedication to lower environmental effect appeals to the increasing number of travellers who</w:t>
      </w:r>
      <w:r>
        <w:rPr>
          <w:rFonts w:ascii="Times New Roman" w:cs="Times New Roman" w:hAnsi="Times New Roman"/>
          <w:sz w:val="24"/>
          <w:szCs w:val="24"/>
        </w:rPr>
        <w:t xml:space="preserve"> care about the surroundings. Reducing greenhouse gas emissions, water consumption, and waste diversion among Hyatt's sustainability projects helps to build operational performance and brand image, thereby helping the environment as well as the stakeholder</w:t>
      </w:r>
      <w:r>
        <w:rPr>
          <w:rFonts w:ascii="Times New Roman" w:cs="Times New Roman" w:hAnsi="Times New Roman"/>
          <w:sz w:val="24"/>
          <w:szCs w:val="24"/>
        </w:rPr>
        <w:t>s.</w:t>
      </w:r>
    </w:p>
    <w:p w14:paraId="0000008B">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4902835" cy="787527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4" name=""/>
                    <pic:cNvPicPr>
                      <a:picLocks noGrp="0" noSelect="0" noChangeAspect="1" noMove="0"/>
                    </pic:cNvPicPr>
                  </pic:nvPicPr>
                  <pic:blipFill>
                    <a:blip r:embed="rId10"/>
                    <a:srcRect/>
                    <a:stretch>
                      <a:fillRect/>
                    </a:stretch>
                  </pic:blipFill>
                  <pic:spPr>
                    <a:xfrm>
                      <a:off x="0" y="0"/>
                      <a:ext cx="4902835" cy="7875270"/>
                    </a:xfrm>
                    <a:prstGeom prst="rect">
                      <a:avLst/>
                    </a:prstGeom>
                    <a:noFill/>
                    <a:ln>
                      <a:noFill/>
                      <a:miter/>
                    </a:ln>
                  </pic:spPr>
                </pic:pic>
              </a:graphicData>
            </a:graphic>
          </wp:inline>
        </w:drawing>
      </w:r>
    </w:p>
    <w:p w14:paraId="0000008C">
      <w:pPr>
        <w:pStyle w:val="Normal"/>
        <w:spacing w:line="360" w:lineRule="auto"/>
        <w:jc w:val="center"/>
        <w:rPr>
          <w:rFonts w:ascii="Times New Roman" w:cs="Times New Roman" w:hAnsi="Times New Roman"/>
          <w:b/>
          <w:bCs/>
          <w:sz w:val="24"/>
          <w:szCs w:val="24"/>
        </w:rPr>
      </w:pPr>
      <w:r>
        <w:rPr>
          <w:rFonts w:ascii="Times New Roman" w:cs="Times New Roman" w:hAnsi="Times New Roman"/>
          <w:b/>
          <w:bCs/>
          <w:sz w:val="24"/>
          <w:szCs w:val="24"/>
        </w:rPr>
        <w:t>GHG emissions and water consumption reduction across Hyatt's regions</w:t>
      </w:r>
    </w:p>
    <w:p w14:paraId="0000008D">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t>Source: (Hyatt`s Sustainability Report, 2020)</w:t>
      </w:r>
    </w:p>
    <w:p w14:paraId="0000008E">
      <w:pPr>
        <w:pStyle w:val="Heading2"/>
        <w:spacing w:line="360" w:lineRule="auto"/>
        <w:rPr>
          <w:rFonts w:ascii="Times New Roman" w:hAnsi="Times New Roman"/>
          <w:color w:val="000000"/>
          <w:sz w:val="24"/>
          <w:szCs w:val="24"/>
        </w:rPr>
      </w:pPr>
      <w:bookmarkStart w:id="6" w:name="_Toc10"/>
      <w:r>
        <w:rPr>
          <w:rFonts w:ascii="Times New Roman" w:hAnsi="Times New Roman"/>
          <w:sz w:val="24"/>
          <w:szCs w:val="24"/>
        </w:rPr>
        <w:t>Application of Schein’s Organizational Culture Model</w:t>
      </w:r>
      <w:bookmarkEnd w:id="6"/>
    </w:p>
    <w:p w14:paraId="0000008F">
      <w:pPr>
        <w:pStyle w:val="Normal"/>
        <w:spacing w:line="360" w:lineRule="auto"/>
        <w:rPr>
          <w:rFonts w:ascii="Times New Roman" w:cs="Times New Roman" w:hAnsi="Times New Roman"/>
          <w:sz w:val="24"/>
          <w:szCs w:val="24"/>
        </w:rPr>
      </w:pPr>
      <w:r>
        <w:rPr>
          <w:rFonts w:ascii="Times New Roman" w:cs="Times New Roman" w:hAnsi="Times New Roman"/>
          <w:sz w:val="24"/>
          <w:szCs w:val="24"/>
        </w:rPr>
        <w:t>Denis (2022) stated that Edgar Schein’s culture model, often referred to as the thr</w:t>
      </w:r>
      <w:r>
        <w:rPr>
          <w:rFonts w:ascii="Times New Roman" w:cs="Times New Roman" w:hAnsi="Times New Roman"/>
          <w:sz w:val="24"/>
          <w:szCs w:val="24"/>
        </w:rPr>
        <w:t>ee levels of culture model or the iceberg model, is a framework used to understand the deeper layers of organizational culture. Schein defines culture as a set of shared basic assumptions that a group has developed over time as it copes with problems of ex</w:t>
      </w:r>
      <w:r>
        <w:rPr>
          <w:rFonts w:ascii="Times New Roman" w:cs="Times New Roman" w:hAnsi="Times New Roman"/>
          <w:sz w:val="24"/>
          <w:szCs w:val="24"/>
        </w:rPr>
        <w:t>ternal adaptation and internal integration. These assumptions have worked well enough to be deemed valid and are passed on to new members as the correct way to perceive, think, and feel.</w:t>
      </w:r>
    </w:p>
    <w:p w14:paraId="00000090">
      <w:pPr>
        <w:pStyle w:val="Normal"/>
        <w:spacing w:line="360" w:lineRule="auto"/>
        <w:rPr>
          <w:rFonts w:ascii="Times New Roman" w:cs="Times New Roman" w:hAnsi="Times New Roman"/>
          <w:sz w:val="24"/>
          <w:szCs w:val="24"/>
        </w:rPr>
      </w:pPr>
    </w:p>
    <w:p w14:paraId="00000091">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4387215" cy="3427095"/>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5" name=""/>
                    <pic:cNvPicPr>
                      <a:picLocks noGrp="0" noSelect="0" noChangeAspect="1" noMove="0"/>
                    </pic:cNvPicPr>
                  </pic:nvPicPr>
                  <pic:blipFill>
                    <a:blip r:embed="rId11"/>
                    <a:srcRect/>
                    <a:stretch>
                      <a:fillRect/>
                    </a:stretch>
                  </pic:blipFill>
                  <pic:spPr>
                    <a:xfrm>
                      <a:off x="0" y="0"/>
                      <a:ext cx="4387215" cy="3427095"/>
                    </a:xfrm>
                    <a:prstGeom prst="rect">
                      <a:avLst/>
                    </a:prstGeom>
                    <a:noFill/>
                    <a:ln>
                      <a:noFill/>
                      <a:miter/>
                    </a:ln>
                  </pic:spPr>
                </pic:pic>
              </a:graphicData>
            </a:graphic>
          </wp:inline>
        </w:drawing>
      </w:r>
    </w:p>
    <w:p w14:paraId="00000092">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b/>
          <w:bCs/>
          <w:sz w:val="24"/>
          <w:szCs w:val="24"/>
        </w:rPr>
      </w:pPr>
      <w:r>
        <w:rPr>
          <w:rFonts w:ascii="Times New Roman" w:cs="Times New Roman" w:hAnsi="Times New Roman"/>
          <w:b/>
          <w:bCs/>
          <w:color w:val="4a4a4a"/>
          <w:sz w:val="24"/>
          <w:szCs w:val="24"/>
        </w:rPr>
        <w:t>Edgar Schein’s culture model</w:t>
      </w:r>
      <w:r>
        <w:rPr>
          <w:rFonts w:ascii="Times New Roman" w:cs="Times New Roman" w:hAnsi="Times New Roman"/>
          <w:b/>
          <w:bCs/>
          <w:sz w:val="24"/>
          <w:szCs w:val="24"/>
        </w:rPr>
        <w:t xml:space="preserve"> </w:t>
      </w:r>
    </w:p>
    <w:p w14:paraId="00000093">
      <w:pPr>
        <w:pStyle w:val="Normal"/>
        <w:pBdr>
          <w:top w:val="none" w:sz="4" w:space="0"/>
          <w:left w:val="none" w:sz="4" w:space="0"/>
          <w:bottom w:val="none" w:sz="4" w:space="0"/>
          <w:right w:val="none" w:sz="4" w:space="0"/>
          <w:between w:val="none" w:sz="4" w:space="0"/>
        </w:pBdr>
        <w:spacing w:after="0" w:line="360" w:lineRule="auto"/>
        <w:jc w:val="center"/>
        <w:rPr>
          <w:rFonts w:ascii="Times New Roman" w:cs="Times New Roman" w:hAnsi="Times New Roman"/>
          <w:sz w:val="24"/>
          <w:szCs w:val="24"/>
        </w:rPr>
      </w:pPr>
      <w:r>
        <w:rPr>
          <w:rFonts w:ascii="Times New Roman" w:cs="Times New Roman" w:hAnsi="Times New Roman"/>
          <w:sz w:val="24"/>
          <w:szCs w:val="24"/>
        </w:rPr>
        <w:t>Source: (Denis, 2022).</w:t>
      </w:r>
    </w:p>
    <w:p w14:paraId="00000094">
      <w:pPr>
        <w:pStyle w:val="Normal"/>
        <w:spacing w:line="360" w:lineRule="auto"/>
        <w:rPr>
          <w:rFonts w:ascii="Times New Roman" w:cs="Times New Roman" w:hAnsi="Times New Roman"/>
          <w:sz w:val="24"/>
          <w:szCs w:val="24"/>
        </w:rPr>
      </w:pPr>
      <w:r>
        <w:rPr>
          <w:rFonts w:ascii="Times New Roman" w:cs="Times New Roman" w:hAnsi="Times New Roman"/>
          <w:sz w:val="24"/>
          <w:szCs w:val="24"/>
        </w:rPr>
        <w:t>Using Edgar S</w:t>
      </w:r>
      <w:r>
        <w:rPr>
          <w:rFonts w:ascii="Times New Roman" w:cs="Times New Roman" w:hAnsi="Times New Roman"/>
          <w:sz w:val="24"/>
          <w:szCs w:val="24"/>
        </w:rPr>
        <w:t>chein’s model, Hyatt’s organizational culture can be discussed as follows:</w:t>
      </w:r>
    </w:p>
    <w:p w14:paraId="00000095">
      <w:pPr>
        <w:pStyle w:val="Normal"/>
        <w:spacing w:line="360" w:lineRule="auto"/>
        <w:rPr>
          <w:rFonts w:ascii="Times New Roman" w:cs="Times New Roman" w:hAnsi="Times New Roman"/>
          <w:b/>
          <w:bCs/>
          <w:sz w:val="24"/>
          <w:szCs w:val="24"/>
        </w:rPr>
      </w:pPr>
      <w:r>
        <w:rPr>
          <w:rFonts w:ascii="Times New Roman" w:cs="Times New Roman" w:hAnsi="Times New Roman"/>
          <w:b/>
          <w:bCs/>
          <w:sz w:val="24"/>
          <w:szCs w:val="24"/>
        </w:rPr>
        <w:t>Artifacts</w:t>
      </w:r>
    </w:p>
    <w:p w14:paraId="00000096">
      <w:pPr>
        <w:pStyle w:val="Normal"/>
        <w:spacing w:line="360" w:lineRule="auto"/>
        <w:rPr>
          <w:rFonts w:ascii="Times New Roman" w:cs="Times New Roman" w:hAnsi="Times New Roman"/>
          <w:sz w:val="24"/>
          <w:szCs w:val="24"/>
        </w:rPr>
      </w:pPr>
      <w:r>
        <w:rPr>
          <w:rFonts w:ascii="Times New Roman" w:cs="Times New Roman" w:hAnsi="Times New Roman"/>
          <w:sz w:val="24"/>
          <w:szCs w:val="24"/>
        </w:rPr>
        <w:t>The most visible aspect of Hyatt’s culture is reflected in its hotel designs, uniforms, and service protocols, all of which exude a commitment to luxury and guest satisfac</w:t>
      </w:r>
      <w:r>
        <w:rPr>
          <w:rFonts w:ascii="Times New Roman" w:cs="Times New Roman" w:hAnsi="Times New Roman"/>
          <w:sz w:val="24"/>
          <w:szCs w:val="24"/>
        </w:rPr>
        <w:t>tion. Hyatt’s properties, such as the LEED-certified hotels, showcase a dedication to environmental sustainability, further reflecting the company's cultural priorities.</w:t>
      </w:r>
    </w:p>
    <w:p w14:paraId="00000097">
      <w:pPr>
        <w:pStyle w:val="Normal"/>
        <w:spacing w:line="360" w:lineRule="auto"/>
        <w:rPr>
          <w:rFonts w:ascii="Times New Roman" w:cs="Times New Roman" w:hAnsi="Times New Roman"/>
          <w:sz w:val="24"/>
          <w:szCs w:val="24"/>
        </w:rPr>
      </w:pPr>
    </w:p>
    <w:p w14:paraId="00000098">
      <w:pPr>
        <w:pStyle w:val="Normal"/>
        <w:spacing w:line="360" w:lineRule="auto"/>
        <w:rPr>
          <w:rFonts w:ascii="Times New Roman" w:cs="Times New Roman" w:hAnsi="Times New Roman"/>
          <w:b/>
          <w:bCs/>
          <w:sz w:val="24"/>
          <w:szCs w:val="24"/>
        </w:rPr>
      </w:pPr>
      <w:r>
        <w:rPr>
          <w:rFonts w:ascii="Times New Roman" w:cs="Times New Roman" w:hAnsi="Times New Roman"/>
          <w:b/>
          <w:bCs/>
          <w:sz w:val="24"/>
          <w:szCs w:val="24"/>
        </w:rPr>
        <w:t>Espoused Values</w:t>
      </w:r>
    </w:p>
    <w:p w14:paraId="00000099">
      <w:pPr>
        <w:pStyle w:val="Normal"/>
        <w:spacing w:line="360" w:lineRule="auto"/>
        <w:rPr>
          <w:rFonts w:ascii="Times New Roman" w:cs="Times New Roman" w:hAnsi="Times New Roman"/>
          <w:sz w:val="24"/>
          <w:szCs w:val="24"/>
        </w:rPr>
      </w:pPr>
      <w:r>
        <w:rPr>
          <w:rFonts w:ascii="Times New Roman" w:cs="Times New Roman" w:hAnsi="Times New Roman"/>
          <w:sz w:val="24"/>
          <w:szCs w:val="24"/>
        </w:rPr>
        <w:t xml:space="preserve">Hyatt’s core values, such as guest satisfaction, sustainability, and </w:t>
      </w:r>
      <w:r>
        <w:rPr>
          <w:rFonts w:ascii="Times New Roman" w:cs="Times New Roman" w:hAnsi="Times New Roman"/>
          <w:sz w:val="24"/>
          <w:szCs w:val="24"/>
        </w:rPr>
        <w:t>community involvement, are consistently promoted throughout the organization. These values are operationalised in various sustainability and corporate responsibility initiatives. For example Hyatt, is committed to responsible sourcing, which includes using</w:t>
      </w:r>
      <w:r>
        <w:rPr>
          <w:rFonts w:ascii="Times New Roman" w:cs="Times New Roman" w:hAnsi="Times New Roman"/>
          <w:sz w:val="24"/>
          <w:szCs w:val="24"/>
        </w:rPr>
        <w:t xml:space="preserve"> certified goods like palm oil and cutting down on single-use plastics (Hyatt's Sustainability Report, 2020).</w:t>
      </w:r>
    </w:p>
    <w:p w14:paraId="0000009A">
      <w:pPr>
        <w:pStyle w:val="Normal"/>
        <w:spacing w:line="360" w:lineRule="auto"/>
        <w:rPr>
          <w:rFonts w:ascii="Times New Roman" w:cs="Times New Roman" w:hAnsi="Times New Roman"/>
          <w:sz w:val="24"/>
          <w:szCs w:val="24"/>
        </w:rPr>
      </w:pPr>
      <w:r>
        <w:rPr>
          <w:rFonts w:ascii="Times New Roman" w:cs="Times New Roman" w:hAnsi="Times New Roman"/>
          <w:b/>
          <w:bCs/>
          <w:sz w:val="24"/>
          <w:szCs w:val="24"/>
        </w:rPr>
        <w:t>Underlying Assumptions</w:t>
      </w:r>
    </w:p>
    <w:p w14:paraId="0000009B">
      <w:pPr>
        <w:pStyle w:val="Normal"/>
        <w:spacing w:line="360" w:lineRule="auto"/>
        <w:rPr>
          <w:rFonts w:ascii="Times New Roman" w:cs="Times New Roman" w:hAnsi="Times New Roman"/>
          <w:sz w:val="24"/>
          <w:szCs w:val="24"/>
        </w:rPr>
      </w:pPr>
      <w:r>
        <w:rPr>
          <w:rFonts w:ascii="Times New Roman" w:cs="Times New Roman" w:hAnsi="Times New Roman"/>
          <w:sz w:val="24"/>
          <w:szCs w:val="24"/>
        </w:rPr>
        <w:t>Hyatt’s deep-seated beliefs revolve around service excellence and ethical business practices. The company’s long-standing f</w:t>
      </w:r>
      <w:r>
        <w:rPr>
          <w:rFonts w:ascii="Times New Roman" w:cs="Times New Roman" w:hAnsi="Times New Roman"/>
          <w:sz w:val="24"/>
          <w:szCs w:val="24"/>
        </w:rPr>
        <w:t>ocus on diversity, equity, and inclusion further highlights its assumption that success is achieved by fostering an inclusive and respectful environment for employees and guests alike (CIPD, 2023). These underlying beliefs shape decisions at both the corpo</w:t>
      </w:r>
      <w:r>
        <w:rPr>
          <w:rFonts w:ascii="Times New Roman" w:cs="Times New Roman" w:hAnsi="Times New Roman"/>
          <w:sz w:val="24"/>
          <w:szCs w:val="24"/>
        </w:rPr>
        <w:t>rate and individual property levels, creating a unified approach to business practices.</w:t>
      </w:r>
    </w:p>
    <w:p w14:paraId="0000009C">
      <w:pPr>
        <w:pStyle w:val="Heading3"/>
        <w:spacing w:line="360" w:lineRule="auto"/>
        <w:rPr>
          <w:rFonts w:ascii="Times New Roman" w:hAnsi="Times New Roman"/>
          <w:color w:val="000000"/>
          <w:sz w:val="24"/>
          <w:szCs w:val="24"/>
        </w:rPr>
      </w:pPr>
      <w:bookmarkStart w:id="7" w:name="_Toc11"/>
      <w:r>
        <w:rPr>
          <w:rFonts w:ascii="Times New Roman" w:hAnsi="Times New Roman"/>
          <w:sz w:val="24"/>
          <w:szCs w:val="24"/>
        </w:rPr>
        <w:t>Organizational Goals</w:t>
      </w:r>
      <w:bookmarkEnd w:id="7"/>
    </w:p>
    <w:p w14:paraId="0000009D">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Hyatt Hotels Corporation continues to align its corporate and individual property operations with long-term sustainability and social impact goals </w:t>
      </w:r>
      <w:r>
        <w:rPr>
          <w:rFonts w:ascii="Times New Roman" w:cs="Times New Roman" w:hAnsi="Times New Roman"/>
          <w:sz w:val="24"/>
          <w:szCs w:val="24"/>
        </w:rPr>
        <w:t>under its World of Care programme. These goals include advancing environmental, social, and governance (ESG) objectives, with a focus on caring for the planet, people, and responsible business practices (DiSanto, 2023). The following analysis draws from mu</w:t>
      </w:r>
      <w:r>
        <w:rPr>
          <w:rFonts w:ascii="Times New Roman" w:cs="Times New Roman" w:hAnsi="Times New Roman"/>
          <w:sz w:val="24"/>
          <w:szCs w:val="24"/>
        </w:rPr>
        <w:t>ltiple sources, including Hyatt’s 2022 World of Care Highlights, as well as internal sustainability documents and recent reporting on diversity, equity, and inclusion (DE&amp;I).</w:t>
      </w:r>
    </w:p>
    <w:p w14:paraId="0000009E">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9F">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has been committed to minimizing its impact by 2030 through initiatives ta</w:t>
      </w:r>
      <w:r>
        <w:rPr>
          <w:rFonts w:ascii="Times New Roman" w:cs="Times New Roman" w:hAnsi="Times New Roman"/>
          <w:sz w:val="24"/>
          <w:szCs w:val="24"/>
        </w:rPr>
        <w:t xml:space="preserve">rgeting climate change mitigation and sustainability practices such, as water conservation and waste management as detailed in Appendix 2. In 2019 Hyatt established objectives to decrease greenhouse gas emissions, per meter by 25% across its properties by </w:t>
      </w:r>
      <w:r>
        <w:rPr>
          <w:rFonts w:ascii="Times New Roman" w:cs="Times New Roman" w:hAnsi="Times New Roman"/>
          <w:sz w:val="24"/>
          <w:szCs w:val="24"/>
        </w:rPr>
        <w:t xml:space="preserve">the end of 2020, a target that was effectively met in different locations. In water stressed regions such, as EAME/SW Asia there were reductions, in water use intensity that surpassed predictions resulting in a 35 % reduction based on the Global Reporting </w:t>
      </w:r>
      <w:r>
        <w:rPr>
          <w:rFonts w:ascii="Times New Roman" w:cs="Times New Roman" w:hAnsi="Times New Roman"/>
          <w:sz w:val="24"/>
          <w:szCs w:val="24"/>
        </w:rPr>
        <w:t>Initiatives data from 2023 (Global Reporting Initiative, 2023).</w:t>
      </w:r>
    </w:p>
    <w:p w14:paraId="000000A0">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1">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Recently in 2022 Hyatt implemented initiatives, like reducing food waste in Asia Pacific at Grand Hyatt Seoul and Hyatt Regency Beijing Wangjing. Moreover Hyatt locations in the US now use 10</w:t>
      </w:r>
      <w:r>
        <w:rPr>
          <w:rFonts w:ascii="Times New Roman" w:cs="Times New Roman" w:hAnsi="Times New Roman"/>
          <w:sz w:val="24"/>
          <w:szCs w:val="24"/>
        </w:rPr>
        <w:t xml:space="preserve">0% electricity with Green e Energy certified Renewable Energy Certificates leading to over a 50 percent decrease, in building emissions (DiSanto, 2023). These efforts align with Hyatt's focus of achieving targets by 2030.  </w:t>
      </w:r>
    </w:p>
    <w:p w14:paraId="000000A2">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3">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Hyatt also highlights its DE&amp;I </w:t>
      </w:r>
      <w:r>
        <w:rPr>
          <w:rFonts w:ascii="Times New Roman" w:cs="Times New Roman" w:hAnsi="Times New Roman"/>
          <w:sz w:val="24"/>
          <w:szCs w:val="24"/>
        </w:rPr>
        <w:t>commitments, exceeding critical goals in 2022, as outlined in its World of Care and DE&amp;I Reports. Notably, the company promoted 360 women into senior leadership roles globally since 2020, advancing its commitment to ensuring gender representation in leader</w:t>
      </w:r>
      <w:r>
        <w:rPr>
          <w:rFonts w:ascii="Times New Roman" w:cs="Times New Roman" w:hAnsi="Times New Roman"/>
          <w:sz w:val="24"/>
          <w:szCs w:val="24"/>
        </w:rPr>
        <w:t>ship positions. Additionally, Hyatt has expanded its efforts to include more diverse suppliers, with Black-owned businesses accounting for one-third of its diverse supplier spend, surpassing its 2025 goal​ (Global Reporting Initiative, 2023).</w:t>
      </w:r>
    </w:p>
    <w:p w14:paraId="000000A4">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5">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The Caring f</w:t>
      </w:r>
      <w:r>
        <w:rPr>
          <w:rFonts w:ascii="Times New Roman" w:cs="Times New Roman" w:hAnsi="Times New Roman"/>
          <w:sz w:val="24"/>
          <w:szCs w:val="24"/>
        </w:rPr>
        <w:t xml:space="preserve">or People </w:t>
      </w:r>
      <w:r>
        <w:rPr>
          <w:rFonts w:ascii="Times New Roman" w:cs="Times New Roman" w:hAnsi="Times New Roman"/>
          <w:sz w:val="24"/>
          <w:szCs w:val="24"/>
        </w:rPr>
        <w:t>element of the company also covers combating human rights concerns including human trafficking. Hyatt closely coordinated the No Room for Trafficking (NRFT) campaign of the American Hotel &amp; Lodging  Association Foundation in 2022, providing $500,</w:t>
      </w:r>
      <w:r>
        <w:rPr>
          <w:rFonts w:ascii="Times New Roman" w:cs="Times New Roman" w:hAnsi="Times New Roman"/>
          <w:sz w:val="24"/>
          <w:szCs w:val="24"/>
        </w:rPr>
        <w:t xml:space="preserve">000 USD to assist survivors. This project complement Hyatt's worldwide dedication to uphold human rights and advance the welfare of those without opportunity. Hyatt also announced a new priority area: </w:t>
      </w:r>
      <w:r>
        <w:rPr>
          <w:rFonts w:ascii="Times New Roman" w:cs="Times New Roman" w:hAnsi="Times New Roman"/>
          <w:i/>
          <w:iCs/>
          <w:sz w:val="24"/>
          <w:szCs w:val="24"/>
        </w:rPr>
        <w:t>Working with Other Businesses</w:t>
      </w:r>
      <w:r>
        <w:rPr>
          <w:rFonts w:ascii="Times New Roman" w:cs="Times New Roman" w:hAnsi="Times New Roman"/>
          <w:sz w:val="24"/>
          <w:szCs w:val="24"/>
        </w:rPr>
        <w:t xml:space="preserve">, in which case suppliers </w:t>
      </w:r>
      <w:r>
        <w:rPr>
          <w:rFonts w:ascii="Times New Roman" w:cs="Times New Roman" w:hAnsi="Times New Roman"/>
          <w:sz w:val="24"/>
          <w:szCs w:val="24"/>
        </w:rPr>
        <w:t>help to enhance ethical and environmental processes. Further underlining Hyatt's dedication to ethical business practices, Hyatt has teamed with EcoVadis to evaluate vendors on factors including labour rights and sustainable procurement (DiSanto, 2023).</w:t>
      </w:r>
    </w:p>
    <w:p w14:paraId="000000A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7">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9">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AA">
      <w:pPr>
        <w:pStyle w:val="Heading1"/>
        <w:spacing w:line="360" w:lineRule="auto"/>
        <w:rPr>
          <w:rStyle w:val="Heading1Char"/>
          <w:rFonts w:ascii="Times New Roman" w:hAnsi="Times New Roman"/>
          <w:sz w:val="24"/>
          <w:szCs w:val="24"/>
        </w:rPr>
      </w:pPr>
      <w:bookmarkStart w:id="8" w:name="_Toc15"/>
      <w:r>
        <w:rPr>
          <w:rFonts w:ascii="Times New Roman" w:hAnsi="Times New Roman"/>
          <w:sz w:val="24"/>
          <w:szCs w:val="24"/>
        </w:rPr>
        <w:t>Recent Change Initiatives</w:t>
      </w:r>
      <w:bookmarkEnd w:id="8"/>
    </w:p>
    <w:p w14:paraId="000000AB">
      <w:pPr>
        <w:pStyle w:val="Heading2"/>
        <w:spacing w:line="360" w:lineRule="auto"/>
        <w:rPr>
          <w:rFonts w:ascii="Times New Roman" w:hAnsi="Times New Roman"/>
          <w:color w:val="000000"/>
          <w:sz w:val="24"/>
          <w:szCs w:val="24"/>
        </w:rPr>
      </w:pPr>
      <w:bookmarkStart w:id="9" w:name="_Toc16"/>
      <w:bookmarkStart w:id="10" w:name="_Toc5"/>
      <w:r>
        <w:rPr>
          <w:rFonts w:ascii="Times New Roman" w:hAnsi="Times New Roman"/>
          <w:sz w:val="24"/>
          <w:szCs w:val="24"/>
        </w:rPr>
        <w:t>Identified Change Initiatives</w:t>
      </w:r>
      <w:bookmarkEnd w:id="9"/>
      <w:r>
        <w:rPr>
          <w:rFonts w:ascii="Times New Roman" w:hAnsi="Times New Roman"/>
          <w:sz w:val="24"/>
          <w:szCs w:val="24"/>
        </w:rPr>
        <w:t xml:space="preserve"> and its impact</w:t>
      </w:r>
      <w:bookmarkEnd w:id="10"/>
      <w:r>
        <w:rPr>
          <w:rFonts w:ascii="Times New Roman" w:hAnsi="Times New Roman"/>
          <w:sz w:val="24"/>
          <w:szCs w:val="24"/>
        </w:rPr>
        <w:t xml:space="preserve"> </w:t>
      </w:r>
    </w:p>
    <w:p w14:paraId="000000AC">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 xml:space="preserve">In recent years, Hyatt Hotels Corporation has undertaken several significant change initiatives aimed at adapting to shifting market dynamics, sustainability imperatives, and social </w:t>
      </w:r>
      <w:r>
        <w:rPr>
          <w:rFonts w:ascii="Times New Roman" w:cs="Times New Roman" w:hAnsi="Times New Roman"/>
          <w:sz w:val="24"/>
          <w:szCs w:val="24"/>
        </w:rPr>
        <w:t>responsibility. These efforts are a reflection of Hyatt’s dedication to improving operational efficiency, advancing environmental sustainability, and fostering an inclusive work environment. An article, by Snart in the Hyatt Newsroom (2019) mentions that a</w:t>
      </w:r>
      <w:r>
        <w:rPr>
          <w:rFonts w:ascii="Times New Roman" w:cs="Times New Roman" w:hAnsi="Times New Roman"/>
          <w:sz w:val="24"/>
          <w:szCs w:val="24"/>
        </w:rPr>
        <w:t xml:space="preserve"> significant step taken by the company is cutting down on single use plastics.  Hyatt put in place a plan to switch to bathroom products and lessen the reliance, on water bottles by 2021.This is all part of a broader sustainability effort aimed at decreasi</w:t>
      </w:r>
      <w:r>
        <w:rPr>
          <w:rFonts w:ascii="Times New Roman" w:cs="Times New Roman" w:hAnsi="Times New Roman"/>
          <w:sz w:val="24"/>
          <w:szCs w:val="24"/>
        </w:rPr>
        <w:t xml:space="preserve">ng waste and encouraging a more circular economy approach. </w:t>
      </w:r>
    </w:p>
    <w:p w14:paraId="000000AD">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AE">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During an interview, with Monica Sanders in 2023) Margaret Egan shared that Hyatt has a strategy for energy that involves investing in wind and solar power sources while cutting down on energy us</w:t>
      </w:r>
      <w:r>
        <w:rPr>
          <w:rFonts w:ascii="Times New Roman" w:cs="Times New Roman" w:hAnsi="Times New Roman"/>
          <w:sz w:val="24"/>
          <w:szCs w:val="24"/>
        </w:rPr>
        <w:t>age and utilizing Renewable Energy Certificates (RECs). Egan also highlighted the installation of rooftop panels at the Hyatt Place Ottawa West hotel as an initiative to reduce emissions equivalent to planting over 38,000 trees annually. Showcasing Hyatt d</w:t>
      </w:r>
      <w:r>
        <w:rPr>
          <w:rFonts w:ascii="Times New Roman" w:cs="Times New Roman" w:hAnsi="Times New Roman"/>
          <w:sz w:val="24"/>
          <w:szCs w:val="24"/>
        </w:rPr>
        <w:t xml:space="preserve">edication to sustainability and its objectives for environmental progress, by 2030. </w:t>
      </w:r>
    </w:p>
    <w:p w14:paraId="000000AF">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B0">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Hyatt has also advanced in cutting food waste by means of Asia Pacific region experimental projects. The Hyatt Environmental Sustainability Highlights (2019) state that f</w:t>
      </w:r>
      <w:r>
        <w:rPr>
          <w:rFonts w:ascii="Times New Roman" w:cs="Times New Roman" w:hAnsi="Times New Roman"/>
          <w:sz w:val="24"/>
          <w:szCs w:val="24"/>
        </w:rPr>
        <w:t>ood waste was reduced by 36% over a three-month period by hotels like Grand Hyatt Seoul and Hyatt Regency Beijing Wangjing using food waste preventing techniques. This initiative is aligned with Hyatt’s goal to cut food waste by 50% per square meter by 203</w:t>
      </w:r>
      <w:r>
        <w:rPr>
          <w:rFonts w:ascii="Times New Roman" w:cs="Times New Roman" w:hAnsi="Times New Roman"/>
          <w:sz w:val="24"/>
          <w:szCs w:val="24"/>
        </w:rPr>
        <w:t>0.</w:t>
      </w:r>
    </w:p>
    <w:p w14:paraId="000000B1">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B2">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Hyatt’s efforts to advance diversity, equity, and inclusion (DE&amp;I) have also been a key area of focus. Hyatt’s 2022 World of Care Highlights and DE&amp;I report indicate that since 2020, 360 women have been promoted to senior leadership roles globally, wit</w:t>
      </w:r>
      <w:r>
        <w:rPr>
          <w:rFonts w:ascii="Times New Roman" w:cs="Times New Roman" w:hAnsi="Times New Roman"/>
          <w:sz w:val="24"/>
          <w:szCs w:val="24"/>
        </w:rPr>
        <w:t xml:space="preserve">h the company surpassing its 2025 goal by ensuring that Black suppliers account for one-third of its total diverse and women-owned supplier spend (Hyatt DE&amp;I Report, 2023). Moreover, Hyatt’s INSPIRIT Mentoring Program has helped promote female leadership, </w:t>
      </w:r>
      <w:r>
        <w:rPr>
          <w:rFonts w:ascii="Times New Roman" w:cs="Times New Roman" w:hAnsi="Times New Roman"/>
          <w:sz w:val="24"/>
          <w:szCs w:val="24"/>
        </w:rPr>
        <w:t>facilitating over 170 mentor-mentee relationships across 18 countries (Hyatt DE&amp;I Report, 2023).</w:t>
      </w:r>
    </w:p>
    <w:p w14:paraId="000000B3">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p>
    <w:p w14:paraId="000000B4">
      <w:pPr>
        <w:pStyle w:val="Normal"/>
        <w:pBdr>
          <w:top w:val="none" w:sz="4" w:space="0"/>
          <w:left w:val="none" w:sz="4" w:space="0"/>
          <w:bottom w:val="none" w:sz="4" w:space="0"/>
          <w:right w:val="none" w:sz="4" w:space="0"/>
          <w:between w:val="none" w:sz="4" w:space="0"/>
        </w:pBdr>
        <w:tabs>
          <w:tab w:val="left" w:leader="none" w:pos="720"/>
        </w:tabs>
        <w:spacing w:after="0" w:line="360" w:lineRule="auto"/>
        <w:rPr>
          <w:rFonts w:ascii="Times New Roman" w:cs="Times New Roman" w:hAnsi="Times New Roman"/>
          <w:sz w:val="24"/>
          <w:szCs w:val="24"/>
        </w:rPr>
      </w:pPr>
      <w:r>
        <w:rPr>
          <w:rFonts w:ascii="Times New Roman" w:cs="Times New Roman" w:hAnsi="Times New Roman"/>
          <w:sz w:val="24"/>
          <w:szCs w:val="24"/>
        </w:rPr>
        <w:t>Based on the 2022 World of Care report, Hyatt has also played a vital role in combating human trafficking. The company contributed to the American Hotel &amp; Lod</w:t>
      </w:r>
      <w:r>
        <w:rPr>
          <w:rFonts w:ascii="Times New Roman" w:cs="Times New Roman" w:hAnsi="Times New Roman"/>
          <w:sz w:val="24"/>
          <w:szCs w:val="24"/>
        </w:rPr>
        <w:t>ging Association’s No Room for Trafficking Survivor Fund, supporting survivors with essential resources (Hyatt  DE&amp;I Report, 2023). This reflects Hyatt’s broader strategy to address social impact issues, aligning with its core purpose to care for both peop</w:t>
      </w:r>
      <w:r>
        <w:rPr>
          <w:rFonts w:ascii="Times New Roman" w:cs="Times New Roman" w:hAnsi="Times New Roman"/>
          <w:sz w:val="24"/>
          <w:szCs w:val="24"/>
        </w:rPr>
        <w:t>le and the planet.</w:t>
      </w:r>
    </w:p>
    <w:p w14:paraId="000000B5">
      <w:pPr>
        <w:pStyle w:val="Heading3"/>
        <w:spacing w:line="360" w:lineRule="auto"/>
        <w:rPr>
          <w:rFonts w:ascii="Times New Roman" w:hAnsi="Times New Roman"/>
          <w:color w:val="000000"/>
          <w:sz w:val="24"/>
          <w:szCs w:val="24"/>
        </w:rPr>
      </w:pPr>
      <w:bookmarkStart w:id="11" w:name="_Toc23"/>
      <w:r>
        <w:rPr>
          <w:rFonts w:ascii="Times New Roman" w:hAnsi="Times New Roman"/>
          <w:sz w:val="24"/>
          <w:szCs w:val="24"/>
        </w:rPr>
        <w:t>Effectiveness of Change Management</w:t>
      </w:r>
      <w:bookmarkEnd w:id="11"/>
    </w:p>
    <w:p w14:paraId="000000B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has effectively managed these changes by maintaining clear communication, involving stakeholders at all levels, and aligning initiatives with the company’s core values. This strategic alignment ha</w:t>
      </w:r>
      <w:r>
        <w:rPr>
          <w:rFonts w:ascii="Times New Roman" w:cs="Times New Roman" w:hAnsi="Times New Roman"/>
          <w:sz w:val="24"/>
          <w:szCs w:val="24"/>
        </w:rPr>
        <w:t>s minimized resistance and facilitated smoother transitions, resulting in successful implementation and positive organizational outcomes.</w:t>
      </w:r>
    </w:p>
    <w:p w14:paraId="000000B7">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br w:type="textWrapping"/>
      </w:r>
    </w:p>
    <w:p w14:paraId="000000B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9">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A">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B">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C">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D">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E">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BF">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0">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1">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2">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3">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4">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5">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7">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9">
      <w:pPr>
        <w:pStyle w:val="Heading1"/>
        <w:spacing w:line="360" w:lineRule="auto"/>
        <w:rPr>
          <w:rFonts w:ascii="Times New Roman" w:hAnsi="Times New Roman"/>
          <w:color w:val="000000"/>
          <w:sz w:val="24"/>
          <w:szCs w:val="24"/>
        </w:rPr>
      </w:pPr>
      <w:bookmarkStart w:id="12" w:name="_Toc25"/>
      <w:r>
        <w:rPr>
          <w:rFonts w:ascii="Times New Roman" w:hAnsi="Times New Roman"/>
          <w:sz w:val="24"/>
          <w:szCs w:val="24"/>
        </w:rPr>
        <w:t>Strategic Direction</w:t>
      </w:r>
      <w:bookmarkEnd w:id="12"/>
    </w:p>
    <w:p w14:paraId="000000CA">
      <w:pPr>
        <w:pStyle w:val="Heading2"/>
        <w:spacing w:line="360" w:lineRule="auto"/>
        <w:rPr>
          <w:rFonts w:ascii="Times New Roman" w:hAnsi="Times New Roman"/>
          <w:color w:val="000000"/>
          <w:sz w:val="24"/>
          <w:szCs w:val="24"/>
        </w:rPr>
      </w:pPr>
      <w:bookmarkStart w:id="13" w:name="_Toc26"/>
      <w:r>
        <w:rPr>
          <w:rFonts w:ascii="Times New Roman" w:hAnsi="Times New Roman"/>
          <w:sz w:val="24"/>
          <w:szCs w:val="24"/>
        </w:rPr>
        <w:t>Strategic Direction Overview</w:t>
      </w:r>
      <w:bookmarkEnd w:id="13"/>
    </w:p>
    <w:p w14:paraId="000000CB">
      <w:pPr>
        <w:pStyle w:val="Normal"/>
        <w:spacing w:line="360" w:lineRule="auto"/>
        <w:rPr>
          <w:rFonts w:ascii="Times New Roman" w:cs="Times New Roman" w:hAnsi="Times New Roman"/>
          <w:sz w:val="24"/>
          <w:szCs w:val="24"/>
        </w:rPr>
      </w:pPr>
      <w:r>
        <w:rPr>
          <w:rFonts w:ascii="Times New Roman" w:cs="Times New Roman" w:hAnsi="Times New Roman"/>
          <w:sz w:val="24"/>
          <w:szCs w:val="24"/>
        </w:rPr>
        <w:t>Hyatt Hotels Corporation's strategic direction rev</w:t>
      </w:r>
      <w:r>
        <w:rPr>
          <w:rFonts w:ascii="Times New Roman" w:cs="Times New Roman" w:hAnsi="Times New Roman"/>
          <w:sz w:val="24"/>
          <w:szCs w:val="24"/>
        </w:rPr>
        <w:t>olves around transforming into an asset-light, fee-driven business model while expanding its portfolio in luxury and lifestyle segments. The company has sold significant owned real estate, focusing on managing properties through long-term agreements, which</w:t>
      </w:r>
      <w:r>
        <w:rPr>
          <w:rFonts w:ascii="Times New Roman" w:cs="Times New Roman" w:hAnsi="Times New Roman"/>
          <w:sz w:val="24"/>
          <w:szCs w:val="24"/>
        </w:rPr>
        <w:t xml:space="preserve"> has helped boost fee revenues. Acquisitions, such as Apple Leisure Group and Dream Hotel Group, have increased the number of luxury and resort properties, driving the success of its World of Hyatt loyalty programme. These strategic shifts have led to reco</w:t>
      </w:r>
      <w:r>
        <w:rPr>
          <w:rFonts w:ascii="Times New Roman" w:cs="Times New Roman" w:hAnsi="Times New Roman"/>
          <w:sz w:val="24"/>
          <w:szCs w:val="24"/>
        </w:rPr>
        <w:t>rd profitability, significant growth in membership, and increased brand presence in aspirational leisure destinations (McCracken, 2023).</w:t>
      </w:r>
    </w:p>
    <w:p w14:paraId="000000CC">
      <w:pPr>
        <w:pStyle w:val="Heading1"/>
        <w:spacing w:line="360" w:lineRule="auto"/>
        <w:rPr>
          <w:rFonts w:ascii="Times New Roman" w:hAnsi="Times New Roman"/>
          <w:color w:val="000000"/>
          <w:sz w:val="24"/>
          <w:szCs w:val="24"/>
        </w:rPr>
      </w:pPr>
      <w:bookmarkStart w:id="14" w:name="_Toc28"/>
      <w:r>
        <w:rPr>
          <w:rFonts w:ascii="Times New Roman" w:hAnsi="Times New Roman"/>
          <w:sz w:val="24"/>
          <w:szCs w:val="24"/>
        </w:rPr>
        <w:t>Strategies for Long-Term Objectives</w:t>
      </w:r>
      <w:bookmarkEnd w:id="14"/>
    </w:p>
    <w:p w14:paraId="000000CD">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CE">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Hyatt's overall plan centers on achieving growth in a manner while expanding its r</w:t>
      </w:r>
      <w:r>
        <w:rPr>
          <w:rFonts w:ascii="Times New Roman" w:cs="Times New Roman" w:hAnsi="Times New Roman"/>
          <w:sz w:val="24"/>
          <w:szCs w:val="24"/>
        </w:rPr>
        <w:t xml:space="preserve">ange of brands and improving profits through various important actions; </w:t>
      </w:r>
    </w:p>
    <w:p w14:paraId="000000CF">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D0">
      <w:pPr>
        <w:pStyle w:val="Normal"/>
        <w:numPr>
          <w:ilvl w:val="0"/>
          <w:numId w:val="13"/>
        </w:numPr>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Adopt an Asset Light Approach that involves selling off owned properties and shifting towards long term management or franchise agreements to cut down on expenses and boost earnings </w:t>
      </w:r>
      <w:r>
        <w:rPr>
          <w:rFonts w:ascii="Times New Roman" w:cs="Times New Roman" w:hAnsi="Times New Roman"/>
          <w:sz w:val="24"/>
          <w:szCs w:val="24"/>
        </w:rPr>
        <w:t xml:space="preserve">through fees. </w:t>
      </w:r>
    </w:p>
    <w:p w14:paraId="000000D1">
      <w:pPr>
        <w:pStyle w:val="Normal"/>
        <w:numPr>
          <w:ilvl w:val="0"/>
          <w:numId w:val="13"/>
        </w:numPr>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Diversifying the brand by branching out into luxury and lifestyle sectors through acquisitions such, as Apple Leisure Group and Dream Hotel Group while focusing on expanding into emerging markets, like Southeast Asia and Africa.</w:t>
      </w:r>
    </w:p>
    <w:p w14:paraId="000000D2">
      <w:pPr>
        <w:pStyle w:val="Normal"/>
        <w:numPr>
          <w:ilvl w:val="0"/>
          <w:numId w:val="13"/>
        </w:numPr>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Committing t</w:t>
      </w:r>
      <w:r>
        <w:rPr>
          <w:rFonts w:ascii="Times New Roman" w:cs="Times New Roman" w:hAnsi="Times New Roman"/>
          <w:sz w:val="24"/>
          <w:szCs w:val="24"/>
        </w:rPr>
        <w:t xml:space="preserve">o sustainability involves setting goals, for reducing greenhouse gas emissions (GHGs) conserving water resources and minimizing waste by the year 2030 alongside embracing energy solutions (DiSanto, 2023). </w:t>
      </w:r>
    </w:p>
    <w:p w14:paraId="000000D3">
      <w:pPr>
        <w:pStyle w:val="Normal"/>
        <w:numPr>
          <w:ilvl w:val="0"/>
          <w:numId w:val="13"/>
        </w:numPr>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Expanding the World of Hyatt loyalty program that </w:t>
      </w:r>
      <w:r>
        <w:rPr>
          <w:rFonts w:ascii="Times New Roman" w:cs="Times New Roman" w:hAnsi="Times New Roman"/>
          <w:sz w:val="24"/>
          <w:szCs w:val="24"/>
        </w:rPr>
        <w:t xml:space="preserve">focuses to increase its member base and improve customer loyalty by offering experiences and forming partnerships </w:t>
      </w:r>
      <w:r>
        <w:rPr>
          <w:rFonts w:ascii="Times New Roman" w:cs="Times New Roman" w:hAnsi="Times New Roman"/>
          <w:sz w:val="24"/>
          <w:szCs w:val="24"/>
        </w:rPr>
        <w:t>(McCracken, 2023).</w:t>
      </w:r>
      <w:r>
        <w:rPr>
          <w:rFonts w:ascii="Times New Roman" w:cs="Times New Roman" w:hAnsi="Times New Roman"/>
          <w:sz w:val="24"/>
          <w:szCs w:val="24"/>
        </w:rPr>
        <w:t xml:space="preserve">. </w:t>
      </w:r>
    </w:p>
    <w:p w14:paraId="000000D4">
      <w:pPr>
        <w:pStyle w:val="Normal"/>
        <w:numPr>
          <w:ilvl w:val="0"/>
          <w:numId w:val="13"/>
        </w:numPr>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Adopt advancements by incorporating solutions, like mobile check ins and smart rooms to enhance guest satisfaction and st</w:t>
      </w:r>
      <w:r>
        <w:rPr>
          <w:rFonts w:ascii="Times New Roman" w:cs="Times New Roman" w:hAnsi="Times New Roman"/>
          <w:sz w:val="24"/>
          <w:szCs w:val="24"/>
        </w:rPr>
        <w:t xml:space="preserve">reamline operations. </w:t>
      </w:r>
    </w:p>
    <w:p w14:paraId="000000D5">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D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D7">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D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0D9">
      <w:pPr>
        <w:pStyle w:val="Heading2"/>
        <w:spacing w:line="360" w:lineRule="auto"/>
        <w:rPr>
          <w:rFonts w:ascii="Times New Roman" w:hAnsi="Times New Roman"/>
          <w:color w:val="000000"/>
          <w:sz w:val="24"/>
          <w:szCs w:val="24"/>
        </w:rPr>
      </w:pPr>
      <w:bookmarkStart w:id="15" w:name="_Toc29"/>
      <w:r>
        <w:rPr>
          <w:rFonts w:ascii="Times New Roman" w:hAnsi="Times New Roman"/>
          <w:sz w:val="24"/>
          <w:szCs w:val="24"/>
        </w:rPr>
        <w:t>Application of Ansoff’s Growth Matrix</w:t>
      </w:r>
      <w:bookmarkEnd w:id="15"/>
    </w:p>
    <w:p w14:paraId="000000DA">
      <w:pPr>
        <w:pStyle w:val="Normal"/>
        <w:spacing w:line="360" w:lineRule="auto"/>
        <w:rPr>
          <w:rFonts w:ascii="Times New Roman" w:cs="Times New Roman" w:hAnsi="Times New Roman"/>
          <w:sz w:val="24"/>
          <w:szCs w:val="24"/>
        </w:rPr>
      </w:pPr>
      <w:r>
        <w:rPr>
          <w:rFonts w:ascii="Times New Roman" w:cs="Times New Roman" w:hAnsi="Times New Roman"/>
          <w:sz w:val="24"/>
          <w:szCs w:val="24"/>
        </w:rPr>
        <w:t>The Ansoff Model, also known as the Ansoff Matrix, is a strategic planning tool that helps businesses identify growth opportunities by evaluating their product and market strategies. The model</w:t>
      </w:r>
      <w:r>
        <w:rPr>
          <w:rFonts w:ascii="Times New Roman" w:cs="Times New Roman" w:hAnsi="Times New Roman"/>
          <w:sz w:val="24"/>
          <w:szCs w:val="24"/>
        </w:rPr>
        <w:t xml:space="preserve"> presents four growth strategies: market penetration, market development, product development, and diversification. Each strategy offers a different approach to growing revenue by either expanding into new markets or developing new products and services. T</w:t>
      </w:r>
      <w:r>
        <w:rPr>
          <w:rFonts w:ascii="Times New Roman" w:cs="Times New Roman" w:hAnsi="Times New Roman"/>
          <w:sz w:val="24"/>
          <w:szCs w:val="24"/>
        </w:rPr>
        <w:t>he Ansoff Matrix is essential for businesses looking to expand, as it provides a structured way to assess potential growth areas and align marketing strategies with overall business objectives (Hanlon, 2021).</w:t>
      </w:r>
    </w:p>
    <w:p w14:paraId="000000DB">
      <w:pPr>
        <w:pStyle w:val="Normal"/>
        <w:spacing w:line="360" w:lineRule="auto"/>
        <w:jc w:val="center"/>
        <w:rPr>
          <w:rFonts w:ascii="Times New Roman" w:cs="Times New Roman" w:hAnsi="Times New Roman"/>
          <w:b/>
          <w:sz w:val="24"/>
          <w:szCs w:val="24"/>
        </w:rPr>
      </w:pPr>
      <w:r>
        <w:rPr>
          <w:rFonts w:ascii="Times New Roman" w:cs="Times New Roman" w:hAnsi="Times New Roman"/>
          <w:sz w:val="24"/>
          <w:szCs w:val="24"/>
        </w:rPr>
        <w:drawing xmlns:mc="http://schemas.openxmlformats.org/markup-compatibility/2006">
          <wp:inline>
            <wp:extent cx="4967605" cy="4967605"/>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6" name=""/>
                    <pic:cNvPicPr>
                      <a:picLocks noGrp="0" noSelect="0" noChangeAspect="1" noMove="0"/>
                    </pic:cNvPicPr>
                  </pic:nvPicPr>
                  <pic:blipFill>
                    <a:blip r:embed="rId12"/>
                    <a:srcRect/>
                    <a:stretch>
                      <a:fillRect/>
                    </a:stretch>
                  </pic:blipFill>
                  <pic:spPr>
                    <a:xfrm>
                      <a:off x="0" y="0"/>
                      <a:ext cx="4967605" cy="4967605"/>
                    </a:xfrm>
                    <a:prstGeom prst="rect">
                      <a:avLst/>
                    </a:prstGeom>
                    <a:noFill/>
                    <a:ln>
                      <a:noFill/>
                      <a:miter/>
                    </a:ln>
                  </pic:spPr>
                </pic:pic>
              </a:graphicData>
            </a:graphic>
          </wp:inline>
        </w:drawing>
      </w:r>
    </w:p>
    <w:p w14:paraId="000000DC">
      <w:pPr>
        <w:pStyle w:val="Normal"/>
        <w:spacing w:line="360" w:lineRule="auto"/>
        <w:jc w:val="center"/>
        <w:rPr>
          <w:rFonts w:ascii="Times New Roman" w:cs="Times New Roman" w:hAnsi="Times New Roman"/>
          <w:sz w:val="24"/>
          <w:szCs w:val="24"/>
        </w:rPr>
      </w:pPr>
      <w:r>
        <w:rPr>
          <w:rFonts w:ascii="Times New Roman" w:cs="Times New Roman" w:hAnsi="Times New Roman"/>
          <w:b/>
          <w:sz w:val="24"/>
          <w:szCs w:val="24"/>
        </w:rPr>
        <w:t>Ansoff’s Matrix, 1957</w:t>
      </w:r>
    </w:p>
    <w:p w14:paraId="000000DD">
      <w:pPr>
        <w:pStyle w:val="Normal"/>
        <w:spacing w:line="360" w:lineRule="auto"/>
        <w:jc w:val="center"/>
        <w:rPr>
          <w:rFonts w:ascii="Times New Roman" w:cs="Times New Roman" w:hAnsi="Times New Roman"/>
          <w:sz w:val="24"/>
          <w:szCs w:val="24"/>
        </w:rPr>
      </w:pPr>
      <w:r>
        <w:rPr>
          <w:rFonts w:ascii="Times New Roman" w:cs="Times New Roman" w:hAnsi="Times New Roman"/>
          <w:sz w:val="24"/>
          <w:szCs w:val="24"/>
        </w:rPr>
        <w:t>Source: (Oxford College</w:t>
      </w:r>
      <w:r>
        <w:rPr>
          <w:rFonts w:ascii="Times New Roman" w:cs="Times New Roman" w:hAnsi="Times New Roman"/>
          <w:sz w:val="24"/>
          <w:szCs w:val="24"/>
        </w:rPr>
        <w:t>, 2023).</w:t>
      </w:r>
    </w:p>
    <w:p w14:paraId="000000DE">
      <w:pPr>
        <w:pStyle w:val="Normal"/>
        <w:spacing w:line="360" w:lineRule="auto"/>
        <w:jc w:val="center"/>
        <w:rPr>
          <w:rFonts w:ascii="Times New Roman" w:cs="Times New Roman" w:hAnsi="Times New Roman"/>
          <w:sz w:val="24"/>
          <w:szCs w:val="24"/>
        </w:rPr>
      </w:pPr>
    </w:p>
    <w:p w14:paraId="000000DF">
      <w:pPr>
        <w:pStyle w:val="Normal"/>
        <w:spacing w:line="360" w:lineRule="auto"/>
        <w:jc w:val="center"/>
        <w:rPr>
          <w:rFonts w:ascii="Times New Roman" w:cs="Times New Roman" w:hAnsi="Times New Roman"/>
          <w:sz w:val="24"/>
          <w:szCs w:val="24"/>
        </w:rPr>
      </w:pPr>
    </w:p>
    <w:p w14:paraId="000000E0">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 xml:space="preserve">Hyatt’s strategies align with </w:t>
      </w:r>
      <w:r>
        <w:rPr>
          <w:rFonts w:ascii="Times New Roman" w:cs="Times New Roman" w:hAnsi="Times New Roman"/>
          <w:b/>
          <w:sz w:val="24"/>
          <w:szCs w:val="24"/>
        </w:rPr>
        <w:t>Ansoff’s Matrix</w:t>
      </w:r>
      <w:r>
        <w:rPr>
          <w:rFonts w:ascii="Times New Roman" w:cs="Times New Roman" w:hAnsi="Times New Roman"/>
          <w:sz w:val="24"/>
          <w:szCs w:val="24"/>
        </w:rPr>
        <w:t>,as follow:</w:t>
      </w:r>
    </w:p>
    <w:tbl>
      <w:tblPr>
        <w:tblW w:w="9342" w:type="dxa"/>
        <w:tblInd w:w="0" w:type="dxa"/>
        <w:tblLayout w:type="auto"/>
        <w:tblCellMar>
          <w:top w:w="0" w:type="nil"/>
          <w:left w:w="0" w:type="nil"/>
          <w:bottom w:w="0" w:type="nil"/>
          <w:right w:w="0" w:type="nil"/>
        </w:tblCellMar>
      </w:tblPr>
      <w:tblGrid>
        <w:gridCol w:w="2365"/>
        <w:gridCol w:w="3294"/>
        <w:gridCol w:w="3682"/>
      </w:tblGrid>
      <w:tr>
        <w:trPr>
          <w:trHeight w:val="304" w:hRule="atLeast"/>
        </w:trPr>
        <w:tc>
          <w:tcPr>
            <w:cnfStyle w:val="100010000000"/>
            <w:tcW w:w="2365" w:type="dxa"/>
            <w:shd w:val="clear" w:color="auto" w:fill="f2f2f2"/>
          </w:tcPr>
          <w:p w14:paraId="000000E1">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100001000000"/>
            <w:tcW w:w="3294" w:type="dxa"/>
            <w:shd w:val="clear" w:color="auto" w:fill="f2f2f2"/>
          </w:tcPr>
          <w:p w14:paraId="000000E2">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Existing Markets</w:t>
            </w:r>
          </w:p>
        </w:tc>
        <w:tc>
          <w:tcPr>
            <w:cnfStyle w:val="100010000000"/>
            <w:tcW w:w="3682" w:type="dxa"/>
            <w:shd w:val="clear" w:color="auto" w:fill="f2f2f2"/>
          </w:tcPr>
          <w:p w14:paraId="000000E3">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New Markets</w:t>
            </w:r>
          </w:p>
        </w:tc>
      </w:tr>
      <w:tr>
        <w:trPr>
          <w:trHeight w:val="228" w:hRule="atLeast"/>
        </w:trPr>
        <w:tc>
          <w:tcPr>
            <w:cnfStyle w:val="000010000000"/>
            <w:tcW w:w="2365" w:type="dxa"/>
            <w:vMerge w:val="restart"/>
            <w:shd w:val="clear" w:color="auto" w:fill="f2f2f2"/>
          </w:tcPr>
          <w:p w14:paraId="000000E4">
            <w:pPr>
              <w:pStyle w:val="Normal"/>
              <w:pBdr>
                <w:top w:val="nil" w:sz="4" w:space="0"/>
                <w:left w:val="nil" w:sz="4" w:space="0"/>
                <w:bottom w:val="nil" w:sz="4" w:space="0"/>
                <w:right w:val="nil" w:sz="4" w:space="0"/>
                <w:between w:val="nil" w:sz="4" w:space="0"/>
              </w:pBdr>
              <w:shd w:val="nil"/>
              <w:spacing w:after="0" w:line="360" w:lineRule="auto"/>
              <w:jc w:val="center"/>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Existing Products</w:t>
            </w:r>
          </w:p>
        </w:tc>
        <w:tc>
          <w:tcPr>
            <w:cnfStyle w:val="000001000000"/>
            <w:tcW w:w="3294" w:type="dxa"/>
            <w:shd w:val="clear" w:color="auto" w:fill="f2f2f2"/>
          </w:tcPr>
          <w:p w14:paraId="000000E5">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Market Penetration</w:t>
            </w:r>
          </w:p>
        </w:tc>
        <w:tc>
          <w:tcPr>
            <w:cnfStyle w:val="000010000000"/>
            <w:tcW w:w="3682" w:type="dxa"/>
            <w:shd w:val="clear" w:color="auto" w:fill="f2f2f2"/>
          </w:tcPr>
          <w:p w14:paraId="000000E6">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Market Development</w:t>
            </w:r>
          </w:p>
        </w:tc>
      </w:tr>
      <w:tr>
        <w:trPr>
          <w:trHeight w:val="426" w:hRule="atLeast"/>
        </w:trPr>
        <w:tc>
          <w:tcPr>
            <w:cnfStyle w:val="000010000000"/>
            <w:tcW w:w="2365" w:type="dxa"/>
            <w:vMerge w:val="continue"/>
            <w:shd w:val="clear" w:color="auto" w:fill="f2f2f2"/>
          </w:tcPr>
          <w:p w14:paraId="000000E7">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E8">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Increase market share in existing locations.</w:t>
            </w:r>
          </w:p>
        </w:tc>
        <w:tc>
          <w:tcPr>
            <w:cnfStyle w:val="000010000000"/>
            <w:tcW w:w="3682" w:type="dxa"/>
            <w:shd w:val="clear" w:color="auto" w:fill="f2f2f2"/>
          </w:tcPr>
          <w:p w14:paraId="000000E9">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 xml:space="preserve"> Expand Hyatt hotels into new geographic regions.</w:t>
            </w:r>
          </w:p>
        </w:tc>
      </w:tr>
      <w:tr>
        <w:trPr>
          <w:trHeight w:val="837" w:hRule="atLeast"/>
        </w:trPr>
        <w:tc>
          <w:tcPr>
            <w:cnfStyle w:val="000010000000"/>
            <w:tcW w:w="2365" w:type="dxa"/>
            <w:vMerge w:val="continue"/>
            <w:shd w:val="clear" w:color="auto" w:fill="f2f2f2"/>
          </w:tcPr>
          <w:p w14:paraId="000000EA">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EB">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Pr</w:t>
            </w:r>
            <w:r>
              <w:rPr>
                <w:rFonts w:ascii="Times New Roman" w:cs="Times New Roman" w:hAnsi="Times New Roman" w:hint="default"/>
                <w:sz w:val="24"/>
                <w:szCs w:val="24"/>
                <w:bdr w:val="nil" w:sz="4" w:space="0"/>
                <w:shd w:val="nil"/>
              </w:rPr>
              <w:t>omote loyalty programs like World of Hyatt.</w:t>
            </w:r>
          </w:p>
        </w:tc>
        <w:tc>
          <w:tcPr>
            <w:cnfStyle w:val="000010000000"/>
            <w:tcW w:w="3682" w:type="dxa"/>
            <w:shd w:val="clear" w:color="auto" w:fill="f2f2f2"/>
          </w:tcPr>
          <w:p w14:paraId="000000EC">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Target new customer segments (e.g., younger or budget-conscious travelers).</w:t>
            </w:r>
          </w:p>
        </w:tc>
      </w:tr>
      <w:tr>
        <w:trPr>
          <w:trHeight w:val="639" w:hRule="atLeast"/>
        </w:trPr>
        <w:tc>
          <w:tcPr>
            <w:cnfStyle w:val="000010000000"/>
            <w:tcW w:w="2365" w:type="dxa"/>
            <w:vMerge w:val="continue"/>
            <w:shd w:val="clear" w:color="auto" w:fill="f2f2f2"/>
          </w:tcPr>
          <w:p w14:paraId="000000ED">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EE">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Improve occupancy rates through marketing and discounts.</w:t>
            </w:r>
          </w:p>
        </w:tc>
        <w:tc>
          <w:tcPr>
            <w:cnfStyle w:val="000010000000"/>
            <w:tcW w:w="3682" w:type="dxa"/>
            <w:shd w:val="clear" w:color="auto" w:fill="f2f2f2"/>
          </w:tcPr>
          <w:p w14:paraId="000000EF">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 xml:space="preserve"> Enter emerging markets (e.g., Africa, Southeast Asia).</w:t>
            </w:r>
          </w:p>
        </w:tc>
      </w:tr>
      <w:tr>
        <w:trPr>
          <w:trHeight w:val="639" w:hRule="atLeast"/>
        </w:trPr>
        <w:tc>
          <w:tcPr>
            <w:cnfStyle w:val="000010000000"/>
            <w:tcW w:w="2365" w:type="dxa"/>
            <w:vMerge w:val="continue"/>
            <w:shd w:val="clear" w:color="auto" w:fill="f2f2f2"/>
          </w:tcPr>
          <w:p w14:paraId="000000F0">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F1">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Increase partnershi</w:t>
            </w:r>
            <w:r>
              <w:rPr>
                <w:rFonts w:ascii="Times New Roman" w:cs="Times New Roman" w:hAnsi="Times New Roman" w:hint="default"/>
                <w:sz w:val="24"/>
                <w:szCs w:val="24"/>
                <w:bdr w:val="nil" w:sz="4" w:space="0"/>
                <w:shd w:val="nil"/>
              </w:rPr>
              <w:t>ps with online travel agencies for broader reach.</w:t>
            </w:r>
          </w:p>
        </w:tc>
        <w:tc>
          <w:tcPr>
            <w:cnfStyle w:val="000010000000"/>
            <w:tcW w:w="3682" w:type="dxa"/>
            <w:shd w:val="clear" w:color="auto" w:fill="f2f2f2"/>
          </w:tcPr>
          <w:p w14:paraId="000000F2">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 xml:space="preserve"> Expand to underserved domestic markets.</w:t>
            </w:r>
          </w:p>
        </w:tc>
      </w:tr>
      <w:tr>
        <w:trPr>
          <w:trHeight w:val="228" w:hRule="atLeast"/>
        </w:trPr>
        <w:tc>
          <w:tcPr>
            <w:cnfStyle w:val="000010000000"/>
            <w:tcW w:w="2365" w:type="dxa"/>
            <w:vMerge w:val="restart"/>
            <w:shd w:val="clear" w:color="auto" w:fill="f2f2f2"/>
          </w:tcPr>
          <w:p w14:paraId="000000F3">
            <w:pPr>
              <w:pStyle w:val="Normal"/>
              <w:pBdr>
                <w:top w:val="nil" w:sz="4" w:space="0"/>
                <w:left w:val="nil" w:sz="4" w:space="0"/>
                <w:bottom w:val="nil" w:sz="4" w:space="0"/>
                <w:right w:val="nil" w:sz="4" w:space="0"/>
                <w:between w:val="nil" w:sz="4" w:space="0"/>
              </w:pBdr>
              <w:shd w:val="nil"/>
              <w:spacing w:after="0" w:line="360" w:lineRule="auto"/>
              <w:jc w:val="center"/>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New Products</w:t>
            </w:r>
          </w:p>
        </w:tc>
        <w:tc>
          <w:tcPr>
            <w:cnfStyle w:val="000001000000"/>
            <w:tcW w:w="3294" w:type="dxa"/>
            <w:shd w:val="clear" w:color="auto" w:fill="f2f2f2"/>
          </w:tcPr>
          <w:p w14:paraId="000000F4">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Product Development</w:t>
            </w:r>
          </w:p>
        </w:tc>
        <w:tc>
          <w:tcPr>
            <w:cnfStyle w:val="000010000000"/>
            <w:tcW w:w="3682" w:type="dxa"/>
            <w:shd w:val="clear" w:color="auto" w:fill="f2f2f2"/>
          </w:tcPr>
          <w:p w14:paraId="000000F5">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b/>
                <w:sz w:val="24"/>
                <w:szCs w:val="24"/>
                <w:bdr w:val="nil" w:sz="4" w:space="0"/>
                <w:shd w:val="nil"/>
              </w:rPr>
              <w:t>Diversification</w:t>
            </w:r>
          </w:p>
        </w:tc>
      </w:tr>
      <w:tr>
        <w:trPr>
          <w:trHeight w:val="639" w:hRule="atLeast"/>
        </w:trPr>
        <w:tc>
          <w:tcPr>
            <w:cnfStyle w:val="000010000000"/>
            <w:tcW w:w="2365" w:type="dxa"/>
            <w:vMerge w:val="continue"/>
            <w:shd w:val="clear" w:color="auto" w:fill="f2f2f2"/>
          </w:tcPr>
          <w:p w14:paraId="000000F6">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F7">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Develop new hotel brands (e.g., lifestyle or boutique hotels).</w:t>
            </w:r>
          </w:p>
        </w:tc>
        <w:tc>
          <w:tcPr>
            <w:cnfStyle w:val="000010000000"/>
            <w:tcW w:w="3682" w:type="dxa"/>
            <w:shd w:val="clear" w:color="auto" w:fill="f2f2f2"/>
          </w:tcPr>
          <w:p w14:paraId="000000F8">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Enter into complementary industries (e.g., vacatio</w:t>
            </w:r>
            <w:r>
              <w:rPr>
                <w:rFonts w:ascii="Times New Roman" w:cs="Times New Roman" w:hAnsi="Times New Roman" w:hint="default"/>
                <w:sz w:val="24"/>
                <w:szCs w:val="24"/>
                <w:bdr w:val="nil" w:sz="4" w:space="0"/>
                <w:shd w:val="nil"/>
              </w:rPr>
              <w:t>n rentals, luxury cruises).</w:t>
            </w:r>
          </w:p>
        </w:tc>
      </w:tr>
      <w:tr>
        <w:trPr>
          <w:trHeight w:val="639" w:hRule="atLeast"/>
        </w:trPr>
        <w:tc>
          <w:tcPr>
            <w:cnfStyle w:val="000010000000"/>
            <w:tcW w:w="2365" w:type="dxa"/>
            <w:vMerge w:val="continue"/>
            <w:shd w:val="clear" w:color="auto" w:fill="f2f2f2"/>
          </w:tcPr>
          <w:p w14:paraId="000000F9">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FA">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Introduce innovative service offerings (e.g., wellness programs).</w:t>
            </w:r>
          </w:p>
        </w:tc>
        <w:tc>
          <w:tcPr>
            <w:cnfStyle w:val="000010000000"/>
            <w:tcW w:w="3682" w:type="dxa"/>
            <w:shd w:val="clear" w:color="auto" w:fill="f2f2f2"/>
          </w:tcPr>
          <w:p w14:paraId="000000FB">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Offer corporate travel services in new markets.</w:t>
            </w:r>
          </w:p>
        </w:tc>
      </w:tr>
      <w:tr>
        <w:trPr>
          <w:trHeight w:val="639" w:hRule="atLeast"/>
        </w:trPr>
        <w:tc>
          <w:tcPr>
            <w:cnfStyle w:val="000010000000"/>
            <w:tcW w:w="2365" w:type="dxa"/>
            <w:vMerge w:val="continue"/>
            <w:shd w:val="clear" w:color="auto" w:fill="f2f2f2"/>
          </w:tcPr>
          <w:p w14:paraId="000000FC">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0FD">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Launch new technology features (e.g., mobile check-ins, smart rooms).</w:t>
            </w:r>
          </w:p>
        </w:tc>
        <w:tc>
          <w:tcPr>
            <w:cnfStyle w:val="000010000000"/>
            <w:tcW w:w="3682" w:type="dxa"/>
            <w:shd w:val="clear" w:color="auto" w:fill="f2f2f2"/>
          </w:tcPr>
          <w:p w14:paraId="000000FE">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Partner with tech companies for co-brand</w:t>
            </w:r>
            <w:r>
              <w:rPr>
                <w:rFonts w:ascii="Times New Roman" w:cs="Times New Roman" w:hAnsi="Times New Roman" w:hint="default"/>
                <w:sz w:val="24"/>
                <w:szCs w:val="24"/>
                <w:bdr w:val="nil" w:sz="4" w:space="0"/>
                <w:shd w:val="nil"/>
              </w:rPr>
              <w:t>ed accommodation services.</w:t>
            </w:r>
          </w:p>
        </w:tc>
      </w:tr>
      <w:tr>
        <w:trPr>
          <w:trHeight w:val="836" w:hRule="atLeast"/>
        </w:trPr>
        <w:tc>
          <w:tcPr>
            <w:cnfStyle w:val="000010000000"/>
            <w:tcW w:w="2365" w:type="dxa"/>
            <w:vMerge w:val="continue"/>
            <w:shd w:val="clear" w:color="auto" w:fill="f2f2f2"/>
          </w:tcPr>
          <w:p w14:paraId="000000FF">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p>
        </w:tc>
        <w:tc>
          <w:tcPr>
            <w:cnfStyle w:val="000001000000"/>
            <w:tcW w:w="3294" w:type="dxa"/>
            <w:shd w:val="clear" w:color="auto" w:fill="f2f2f2"/>
          </w:tcPr>
          <w:p w14:paraId="00000100">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Add upscale amenities (e.g., unique dining experiences, fitness centres).</w:t>
            </w:r>
          </w:p>
        </w:tc>
        <w:tc>
          <w:tcPr>
            <w:cnfStyle w:val="000010000000"/>
            <w:tcW w:w="3682" w:type="dxa"/>
            <w:shd w:val="clear" w:color="auto" w:fill="f2f2f2"/>
          </w:tcPr>
          <w:p w14:paraId="00000101">
            <w:pPr>
              <w:pStyle w:val="Normal"/>
              <w:pBdr>
                <w:top w:val="nil" w:sz="4" w:space="0"/>
                <w:left w:val="nil" w:sz="4" w:space="0"/>
                <w:bottom w:val="nil" w:sz="4" w:space="0"/>
                <w:right w:val="nil" w:sz="4" w:space="0"/>
                <w:between w:val="nil" w:sz="4" w:space="0"/>
              </w:pBdr>
              <w:shd w:val="nil"/>
              <w:spacing w:after="0" w:line="360" w:lineRule="auto"/>
              <w:rPr>
                <w:rFonts w:ascii="Times New Roman" w:cs="Times New Roman" w:hAnsi="Times New Roman" w:hint="default"/>
                <w:sz w:val="24"/>
                <w:szCs w:val="24"/>
              </w:rPr>
            </w:pPr>
            <w:r>
              <w:rPr>
                <w:rFonts w:ascii="Times New Roman" w:cs="Times New Roman" w:hAnsi="Times New Roman" w:hint="default"/>
                <w:sz w:val="24"/>
                <w:szCs w:val="24"/>
                <w:bdr w:val="nil" w:sz="4" w:space="0"/>
                <w:shd w:val="nil"/>
              </w:rPr>
              <w:t xml:space="preserve"> Invest in eco-friendly resorts or sustainable tourism ventures.</w:t>
            </w:r>
          </w:p>
        </w:tc>
      </w:tr>
    </w:tbl>
    <w:p w14:paraId="00000102">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jc w:val="center"/>
        <w:rPr>
          <w:rFonts w:ascii="Times New Roman" w:cs="Times New Roman" w:hAnsi="Times New Roman"/>
          <w:sz w:val="24"/>
          <w:szCs w:val="24"/>
        </w:rPr>
      </w:pPr>
      <w:r>
        <w:rPr>
          <w:rFonts w:ascii="Times New Roman" w:cs="Times New Roman" w:hAnsi="Times New Roman"/>
          <w:sz w:val="24"/>
          <w:szCs w:val="24"/>
        </w:rPr>
        <w:t xml:space="preserve">Hyatt’s </w:t>
      </w:r>
      <w:r>
        <w:rPr>
          <w:rFonts w:ascii="Times New Roman" w:cs="Times New Roman" w:hAnsi="Times New Roman"/>
          <w:b/>
          <w:sz w:val="24"/>
          <w:szCs w:val="24"/>
        </w:rPr>
        <w:t>Ansoff’s Matrix</w:t>
      </w:r>
    </w:p>
    <w:p w14:paraId="00000103">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jc w:val="center"/>
        <w:rPr>
          <w:rFonts w:ascii="Times New Roman" w:cs="Times New Roman" w:hAnsi="Times New Roman"/>
          <w:b/>
          <w:bCs/>
          <w:sz w:val="24"/>
          <w:szCs w:val="24"/>
        </w:rPr>
      </w:pPr>
      <w:r>
        <w:rPr>
          <w:rFonts w:ascii="Times New Roman" w:cs="Times New Roman" w:hAnsi="Times New Roman"/>
          <w:sz w:val="24"/>
          <w:szCs w:val="24"/>
        </w:rPr>
        <w:t>Source: (created by the researcher).</w:t>
      </w:r>
    </w:p>
    <w:p w14:paraId="00000104">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105">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106">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107">
      <w:pPr>
        <w:pStyle w:val="Normal"/>
        <w:pBdr>
          <w:top w:val="none" w:sz="4" w:space="0"/>
          <w:left w:val="none" w:sz="4" w:space="0"/>
          <w:bottom w:val="none" w:sz="4" w:space="0"/>
          <w:right w:val="none" w:sz="4" w:space="0"/>
          <w:between w:val="none" w:sz="4" w:space="0"/>
        </w:pBdr>
        <w:tabs>
          <w:tab w:val="left" w:leader="none" w:pos="720"/>
        </w:tabs>
        <w:spacing w:after="0" w:line="360" w:lineRule="auto"/>
        <w:ind w:left="360"/>
        <w:rPr>
          <w:rFonts w:ascii="Times New Roman" w:cs="Times New Roman" w:hAnsi="Times New Roman"/>
          <w:sz w:val="24"/>
          <w:szCs w:val="24"/>
        </w:rPr>
      </w:pPr>
    </w:p>
    <w:p w14:paraId="0000010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09">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0A">
      <w:pPr>
        <w:pStyle w:val="Heading1"/>
        <w:spacing w:line="360" w:lineRule="auto"/>
        <w:rPr>
          <w:rFonts w:ascii="Times New Roman" w:hAnsi="Times New Roman"/>
          <w:color w:val="000000"/>
          <w:sz w:val="24"/>
          <w:szCs w:val="24"/>
        </w:rPr>
      </w:pPr>
      <w:bookmarkStart w:id="16" w:name="_Toc31"/>
      <w:r>
        <w:rPr>
          <w:rFonts w:ascii="Times New Roman" w:hAnsi="Times New Roman"/>
          <w:sz w:val="24"/>
          <w:szCs w:val="24"/>
        </w:rPr>
        <w:t>Conclusion</w:t>
      </w:r>
      <w:bookmarkEnd w:id="16"/>
    </w:p>
    <w:p w14:paraId="0000010B">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w:t>
      </w:r>
    </w:p>
    <w:p w14:paraId="0000010C">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H</w:t>
      </w:r>
      <w:r>
        <w:rPr>
          <w:rFonts w:ascii="Times New Roman" w:cs="Times New Roman" w:hAnsi="Times New Roman"/>
          <w:sz w:val="24"/>
          <w:szCs w:val="24"/>
        </w:rPr>
        <w:t>otels Corporation’s strategic shift towards an asset-light, fee-driven model, along with its strong focus on luxury resort destinations, has significantly enhanced profitability and brand recognition. The company’s commitment to sustainability, employee en</w:t>
      </w:r>
      <w:r>
        <w:rPr>
          <w:rFonts w:ascii="Times New Roman" w:cs="Times New Roman" w:hAnsi="Times New Roman"/>
          <w:sz w:val="24"/>
          <w:szCs w:val="24"/>
        </w:rPr>
        <w:t>gagement, and cultural adaptation ensures long-term resilience in the competitive hospitality industry. With record growth in its loyalty programme and a diversified portfolio, Hyatt is well-positioned for future success.</w:t>
      </w:r>
      <w:r>
        <w:rPr>
          <w:rFonts w:ascii="Times New Roman" w:cs="Times New Roman" w:hAnsi="Times New Roman"/>
          <w:sz w:val="24"/>
          <w:szCs w:val="24"/>
        </w:rPr>
        <w:br w:type="textWrapping"/>
      </w:r>
    </w:p>
    <w:p w14:paraId="0000010D">
      <w:pPr>
        <w:pStyle w:val="Heading1"/>
        <w:spacing w:line="360" w:lineRule="auto"/>
        <w:rPr>
          <w:rFonts w:ascii="Times New Roman" w:hAnsi="Times New Roman"/>
          <w:color w:val="000000"/>
          <w:sz w:val="24"/>
          <w:szCs w:val="24"/>
        </w:rPr>
      </w:pPr>
      <w:bookmarkStart w:id="17" w:name="_Toc3"/>
      <w:r>
        <w:rPr>
          <w:rFonts w:ascii="Times New Roman" w:hAnsi="Times New Roman"/>
          <w:sz w:val="24"/>
          <w:szCs w:val="24"/>
        </w:rPr>
        <w:t>Recommendations</w:t>
      </w:r>
      <w:bookmarkEnd w:id="17"/>
      <w:r>
        <w:rPr>
          <w:rFonts w:ascii="Times New Roman" w:hAnsi="Times New Roman"/>
          <w:sz w:val="24"/>
          <w:szCs w:val="24"/>
        </w:rPr>
        <w:t xml:space="preserve"> </w:t>
      </w:r>
    </w:p>
    <w:p w14:paraId="0000010E">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should inv</w:t>
      </w:r>
      <w:r>
        <w:rPr>
          <w:rFonts w:ascii="Times New Roman" w:cs="Times New Roman" w:hAnsi="Times New Roman"/>
          <w:sz w:val="24"/>
          <w:szCs w:val="24"/>
        </w:rPr>
        <w:t>est further in innovative technologies like smart rooms and AI-driven guest services to enhance customer experiences and streamline operations.</w:t>
      </w:r>
    </w:p>
    <w:p w14:paraId="0000010F">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should pursue growth in underrepresented regions, such as Africa and Southeast Asia, to diversify its glob</w:t>
      </w:r>
      <w:r>
        <w:rPr>
          <w:rFonts w:ascii="Times New Roman" w:cs="Times New Roman" w:hAnsi="Times New Roman"/>
          <w:sz w:val="24"/>
          <w:szCs w:val="24"/>
        </w:rPr>
        <w:t>al footprint.</w:t>
      </w:r>
    </w:p>
    <w:p w14:paraId="00000110">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Enhancing its sustainability programmes, such as reducing carbon emissions and food waste, will align with increasing consumer demand for eco-friendly travel options.</w:t>
      </w:r>
    </w:p>
    <w:p w14:paraId="00000111">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r>
        <w:rPr>
          <w:rFonts w:ascii="Times New Roman" w:cs="Times New Roman" w:hAnsi="Times New Roman"/>
          <w:sz w:val="24"/>
          <w:szCs w:val="24"/>
        </w:rPr>
        <w:t>Hyatt should continue to advance its diversity, equity, and inclusion goals</w:t>
      </w:r>
      <w:r>
        <w:rPr>
          <w:rFonts w:ascii="Times New Roman" w:cs="Times New Roman" w:hAnsi="Times New Roman"/>
          <w:sz w:val="24"/>
          <w:szCs w:val="24"/>
        </w:rPr>
        <w:t xml:space="preserve"> by expanding leadership opportunities for underrepresented groups and supporting diverse suppliers.</w:t>
      </w:r>
    </w:p>
    <w:p w14:paraId="00000112">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3">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4">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5">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6">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7">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8">
      <w:pPr>
        <w:pStyle w:val="Normal"/>
        <w:pBdr>
          <w:top w:val="none" w:sz="4" w:space="0"/>
          <w:left w:val="none" w:sz="4" w:space="0"/>
          <w:bottom w:val="none" w:sz="4" w:space="0"/>
          <w:right w:val="none" w:sz="4" w:space="0"/>
          <w:between w:val="none" w:sz="4" w:space="0"/>
        </w:pBdr>
        <w:spacing w:after="0" w:line="360" w:lineRule="auto"/>
        <w:rPr>
          <w:rFonts w:ascii="Times New Roman" w:cs="Times New Roman" w:hAnsi="Times New Roman"/>
          <w:sz w:val="24"/>
          <w:szCs w:val="24"/>
        </w:rPr>
      </w:pPr>
    </w:p>
    <w:p w14:paraId="00000119">
      <w:pPr>
        <w:pStyle w:val="Heading1"/>
        <w:spacing w:line="360" w:lineRule="auto"/>
        <w:rPr>
          <w:rFonts w:ascii="Times New Roman" w:hAnsi="Times New Roman"/>
          <w:color w:val="000000"/>
          <w:sz w:val="24"/>
          <w:szCs w:val="24"/>
        </w:rPr>
      </w:pPr>
      <w:bookmarkStart w:id="18" w:name="_Toc32"/>
      <w:r>
        <w:rPr>
          <w:rFonts w:ascii="Times New Roman" w:hAnsi="Times New Roman"/>
          <w:sz w:val="24"/>
          <w:szCs w:val="24"/>
        </w:rPr>
        <w:t>References</w:t>
      </w:r>
      <w:bookmarkEnd w:id="18"/>
    </w:p>
    <w:p w14:paraId="0000011A">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Abdelhamid, A. (2017) </w:t>
      </w:r>
      <w:r>
        <w:rPr>
          <w:rFonts w:ascii="Times New Roman" w:cs="Times New Roman" w:hAnsi="Times New Roman" w:hint="default"/>
          <w:i/>
          <w:iCs/>
          <w:sz w:val="24"/>
          <w:szCs w:val="24"/>
        </w:rPr>
        <w:t>Hyatt Hotels Award 31 Local Nonprofits - InspiredEconomist</w:t>
      </w:r>
      <w:r>
        <w:rPr>
          <w:rFonts w:ascii="Times New Roman" w:cs="Times New Roman" w:hAnsi="Times New Roman" w:hint="default"/>
          <w:sz w:val="24"/>
          <w:szCs w:val="24"/>
        </w:rPr>
        <w:t>. https://inspiredeconomist.com/articles/hyatt-hotels-awa</w:t>
      </w:r>
      <w:r>
        <w:rPr>
          <w:rFonts w:ascii="Times New Roman" w:cs="Times New Roman" w:hAnsi="Times New Roman" w:hint="default"/>
          <w:sz w:val="24"/>
          <w:szCs w:val="24"/>
        </w:rPr>
        <w:t>rd-local-nonprofits/.</w:t>
      </w:r>
    </w:p>
    <w:p w14:paraId="0000011B">
      <w:pPr>
        <w:pStyle w:val="Bibliography"/>
        <w:spacing w:line="360" w:lineRule="auto"/>
        <w:rPr>
          <w:rFonts w:ascii="Times New Roman" w:cs="Times New Roman" w:hAnsi="Times New Roman" w:hint="default"/>
          <w:sz w:val="24"/>
          <w:szCs w:val="24"/>
        </w:rPr>
      </w:pPr>
      <w:r>
        <w:rPr>
          <w:rFonts w:ascii="Times New Roman" w:cs="Times New Roman" w:hAnsi="Times New Roman" w:hint="default"/>
          <w:i/>
          <w:iCs/>
          <w:sz w:val="24"/>
          <w:szCs w:val="24"/>
        </w:rPr>
        <w:t>CIPD | Ethical practice and the role of people professionals | Factsheets</w:t>
      </w:r>
      <w:r>
        <w:rPr>
          <w:rFonts w:ascii="Times New Roman" w:cs="Times New Roman" w:hAnsi="Times New Roman" w:hint="default"/>
          <w:sz w:val="24"/>
          <w:szCs w:val="24"/>
        </w:rPr>
        <w:t xml:space="preserve"> (2023). https://www.cipd.org/uk/knowledge/factsheets/ethics-role-hr-factsheet/.</w:t>
      </w:r>
    </w:p>
    <w:p w14:paraId="0000011C">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Cuofano, W.I.G. (2024) </w:t>
      </w:r>
      <w:r>
        <w:rPr>
          <w:rFonts w:ascii="Times New Roman" w:cs="Times New Roman" w:hAnsi="Times New Roman" w:hint="default"/>
          <w:i/>
          <w:iCs/>
          <w:sz w:val="24"/>
          <w:szCs w:val="24"/>
        </w:rPr>
        <w:t>Mintzberg Organizational Structure</w:t>
      </w:r>
      <w:r>
        <w:rPr>
          <w:rFonts w:ascii="Times New Roman" w:cs="Times New Roman" w:hAnsi="Times New Roman" w:hint="default"/>
          <w:sz w:val="24"/>
          <w:szCs w:val="24"/>
        </w:rPr>
        <w:t>. https://fourweekmba.c</w:t>
      </w:r>
      <w:r>
        <w:rPr>
          <w:rFonts w:ascii="Times New Roman" w:cs="Times New Roman" w:hAnsi="Times New Roman" w:hint="default"/>
          <w:sz w:val="24"/>
          <w:szCs w:val="24"/>
        </w:rPr>
        <w:t>om/mintzberg-organizational-structure/.</w:t>
      </w:r>
    </w:p>
    <w:p w14:paraId="0000011D">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Denis, G. (2022) </w:t>
      </w:r>
      <w:r>
        <w:rPr>
          <w:rFonts w:ascii="Times New Roman" w:cs="Times New Roman" w:hAnsi="Times New Roman" w:hint="default"/>
          <w:i/>
          <w:iCs/>
          <w:sz w:val="24"/>
          <w:szCs w:val="24"/>
        </w:rPr>
        <w:t>Edgar Schein</w:t>
      </w:r>
      <w:r>
        <w:rPr>
          <w:rFonts w:ascii="Times New Roman" w:cs="Times New Roman" w:hAnsi="Times New Roman" w:hint="default"/>
          <w:i/>
          <w:iCs/>
          <w:sz w:val="24"/>
          <w:szCs w:val="24"/>
        </w:rPr>
        <w:t>!</w:t>
      </w:r>
      <w:r>
        <w:rPr>
          <w:rFonts w:ascii="Times New Roman" w:cs="Times New Roman" w:hAnsi="Times New Roman" w:hint="default"/>
          <w:i/>
          <w:iCs/>
          <w:sz w:val="24"/>
          <w:szCs w:val="24"/>
        </w:rPr>
        <w:t>s Organizational Culture Model</w:t>
      </w:r>
      <w:r>
        <w:rPr>
          <w:rFonts w:ascii="Times New Roman" w:cs="Times New Roman" w:hAnsi="Times New Roman" w:hint="default"/>
          <w:sz w:val="24"/>
          <w:szCs w:val="24"/>
        </w:rPr>
        <w:t>. https://expertprogrammanagement.com/2022/09/edgar-schein-culture-model/?utm_content=cmp-true.</w:t>
      </w:r>
    </w:p>
    <w:p w14:paraId="0000011E">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DiSanto, M. (2023) Hyatt Shares Environmental and Social Imp</w:t>
      </w:r>
      <w:r>
        <w:rPr>
          <w:rFonts w:ascii="Times New Roman" w:cs="Times New Roman" w:hAnsi="Times New Roman" w:hint="default"/>
          <w:sz w:val="24"/>
          <w:szCs w:val="24"/>
        </w:rPr>
        <w:t xml:space="preserve">act Reporting, Eclipses Critical DE&amp;I Goals and Sustains Momentum with Key 2023 Initiatives, </w:t>
      </w:r>
      <w:r>
        <w:rPr>
          <w:rFonts w:ascii="Times New Roman" w:cs="Times New Roman" w:hAnsi="Times New Roman" w:hint="default"/>
          <w:i/>
          <w:iCs/>
          <w:sz w:val="24"/>
          <w:szCs w:val="24"/>
        </w:rPr>
        <w:t>Hyatt</w:t>
      </w:r>
      <w:r>
        <w:rPr>
          <w:rFonts w:ascii="Times New Roman" w:cs="Times New Roman" w:hAnsi="Times New Roman" w:hint="default"/>
          <w:sz w:val="24"/>
          <w:szCs w:val="24"/>
        </w:rPr>
        <w:t>. https://investors.hyatt.com/news/investor-news/news-details/2023/Hyatt-Shares-Environmental-and-Social-Impact-Reporting-Eclipses-Critical-DEI-Goals-and-Sust</w:t>
      </w:r>
      <w:r>
        <w:rPr>
          <w:rFonts w:ascii="Times New Roman" w:cs="Times New Roman" w:hAnsi="Times New Roman" w:hint="default"/>
          <w:sz w:val="24"/>
          <w:szCs w:val="24"/>
        </w:rPr>
        <w:t>ains-Momentum-with-Key-2023-Initiatives-08-02-2023/default.aspx.</w:t>
      </w:r>
    </w:p>
    <w:p w14:paraId="0000011F">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Global Reporting Initiative (GRI) (2023) </w:t>
      </w:r>
      <w:r>
        <w:rPr>
          <w:rFonts w:ascii="Times New Roman" w:cs="Times New Roman" w:hAnsi="Times New Roman" w:hint="default"/>
          <w:i/>
          <w:iCs/>
          <w:sz w:val="24"/>
          <w:szCs w:val="24"/>
        </w:rPr>
        <w:t>2023 GRI Index</w:t>
      </w:r>
      <w:r>
        <w:rPr>
          <w:rFonts w:ascii="Times New Roman" w:cs="Times New Roman" w:hAnsi="Times New Roman" w:hint="default"/>
          <w:sz w:val="24"/>
          <w:szCs w:val="24"/>
        </w:rPr>
        <w:t>.</w:t>
      </w:r>
    </w:p>
    <w:p w14:paraId="00000120">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Hanlon, A. (2021) </w:t>
      </w:r>
      <w:r>
        <w:rPr>
          <w:rFonts w:ascii="Times New Roman" w:cs="Times New Roman" w:hAnsi="Times New Roman" w:hint="default"/>
          <w:i/>
          <w:iCs/>
          <w:sz w:val="24"/>
          <w:szCs w:val="24"/>
        </w:rPr>
        <w:t>The Ansoff Model [Marketing strategy matrix] | Smart Insights</w:t>
      </w:r>
      <w:r>
        <w:rPr>
          <w:rFonts w:ascii="Times New Roman" w:cs="Times New Roman" w:hAnsi="Times New Roman" w:hint="default"/>
          <w:sz w:val="24"/>
          <w:szCs w:val="24"/>
        </w:rPr>
        <w:t>. https://www.smartinsights.com/marketing-planning/crea</w:t>
      </w:r>
      <w:r>
        <w:rPr>
          <w:rFonts w:ascii="Times New Roman" w:cs="Times New Roman" w:hAnsi="Times New Roman" w:hint="default"/>
          <w:sz w:val="24"/>
          <w:szCs w:val="24"/>
        </w:rPr>
        <w:t>te-a-marketing-plan/ansoff-model/.</w:t>
      </w:r>
    </w:p>
    <w:p w14:paraId="00000121">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Herbert, H.J. (2024) </w:t>
      </w:r>
      <w:r>
        <w:rPr>
          <w:rFonts w:ascii="Times New Roman" w:cs="Times New Roman" w:hAnsi="Times New Roman" w:hint="default"/>
          <w:i/>
          <w:iCs/>
          <w:sz w:val="24"/>
          <w:szCs w:val="24"/>
        </w:rPr>
        <w:t>The Crucial Role of Culture in Corporate Innovation Management Implementation</w:t>
      </w:r>
      <w:r>
        <w:rPr>
          <w:rFonts w:ascii="Times New Roman" w:cs="Times New Roman" w:hAnsi="Times New Roman" w:hint="default"/>
          <w:sz w:val="24"/>
          <w:szCs w:val="24"/>
        </w:rPr>
        <w:t>. https://www.linkedin.com/pulse/title-crucial-role-culture-corporate-innovation-herman-j-herbert-upzye/.</w:t>
      </w:r>
    </w:p>
    <w:p w14:paraId="00000122">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Hyatt (2017) </w:t>
      </w:r>
      <w:r>
        <w:rPr>
          <w:rFonts w:ascii="Times New Roman" w:cs="Times New Roman" w:hAnsi="Times New Roman" w:hint="default"/>
          <w:i/>
          <w:iCs/>
          <w:sz w:val="24"/>
          <w:szCs w:val="24"/>
        </w:rPr>
        <w:t>Corp</w:t>
      </w:r>
      <w:r>
        <w:rPr>
          <w:rFonts w:ascii="Times New Roman" w:cs="Times New Roman" w:hAnsi="Times New Roman" w:hint="default"/>
          <w:i/>
          <w:iCs/>
          <w:sz w:val="24"/>
          <w:szCs w:val="24"/>
        </w:rPr>
        <w:t>orate Responsibility Scorecard – 2016/2017</w:t>
      </w:r>
      <w:r>
        <w:rPr>
          <w:rFonts w:ascii="Times New Roman" w:cs="Times New Roman" w:hAnsi="Times New Roman" w:hint="default"/>
          <w:sz w:val="24"/>
          <w:szCs w:val="24"/>
        </w:rPr>
        <w:t>.</w:t>
      </w:r>
    </w:p>
    <w:p w14:paraId="00000123">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Hyatt (2018) </w:t>
      </w:r>
      <w:r>
        <w:rPr>
          <w:rFonts w:ascii="Times New Roman" w:cs="Times New Roman" w:hAnsi="Times New Roman" w:hint="default"/>
          <w:i/>
          <w:iCs/>
          <w:sz w:val="24"/>
          <w:szCs w:val="24"/>
        </w:rPr>
        <w:t>Corporate Responsibility Scorecard 2017/2018</w:t>
      </w:r>
      <w:r>
        <w:rPr>
          <w:rFonts w:ascii="Times New Roman" w:cs="Times New Roman" w:hAnsi="Times New Roman" w:hint="default"/>
          <w:sz w:val="24"/>
          <w:szCs w:val="24"/>
        </w:rPr>
        <w:t>.</w:t>
      </w:r>
    </w:p>
    <w:p w14:paraId="00000124">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Hyatt Hotels Corporation (2024) </w:t>
      </w:r>
      <w:r>
        <w:rPr>
          <w:rFonts w:ascii="Times New Roman" w:cs="Times New Roman" w:hAnsi="Times New Roman" w:hint="default"/>
          <w:i/>
          <w:iCs/>
          <w:sz w:val="24"/>
          <w:szCs w:val="24"/>
        </w:rPr>
        <w:t>HYATT REPORTS FOURTH QUARTER AND FULL YEAR 2023 RESULTS</w:t>
      </w:r>
      <w:r>
        <w:rPr>
          <w:rFonts w:ascii="Times New Roman" w:cs="Times New Roman" w:hAnsi="Times New Roman" w:hint="default"/>
          <w:sz w:val="24"/>
          <w:szCs w:val="24"/>
        </w:rPr>
        <w:t>. https://investors.hyatt.com/files/doc_financials/2023/q4/Final-Q</w:t>
      </w:r>
      <w:r>
        <w:rPr>
          <w:rFonts w:ascii="Times New Roman" w:cs="Times New Roman" w:hAnsi="Times New Roman" w:hint="default"/>
          <w:sz w:val="24"/>
          <w:szCs w:val="24"/>
        </w:rPr>
        <w:t>4-2023-Earnings-Release-Full.pdf.</w:t>
      </w:r>
    </w:p>
    <w:p w14:paraId="00000125">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Hyatt Sustainability Report (2020) </w:t>
      </w:r>
      <w:r>
        <w:rPr>
          <w:rFonts w:ascii="Times New Roman" w:cs="Times New Roman" w:hAnsi="Times New Roman" w:hint="default"/>
          <w:i/>
          <w:iCs/>
          <w:sz w:val="24"/>
          <w:szCs w:val="24"/>
        </w:rPr>
        <w:t>ENVIRONMENTAL SUSTAINABILITY HIGHLIGHTS 2019/2020</w:t>
      </w:r>
      <w:r>
        <w:rPr>
          <w:rFonts w:ascii="Times New Roman" w:cs="Times New Roman" w:hAnsi="Times New Roman" w:hint="default"/>
          <w:sz w:val="24"/>
          <w:szCs w:val="24"/>
        </w:rPr>
        <w:t>. https://about.hyatt.com/content/dam/HyattStories/thrive/HyattEnvironmentalSustainabilityHighlights20192020.pdf.</w:t>
      </w:r>
    </w:p>
    <w:p w14:paraId="00000126">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Lacalle, E. (2024) What </w:t>
      </w:r>
      <w:r>
        <w:rPr>
          <w:rFonts w:ascii="Times New Roman" w:cs="Times New Roman" w:hAnsi="Times New Roman" w:hint="default"/>
          <w:sz w:val="24"/>
          <w:szCs w:val="24"/>
        </w:rPr>
        <w:t xml:space="preserve">are hotel occupancy rates and how to increase them?, </w:t>
      </w:r>
      <w:r>
        <w:rPr>
          <w:rFonts w:ascii="Times New Roman" w:cs="Times New Roman" w:hAnsi="Times New Roman" w:hint="default"/>
          <w:i/>
          <w:iCs/>
          <w:sz w:val="24"/>
          <w:szCs w:val="24"/>
        </w:rPr>
        <w:t>MEWS</w:t>
      </w:r>
      <w:r>
        <w:rPr>
          <w:rFonts w:ascii="Times New Roman" w:cs="Times New Roman" w:hAnsi="Times New Roman" w:hint="default"/>
          <w:sz w:val="24"/>
          <w:szCs w:val="24"/>
        </w:rPr>
        <w:t>, 19 June. https://www.mews.com/en/blog/hotel-occupancy-rates.</w:t>
      </w:r>
    </w:p>
    <w:p w14:paraId="00000127">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McCracken, S. (2023) </w:t>
      </w:r>
      <w:r>
        <w:rPr>
          <w:rFonts w:ascii="Times New Roman" w:cs="Times New Roman" w:hAnsi="Times New Roman" w:hint="default"/>
          <w:i/>
          <w:iCs/>
          <w:sz w:val="24"/>
          <w:szCs w:val="24"/>
        </w:rPr>
        <w:t>Hyatt CEO Points to Strategic Shifts To Explain Strong 2022</w:t>
      </w:r>
      <w:r>
        <w:rPr>
          <w:rFonts w:ascii="Times New Roman" w:cs="Times New Roman" w:hAnsi="Times New Roman" w:hint="default"/>
          <w:sz w:val="24"/>
          <w:szCs w:val="24"/>
        </w:rPr>
        <w:t xml:space="preserve">, </w:t>
      </w:r>
      <w:r>
        <w:rPr>
          <w:rFonts w:ascii="Times New Roman" w:cs="Times New Roman" w:hAnsi="Times New Roman" w:hint="default"/>
          <w:i/>
          <w:iCs/>
          <w:sz w:val="24"/>
          <w:szCs w:val="24"/>
        </w:rPr>
        <w:t>Hotel News Now</w:t>
      </w:r>
      <w:r>
        <w:rPr>
          <w:rFonts w:ascii="Times New Roman" w:cs="Times New Roman" w:hAnsi="Times New Roman" w:hint="default"/>
          <w:sz w:val="24"/>
          <w:szCs w:val="24"/>
        </w:rPr>
        <w:t>. https://www.costar.com/article/1704112</w:t>
      </w:r>
      <w:r>
        <w:rPr>
          <w:rFonts w:ascii="Times New Roman" w:cs="Times New Roman" w:hAnsi="Times New Roman" w:hint="default"/>
          <w:sz w:val="24"/>
          <w:szCs w:val="24"/>
        </w:rPr>
        <w:t>071/hyatt-ceo-points-to-strategic-shifts-to-explain-strong-2022.</w:t>
      </w:r>
    </w:p>
    <w:p w14:paraId="00000128">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Metz, D., Ilieș, L. and Nistor, R.L. (2020) The Impact of Organizational Culture on Customer Service Effectiveness from a Sustainability Perspective, </w:t>
      </w:r>
      <w:r>
        <w:rPr>
          <w:rFonts w:ascii="Times New Roman" w:cs="Times New Roman" w:hAnsi="Times New Roman" w:hint="default"/>
          <w:i/>
          <w:iCs/>
          <w:sz w:val="24"/>
          <w:szCs w:val="24"/>
        </w:rPr>
        <w:t>Sustainability</w:t>
      </w:r>
      <w:r>
        <w:rPr>
          <w:rFonts w:ascii="Times New Roman" w:cs="Times New Roman" w:hAnsi="Times New Roman" w:hint="default"/>
          <w:sz w:val="24"/>
          <w:szCs w:val="24"/>
        </w:rPr>
        <w:t>, 12(15), p. 6240. https://</w:t>
      </w:r>
      <w:r>
        <w:rPr>
          <w:rFonts w:ascii="Times New Roman" w:cs="Times New Roman" w:hAnsi="Times New Roman" w:hint="default"/>
          <w:sz w:val="24"/>
          <w:szCs w:val="24"/>
        </w:rPr>
        <w:t>doi.org/10.3390/su12156240.</w:t>
      </w:r>
    </w:p>
    <w:p w14:paraId="00000129">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OECD (2020) </w:t>
      </w:r>
      <w:r>
        <w:rPr>
          <w:rFonts w:ascii="Times New Roman" w:cs="Times New Roman" w:hAnsi="Times New Roman" w:hint="default"/>
          <w:i/>
          <w:iCs/>
          <w:sz w:val="24"/>
          <w:szCs w:val="24"/>
        </w:rPr>
        <w:t>OECD Tourism Trends and Policies 2020</w:t>
      </w:r>
      <w:r>
        <w:rPr>
          <w:rFonts w:ascii="Times New Roman" w:cs="Times New Roman" w:hAnsi="Times New Roman" w:hint="default"/>
          <w:sz w:val="24"/>
          <w:szCs w:val="24"/>
        </w:rPr>
        <w:t>. https://www.oecd-ilibrary.org/docserver/82b46508-en.pdf?expires=1726178301&amp;id=id&amp;accname=guest&amp;checksum=98E83119F02D22947A05F87DBFF974FD.</w:t>
      </w:r>
    </w:p>
    <w:p w14:paraId="0000012A">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Oxford College (2024) </w:t>
      </w:r>
      <w:r>
        <w:rPr>
          <w:rFonts w:ascii="Times New Roman" w:cs="Times New Roman" w:hAnsi="Times New Roman" w:hint="default"/>
          <w:i/>
          <w:iCs/>
          <w:sz w:val="24"/>
          <w:szCs w:val="24"/>
        </w:rPr>
        <w:t xml:space="preserve">Using The Ansoff </w:t>
      </w:r>
      <w:r>
        <w:rPr>
          <w:rFonts w:ascii="Times New Roman" w:cs="Times New Roman" w:hAnsi="Times New Roman" w:hint="default"/>
          <w:i/>
          <w:iCs/>
          <w:sz w:val="24"/>
          <w:szCs w:val="24"/>
        </w:rPr>
        <w:t>Matrix to Develop Marketing Strategy</w:t>
      </w:r>
      <w:r>
        <w:rPr>
          <w:rFonts w:ascii="Times New Roman" w:cs="Times New Roman" w:hAnsi="Times New Roman" w:hint="default"/>
          <w:sz w:val="24"/>
          <w:szCs w:val="24"/>
        </w:rPr>
        <w:t>. https://blog.oxfordcollegeofmarketing.com/2016/08/01/using-ansoff-matrix-develop-marketing-strategy/.</w:t>
      </w:r>
    </w:p>
    <w:p w14:paraId="0000012B">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Peek, S. and Weiss (2024) </w:t>
      </w:r>
      <w:r>
        <w:rPr>
          <w:rFonts w:ascii="Times New Roman" w:cs="Times New Roman" w:hAnsi="Times New Roman" w:hint="default"/>
          <w:i/>
          <w:iCs/>
          <w:sz w:val="24"/>
          <w:szCs w:val="24"/>
        </w:rPr>
        <w:t>The Management Theory of Henry Mintzberg</w:t>
      </w:r>
      <w:r>
        <w:rPr>
          <w:rFonts w:ascii="Times New Roman" w:cs="Times New Roman" w:hAnsi="Times New Roman" w:hint="default"/>
          <w:sz w:val="24"/>
          <w:szCs w:val="24"/>
        </w:rPr>
        <w:t>. https://www.business.com/articles/management-the</w:t>
      </w:r>
      <w:r>
        <w:rPr>
          <w:rFonts w:ascii="Times New Roman" w:cs="Times New Roman" w:hAnsi="Times New Roman" w:hint="default"/>
          <w:sz w:val="24"/>
          <w:szCs w:val="24"/>
        </w:rPr>
        <w:t>ory-of-henry-mintzberg-basics/.</w:t>
      </w:r>
    </w:p>
    <w:p w14:paraId="0000012C">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Sanders, M. (2023) Margaret Egan Of Hyatt Hotels Corporation On How They Are Breaking the Cycle of Non-Renewable Consumption, </w:t>
      </w:r>
      <w:r>
        <w:rPr>
          <w:rFonts w:ascii="Times New Roman" w:cs="Times New Roman" w:hAnsi="Times New Roman" w:hint="default"/>
          <w:i/>
          <w:iCs/>
          <w:sz w:val="24"/>
          <w:szCs w:val="24"/>
        </w:rPr>
        <w:t>Medium</w:t>
      </w:r>
      <w:r>
        <w:rPr>
          <w:rFonts w:ascii="Times New Roman" w:cs="Times New Roman" w:hAnsi="Times New Roman" w:hint="default"/>
          <w:sz w:val="24"/>
          <w:szCs w:val="24"/>
        </w:rPr>
        <w:t>, 11 September. https://medium.com/authority-magazine/margaret-egan-of-hyatt-hotels-corporat</w:t>
      </w:r>
      <w:r>
        <w:rPr>
          <w:rFonts w:ascii="Times New Roman" w:cs="Times New Roman" w:hAnsi="Times New Roman" w:hint="default"/>
          <w:sz w:val="24"/>
          <w:szCs w:val="24"/>
        </w:rPr>
        <w:t>ion-on-how-they-are-breaking-the-cycle-of-non-renewable-fc46eec10f20.</w:t>
      </w:r>
    </w:p>
    <w:p w14:paraId="0000012D">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Siân, M. (2014) </w:t>
      </w:r>
      <w:r>
        <w:rPr>
          <w:rFonts w:ascii="Times New Roman" w:cs="Times New Roman" w:hAnsi="Times New Roman" w:hint="default"/>
          <w:i/>
          <w:iCs/>
          <w:sz w:val="24"/>
          <w:szCs w:val="24"/>
        </w:rPr>
        <w:t>Hyatt Announces Plans for First Hyatt House Hotel in New Orleans</w:t>
      </w:r>
      <w:r>
        <w:rPr>
          <w:rFonts w:ascii="Times New Roman" w:cs="Times New Roman" w:hAnsi="Times New Roman" w:hint="default"/>
          <w:sz w:val="24"/>
          <w:szCs w:val="24"/>
        </w:rPr>
        <w:t>. https://newsroom.hyatt.com/101314-Hyatt-Announces-Plans-for-First-Hyatt-House-Hotel-in-New-Orleans.</w:t>
      </w:r>
    </w:p>
    <w:p w14:paraId="0000012E">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Snar</w:t>
      </w:r>
      <w:r>
        <w:rPr>
          <w:rFonts w:ascii="Times New Roman" w:cs="Times New Roman" w:hAnsi="Times New Roman" w:hint="default"/>
          <w:sz w:val="24"/>
          <w:szCs w:val="24"/>
        </w:rPr>
        <w:t xml:space="preserve">t, S. (2019) </w:t>
      </w:r>
      <w:r>
        <w:rPr>
          <w:rFonts w:ascii="Times New Roman" w:cs="Times New Roman" w:hAnsi="Times New Roman" w:hint="default"/>
          <w:i/>
          <w:iCs/>
          <w:sz w:val="24"/>
          <w:szCs w:val="24"/>
        </w:rPr>
        <w:t>Hyatt Launches Three Global Initiatives to Significantly Reduce Single-Use Plastics</w:t>
      </w:r>
      <w:r>
        <w:rPr>
          <w:rFonts w:ascii="Times New Roman" w:cs="Times New Roman" w:hAnsi="Times New Roman" w:hint="default"/>
          <w:sz w:val="24"/>
          <w:szCs w:val="24"/>
        </w:rPr>
        <w:t>. https://newsroom.hyatt.com/single_use_plastic_reduction.</w:t>
      </w:r>
    </w:p>
    <w:p w14:paraId="0000012F">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StudyCorgi (2020) </w:t>
      </w:r>
      <w:r>
        <w:rPr>
          <w:rFonts w:ascii="Times New Roman" w:cs="Times New Roman" w:hAnsi="Times New Roman" w:hint="default"/>
          <w:i/>
          <w:iCs/>
          <w:sz w:val="24"/>
          <w:szCs w:val="24"/>
        </w:rPr>
        <w:t>The Hyatt Regency Hotel in Kiev | Free Essay Example</w:t>
      </w:r>
      <w:r>
        <w:rPr>
          <w:rFonts w:ascii="Times New Roman" w:cs="Times New Roman" w:hAnsi="Times New Roman" w:hint="default"/>
          <w:sz w:val="24"/>
          <w:szCs w:val="24"/>
        </w:rPr>
        <w:t>. https://studycorgi.com/the-hy</w:t>
      </w:r>
      <w:r>
        <w:rPr>
          <w:rFonts w:ascii="Times New Roman" w:cs="Times New Roman" w:hAnsi="Times New Roman" w:hint="default"/>
          <w:sz w:val="24"/>
          <w:szCs w:val="24"/>
        </w:rPr>
        <w:t>att-regency-hotel-in-kiev/.</w:t>
      </w:r>
    </w:p>
    <w:p w14:paraId="00000130">
      <w:pPr>
        <w:pStyle w:val="Bibliography"/>
        <w:spacing w:line="360" w:lineRule="auto"/>
        <w:rPr>
          <w:rFonts w:ascii="Times New Roman" w:cs="Times New Roman" w:hAnsi="Times New Roman" w:hint="default"/>
          <w:sz w:val="24"/>
          <w:szCs w:val="24"/>
        </w:rPr>
      </w:pPr>
      <w:r>
        <w:rPr>
          <w:rFonts w:ascii="Times New Roman" w:cs="Times New Roman" w:hAnsi="Times New Roman" w:hint="default"/>
          <w:sz w:val="24"/>
          <w:szCs w:val="24"/>
        </w:rPr>
        <w:t xml:space="preserve">Vu, T. (2021) Service Quality And Its Impact On Customer Satisfaction, </w:t>
      </w:r>
      <w:r>
        <w:rPr>
          <w:rFonts w:ascii="Times New Roman" w:cs="Times New Roman" w:hAnsi="Times New Roman" w:hint="default"/>
          <w:i/>
          <w:iCs/>
          <w:sz w:val="24"/>
          <w:szCs w:val="24"/>
        </w:rPr>
        <w:t>ResearchGate</w:t>
      </w:r>
      <w:r>
        <w:rPr>
          <w:rFonts w:ascii="Times New Roman" w:cs="Times New Roman" w:hAnsi="Times New Roman" w:hint="default"/>
          <w:sz w:val="24"/>
          <w:szCs w:val="24"/>
        </w:rPr>
        <w:t xml:space="preserve"> [Preprint]. https://doi.org/10.6084/m9.figshare.17089454.</w:t>
      </w:r>
    </w:p>
    <w:p w14:paraId="00000131">
      <w:pPr>
        <w:pStyle w:val="Normal"/>
        <w:spacing w:line="360" w:lineRule="auto"/>
        <w:rPr>
          <w:rFonts w:ascii="Times New Roman" w:cs="Times New Roman" w:hAnsi="Times New Roman"/>
          <w:sz w:val="24"/>
          <w:szCs w:val="24"/>
        </w:rPr>
      </w:pPr>
    </w:p>
    <w:p w14:paraId="00000132">
      <w:pPr>
        <w:pStyle w:val="Normal"/>
        <w:spacing w:line="360" w:lineRule="auto"/>
        <w:jc w:val="right"/>
        <w:rPr>
          <w:rFonts w:ascii="Times New Roman" w:cs="Times New Roman" w:hAnsi="Times New Roman"/>
          <w:sz w:val="24"/>
          <w:szCs w:val="24"/>
        </w:rPr>
      </w:pPr>
    </w:p>
    <w:p w14:paraId="00000133">
      <w:pPr>
        <w:pStyle w:val="Normal"/>
        <w:spacing w:line="360" w:lineRule="auto"/>
        <w:jc w:val="right"/>
        <w:rPr>
          <w:rFonts w:ascii="Times New Roman" w:cs="Times New Roman" w:hAnsi="Times New Roman"/>
          <w:sz w:val="24"/>
          <w:szCs w:val="24"/>
        </w:rPr>
      </w:pPr>
    </w:p>
    <w:p w14:paraId="00000134">
      <w:pPr>
        <w:pStyle w:val="Normal"/>
        <w:spacing w:line="360" w:lineRule="auto"/>
        <w:jc w:val="right"/>
        <w:rPr>
          <w:rFonts w:ascii="Times New Roman" w:cs="Times New Roman" w:hAnsi="Times New Roman"/>
          <w:sz w:val="24"/>
          <w:szCs w:val="24"/>
        </w:rPr>
      </w:pPr>
    </w:p>
    <w:p w14:paraId="00000135">
      <w:pPr>
        <w:pStyle w:val="Normal"/>
        <w:spacing w:line="360" w:lineRule="auto"/>
        <w:jc w:val="right"/>
        <w:rPr>
          <w:rFonts w:ascii="Times New Roman" w:cs="Times New Roman" w:hAnsi="Times New Roman"/>
          <w:sz w:val="24"/>
          <w:szCs w:val="24"/>
        </w:rPr>
      </w:pPr>
    </w:p>
    <w:p w14:paraId="00000136">
      <w:pPr>
        <w:pStyle w:val="Normal"/>
        <w:spacing w:line="360" w:lineRule="auto"/>
        <w:jc w:val="right"/>
        <w:rPr>
          <w:rFonts w:ascii="Times New Roman" w:cs="Times New Roman" w:hAnsi="Times New Roman"/>
          <w:sz w:val="24"/>
          <w:szCs w:val="24"/>
        </w:rPr>
      </w:pPr>
    </w:p>
    <w:p w14:paraId="00000137">
      <w:pPr>
        <w:pStyle w:val="Normal"/>
        <w:spacing w:line="360" w:lineRule="auto"/>
        <w:jc w:val="right"/>
        <w:rPr>
          <w:rFonts w:ascii="Times New Roman" w:cs="Times New Roman" w:hAnsi="Times New Roman"/>
          <w:sz w:val="24"/>
          <w:szCs w:val="24"/>
        </w:rPr>
      </w:pPr>
    </w:p>
    <w:p w14:paraId="00000138">
      <w:pPr>
        <w:pStyle w:val="Normal"/>
        <w:spacing w:line="360" w:lineRule="auto"/>
        <w:jc w:val="right"/>
        <w:rPr>
          <w:rFonts w:ascii="Times New Roman" w:cs="Times New Roman" w:hAnsi="Times New Roman"/>
          <w:sz w:val="24"/>
          <w:szCs w:val="24"/>
        </w:rPr>
      </w:pPr>
    </w:p>
    <w:p w14:paraId="00000139">
      <w:pPr>
        <w:pStyle w:val="Normal"/>
        <w:spacing w:line="360" w:lineRule="auto"/>
        <w:jc w:val="right"/>
        <w:rPr>
          <w:rFonts w:ascii="Times New Roman" w:cs="Times New Roman" w:hAnsi="Times New Roman"/>
          <w:sz w:val="24"/>
          <w:szCs w:val="24"/>
        </w:rPr>
      </w:pPr>
    </w:p>
    <w:p w14:paraId="0000013A">
      <w:pPr>
        <w:pStyle w:val="Normal"/>
        <w:spacing w:line="360" w:lineRule="auto"/>
        <w:jc w:val="right"/>
        <w:rPr>
          <w:rFonts w:ascii="Times New Roman" w:cs="Times New Roman" w:hAnsi="Times New Roman"/>
          <w:sz w:val="24"/>
          <w:szCs w:val="24"/>
        </w:rPr>
      </w:pPr>
    </w:p>
    <w:p w14:paraId="0000013B">
      <w:pPr>
        <w:pStyle w:val="Normal"/>
        <w:spacing w:line="360" w:lineRule="auto"/>
        <w:jc w:val="right"/>
        <w:rPr>
          <w:rFonts w:ascii="Times New Roman" w:cs="Times New Roman" w:hAnsi="Times New Roman"/>
          <w:sz w:val="24"/>
          <w:szCs w:val="24"/>
        </w:rPr>
      </w:pPr>
    </w:p>
    <w:p w14:paraId="0000013C">
      <w:pPr>
        <w:pStyle w:val="Normal"/>
        <w:spacing w:line="360" w:lineRule="auto"/>
        <w:jc w:val="right"/>
        <w:rPr>
          <w:rFonts w:ascii="Times New Roman" w:cs="Times New Roman" w:hAnsi="Times New Roman"/>
          <w:sz w:val="24"/>
          <w:szCs w:val="24"/>
        </w:rPr>
      </w:pPr>
    </w:p>
    <w:p w14:paraId="0000013D">
      <w:pPr>
        <w:pStyle w:val="Normal"/>
        <w:spacing w:line="360" w:lineRule="auto"/>
        <w:jc w:val="right"/>
        <w:rPr>
          <w:rFonts w:ascii="Times New Roman" w:cs="Times New Roman" w:hAnsi="Times New Roman"/>
          <w:sz w:val="24"/>
          <w:szCs w:val="24"/>
        </w:rPr>
      </w:pPr>
    </w:p>
    <w:p w14:paraId="0000013E">
      <w:pPr>
        <w:pStyle w:val="Normal"/>
        <w:spacing w:line="360" w:lineRule="auto"/>
        <w:jc w:val="right"/>
        <w:rPr>
          <w:rFonts w:ascii="Times New Roman" w:cs="Times New Roman" w:hAnsi="Times New Roman"/>
          <w:sz w:val="24"/>
          <w:szCs w:val="24"/>
        </w:rPr>
      </w:pPr>
    </w:p>
    <w:p w14:paraId="0000013F">
      <w:pPr>
        <w:pStyle w:val="Normal"/>
        <w:spacing w:line="360" w:lineRule="auto"/>
        <w:jc w:val="right"/>
        <w:rPr>
          <w:rFonts w:ascii="Times New Roman" w:cs="Times New Roman" w:hAnsi="Times New Roman"/>
          <w:sz w:val="24"/>
          <w:szCs w:val="24"/>
        </w:rPr>
      </w:pPr>
    </w:p>
    <w:p w14:paraId="00000140">
      <w:pPr>
        <w:pStyle w:val="Normal"/>
        <w:spacing w:line="360" w:lineRule="auto"/>
        <w:jc w:val="right"/>
        <w:rPr>
          <w:rFonts w:ascii="Times New Roman" w:cs="Times New Roman" w:hAnsi="Times New Roman"/>
          <w:sz w:val="24"/>
          <w:szCs w:val="24"/>
        </w:rPr>
      </w:pPr>
    </w:p>
    <w:p w14:paraId="00000141">
      <w:pPr>
        <w:pStyle w:val="Normal"/>
        <w:spacing w:line="360" w:lineRule="auto"/>
        <w:jc w:val="right"/>
        <w:rPr>
          <w:rFonts w:ascii="Times New Roman" w:cs="Times New Roman" w:hAnsi="Times New Roman"/>
          <w:sz w:val="24"/>
          <w:szCs w:val="24"/>
        </w:rPr>
      </w:pPr>
    </w:p>
    <w:p w14:paraId="00000142">
      <w:pPr>
        <w:pStyle w:val="Heading1"/>
        <w:spacing w:line="360" w:lineRule="auto"/>
        <w:rPr>
          <w:rFonts w:ascii="Times New Roman" w:hAnsi="Times New Roman"/>
          <w:sz w:val="24"/>
          <w:szCs w:val="24"/>
        </w:rPr>
      </w:pPr>
      <w:bookmarkStart w:id="19" w:name="_Toc8"/>
      <w:r>
        <w:rPr>
          <w:rFonts w:ascii="Times New Roman" w:hAnsi="Times New Roman"/>
          <w:sz w:val="24"/>
          <w:szCs w:val="24"/>
        </w:rPr>
        <w:t>Appendices</w:t>
      </w:r>
      <w:bookmarkEnd w:id="19"/>
      <w:r>
        <w:rPr>
          <w:rFonts w:ascii="Times New Roman" w:hAnsi="Times New Roman"/>
          <w:sz w:val="24"/>
          <w:szCs w:val="24"/>
        </w:rPr>
        <w:t xml:space="preserve"> </w:t>
      </w:r>
    </w:p>
    <w:p w14:paraId="00000143">
      <w:pPr>
        <w:pStyle w:val="Normal"/>
        <w:spacing w:line="360" w:lineRule="auto"/>
        <w:rPr>
          <w:rFonts w:ascii="Times New Roman" w:cs="Times New Roman" w:hAnsi="Times New Roman"/>
          <w:sz w:val="24"/>
          <w:szCs w:val="24"/>
        </w:rPr>
      </w:pPr>
      <w:r>
        <w:rPr>
          <w:rFonts w:ascii="Times New Roman" w:cs="Times New Roman" w:hAnsi="Times New Roman"/>
          <w:b/>
          <w:bCs/>
          <w:sz w:val="24"/>
          <w:szCs w:val="24"/>
        </w:rPr>
        <w:t>Appendix 1 Hyatt Hotels Corporation net income 31st of De</w:t>
      </w:r>
      <w:r>
        <w:rPr>
          <w:rFonts w:ascii="Times New Roman" w:cs="Times New Roman" w:hAnsi="Times New Roman"/>
          <w:b/>
          <w:bCs/>
          <w:sz w:val="24"/>
          <w:szCs w:val="24"/>
        </w:rPr>
        <w:t>cember 2023.</w:t>
      </w:r>
    </w:p>
    <w:p w14:paraId="00000144">
      <w:pPr>
        <w:pStyle w:val="Normal"/>
        <w:spacing w:line="360" w:lineRule="auto"/>
        <w:rPr>
          <w:rFonts w:ascii="Times New Roman" w:cs="Times New Roman" w:hAnsi="Times New Roman"/>
          <w:sz w:val="24"/>
          <w:szCs w:val="24"/>
        </w:rPr>
      </w:pPr>
      <w:r>
        <w:rPr>
          <w:rFonts w:ascii="Times New Roman" w:cs="Times New Roman" w:hAnsi="Times New Roman"/>
          <w:sz w:val="24"/>
          <w:szCs w:val="24"/>
        </w:rPr>
        <w:t>Source: (Hyatt Hotels Corporation 2024)</w:t>
      </w:r>
    </w:p>
    <w:p w14:paraId="00000145">
      <w:pPr>
        <w:pStyle w:val="Normal"/>
        <w:spacing w:line="360" w:lineRule="auto"/>
        <w:rPr>
          <w:rFonts w:ascii="Times New Roman" w:cs="Times New Roman" w:hAnsi="Times New Roman"/>
          <w:sz w:val="24"/>
          <w:szCs w:val="24"/>
        </w:rPr>
      </w:pPr>
      <w:r>
        <w:rPr>
          <w:rFonts w:ascii="Times New Roman" w:cs="Times New Roman" w:hAnsi="Times New Roman"/>
          <w:sz w:val="24"/>
          <w:szCs w:val="24"/>
        </w:rPr>
        <w:drawing xmlns:mc="http://schemas.openxmlformats.org/markup-compatibility/2006">
          <wp:inline>
            <wp:extent cx="5731510" cy="6519545"/>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7" name=""/>
                    <pic:cNvPicPr>
                      <a:picLocks noGrp="0" noSelect="0" noChangeAspect="1" noMove="0"/>
                    </pic:cNvPicPr>
                  </pic:nvPicPr>
                  <pic:blipFill>
                    <a:blip r:embed="rId13"/>
                    <a:srcRect/>
                    <a:stretch>
                      <a:fillRect/>
                    </a:stretch>
                  </pic:blipFill>
                  <pic:spPr>
                    <a:xfrm>
                      <a:off x="0" y="0"/>
                      <a:ext cx="5731510" cy="6519545"/>
                    </a:xfrm>
                    <a:prstGeom prst="rect">
                      <a:avLst/>
                    </a:prstGeom>
                    <a:noFill/>
                    <a:ln>
                      <a:noFill/>
                      <a:miter/>
                    </a:ln>
                  </pic:spPr>
                </pic:pic>
              </a:graphicData>
            </a:graphic>
          </wp:inline>
        </w:drawing>
      </w:r>
    </w:p>
    <w:p w14:paraId="00000146">
      <w:pPr>
        <w:pStyle w:val="Normal"/>
        <w:spacing w:line="360" w:lineRule="auto"/>
        <w:jc w:val="right"/>
        <w:rPr>
          <w:rFonts w:ascii="Times New Roman" w:cs="Times New Roman" w:hAnsi="Times New Roman"/>
          <w:sz w:val="24"/>
          <w:szCs w:val="24"/>
        </w:rPr>
      </w:pPr>
    </w:p>
    <w:p w14:paraId="00000147">
      <w:pPr>
        <w:pStyle w:val="Normal"/>
        <w:spacing w:line="360" w:lineRule="auto"/>
        <w:jc w:val="right"/>
        <w:rPr>
          <w:rFonts w:ascii="Times New Roman" w:cs="Times New Roman" w:hAnsi="Times New Roman"/>
          <w:sz w:val="24"/>
          <w:szCs w:val="24"/>
        </w:rPr>
      </w:pPr>
    </w:p>
    <w:p w14:paraId="00000148">
      <w:pPr>
        <w:pStyle w:val="Normal"/>
        <w:spacing w:line="360" w:lineRule="auto"/>
        <w:rPr>
          <w:rFonts w:ascii="Times New Roman" w:cs="Times New Roman" w:hAnsi="Times New Roman"/>
          <w:sz w:val="24"/>
          <w:szCs w:val="24"/>
        </w:rPr>
      </w:pPr>
    </w:p>
    <w:p w14:paraId="00000149">
      <w:pPr>
        <w:pStyle w:val="Normal"/>
        <w:spacing w:line="360" w:lineRule="auto"/>
        <w:jc w:val="right"/>
        <w:rPr>
          <w:rFonts w:ascii="Times New Roman" w:cs="Times New Roman" w:hAnsi="Times New Roman"/>
          <w:sz w:val="24"/>
          <w:szCs w:val="24"/>
        </w:rPr>
      </w:pPr>
    </w:p>
    <w:p w14:paraId="0000014A">
      <w:pPr>
        <w:pStyle w:val="Normal"/>
        <w:spacing w:line="360" w:lineRule="auto"/>
        <w:rPr>
          <w:rFonts w:ascii="Times New Roman" w:cs="Times New Roman" w:hAnsi="Times New Roman"/>
          <w:b/>
          <w:bCs/>
          <w:sz w:val="24"/>
          <w:szCs w:val="24"/>
        </w:rPr>
      </w:pPr>
      <w:r>
        <w:rPr>
          <w:rFonts w:ascii="Times New Roman" w:cs="Times New Roman" w:hAnsi="Times New Roman"/>
          <w:b/>
          <w:bCs/>
          <w:sz w:val="24"/>
          <w:szCs w:val="24"/>
        </w:rPr>
        <w:t>Appendix 2  Hyatt Corporation Environmental Goals for 2030</w:t>
      </w:r>
    </w:p>
    <w:p w14:paraId="0000014B">
      <w:pPr>
        <w:pStyle w:val="Normal"/>
        <w:spacing w:line="360" w:lineRule="auto"/>
        <w:rPr>
          <w:rFonts w:ascii="Times New Roman" w:cs="Times New Roman" w:hAnsi="Times New Roman"/>
          <w:sz w:val="24"/>
          <w:szCs w:val="24"/>
        </w:rPr>
      </w:pPr>
      <w:r>
        <w:rPr>
          <w:rFonts w:ascii="Times New Roman" w:cs="Times New Roman" w:hAnsi="Times New Roman"/>
          <w:sz w:val="24"/>
          <w:szCs w:val="24"/>
        </w:rPr>
        <w:t>Source: (Hyatt Corporation, 2021)</w:t>
      </w:r>
    </w:p>
    <w:p w14:paraId="0000014C">
      <w:pPr>
        <w:pStyle w:val="Normal"/>
        <w:spacing w:line="360" w:lineRule="auto"/>
        <w:jc w:val="right"/>
        <w:rPr>
          <w:rFonts w:hint="default"/>
        </w:rPr>
      </w:pPr>
      <w:r>
        <w:rPr>
          <w:rFonts w:ascii="Times New Roman" w:cs="Times New Roman" w:hAnsi="Times New Roman"/>
          <w:sz w:val="24"/>
          <w:szCs w:val="24"/>
        </w:rPr>
        <w:drawing xmlns:mc="http://schemas.openxmlformats.org/markup-compatibility/2006">
          <wp:inline>
            <wp:extent cx="5731510" cy="3195320"/>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8" name=""/>
                    <pic:cNvPicPr>
                      <a:picLocks noGrp="0" noSelect="0" noChangeAspect="1" noMove="0"/>
                    </pic:cNvPicPr>
                  </pic:nvPicPr>
                  <pic:blipFill>
                    <a:blip r:embed="rId14"/>
                    <a:srcRect/>
                    <a:stretch>
                      <a:fillRect/>
                    </a:stretch>
                  </pic:blipFill>
                  <pic:spPr>
                    <a:xfrm>
                      <a:off x="0" y="0"/>
                      <a:ext cx="5731510" cy="3195320"/>
                    </a:xfrm>
                    <a:prstGeom prst="rect">
                      <a:avLst/>
                    </a:prstGeom>
                    <a:noFill/>
                    <a:ln>
                      <a:noFill/>
                      <a:miter/>
                    </a:ln>
                  </pic:spPr>
                </pic:pic>
              </a:graphicData>
            </a:graphic>
          </wp:inline>
        </w:drawing>
      </w:r>
    </w:p>
    <w:sectPr>
      <w:headerReference w:type="default" r:id="rId15"/>
      <w:footerReference w:type="default" r:id="rId16"/>
      <w:pgSz w:w="11906" w:h="16838"/>
      <w:pgMar w:top="1440" w:right="1440" w:bottom="1440" w:left="1440" w:header="708" w:footer="708" w:gutter="0"/>
      <w:pgBorders w:display="allPages" w:offsetFrom="page" w:zOrder="front">
        <w:top w:val="single" w:color="auto" w:sz="18" w:space="24"/>
        <w:left w:val="single" w:color="auto" w:sz="18" w:space="24"/>
        <w:right w:val="single" w:color="auto" w:sz="18" w:space="24"/>
        <w:bottom w:val="single" w:color="auto" w:sz="18" w:space="24"/>
      </w:pgBorders>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panose1 w:val="00000000000000000000"/>
    <w:charset w:val="00"/>
    <w:family w:val="swiss"/>
    <w:pitch w:val="variable"/>
    <w:sig w:usb0="20000287" w:usb1="00000003" w:usb2="00000000" w:usb3="00000000" w:csb0="0000019f" w:csb1="00000000"/>
  </w:font>
  <w:font w:name="Aptos">
    <w:panose1 w:val="00000000000000000000"/>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14E">
    <w:pPr>
      <w:pStyle w:val="Normal"/>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14D">
    <w:pPr>
      <w:pStyle w:val="Normal"/>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1">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2">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3">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4">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5">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6">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7">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8">
    <w:multiLevelType w:val="multilevel"/>
    <w:lvl w:ilvl="0" w:tentative="0">
      <w:start w:val="1"/>
      <w:numFmt w:val="decimal"/>
      <w:suff w:val="tab"/>
      <w:lvlText w:val="%1."/>
      <w:lvlJc w:val="left"/>
      <w:pPr/>
      <w:rPr>
        <w:rFonts w:hint="default"/>
      </w:rPr>
    </w:lvl>
    <w:lvl w:ilvl="1" w:tentative="0">
      <w:start w:val="1"/>
      <w:numFmt w:val="decimal"/>
      <w:suff w:val="tab"/>
      <w:lvlText w:val="%2."/>
      <w:lvlJc w:val="left"/>
      <w:pPr/>
      <w:rPr>
        <w:rFonts w:hint="default"/>
      </w:rPr>
    </w:lvl>
    <w:lvl w:ilvl="2" w:tentative="0">
      <w:start w:val="1"/>
      <w:numFmt w:val="decimal"/>
      <w:suff w:val="tab"/>
      <w:lvlText w:val="%3."/>
      <w:lvlJc w:val="left"/>
      <w:pPr/>
      <w:rPr>
        <w:rFonts w:hint="default"/>
      </w:rPr>
    </w:lvl>
    <w:lvl w:ilvl="3" w:tentative="0">
      <w:start w:val="1"/>
      <w:numFmt w:val="decimal"/>
      <w:suff w:val="tab"/>
      <w:lvlText w:val="%4."/>
      <w:lvlJc w:val="left"/>
      <w:pPr/>
      <w:rPr>
        <w:rFonts w:hint="default"/>
      </w:rPr>
    </w:lvl>
    <w:lvl w:ilvl="4" w:tentative="0">
      <w:start w:val="1"/>
      <w:numFmt w:val="decimal"/>
      <w:suff w:val="tab"/>
      <w:lvlText w:val="%5."/>
      <w:lvlJc w:val="left"/>
      <w:pPr/>
      <w:rPr>
        <w:rFonts w:hint="default"/>
      </w:rPr>
    </w:lvl>
    <w:lvl w:ilvl="5" w:tentative="0">
      <w:start w:val="1"/>
      <w:numFmt w:val="decimal"/>
      <w:suff w:val="tab"/>
      <w:lvlText w:val="%6."/>
      <w:lvlJc w:val="left"/>
      <w:pPr/>
      <w:rPr>
        <w:rFonts w:hint="default"/>
      </w:rPr>
    </w:lvl>
    <w:lvl w:ilvl="6" w:tentative="0">
      <w:start w:val="1"/>
      <w:numFmt w:val="decimal"/>
      <w:suff w:val="tab"/>
      <w:lvlText w:val="%7."/>
      <w:lvlJc w:val="left"/>
      <w:pPr/>
      <w:rPr>
        <w:rFonts w:hint="default"/>
      </w:rPr>
    </w:lvl>
    <w:lvl w:ilvl="7" w:tentative="0">
      <w:start w:val="1"/>
      <w:numFmt w:val="decimal"/>
      <w:suff w:val="tab"/>
      <w:lvlText w:val="%8."/>
      <w:lvlJc w:val="left"/>
      <w:pPr/>
      <w:rPr>
        <w:rFonts w:hint="default"/>
      </w:rPr>
    </w:lvl>
    <w:lvl w:ilvl="8" w:tentative="0">
      <w:start w:val="1"/>
      <w:numFmt w:val="decimal"/>
      <w:suff w:val="tab"/>
      <w:lvlText w:val="%9."/>
      <w:lvlJc w:val="left"/>
      <w:pPr/>
      <w:rPr>
        <w:rFonts w:hint="default"/>
      </w:rPr>
    </w:lvl>
  </w:abstractNum>
  <w:abstractNum w:abstractNumId="9">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cs="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cs="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cs="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10">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cs="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cs="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cs="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11">
    <w:multiLevelType w:val="hybridMultilevel"/>
    <w:lvl w:ilvl="0" w:tentative="0">
      <w:start w:val="1"/>
      <w:numFmt w:val="decimal"/>
      <w:suff w:val="tab"/>
      <w:lvlText w:val="%1."/>
      <w:lvlJc w:val="left"/>
      <w:pPr>
        <w:ind w:left="720" w:hanging="360"/>
      </w:pPr>
      <w:rPr>
        <w:rFonts w:hint="default"/>
      </w:rPr>
    </w:lvl>
    <w:lvl w:ilvl="1" w:tentative="1">
      <w:start w:val="1"/>
      <w:numFmt w:val="lowerLetter"/>
      <w:suff w:val="tab"/>
      <w:lvlText w:val="%2."/>
      <w:lvlJc w:val="left"/>
      <w:pPr>
        <w:ind w:left="1440" w:hanging="360"/>
      </w:pPr>
      <w:rPr>
        <w:rFonts w:hint="default"/>
      </w:rPr>
    </w:lvl>
    <w:lvl w:ilvl="2" w:tentative="1">
      <w:start w:val="1"/>
      <w:numFmt w:val="lowerRoman"/>
      <w:suff w:val="tab"/>
      <w:lvlText w:val="%3."/>
      <w:lvlJc w:val="right"/>
      <w:pPr>
        <w:ind w:left="2160" w:hanging="360"/>
      </w:pPr>
      <w:rPr>
        <w:rFonts w:hint="default"/>
      </w:rPr>
    </w:lvl>
    <w:lvl w:ilvl="3" w:tentative="1">
      <w:start w:val="1"/>
      <w:numFmt w:val="decimal"/>
      <w:suff w:val="tab"/>
      <w:lvlText w:val="%4."/>
      <w:lvlJc w:val="left"/>
      <w:pPr>
        <w:ind w:left="2880" w:hanging="360"/>
      </w:pPr>
      <w:rPr>
        <w:rFonts w:hint="default"/>
      </w:rPr>
    </w:lvl>
    <w:lvl w:ilvl="4" w:tentative="1">
      <w:start w:val="1"/>
      <w:numFmt w:val="lowerLetter"/>
      <w:suff w:val="tab"/>
      <w:lvlText w:val="%5."/>
      <w:lvlJc w:val="left"/>
      <w:pPr>
        <w:ind w:left="3600" w:hanging="360"/>
      </w:pPr>
      <w:rPr>
        <w:rFonts w:hint="default"/>
      </w:rPr>
    </w:lvl>
    <w:lvl w:ilvl="5" w:tentative="1">
      <w:start w:val="1"/>
      <w:numFmt w:val="lowerRoman"/>
      <w:suff w:val="tab"/>
      <w:lvlText w:val="%6."/>
      <w:lvlJc w:val="right"/>
      <w:pPr>
        <w:ind w:left="4320" w:hanging="360"/>
      </w:pPr>
      <w:rPr>
        <w:rFonts w:hint="default"/>
      </w:rPr>
    </w:lvl>
    <w:lvl w:ilvl="6" w:tentative="1">
      <w:start w:val="1"/>
      <w:numFmt w:val="decimal"/>
      <w:suff w:val="tab"/>
      <w:lvlText w:val="%7."/>
      <w:lvlJc w:val="left"/>
      <w:pPr>
        <w:ind w:left="5040" w:hanging="360"/>
      </w:pPr>
      <w:rPr>
        <w:rFonts w:hint="default"/>
      </w:rPr>
    </w:lvl>
    <w:lvl w:ilvl="7" w:tentative="1">
      <w:start w:val="1"/>
      <w:numFmt w:val="lowerLetter"/>
      <w:suff w:val="tab"/>
      <w:lvlText w:val="%8."/>
      <w:lvlJc w:val="left"/>
      <w:pPr>
        <w:ind w:left="5760" w:hanging="360"/>
      </w:pPr>
      <w:rPr>
        <w:rFonts w:hint="default"/>
      </w:rPr>
    </w:lvl>
    <w:lvl w:ilvl="8" w:tentative="1">
      <w:start w:val="1"/>
      <w:numFmt w:val="lowerRoman"/>
      <w:suff w:val="tab"/>
      <w:lvlText w:val="%9."/>
      <w:lvlJc w:val="right"/>
      <w:pPr>
        <w:ind w:left="6480" w:hanging="360"/>
      </w:pPr>
      <w:rPr>
        <w:rFonts w:hint="default"/>
      </w:rPr>
    </w:lvl>
  </w:abstractNum>
  <w:abstractNum w:abstractNumId="12">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13">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hAnsi="Courier New" w:hint="default"/>
      </w:rPr>
    </w:lvl>
    <w:lvl w:ilvl="8" w:tentative="1">
      <w:start w:val="1"/>
      <w:numFmt w:val="bullet"/>
      <w:suff w:val="tab"/>
      <w:lvlText w:val=""/>
      <w:lvlJc w:val="left"/>
      <w:pPr>
        <w:ind w:left="6480" w:hanging="360"/>
      </w:pPr>
      <w:rPr>
        <w:rFonts w:ascii="Wingdings" w:hAnsi="Wingdings" w:hint="default"/>
      </w:rPr>
    </w:lvl>
  </w:abstractNum>
  <w:num w:numId="1">
    <w:abstractNumId w:val="0"/>
  </w:num>
  <w:num w:numId="2">
    <w:abstractNumId w:val="1"/>
    <w:lvlOverride w:ilvl="0">
      <w:lvl w:ilvl="0" w:tentative="1"/>
    </w:lvlOverride>
  </w:num>
  <w:num w:numId="3">
    <w:abstractNumId w:val="2"/>
    <w:lvlOverride w:ilvl="0">
      <w:lvl w:ilvl="0" w:tentative="1"/>
    </w:lvlOverride>
  </w:num>
  <w:num w:numId="4">
    <w:abstractNumId w:val="3"/>
    <w:lvlOverride w:ilvl="0">
      <w:lvl w:ilvl="0" w:tentative="1"/>
    </w:lvlOverride>
  </w:num>
  <w:num w:numId="5">
    <w:abstractNumId w:val="4"/>
    <w:lvlOverride w:ilvl="0">
      <w:lvl w:ilvl="0" w:tentative="1"/>
    </w:lvlOverride>
  </w:num>
  <w:num w:numId="6">
    <w:abstractNumId w:val="5"/>
    <w:lvlOverride w:ilvl="0">
      <w:lvl w:ilvl="0" w:tentative="1"/>
    </w:lvlOverride>
  </w:num>
  <w:num w:numId="7">
    <w:abstractNumId w:val="6"/>
    <w:lvlOverride w:ilvl="0">
      <w:lvl w:ilvl="0" w:tentative="1"/>
    </w:lvlOverride>
  </w:num>
  <w:num w:numId="8">
    <w:abstractNumId w:val="7"/>
    <w:lvlOverride w:ilvl="0">
      <w:lvl w:ilvl="0" w:tentative="1"/>
    </w:lvlOverride>
  </w:num>
  <w:num w:numId="9">
    <w:abstractNumId w:val="8"/>
    <w:lvlOverride w:ilvl="0">
      <w:lvl w:ilvl="0" w:tentative="1"/>
    </w:lvlOverride>
  </w:num>
  <w:num w:numId="10">
    <w:abstractNumId w:val="9"/>
  </w:num>
  <w:num w:numId="11">
    <w:abstractNumId w:val="10"/>
  </w:num>
  <w:num w:numId="12">
    <w:abstractNumId w:val="11"/>
  </w:num>
  <w:num w:numId="13">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trackRevisions w:val="off"/>
  <w:displayBackgroundShape w:val="off"/>
  <w:compat>
    <w:compatSetting w:name="compatibilityMode" w:uri="http://schemas.microsoft.com/office/word" w:val="11"/>
  </w:compat>
  <w:footnotePr/>
  <w:endnotePr/>
  <w:themeFontLang w:val="en-US" w:eastAsia="zh-CN" w:bidi="ar-SA"/>
  <w:clrSchemeMapping w:accent1="accent1" w:accent2="accent2" w:accent3="accent3" w:accent4="accent4" w:accent5="accent5" w:accent6="accent6" w:bg1="light1" w:bg2="light2" w:followedHyperlink="followedHyperlink" w:hyperlink="hyperlink" w:text1="dark1" w:text2="dark2"/>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Segoe UI" w:cs="Arial" w:eastAsia="Verdana" w:hAnsi="Segoe UI"/>
        <w:sz w:val="20"/>
      </w:rPr>
    </w:rPrDefault>
    <w:pPrDefault/>
  </w:docDefaults>
  <w:style w:type="paragraph" w:default="1" w:styleId="Normal">
    <w:name w:val="Normal"/>
    <w:uiPriority w:val="0"/>
    <w:qFormat w:val="on"/>
    <w:pPr>
      <w:spacing w:after="200" w:line="276" w:lineRule="auto"/>
    </w:pPr>
    <w:rPr>
      <w:rFonts w:eastAsia="Segoe UI"/>
      <w:color w:val="000000"/>
      <w:sz w:val="18"/>
      <w:szCs w:val="22"/>
      <w:lang w:val="en-GB" w:bidi="ar-SA" w:eastAsia="en-GB"/>
    </w:rPr>
  </w:style>
  <w:style w:type="paragraph" w:styleId="Heading1">
    <w:name w:val="Heading 1"/>
    <w:basedOn w:val="Normal"/>
    <w:next w:val="Normal"/>
    <w:link w:val="Heading1Char"/>
    <w:uiPriority w:val="9"/>
    <w:qFormat w:val="on"/>
    <w:pPr>
      <w:keepNext w:val="on"/>
      <w:keepLines w:val="on"/>
      <w:spacing w:before="480" w:after="0"/>
    </w:pPr>
    <w:rPr>
      <w:rFonts w:cs="Times New Roman" w:hint="default"/>
      <w:b/>
      <w:bCs/>
      <w:color w:val="2f5395"/>
      <w:sz w:val="28"/>
      <w:szCs w:val="28"/>
    </w:rPr>
  </w:style>
  <w:style w:type="paragraph" w:styleId="Heading2">
    <w:name w:val="Heading 2"/>
    <w:basedOn w:val="Normal"/>
    <w:next w:val="Normal"/>
    <w:link w:val="Heading2Char"/>
    <w:uiPriority w:val="9"/>
    <w:qFormat w:val="on"/>
    <w:pPr>
      <w:keepNext w:val="on"/>
      <w:keepLines w:val="on"/>
      <w:spacing w:before="200" w:after="0"/>
    </w:pPr>
    <w:rPr>
      <w:rFonts w:cs="Times New Roman" w:hint="default"/>
      <w:b/>
      <w:bCs/>
      <w:color w:val="4472c4"/>
      <w:sz w:val="26"/>
      <w:szCs w:val="26"/>
    </w:rPr>
  </w:style>
  <w:style w:type="paragraph" w:styleId="Heading3">
    <w:name w:val="Heading 3"/>
    <w:basedOn w:val="Normal"/>
    <w:next w:val="Normal"/>
    <w:link w:val="Heading3Char"/>
    <w:uiPriority w:val="9"/>
    <w:qFormat w:val="on"/>
    <w:pPr>
      <w:keepNext w:val="on"/>
      <w:keepLines w:val="on"/>
      <w:spacing w:before="200" w:after="0"/>
    </w:pPr>
    <w:rPr>
      <w:rFonts w:cs="Times New Roman" w:hint="default"/>
      <w:b/>
      <w:bCs/>
      <w:color w:val="4472c4"/>
    </w:rPr>
  </w:style>
  <w:style w:type="paragraph" w:styleId="Heading4">
    <w:name w:val="Heading 4"/>
    <w:basedOn w:val="Normal"/>
    <w:next w:val="Normal"/>
    <w:link w:val="Heading4Char"/>
    <w:uiPriority w:val="9"/>
    <w:qFormat w:val="on"/>
    <w:pPr>
      <w:keepNext w:val="on"/>
      <w:keepLines w:val="on"/>
      <w:spacing w:before="200" w:after="0"/>
    </w:pPr>
    <w:rPr>
      <w:rFonts w:cs="Times New Roman" w:hint="default"/>
      <w:b/>
      <w:bCs/>
      <w:i/>
      <w:iCs/>
      <w:color w:val="4472c4"/>
    </w:rPr>
  </w:style>
  <w:style w:type="paragraph" w:styleId="Heading5">
    <w:name w:val="Heading 5"/>
    <w:basedOn w:val="Normal"/>
    <w:next w:val="Normal"/>
    <w:link w:val="Heading5Char"/>
    <w:uiPriority w:val="9"/>
    <w:qFormat w:val="on"/>
    <w:pPr>
      <w:keepNext w:val="on"/>
      <w:keepLines w:val="on"/>
      <w:spacing w:before="200" w:after="0"/>
    </w:pPr>
    <w:rPr>
      <w:rFonts w:cs="Times New Roman" w:hint="default"/>
      <w:color w:val="1f3763"/>
    </w:rPr>
  </w:style>
  <w:style w:type="paragraph" w:styleId="Heading6">
    <w:name w:val="Heading 6"/>
    <w:basedOn w:val="Normal"/>
    <w:next w:val="Normal"/>
    <w:link w:val="Heading6Char"/>
    <w:uiPriority w:val="9"/>
    <w:qFormat w:val="on"/>
    <w:pPr>
      <w:keepNext w:val="on"/>
      <w:keepLines w:val="on"/>
      <w:spacing w:before="200" w:after="0"/>
    </w:pPr>
    <w:rPr>
      <w:rFonts w:cs="Times New Roman" w:hint="default"/>
      <w:i/>
      <w:iCs/>
      <w:color w:val="1f3763"/>
    </w:rPr>
  </w:style>
  <w:style w:type="paragraph" w:styleId="Heading7">
    <w:name w:val="Heading 7"/>
    <w:basedOn w:val="Normal"/>
    <w:next w:val="Normal"/>
    <w:link w:val="Heading7Char"/>
    <w:uiPriority w:val="9"/>
    <w:qFormat w:val="on"/>
    <w:pPr>
      <w:keepNext w:val="on"/>
      <w:keepLines w:val="on"/>
      <w:spacing w:before="200" w:after="0"/>
    </w:pPr>
    <w:rPr>
      <w:rFonts w:cs="Times New Roman" w:hint="default"/>
      <w:i/>
      <w:iCs/>
      <w:color w:val="404040"/>
    </w:rPr>
  </w:style>
  <w:style w:type="paragraph" w:styleId="Heading8">
    <w:name w:val="Heading 8"/>
    <w:basedOn w:val="Normal"/>
    <w:next w:val="Normal"/>
    <w:link w:val="Heading8Char"/>
    <w:uiPriority w:val="9"/>
    <w:qFormat w:val="on"/>
    <w:pPr>
      <w:keepNext w:val="on"/>
      <w:keepLines w:val="on"/>
      <w:spacing w:before="200" w:after="0"/>
    </w:pPr>
    <w:rPr>
      <w:rFonts w:cs="Times New Roman" w:hint="default"/>
      <w:color w:val="404040"/>
      <w:sz w:val="20"/>
      <w:szCs w:val="20"/>
    </w:rPr>
  </w:style>
  <w:style w:type="paragraph" w:styleId="Heading9">
    <w:name w:val="Heading 9"/>
    <w:basedOn w:val="Normal"/>
    <w:next w:val="Normal"/>
    <w:link w:val="Heading9Char"/>
    <w:uiPriority w:val="9"/>
    <w:qFormat w:val="on"/>
    <w:pPr>
      <w:keepNext w:val="on"/>
      <w:keepLines w:val="on"/>
      <w:spacing w:before="200" w:after="0"/>
    </w:pPr>
    <w:rPr>
      <w:rFonts w:cs="Times New Roman" w:hint="default"/>
      <w:i/>
      <w:iCs/>
      <w:color w:val="404040"/>
      <w:sz w:val="20"/>
      <w:szCs w:val="20"/>
    </w:rPr>
  </w:style>
  <w:style w:type="character" w:default="1" w:styleId="Defaultparagraphfont">
    <w:name w:val="Default paragraph font"/>
    <w:uiPriority w:val="1"/>
    <w:semiHidden w:val="on"/>
    <w:unhideWhenUsed w:val="on"/>
    <w:rPr>
      <w:rFonts w:hint="default"/>
    </w:rPr>
  </w:style>
  <w:style w:type="table" w:default="1" w:styleId="Normaltable">
    <w:name w:val="Normal table"/>
    <w:aliases w:val="Table Normal"/>
    <w:uiPriority w:val="99"/>
    <w:semiHidden w:val="on"/>
    <w:unhideWhenUsed w:val="on"/>
    <w:qFormat w:val="on"/>
    <w:pPr/>
    <w:rPr>
      <w:rFonts w:hint="default"/>
    </w:rPr>
    <w:tblPr>
      <w:tblLayout w:type="fixed"/>
      <w:tblCellMar>
        <w:top w:w="0" w:type="dxa"/>
        <w:left w:w="108" w:type="dxa"/>
        <w:bottom w:w="0" w:type="dxa"/>
        <w:right w:w="108" w:type="dxa"/>
      </w:tblCellMar>
    </w:tblPr>
  </w:style>
  <w:style w:type="numbering" w:default="1" w:styleId="Nolist">
    <w:name w:val="No list"/>
    <w:uiPriority w:val="99"/>
    <w:semiHidden w:val="on"/>
    <w:unhideWhenUsed w:val="on"/>
    <w:pPr/>
  </w:style>
  <w:style w:type="paragraph" w:styleId="Nospacing">
    <w:name w:val="No spacing"/>
    <w:uiPriority w:val="1"/>
    <w:qFormat w:val="on"/>
    <w:pPr/>
    <w:rPr>
      <w:rFonts w:hint="default"/>
      <w:lang w:val="en-GB" w:bidi="ar-SA" w:eastAsia="en-GB"/>
    </w:rPr>
  </w:style>
  <w:style w:type="character" w:customStyle="1" w:styleId="Heading1Char">
    <w:name w:val="Heading 1 Char"/>
    <w:link w:val="Heading1"/>
    <w:uiPriority w:val="9"/>
    <w:rPr>
      <w:rFonts w:cs="Times New Roman" w:hint="default"/>
      <w:b/>
      <w:bCs/>
      <w:color w:val="2f5395"/>
      <w:sz w:val="28"/>
      <w:szCs w:val="28"/>
    </w:rPr>
  </w:style>
  <w:style w:type="character" w:customStyle="1" w:styleId="Heading2Char">
    <w:name w:val="Heading 2 Char"/>
    <w:link w:val="Heading2"/>
    <w:uiPriority w:val="9"/>
    <w:rPr>
      <w:rFonts w:cs="Times New Roman" w:hint="default"/>
      <w:b/>
      <w:bCs/>
      <w:color w:val="4472c4"/>
      <w:sz w:val="26"/>
      <w:szCs w:val="26"/>
    </w:rPr>
  </w:style>
  <w:style w:type="character" w:customStyle="1" w:styleId="Heading3Char">
    <w:name w:val="Heading 3 Char"/>
    <w:link w:val="Heading3"/>
    <w:uiPriority w:val="9"/>
    <w:rPr>
      <w:rFonts w:cs="Times New Roman" w:hint="default"/>
      <w:b/>
      <w:bCs/>
      <w:color w:val="4472c4"/>
    </w:rPr>
  </w:style>
  <w:style w:type="character" w:customStyle="1" w:styleId="Heading4Char">
    <w:name w:val="Heading 4 Char"/>
    <w:link w:val="Heading4"/>
    <w:uiPriority w:val="9"/>
    <w:rPr>
      <w:rFonts w:cs="Times New Roman" w:hint="default"/>
      <w:b/>
      <w:bCs/>
      <w:i/>
      <w:iCs/>
      <w:color w:val="4472c4"/>
    </w:rPr>
  </w:style>
  <w:style w:type="character" w:customStyle="1" w:styleId="Heading5Char">
    <w:name w:val="Heading 5 Char"/>
    <w:link w:val="Heading5"/>
    <w:uiPriority w:val="9"/>
    <w:rPr>
      <w:rFonts w:cs="Times New Roman" w:hint="default"/>
      <w:color w:val="1f3763"/>
    </w:rPr>
  </w:style>
  <w:style w:type="character" w:customStyle="1" w:styleId="Heading6Char">
    <w:name w:val="Heading 6 Char"/>
    <w:link w:val="Heading6"/>
    <w:uiPriority w:val="9"/>
    <w:rPr>
      <w:rFonts w:cs="Times New Roman" w:hint="default"/>
      <w:i/>
      <w:iCs/>
      <w:color w:val="1f3763"/>
    </w:rPr>
  </w:style>
  <w:style w:type="character" w:customStyle="1" w:styleId="Heading7Char">
    <w:name w:val="Heading 7 Char"/>
    <w:link w:val="Heading7"/>
    <w:uiPriority w:val="9"/>
    <w:rPr>
      <w:rFonts w:cs="Times New Roman" w:hint="default"/>
      <w:i/>
      <w:iCs/>
      <w:color w:val="404040"/>
    </w:rPr>
  </w:style>
  <w:style w:type="character" w:customStyle="1" w:styleId="Heading8Char">
    <w:name w:val="Heading 8 Char"/>
    <w:link w:val="Heading8"/>
    <w:uiPriority w:val="9"/>
    <w:rPr>
      <w:rFonts w:cs="Times New Roman" w:hint="default"/>
      <w:color w:val="404040"/>
      <w:sz w:val="20"/>
      <w:szCs w:val="20"/>
    </w:rPr>
  </w:style>
  <w:style w:type="character" w:customStyle="1" w:styleId="Heading9Char">
    <w:name w:val="Heading 9 Char"/>
    <w:link w:val="Heading9"/>
    <w:uiPriority w:val="9"/>
    <w:rPr>
      <w:rFonts w:cs="Times New Roman" w:hint="default"/>
      <w:i/>
      <w:iCs/>
      <w:color w:val="404040"/>
      <w:sz w:val="20"/>
      <w:szCs w:val="20"/>
    </w:rPr>
  </w:style>
  <w:style w:type="paragraph" w:styleId="Title">
    <w:name w:val="Title"/>
    <w:basedOn w:val="Normal"/>
    <w:next w:val="Normal"/>
    <w:link w:val="TitleChar"/>
    <w:uiPriority w:val="10"/>
    <w:qFormat w:val="on"/>
    <w:pPr>
      <w:pBdr>
        <w:bottom w:val="single" w:color="4472c4" w:sz="8" w:space="4"/>
      </w:pBdr>
      <w:spacing w:after="300" w:line="240" w:lineRule="auto"/>
    </w:pPr>
    <w:rPr>
      <w:rFonts w:cs="Times New Roman" w:hint="default"/>
      <w:color w:val="333f4f"/>
      <w:spacing w:val="5"/>
      <w:sz w:val="52"/>
      <w:szCs w:val="52"/>
    </w:rPr>
  </w:style>
  <w:style w:type="character" w:customStyle="1" w:styleId="TitleChar">
    <w:name w:val="Title Char"/>
    <w:link w:val="Title"/>
    <w:uiPriority w:val="10"/>
    <w:rPr>
      <w:rFonts w:cs="Times New Roman" w:hint="default"/>
      <w:color w:val="333f4f"/>
      <w:spacing w:val="5"/>
      <w:sz w:val="52"/>
      <w:szCs w:val="52"/>
    </w:rPr>
  </w:style>
  <w:style w:type="paragraph" w:styleId="Subtitle">
    <w:name w:val="Subtitle"/>
    <w:basedOn w:val="Normal"/>
    <w:next w:val="Normal"/>
    <w:link w:val="SubtitleChar"/>
    <w:uiPriority w:val="11"/>
    <w:qFormat w:val="on"/>
    <w:pPr/>
    <w:rPr>
      <w:rFonts w:cs="Times New Roman" w:hint="default"/>
      <w:i/>
      <w:iCs/>
      <w:color w:val="4472c4"/>
      <w:spacing w:val="15"/>
      <w:sz w:val="24"/>
      <w:szCs w:val="24"/>
    </w:rPr>
  </w:style>
  <w:style w:type="character" w:customStyle="1" w:styleId="SubtitleChar">
    <w:name w:val="Subtitle Char"/>
    <w:link w:val="Subtitle"/>
    <w:uiPriority w:val="11"/>
    <w:rPr>
      <w:rFonts w:cs="Times New Roman" w:hint="default"/>
      <w:i/>
      <w:iCs/>
      <w:color w:val="4472c4"/>
      <w:spacing w:val="15"/>
      <w:sz w:val="24"/>
      <w:szCs w:val="24"/>
    </w:rPr>
  </w:style>
  <w:style w:type="character" w:styleId="Subtleemphasis">
    <w:name w:val="Subtle emphasis"/>
    <w:uiPriority w:val="19"/>
    <w:qFormat w:val="on"/>
    <w:rPr>
      <w:rFonts w:hint="default"/>
      <w:i/>
      <w:iCs/>
      <w:color w:val="808080"/>
    </w:rPr>
  </w:style>
  <w:style w:type="character" w:styleId="Emphasis">
    <w:name w:val="Emphasis"/>
    <w:uiPriority w:val="20"/>
    <w:qFormat w:val="on"/>
    <w:rPr>
      <w:rFonts w:hint="default"/>
      <w:i/>
      <w:iCs/>
    </w:rPr>
  </w:style>
  <w:style w:type="character" w:styleId="Intenseemphasis">
    <w:name w:val="Intense emphasis"/>
    <w:uiPriority w:val="21"/>
    <w:qFormat w:val="on"/>
    <w:rPr>
      <w:rFonts w:hint="default"/>
      <w:b/>
      <w:bCs/>
      <w:i/>
      <w:iCs/>
      <w:color w:val="4472c4"/>
    </w:rPr>
  </w:style>
  <w:style w:type="character" w:styleId="Strong">
    <w:name w:val="Strong"/>
    <w:uiPriority w:val="22"/>
    <w:qFormat w:val="on"/>
    <w:rPr>
      <w:rFonts w:hint="default"/>
      <w:b/>
      <w:bCs/>
    </w:rPr>
  </w:style>
  <w:style w:type="paragraph" w:styleId="Quote">
    <w:name w:val="Quote"/>
    <w:basedOn w:val="Normal"/>
    <w:next w:val="Normal"/>
    <w:link w:val="QuoteChar"/>
    <w:uiPriority w:val="29"/>
    <w:qFormat w:val="on"/>
    <w:pPr/>
    <w:rPr>
      <w:rFonts w:hint="default"/>
      <w:i/>
      <w:iCs/>
      <w:color w:val="000000"/>
    </w:rPr>
  </w:style>
  <w:style w:type="character" w:customStyle="1" w:styleId="QuoteChar">
    <w:name w:val="Quote Char"/>
    <w:link w:val="Quote"/>
    <w:uiPriority w:val="29"/>
    <w:rPr>
      <w:rFonts w:hint="default"/>
      <w:i/>
      <w:iCs/>
      <w:color w:val="000000"/>
    </w:rPr>
  </w:style>
  <w:style w:type="paragraph" w:styleId="Intensequote">
    <w:name w:val="Intense quote"/>
    <w:basedOn w:val="Normal"/>
    <w:next w:val="Normal"/>
    <w:link w:val="IntenseQuoteChar"/>
    <w:uiPriority w:val="30"/>
    <w:qFormat w:val="on"/>
    <w:pPr>
      <w:pBdr>
        <w:bottom w:val="single" w:color="4472c4" w:sz="4" w:space="4"/>
      </w:pBdr>
      <w:spacing w:before="200" w:after="280"/>
      <w:ind w:left="936" w:right="936"/>
    </w:pPr>
    <w:rPr>
      <w:rFonts w:hint="default"/>
      <w:b/>
      <w:bCs/>
      <w:i/>
      <w:iCs/>
      <w:color w:val="4472c4"/>
    </w:rPr>
  </w:style>
  <w:style w:type="character" w:customStyle="1" w:styleId="IntenseQuoteChar">
    <w:name w:val="Intense Quote Char"/>
    <w:link w:val="Intensequote"/>
    <w:uiPriority w:val="30"/>
    <w:rPr>
      <w:rFonts w:hint="default"/>
      <w:b/>
      <w:bCs/>
      <w:i/>
      <w:iCs/>
      <w:color w:val="4472c4"/>
    </w:rPr>
  </w:style>
  <w:style w:type="character" w:styleId="Subtlereference">
    <w:name w:val="Subtle reference"/>
    <w:uiPriority w:val="31"/>
    <w:qFormat w:val="on"/>
    <w:rPr>
      <w:rFonts w:hint="default"/>
      <w:smallCaps/>
      <w:color w:val="ed7d31"/>
      <w:u w:val="single"/>
    </w:rPr>
  </w:style>
  <w:style w:type="character" w:styleId="Intensereference">
    <w:name w:val="Intense reference"/>
    <w:uiPriority w:val="32"/>
    <w:qFormat w:val="on"/>
    <w:rPr>
      <w:rFonts w:hint="default"/>
      <w:b/>
      <w:bCs/>
      <w:smallCaps/>
      <w:color w:val="ed7d31"/>
      <w:spacing w:val="5"/>
      <w:u w:val="single"/>
    </w:rPr>
  </w:style>
  <w:style w:type="character" w:styleId="Booktitle">
    <w:name w:val="Book title"/>
    <w:uiPriority w:val="33"/>
    <w:qFormat w:val="on"/>
    <w:rPr>
      <w:rFonts w:hint="default"/>
      <w:b/>
      <w:bCs/>
      <w:smallCaps/>
      <w:spacing w:val="5"/>
    </w:rPr>
  </w:style>
  <w:style w:type="paragraph" w:styleId="Listparagraph">
    <w:name w:val="List paragraph"/>
    <w:basedOn w:val="Normal"/>
    <w:uiPriority w:val="34"/>
    <w:qFormat w:val="on"/>
    <w:pPr>
      <w:ind w:left="720"/>
    </w:pPr>
    <w:rPr>
      <w:rFonts w:hint="default"/>
    </w:rPr>
  </w:style>
  <w:style w:type="paragraph" w:styleId="Footnotetext">
    <w:name w:val="Footnote text"/>
    <w:basedOn w:val="Normal"/>
    <w:link w:val="FootnoteTextChar"/>
    <w:uiPriority w:val="99"/>
    <w:semiHidden w:val="on"/>
    <w:unhideWhenUsed w:val="on"/>
    <w:pPr>
      <w:spacing w:after="0" w:line="240" w:lineRule="auto"/>
    </w:pPr>
    <w:rPr>
      <w:rFonts w:hint="default"/>
      <w:sz w:val="20"/>
      <w:szCs w:val="20"/>
    </w:rPr>
  </w:style>
  <w:style w:type="character" w:customStyle="1" w:styleId="FootnoteTextChar">
    <w:name w:val="Footnote Text Char"/>
    <w:link w:val="Footnotetext"/>
    <w:uiPriority w:val="99"/>
    <w:semiHidden w:val="on"/>
    <w:rPr>
      <w:rFonts w:hint="default"/>
      <w:sz w:val="20"/>
      <w:szCs w:val="20"/>
    </w:rPr>
  </w:style>
  <w:style w:type="character" w:styleId="Footnotereference">
    <w:name w:val="Footnote reference"/>
    <w:uiPriority w:val="99"/>
    <w:semiHidden w:val="on"/>
    <w:unhideWhenUsed w:val="on"/>
    <w:rPr>
      <w:rFonts w:hint="default"/>
      <w:vertAlign w:val="superscript"/>
    </w:rPr>
  </w:style>
  <w:style w:type="paragraph" w:styleId="Endnotetext">
    <w:name w:val="Endnote text"/>
    <w:basedOn w:val="Normal"/>
    <w:link w:val="EndnoteTextChar"/>
    <w:uiPriority w:val="99"/>
    <w:semiHidden w:val="on"/>
    <w:unhideWhenUsed w:val="on"/>
    <w:pPr>
      <w:spacing w:after="0" w:line="240" w:lineRule="auto"/>
    </w:pPr>
    <w:rPr>
      <w:rFonts w:hint="default"/>
      <w:sz w:val="20"/>
      <w:szCs w:val="20"/>
    </w:rPr>
  </w:style>
  <w:style w:type="character" w:customStyle="1" w:styleId="EndnoteTextChar">
    <w:name w:val="Endnote Text Char"/>
    <w:link w:val="Endnotetext"/>
    <w:uiPriority w:val="99"/>
    <w:semiHidden w:val="on"/>
    <w:rPr>
      <w:rFonts w:hint="default"/>
      <w:sz w:val="20"/>
      <w:szCs w:val="20"/>
    </w:rPr>
  </w:style>
  <w:style w:type="character" w:styleId="Endnotereference">
    <w:name w:val="Endnote reference"/>
    <w:uiPriority w:val="99"/>
    <w:semiHidden w:val="on"/>
    <w:unhideWhenUsed w:val="on"/>
    <w:rPr>
      <w:rFonts w:hint="default"/>
      <w:vertAlign w:val="superscript"/>
    </w:rPr>
  </w:style>
  <w:style w:type="character" w:styleId="Hyperlink">
    <w:name w:val="Hyperlink"/>
    <w:uiPriority w:val="99"/>
    <w:unhideWhenUsed w:val="on"/>
    <w:rPr>
      <w:rFonts w:hint="default"/>
      <w:color w:val="0563c1"/>
      <w:u w:val="single"/>
    </w:rPr>
  </w:style>
  <w:style w:type="character" w:styleId="Followedhyperlink">
    <w:name w:val="Followedhyperlink"/>
    <w:uiPriority w:val="99"/>
    <w:semiHidden w:val="on"/>
    <w:unhideWhenUsed w:val="on"/>
    <w:rPr>
      <w:rFonts w:hint="default"/>
      <w:color w:val="954f72"/>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hint="default"/>
      <w:sz w:val="21"/>
      <w:szCs w:val="21"/>
    </w:rPr>
  </w:style>
  <w:style w:type="character" w:customStyle="1" w:styleId="PlainTextChar">
    <w:name w:val="Plain Text Char"/>
    <w:link w:val="Plaintext"/>
    <w:uiPriority w:val="99"/>
    <w:rPr>
      <w:rFonts w:ascii="Courier New" w:cs="Courier New" w:hAnsi="Courier New" w:hint="default"/>
      <w:sz w:val="21"/>
      <w:szCs w:val="21"/>
    </w:rPr>
  </w:style>
  <w:style w:type="paragraph" w:styleId="Header">
    <w:name w:val="Header"/>
    <w:basedOn w:val="Normal"/>
    <w:link w:val="HeaderChar"/>
    <w:uiPriority w:val="99"/>
    <w:unhideWhenUsed w:val="on"/>
    <w:pPr>
      <w:spacing w:after="0" w:line="240" w:lineRule="auto"/>
    </w:pPr>
    <w:rPr>
      <w:rFonts w:hint="default"/>
    </w:rPr>
  </w:style>
  <w:style w:type="character" w:customStyle="1" w:styleId="HeaderChar">
    <w:name w:val="Header Char"/>
    <w:link w:val="Header"/>
    <w:uiPriority w:val="99"/>
    <w:rPr>
      <w:rFonts w:hint="default"/>
    </w:rPr>
  </w:style>
  <w:style w:type="paragraph" w:styleId="Footer">
    <w:name w:val="Footer"/>
    <w:basedOn w:val="Normal"/>
    <w:link w:val="FooterChar"/>
    <w:uiPriority w:val="99"/>
    <w:unhideWhenUsed w:val="on"/>
    <w:pPr>
      <w:spacing w:after="0" w:line="240" w:lineRule="auto"/>
    </w:pPr>
    <w:rPr>
      <w:rFonts w:hint="default"/>
    </w:rPr>
  </w:style>
  <w:style w:type="character" w:customStyle="1" w:styleId="FooterChar">
    <w:name w:val="Footer Char"/>
    <w:link w:val="Footer"/>
    <w:uiPriority w:val="99"/>
    <w:rPr>
      <w:rFonts w:hint="default"/>
    </w:rPr>
  </w:style>
  <w:style w:type="paragraph" w:styleId="Caption">
    <w:name w:val="Caption"/>
    <w:basedOn w:val="Normal"/>
    <w:next w:val="Normal"/>
    <w:uiPriority w:val="35"/>
    <w:qFormat w:val="on"/>
    <w:pPr>
      <w:spacing w:after="200" w:line="240" w:lineRule="auto"/>
    </w:pPr>
    <w:rPr>
      <w:rFonts w:hint="default"/>
      <w:i/>
      <w:iCs/>
      <w:color w:val="44546a"/>
      <w:sz w:val="18"/>
      <w:szCs w:val="18"/>
    </w:rPr>
  </w:style>
  <w:style w:type="paragraph" w:styleId="Tocheading">
    <w:name w:val="Toc heading"/>
    <w:basedOn w:val="Heading1"/>
    <w:next w:val="Normal"/>
    <w:uiPriority w:val="39"/>
    <w:qFormat w:val="on"/>
    <w:pPr/>
    <w:rPr>
      <w:rFonts w:hint="default"/>
      <w:b w:val="off"/>
      <w:bCs w:val="off"/>
      <w:sz w:val="32"/>
      <w:szCs w:val="32"/>
    </w:rPr>
  </w:style>
  <w:style w:type="paragraph" w:styleId="Toc1">
    <w:name w:val="Toc 1"/>
    <w:basedOn w:val="Normal"/>
    <w:next w:val="Normal"/>
    <w:uiPriority w:val="39"/>
    <w:unhideWhenUsed w:val="on"/>
    <w:pPr>
      <w:spacing w:after="100"/>
    </w:pPr>
    <w:rPr>
      <w:rFonts w:hint="default"/>
    </w:rPr>
  </w:style>
  <w:style w:type="paragraph" w:styleId="Toc2">
    <w:name w:val="Toc 2"/>
    <w:basedOn w:val="Normal"/>
    <w:next w:val="Normal"/>
    <w:uiPriority w:val="39"/>
    <w:unhideWhenUsed w:val="on"/>
    <w:pPr>
      <w:spacing w:after="100"/>
      <w:ind w:left="220"/>
    </w:pPr>
    <w:rPr>
      <w:rFonts w:hint="default"/>
    </w:rPr>
  </w:style>
  <w:style w:type="paragraph" w:styleId="Toc3">
    <w:name w:val="Toc 3"/>
    <w:basedOn w:val="Normal"/>
    <w:next w:val="Normal"/>
    <w:uiPriority w:val="39"/>
    <w:unhideWhenUsed w:val="on"/>
    <w:pPr>
      <w:spacing w:after="100"/>
      <w:ind w:left="440"/>
    </w:pPr>
    <w:rPr>
      <w:rFonts w:hint="default"/>
    </w:rPr>
  </w:style>
  <w:style w:type="paragraph" w:styleId="Toc4">
    <w:name w:val="Toc 4"/>
    <w:basedOn w:val="Normal"/>
    <w:next w:val="Normal"/>
    <w:uiPriority w:val="39"/>
    <w:unhideWhenUsed w:val="on"/>
    <w:pPr>
      <w:spacing w:after="100"/>
      <w:ind w:left="660"/>
    </w:pPr>
    <w:rPr>
      <w:rFonts w:hint="default"/>
    </w:rPr>
  </w:style>
  <w:style w:type="paragraph" w:styleId="Toc5">
    <w:name w:val="Toc 5"/>
    <w:basedOn w:val="Normal"/>
    <w:next w:val="Normal"/>
    <w:uiPriority w:val="39"/>
    <w:unhideWhenUsed w:val="on"/>
    <w:pPr>
      <w:spacing w:after="100"/>
      <w:ind w:left="880"/>
    </w:pPr>
    <w:rPr>
      <w:rFonts w:hint="default"/>
    </w:rPr>
  </w:style>
  <w:style w:type="paragraph" w:styleId="Toc6">
    <w:name w:val="Toc 6"/>
    <w:basedOn w:val="Normal"/>
    <w:next w:val="Normal"/>
    <w:uiPriority w:val="39"/>
    <w:unhideWhenUsed w:val="on"/>
    <w:pPr>
      <w:spacing w:after="100"/>
      <w:ind w:left="1100"/>
    </w:pPr>
    <w:rPr>
      <w:rFonts w:hint="default"/>
    </w:rPr>
  </w:style>
  <w:style w:type="paragraph" w:styleId="Toc7">
    <w:name w:val="Toc 7"/>
    <w:basedOn w:val="Normal"/>
    <w:next w:val="Normal"/>
    <w:uiPriority w:val="39"/>
    <w:unhideWhenUsed w:val="on"/>
    <w:pPr>
      <w:spacing w:after="100"/>
      <w:ind w:left="1320"/>
    </w:pPr>
    <w:rPr>
      <w:rFonts w:hint="default"/>
    </w:rPr>
  </w:style>
  <w:style w:type="paragraph" w:styleId="Toc8">
    <w:name w:val="Toc 8"/>
    <w:basedOn w:val="Normal"/>
    <w:next w:val="Normal"/>
    <w:uiPriority w:val="39"/>
    <w:unhideWhenUsed w:val="on"/>
    <w:pPr>
      <w:spacing w:after="100"/>
      <w:ind w:left="1540"/>
    </w:pPr>
    <w:rPr>
      <w:rFonts w:hint="default"/>
    </w:rPr>
  </w:style>
  <w:style w:type="paragraph" w:styleId="Toc9">
    <w:name w:val="Toc 9"/>
    <w:basedOn w:val="Normal"/>
    <w:next w:val="Normal"/>
    <w:uiPriority w:val="39"/>
    <w:unhideWhenUsed w:val="on"/>
    <w:pPr>
      <w:spacing w:after="100"/>
      <w:ind w:left="1760"/>
    </w:pPr>
    <w:rPr>
      <w:rFonts w:hint="default"/>
    </w:rPr>
  </w:style>
  <w:style w:type="paragraph" w:styleId="Bibliography">
    <w:name w:val="Bibliography"/>
    <w:basedOn w:val="Normal"/>
    <w:uiPriority w:val="99"/>
    <w:pPr>
      <w:ind w:left="720" w:hanging="720"/>
    </w:pPr>
    <w:rPr>
      <w:rFonts w:hint="default"/>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image" Target="media/image6.jpe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jpeg"/><Relationship Id="rId9" Type="http://schemas.openxmlformats.org/officeDocument/2006/relationships/image" Target="media/image5.pn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Party Kids</cp:lastModifiedBy>
</cp:coreProperties>
</file>