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keepNext w:val="0"/>
        <w:keepLines w:val="0"/>
        <w:rPr>
          <w:rFonts w:ascii="Arial" w:cs="Arial" w:eastAsia="Arial" w:hAnsi="Arial"/>
        </w:rPr>
      </w:pPr>
      <w:bookmarkStart w:colFirst="0" w:colLast="0" w:name="_v5pt4cp1dnis" w:id="0"/>
      <w:bookmarkEnd w:id="0"/>
      <w:r w:rsidDel="00000000" w:rsidR="00000000" w:rsidRPr="00000000">
        <w:rPr>
          <w:rtl w:val="0"/>
        </w:rPr>
      </w:r>
    </w:p>
    <w:p w:rsidR="00000000" w:rsidDel="00000000" w:rsidP="00000000" w:rsidRDefault="00000000" w:rsidRPr="00000000" w14:paraId="00000002">
      <w:pPr>
        <w:pStyle w:val="Title"/>
        <w:keepNext w:val="0"/>
        <w:keepLines w:val="0"/>
        <w:rPr>
          <w:rFonts w:ascii="Arial" w:cs="Arial" w:eastAsia="Arial" w:hAnsi="Arial"/>
        </w:rPr>
      </w:pPr>
      <w:bookmarkStart w:colFirst="0" w:colLast="0" w:name="_5vmoteqjl03v" w:id="1"/>
      <w:bookmarkEnd w:id="1"/>
      <w:r w:rsidDel="00000000" w:rsidR="00000000" w:rsidRPr="00000000">
        <w:rPr>
          <w:rtl w:val="0"/>
        </w:rPr>
      </w:r>
    </w:p>
    <w:p w:rsidR="00000000" w:rsidDel="00000000" w:rsidP="00000000" w:rsidRDefault="00000000" w:rsidRPr="00000000" w14:paraId="00000003">
      <w:pPr>
        <w:pStyle w:val="Title"/>
        <w:keepNext w:val="0"/>
        <w:keepLines w:val="0"/>
        <w:rPr>
          <w:rFonts w:ascii="Arial" w:cs="Arial" w:eastAsia="Arial" w:hAnsi="Arial"/>
        </w:rPr>
      </w:pPr>
      <w:r w:rsidDel="00000000" w:rsidR="00000000" w:rsidRPr="00000000">
        <w:rPr>
          <w:rFonts w:ascii="Arial" w:cs="Arial" w:eastAsia="Arial" w:hAnsi="Arial"/>
        </w:rPr>
        <w:drawing>
          <wp:inline distB="0" distT="0" distL="0" distR="0">
            <wp:extent cx="3071126" cy="1242168"/>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071126" cy="1242168"/>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MODULE: SERVICE INTEGRATION AND PARTNERSHIP WORKING</w:t>
      </w:r>
    </w:p>
    <w:p w:rsidR="00000000" w:rsidDel="00000000" w:rsidP="00000000" w:rsidRDefault="00000000" w:rsidRPr="00000000" w14:paraId="00000005">
      <w:pPr>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MODULE CODE: LCHS7005</w:t>
      </w:r>
    </w:p>
    <w:p w:rsidR="00000000" w:rsidDel="00000000" w:rsidP="00000000" w:rsidRDefault="00000000" w:rsidRPr="00000000" w14:paraId="00000006">
      <w:pPr>
        <w:pStyle w:val="Title"/>
        <w:keepNext w:val="0"/>
        <w:keepLines w:val="0"/>
        <w:rPr>
          <w:rFonts w:ascii="Arial" w:cs="Arial" w:eastAsia="Arial" w:hAnsi="Arial"/>
        </w:rPr>
      </w:pPr>
      <w:r w:rsidDel="00000000" w:rsidR="00000000" w:rsidRPr="00000000">
        <w:rPr>
          <w:rFonts w:ascii="Arial" w:cs="Arial" w:eastAsia="Arial" w:hAnsi="Arial"/>
          <w:rtl w:val="0"/>
        </w:rPr>
        <w:t xml:space="preserve">REFLECTIVE REPORT: SERVICE INTEGRATION AND PARTNERSHIP WORKING IN SEND PRACTICE</w:t>
      </w:r>
    </w:p>
    <w:p w:rsidR="00000000" w:rsidDel="00000000" w:rsidP="00000000" w:rsidRDefault="00000000" w:rsidRPr="00000000" w14:paraId="00000007">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Student Name : Salomi Rasikbhai Khristi </w:t>
      </w:r>
    </w:p>
    <w:p w:rsidR="00000000" w:rsidDel="00000000" w:rsidP="00000000" w:rsidRDefault="00000000" w:rsidRPr="00000000" w14:paraId="00000008">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Student ID :2433236 </w:t>
      </w:r>
    </w:p>
    <w:p w:rsidR="00000000" w:rsidDel="00000000" w:rsidP="00000000" w:rsidRDefault="00000000" w:rsidRPr="00000000" w14:paraId="00000009">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Lecturer :Diola Bijlhout </w:t>
      </w:r>
    </w:p>
    <w:p w:rsidR="00000000" w:rsidDel="00000000" w:rsidP="00000000" w:rsidRDefault="00000000" w:rsidRPr="00000000" w14:paraId="0000000A">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Words: 2500</w:t>
      </w:r>
    </w:p>
    <w:p w:rsidR="00000000" w:rsidDel="00000000" w:rsidP="00000000" w:rsidRDefault="00000000" w:rsidRPr="00000000" w14:paraId="0000000B">
      <w:pPr>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0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TABLE OF CONTENTS</w:t>
      </w:r>
    </w:p>
    <w:sdt>
      <w:sdtPr>
        <w:id w:val="1176931220"/>
        <w:docPartObj>
          <w:docPartGallery w:val="Table of Contents"/>
          <w:docPartUnique w:val="1"/>
        </w:docPartObj>
      </w:sdtPr>
      <w:sdtContent>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s56rhsnz83v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 Introduction</w:t>
              <w:tab/>
              <w:t xml:space="preserve">3</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7wqqzl21hau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 Context (Critical Analysis of Needs and System Failure)</w:t>
              <w:tab/>
              <w:t xml:space="preserve">4</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xa952bekujp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 Input (Critical Reflection on Theory, Partners, and Integration)</w:t>
              <w:tab/>
              <w:t xml:space="preserve">6</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i02t59ex8vr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 Process (Group Work Reflection)</w:t>
              <w:tab/>
              <w:t xml:space="preserve">7</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scwrn7v5sxv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 Product (Critical Evaluation of the SEND Hub)</w:t>
              <w:tab/>
              <w:t xml:space="preserve">8</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viv4ks6dqdg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 Skills and Development</w:t>
              <w:tab/>
              <w:t xml:space="preserve">9</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b8iv7qt47r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 Conclusion</w:t>
              <w:tab/>
              <w:t xml:space="preserve">10</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lwnadwa3pws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References</w:t>
              <w:tab/>
              <w:t xml:space="preserve">11</w:t>
            </w:r>
          </w:hyperlink>
          <w:r w:rsidDel="00000000" w:rsidR="00000000" w:rsidRPr="00000000">
            <w:rPr>
              <w:rtl w:val="0"/>
            </w:rPr>
          </w:r>
        </w:p>
        <w:p w:rsidR="00000000" w:rsidDel="00000000" w:rsidP="00000000" w:rsidRDefault="00000000" w:rsidRPr="00000000" w14:paraId="00000015">
          <w:pPr>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6">
      <w:pPr>
        <w:jc w:val="center"/>
        <w:rPr>
          <w:rFonts w:ascii="Arial" w:cs="Arial" w:eastAsia="Arial" w:hAnsi="Arial"/>
        </w:rPr>
      </w:pPr>
      <w:r w:rsidDel="00000000" w:rsidR="00000000" w:rsidRPr="00000000">
        <w:rPr>
          <w:rtl w:val="0"/>
        </w:rPr>
      </w:r>
    </w:p>
    <w:p w:rsidR="00000000" w:rsidDel="00000000" w:rsidP="00000000" w:rsidRDefault="00000000" w:rsidRPr="00000000" w14:paraId="00000017">
      <w:pPr>
        <w:pStyle w:val="Heading2"/>
        <w:keepNext w:val="0"/>
        <w:keepLines w:val="0"/>
        <w:spacing w:after="80" w:lineRule="auto"/>
        <w:rPr>
          <w:rFonts w:ascii="Arial" w:cs="Arial" w:eastAsia="Arial" w:hAnsi="Arial"/>
          <w:b w:val="1"/>
          <w:bCs w:val="1"/>
          <w:sz w:val="34"/>
          <w:szCs w:val="34"/>
        </w:rPr>
      </w:pPr>
      <w:bookmarkStart w:colFirst="0" w:colLast="0" w:name="_ksoyrq3o65xj" w:id="2"/>
      <w:bookmarkEnd w:id="2"/>
      <w:r w:rsidDel="00000000" w:rsidR="00000000" w:rsidRPr="00000000">
        <w:br w:type="page"/>
      </w:r>
      <w:r w:rsidDel="00000000" w:rsidR="00000000" w:rsidRPr="00000000">
        <w:rPr>
          <w:rtl w:val="0"/>
        </w:rPr>
      </w:r>
    </w:p>
    <w:p w:rsidR="00000000" w:rsidDel="00000000" w:rsidP="00000000" w:rsidRDefault="00000000" w:rsidRPr="00000000" w14:paraId="00000018">
      <w:pPr>
        <w:pStyle w:val="Heading1"/>
        <w:keepNext w:val="0"/>
        <w:keepLines w:val="0"/>
        <w:rPr>
          <w:rFonts w:ascii="Arial" w:cs="Arial" w:eastAsia="Arial" w:hAnsi="Arial"/>
        </w:rPr>
      </w:pPr>
      <w:bookmarkStart w:colFirst="0" w:colLast="0" w:name="_s56rhsnz83vj" w:id="3"/>
      <w:bookmarkEnd w:id="3"/>
      <w:r w:rsidDel="00000000" w:rsidR="00000000" w:rsidRPr="00000000">
        <w:rPr>
          <w:rFonts w:ascii="Arial" w:cs="Arial" w:eastAsia="Arial" w:hAnsi="Arial"/>
          <w:rtl w:val="0"/>
        </w:rPr>
        <w:t xml:space="preserve">1. Introduction</w:t>
      </w:r>
    </w:p>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2"/>
          <w:szCs w:val="22"/>
          <w:rtl w:val="0"/>
        </w:rPr>
        <w:t xml:space="preserve">The practice of reflection is an important practice that enables practitioners to reflect on their experiences, challenge their assumptions and learn more about their careers. Reflective practice is paramount in the development of service delivery, particularly in such a multifaceted system as Special Educational Needs and Disabilities (SEND), in which there is an interrelationship of self in a number of stakeholders. Thinking is not something that can be done as a description; it is questioning as to why things are solved in a given manner, how things have been influenced to be as they are and how things can be improved the next time around (Mohamad and Tasir, 2023). The critical reflection represented in this report was my learning as I created the Secondary SEND Integrated Support Hub that will be utilised in the area of Southend-on-Sea. This was a venture to address the issue of fragmentation in the education, health and social care provision with an integrated model in the guise of partnership as suggested by Pine et al., (2022). I will scrutinise the conditions under which the necessity to integrate and consider the theoretical underpinning and the contributions of the partnerships, as well as an enlightening examination of the group process that led to the design of the model.</w:t>
      </w:r>
    </w:p>
    <w:p w:rsidR="00000000" w:rsidDel="00000000" w:rsidP="00000000" w:rsidRDefault="00000000" w:rsidRPr="00000000" w14:paraId="0000001A">
      <w:pPr>
        <w:rPr>
          <w:rFonts w:ascii="Arial" w:cs="Arial" w:eastAsia="Arial" w:hAnsi="Arial"/>
          <w:sz w:val="22"/>
          <w:szCs w:val="22"/>
        </w:rPr>
      </w:pPr>
      <w:r w:rsidDel="00000000" w:rsidR="00000000" w:rsidRPr="00000000">
        <w:rPr>
          <w:rFonts w:ascii="Arial" w:cs="Arial" w:eastAsia="Arial" w:hAnsi="Arial"/>
          <w:sz w:val="22"/>
          <w:szCs w:val="22"/>
          <w:rtl w:val="0"/>
        </w:rPr>
        <w:t xml:space="preserve">In addition, I will discuss the effectiveness of the proposed SEND hub, its weaknesses, dangers, and its sustainability. Finally, I am going to take into consideration my personal learning experience and professional development, which particular skills I have gained and what I am still going to practice. Having this reflection is based on both theoretical models of integration and real-life issues in the SEND system, providing the possibility of a critical analysis and practice.</w:t>
      </w:r>
    </w:p>
    <w:p w:rsidR="00000000" w:rsidDel="00000000" w:rsidP="00000000" w:rsidRDefault="00000000" w:rsidRPr="00000000" w14:paraId="0000001B">
      <w:pPr>
        <w:jc w:val="center"/>
        <w:rPr>
          <w:rFonts w:ascii="Arial" w:cs="Arial" w:eastAsia="Arial" w:hAnsi="Arial"/>
          <w:b w:val="1"/>
          <w:bCs w:val="1"/>
        </w:rPr>
      </w:pPr>
      <w:r w:rsidDel="00000000" w:rsidR="00000000" w:rsidRPr="00000000">
        <w:rPr>
          <w:rFonts w:ascii="Arial" w:cs="Arial" w:eastAsia="Arial" w:hAnsi="Arial"/>
          <w:b w:val="1"/>
          <w:bCs w:val="1"/>
        </w:rPr>
        <w:drawing>
          <wp:inline distB="114300" distT="114300" distL="114300" distR="114300">
            <wp:extent cx="5943600" cy="2959100"/>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943600" cy="2959100"/>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Figure 1: SEND system</w:t>
      </w:r>
    </w:p>
    <w:p w:rsidR="00000000" w:rsidDel="00000000" w:rsidP="00000000" w:rsidRDefault="00000000" w:rsidRPr="00000000" w14:paraId="0000001D">
      <w:pPr>
        <w:jc w:val="center"/>
        <w:rPr>
          <w:rFonts w:ascii="Arial" w:cs="Arial" w:eastAsia="Arial" w:hAnsi="Arial"/>
        </w:rPr>
      </w:pPr>
      <w:r w:rsidDel="00000000" w:rsidR="00000000" w:rsidRPr="00000000">
        <w:rPr>
          <w:rFonts w:ascii="Arial" w:cs="Arial" w:eastAsia="Arial" w:hAnsi="Arial"/>
          <w:rtl w:val="0"/>
        </w:rPr>
        <w:t xml:space="preserve">(Source: Parkhouse, 2024)</w:t>
      </w:r>
    </w:p>
    <w:p w:rsidR="00000000" w:rsidDel="00000000" w:rsidP="00000000" w:rsidRDefault="00000000" w:rsidRPr="00000000" w14:paraId="0000001E">
      <w:pPr>
        <w:pStyle w:val="Heading1"/>
        <w:rPr>
          <w:rFonts w:ascii="Arial" w:cs="Arial" w:eastAsia="Arial" w:hAnsi="Arial"/>
        </w:rPr>
      </w:pPr>
      <w:bookmarkStart w:colFirst="0" w:colLast="0" w:name="_7wqqzl21haud" w:id="4"/>
      <w:bookmarkEnd w:id="4"/>
      <w:r w:rsidDel="00000000" w:rsidR="00000000" w:rsidRPr="00000000">
        <w:rPr>
          <w:rFonts w:ascii="Arial" w:cs="Arial" w:eastAsia="Arial" w:hAnsi="Arial"/>
          <w:rtl w:val="0"/>
        </w:rPr>
        <w:t xml:space="preserve">2. Context (Critical Analysis of Needs and System Failure)</w:t>
      </w:r>
    </w:p>
    <w:p w:rsidR="00000000" w:rsidDel="00000000" w:rsidP="00000000" w:rsidRDefault="00000000" w:rsidRPr="00000000" w14:paraId="0000001F">
      <w:pPr>
        <w:rPr>
          <w:rFonts w:ascii="Arial" w:cs="Arial" w:eastAsia="Arial" w:hAnsi="Arial"/>
          <w:sz w:val="22"/>
          <w:szCs w:val="22"/>
        </w:rPr>
      </w:pPr>
      <w:r w:rsidDel="00000000" w:rsidR="00000000" w:rsidRPr="00000000">
        <w:rPr>
          <w:rFonts w:ascii="Arial" w:cs="Arial" w:eastAsia="Arial" w:hAnsi="Arial"/>
          <w:sz w:val="22"/>
          <w:szCs w:val="22"/>
          <w:rtl w:val="0"/>
        </w:rPr>
        <w:t xml:space="preserve">The SEND Integrated Support Hub, as it happened, was necessary, as there were significant systemic gaps in Southend-on-Sea, which included the excessive time the assessment needed, the disconnection of service delivery, and the disconnectedness of the education, health, and social care systems. Even though some of the problems were described narratively in our project, critical reflections indicate that the issues themselves do not exist, but are individual cases of structural flaws in the SEND system (Z Baghizadeh, D Cecez-Kecmanovic and Schlagwein, 2018). One of the most important sources of these gaps could be the historical separatism of services. The health, education and social care run on various streams of funds, governance systems and accountability systems. This generates institutional cliques and constrains cooperation and duplication of assessment and delays intervention. This is backed by national evidence, which says that when an integrated working happens, it will always be interrupted by deadlock between services as old as time (Local.gov, 2026). In such a way, the shortcomings presented by Southend are not an exception but more of a systemic nature.</w:t>
      </w:r>
    </w:p>
    <w:p w:rsidR="00000000" w:rsidDel="00000000" w:rsidP="00000000" w:rsidRDefault="00000000" w:rsidRPr="00000000" w14:paraId="00000020">
      <w:pPr>
        <w:rPr>
          <w:rFonts w:ascii="Arial" w:cs="Arial" w:eastAsia="Arial" w:hAnsi="Arial"/>
          <w:sz w:val="22"/>
          <w:szCs w:val="22"/>
        </w:rPr>
      </w:pPr>
      <w:r w:rsidDel="00000000" w:rsidR="00000000" w:rsidRPr="00000000">
        <w:rPr>
          <w:rFonts w:ascii="Arial" w:cs="Arial" w:eastAsia="Arial" w:hAnsi="Arial"/>
          <w:sz w:val="22"/>
          <w:szCs w:val="22"/>
          <w:rtl w:val="0"/>
        </w:rPr>
        <w:t xml:space="preserve">The other important factor is the incompatibility of the increased demand and insufficient capacity. There has been a growth in the number of children with SEND, and resources and capacity to work have not kept up. As it has been mentioned, the SEND system is not performing as intended due to capacity concerns and the growing demand (UK Parliament, 2024). This explains the fact that policy changes do not have any positive influence on delays in diagnosis and interventions. In this case, lack of good management is not the issue, but under-resourcing. The system design is also a cause of failure. SEND provision is also usually reactive, targeting individual cases via Education, Health and Care Plans (EHCPs) as opposed to integrating the practice of inclusion in the mainstream systems. This bureaucratizes and antagonises the process and makes families liken complex systems to receive help. More importantly, this establishes the disparity, with more informed families or more resourceful families in a better position to present services in their favour (Barnes et al., 2020).</w:t>
      </w:r>
    </w:p>
    <w:p w:rsidR="00000000" w:rsidDel="00000000" w:rsidP="00000000" w:rsidRDefault="00000000" w:rsidRPr="00000000" w14:paraId="00000021">
      <w:pPr>
        <w:rPr>
          <w:rFonts w:ascii="Arial" w:cs="Arial" w:eastAsia="Arial" w:hAnsi="Arial"/>
          <w:sz w:val="22"/>
          <w:szCs w:val="22"/>
        </w:rPr>
      </w:pPr>
      <w:r w:rsidDel="00000000" w:rsidR="00000000" w:rsidRPr="00000000">
        <w:rPr>
          <w:rFonts w:ascii="Arial" w:cs="Arial" w:eastAsia="Arial" w:hAnsi="Arial"/>
          <w:sz w:val="22"/>
          <w:szCs w:val="22"/>
          <w:rtl w:val="0"/>
        </w:rPr>
        <w:t xml:space="preserve">In addition, policy implementation has loopholes that also lead to the failure of the system. Even though, despite the Children and Families Act of 2014, laws that promote integration, there has been no implementation at the same rate. As has been proven, the SEND system remains broken, and the quality and expenses are increasing as per the suggestion of Sibieta and Snape (2025). This highlights an incongruity between the policymaking intentions and reality on the ground.</w:t>
      </w:r>
    </w:p>
    <w:p w:rsidR="00000000" w:rsidDel="00000000" w:rsidP="00000000" w:rsidRDefault="00000000" w:rsidRPr="00000000" w14:paraId="00000022">
      <w:pPr>
        <w:pStyle w:val="Heading1"/>
        <w:keepNext w:val="0"/>
        <w:keepLines w:val="0"/>
        <w:rPr>
          <w:rFonts w:ascii="Arial" w:cs="Arial" w:eastAsia="Arial" w:hAnsi="Arial"/>
        </w:rPr>
      </w:pPr>
      <w:bookmarkStart w:colFirst="0" w:colLast="0" w:name="_99ht4zqsgrhr" w:id="5"/>
      <w:bookmarkEnd w:id="5"/>
      <w:r w:rsidDel="00000000" w:rsidR="00000000" w:rsidRPr="00000000">
        <w:rPr>
          <w:rFonts w:ascii="Arial" w:cs="Arial" w:eastAsia="Arial" w:hAnsi="Arial"/>
          <w:rtl w:val="0"/>
        </w:rPr>
        <w:t xml:space="preserve">3. Input (Critical Reflection on Theory, Partners, and Integration)</w:t>
      </w:r>
    </w:p>
    <w:p w:rsidR="00000000" w:rsidDel="00000000" w:rsidP="00000000" w:rsidRDefault="00000000" w:rsidRPr="00000000" w14:paraId="00000023">
      <w:pPr>
        <w:rPr>
          <w:rFonts w:ascii="Arial" w:cs="Arial" w:eastAsia="Arial" w:hAnsi="Arial"/>
          <w:sz w:val="22"/>
          <w:szCs w:val="22"/>
        </w:rPr>
      </w:pPr>
      <w:r w:rsidDel="00000000" w:rsidR="00000000" w:rsidRPr="00000000">
        <w:rPr>
          <w:rFonts w:ascii="Arial" w:cs="Arial" w:eastAsia="Arial" w:hAnsi="Arial"/>
          <w:sz w:val="22"/>
          <w:szCs w:val="22"/>
          <w:rtl w:val="0"/>
        </w:rPr>
        <w:t xml:space="preserve">The SEND Integrated Support Hub development demanded the collaboration with a variety of partners, which were the Department for Education (DfE), NHS services, local authorities, SENCOs and families (Ofsted, 2021). Although our project has mentioned these stakeholders, a critical reflection is that partnership working is much more complicated than just the process of uniting organisations. In theory, various approaches can be used to theorise integration according to models such as collaborative governance and systems thinking. These systems promote shared decision-making, interdependence and shared responsibility (Thelen et al., 2023). Nevertheless, in reality, partnerships tend to be influenced by power relationships and conflicting agendas. An illustration of this is that the DfE is concerned with outcomes in education, whereas the NHS is concerned with clinical demands and the local authorities are limited by the budget pressures. This presents a burden on unions, limiting real assimilation.</w:t>
      </w:r>
    </w:p>
    <w:p w:rsidR="00000000" w:rsidDel="00000000" w:rsidP="00000000" w:rsidRDefault="00000000" w:rsidRPr="00000000" w14:paraId="00000024">
      <w:pPr>
        <w:rPr>
          <w:rFonts w:ascii="Arial" w:cs="Arial" w:eastAsia="Arial" w:hAnsi="Arial"/>
          <w:sz w:val="22"/>
          <w:szCs w:val="22"/>
        </w:rPr>
      </w:pPr>
      <w:r w:rsidDel="00000000" w:rsidR="00000000" w:rsidRPr="00000000">
        <w:rPr>
          <w:rFonts w:ascii="Arial" w:cs="Arial" w:eastAsia="Arial" w:hAnsi="Arial"/>
          <w:sz w:val="22"/>
          <w:szCs w:val="22"/>
          <w:rtl w:val="0"/>
        </w:rPr>
        <w:t xml:space="preserve">The role of frontline professionals and SENCOs should be carried out in particular. Although their roles are put as the creators of support, they usually work in an environment that is characterised by resource limits, which limits the effectiveness of the integrated approaches (Leow and Leow, 2022). This suggests that there is a bigger issue with regard to integration models, wherein frontline actors ought to be able to deliver systemic change without being well-organised. Funding is the most important obstacle to its integration. SEND services are highly reliant on public funding, which tends to be insufficient and not uniformly distributed. There is evidence of continued funding pressures and inequalities between local authorities, leading to a postcode lottery in service delivery as identified in Education Policy Institute (2018). This undermines the concept of equitable access to support and eliminates the scalability of combined models.</w:t>
      </w:r>
    </w:p>
    <w:p w:rsidR="00000000" w:rsidDel="00000000" w:rsidP="00000000" w:rsidRDefault="00000000" w:rsidRPr="00000000" w14:paraId="00000025">
      <w:pPr>
        <w:rPr>
          <w:rFonts w:ascii="Arial" w:cs="Arial" w:eastAsia="Arial" w:hAnsi="Arial"/>
          <w:sz w:val="22"/>
          <w:szCs w:val="22"/>
        </w:rPr>
      </w:pPr>
      <w:r w:rsidDel="00000000" w:rsidR="00000000" w:rsidRPr="00000000">
        <w:rPr>
          <w:rFonts w:ascii="Arial" w:cs="Arial" w:eastAsia="Arial" w:hAnsi="Arial"/>
          <w:sz w:val="22"/>
          <w:szCs w:val="22"/>
          <w:rtl w:val="0"/>
        </w:rPr>
        <w:t xml:space="preserve">Its path is also greatly hindered by the issue of the workforce. Professional staff like therapists, psychologists and specialist teachers are in short supply. This diminishes the potential of inbuilt hubs to deliver efficient and prompt interventions. Besides, working in silos is often not characterised by interdisciplinary collaboration, which is represented in workforce training (Ikpuri, 2023). One more critical issue is data sharing, where integration needs a smooth flow of information; issues relating to data security, the incompatibility of IT systems and organisational boundaries create barriers to communication as per the idea of Balaha et al., (2025). This would consume a SEND Passport, which our project is suggesting, but I now understand that there were greater organisational and cultural hindrances, which cannot be broken simply by technology.</w:t>
      </w:r>
    </w:p>
    <w:p w:rsidR="00000000" w:rsidDel="00000000" w:rsidP="00000000" w:rsidRDefault="00000000" w:rsidRPr="00000000" w14:paraId="00000026">
      <w:pPr>
        <w:rPr>
          <w:rFonts w:ascii="Arial" w:cs="Arial" w:eastAsia="Arial" w:hAnsi="Arial"/>
          <w:sz w:val="22"/>
          <w:szCs w:val="22"/>
        </w:rPr>
      </w:pPr>
      <w:r w:rsidDel="00000000" w:rsidR="00000000" w:rsidRPr="00000000">
        <w:rPr>
          <w:rFonts w:ascii="Arial" w:cs="Arial" w:eastAsia="Arial" w:hAnsi="Arial"/>
          <w:sz w:val="22"/>
          <w:szCs w:val="22"/>
          <w:rtl w:val="0"/>
        </w:rPr>
        <w:t xml:space="preserve">Policymaker SEND legislation provides an integration framework, yet it can be critiqued. Both the SEND Review and the following reforms have been accused of failing to tackle core concerns like funding and inclusion. Some reviews suggest that policy discourse is inclined to equip local agents with the appropriate resources without placing the burden of structural imbalances onto them in reference to the context of Pluquailec and O’Connor (2023). The question arises as to whether the current policies are indeed favourable to the concept of integration or just polishing the current problems with new wrappings.</w:t>
      </w:r>
    </w:p>
    <w:p w:rsidR="00000000" w:rsidDel="00000000" w:rsidP="00000000" w:rsidRDefault="00000000" w:rsidRPr="00000000" w14:paraId="00000027">
      <w:pPr>
        <w:pStyle w:val="Heading1"/>
        <w:keepNext w:val="0"/>
        <w:keepLines w:val="0"/>
        <w:rPr>
          <w:rFonts w:ascii="Arial" w:cs="Arial" w:eastAsia="Arial" w:hAnsi="Arial"/>
        </w:rPr>
      </w:pPr>
      <w:bookmarkStart w:colFirst="0" w:colLast="0" w:name="_okirpctwbcl2" w:id="6"/>
      <w:bookmarkEnd w:id="6"/>
      <w:r w:rsidDel="00000000" w:rsidR="00000000" w:rsidRPr="00000000">
        <w:rPr>
          <w:rFonts w:ascii="Arial" w:cs="Arial" w:eastAsia="Arial" w:hAnsi="Arial"/>
          <w:rtl w:val="0"/>
        </w:rPr>
        <w:t xml:space="preserve">4. Process (Group Work Reflection)</w:t>
      </w:r>
    </w:p>
    <w:p w:rsidR="00000000" w:rsidDel="00000000" w:rsidP="00000000" w:rsidRDefault="00000000" w:rsidRPr="00000000" w14:paraId="00000028">
      <w:pPr>
        <w:rPr>
          <w:rFonts w:ascii="Arial" w:cs="Arial" w:eastAsia="Arial" w:hAnsi="Arial"/>
          <w:sz w:val="22"/>
          <w:szCs w:val="22"/>
        </w:rPr>
      </w:pPr>
      <w:r w:rsidDel="00000000" w:rsidR="00000000" w:rsidRPr="00000000">
        <w:rPr>
          <w:rFonts w:ascii="Arial" w:cs="Arial" w:eastAsia="Arial" w:hAnsi="Arial"/>
          <w:sz w:val="22"/>
          <w:szCs w:val="22"/>
          <w:rtl w:val="0"/>
        </w:rPr>
        <w:t xml:space="preserve">The SEND hub, as a group project, has been an excellent experience to learn more about collaboration in working. Through reflective theories or models, such as the reflective cycle by Gibbs, I would be in a position to have a critical review of the strengths and weaknesses of our group dynamics. One of the key strong points of our group was the diversity of the perspectives. Each of the members contributed his/her input, which contributed to the quality of the project overall. This coincides with collaborative learning theories that hold that multiple points of view would enhance problem-solving and creativity. Practically, this enabled us to come up with a more meticulous and true-to-life model of service integration.</w:t>
      </w:r>
    </w:p>
    <w:p w:rsidR="00000000" w:rsidDel="00000000" w:rsidP="00000000" w:rsidRDefault="00000000" w:rsidRPr="00000000" w14:paraId="00000029">
      <w:pPr>
        <w:rPr>
          <w:rFonts w:ascii="Arial" w:cs="Arial" w:eastAsia="Arial" w:hAnsi="Arial"/>
          <w:sz w:val="22"/>
          <w:szCs w:val="22"/>
        </w:rPr>
      </w:pPr>
      <w:r w:rsidDel="00000000" w:rsidR="00000000" w:rsidRPr="00000000">
        <w:rPr>
          <w:rFonts w:ascii="Arial" w:cs="Arial" w:eastAsia="Arial" w:hAnsi="Arial"/>
          <w:sz w:val="22"/>
          <w:szCs w:val="22"/>
          <w:rtl w:val="0"/>
        </w:rPr>
        <w:t xml:space="preserve">However, the group process was not as effective in all aspects. In some cases, communication had certain challenges, and this led to a lack of proper dialogue and decision-making. It is one of the general issues of group work where there is no coordination and lack of clarity, and failure is sure to occur. Reflectively, it could have been made more efficient through better organised communication and sharing of duties. The input that I had in the group was primarily on policy analysis and theoretical framework integration of the project. Even though I was actively involved in the discussions and work on the content, I also realise that I could have been leadership-focused to a greater extent, particularly in the coordination of the work and the consistency in the agreement between divisions.</w:t>
      </w:r>
    </w:p>
    <w:p w:rsidR="00000000" w:rsidDel="00000000" w:rsidP="00000000" w:rsidRDefault="00000000" w:rsidRPr="00000000" w14:paraId="0000002A">
      <w:pPr>
        <w:rPr>
          <w:rFonts w:ascii="Arial" w:cs="Arial" w:eastAsia="Arial" w:hAnsi="Arial"/>
          <w:sz w:val="22"/>
          <w:szCs w:val="22"/>
        </w:rPr>
      </w:pPr>
      <w:r w:rsidDel="00000000" w:rsidR="00000000" w:rsidRPr="00000000">
        <w:rPr>
          <w:rFonts w:ascii="Arial" w:cs="Arial" w:eastAsia="Arial" w:hAnsi="Arial"/>
          <w:sz w:val="22"/>
          <w:szCs w:val="22"/>
          <w:rtl w:val="0"/>
        </w:rPr>
        <w:t xml:space="preserve">Imbalances in the dynamics of participation were also shown through group dynamics. There were fewer and fewer engaged members, hence there was a difference in the distribution of work. It underscores the value of accountability and shared responsibility as work is done in collaboration. Reflectively, I also learnt that in the context of teamwork, not only is individual contribution relevant in teamwork, but also active facilitation and conflict management. It would be particularly helpful to use Tuckman's model of group development (forming, storming, norming, performing) using this experience as a template to apply the theory (Sokman et al., 2023). The members of our team passed through these steps, although the stage of storming, which is characterised by incomplete agreements and doubts regarding the strategy adopted by the team, was not completely eliminated. This restricted our capacity to achieve the optimum performance.</w:t>
      </w:r>
    </w:p>
    <w:p w:rsidR="00000000" w:rsidDel="00000000" w:rsidP="00000000" w:rsidRDefault="00000000" w:rsidRPr="00000000" w14:paraId="0000002B">
      <w:pPr>
        <w:pStyle w:val="Heading1"/>
        <w:keepNext w:val="0"/>
        <w:keepLines w:val="0"/>
        <w:rPr>
          <w:rFonts w:ascii="Arial" w:cs="Arial" w:eastAsia="Arial" w:hAnsi="Arial"/>
        </w:rPr>
      </w:pPr>
      <w:bookmarkStart w:colFirst="0" w:colLast="0" w:name="_e7wm5eobqo72" w:id="7"/>
      <w:bookmarkEnd w:id="7"/>
      <w:r w:rsidDel="00000000" w:rsidR="00000000" w:rsidRPr="00000000">
        <w:rPr>
          <w:rFonts w:ascii="Arial" w:cs="Arial" w:eastAsia="Arial" w:hAnsi="Arial"/>
          <w:rtl w:val="0"/>
        </w:rPr>
        <w:t xml:space="preserve">5. Product (Critical Evaluation of the SEND Hub)</w:t>
      </w:r>
    </w:p>
    <w:p w:rsidR="00000000" w:rsidDel="00000000" w:rsidP="00000000" w:rsidRDefault="00000000" w:rsidRPr="00000000" w14:paraId="0000002C">
      <w:pPr>
        <w:rPr>
          <w:rFonts w:ascii="Arial" w:cs="Arial" w:eastAsia="Arial" w:hAnsi="Arial"/>
          <w:sz w:val="22"/>
          <w:szCs w:val="22"/>
        </w:rPr>
      </w:pPr>
      <w:r w:rsidDel="00000000" w:rsidR="00000000" w:rsidRPr="00000000">
        <w:rPr>
          <w:rFonts w:ascii="Arial" w:cs="Arial" w:eastAsia="Arial" w:hAnsi="Arial"/>
          <w:sz w:val="22"/>
          <w:szCs w:val="22"/>
          <w:rtl w:val="0"/>
        </w:rPr>
        <w:t xml:space="preserve">SEND Integrated Support Hub has been put in place to address the disorganisation of the services and to improve fragmentation. Despite the several strengths that the model possesses, critical analysis reveals both possibilities of the model and its limitations (Qureshi et al., 2021). The hub may work, where delays during the assessment process may be phased out, and more access to support may be achieved since the hub will have brought the services together in a single and smart system. This would agree with the evidence, which shows the merits of using combined means of enhancing the performance of children with the SEND condition. Nevertheless, it is still not clear if the hub would aid in addressing the issue to its fullest extent.</w:t>
      </w:r>
    </w:p>
    <w:p w:rsidR="00000000" w:rsidDel="00000000" w:rsidP="00000000" w:rsidRDefault="00000000" w:rsidRPr="00000000" w14:paraId="0000002D">
      <w:pPr>
        <w:rPr>
          <w:rFonts w:ascii="Arial" w:cs="Arial" w:eastAsia="Arial" w:hAnsi="Arial"/>
          <w:sz w:val="22"/>
          <w:szCs w:val="22"/>
        </w:rPr>
      </w:pPr>
      <w:r w:rsidDel="00000000" w:rsidR="00000000" w:rsidRPr="00000000">
        <w:rPr>
          <w:rFonts w:ascii="Arial" w:cs="Arial" w:eastAsia="Arial" w:hAnsi="Arial"/>
          <w:sz w:val="22"/>
          <w:szCs w:val="22"/>
          <w:rtl w:val="0"/>
        </w:rPr>
        <w:t xml:space="preserve">One of its constraints is sustainability since it would be estimated to cost around 1m per year, which, in the case of affordability in the long term, is a problem. As funding strain already exists in the SEND system, maybe, in the absence of additional funding, it would be challenging to sustain such a model as per the influence of Jayman, Edmonds and Gudbrandsen (2024). It is reflective of the broader concerns about the financial soundness of SEND services, where rising expenses and multiple resource gaps put strain on the system. Another vital issue is scalability. The hub can be effective in a certain local situation, but it would mean a lot of investment, increasing the number of workers and hindering the alignment of policies to be used in other regions. Local-need variations and resources also make scalability complicated.</w:t>
      </w:r>
    </w:p>
    <w:p w:rsidR="00000000" w:rsidDel="00000000" w:rsidP="00000000" w:rsidRDefault="00000000" w:rsidRPr="00000000" w14:paraId="0000002E">
      <w:pPr>
        <w:rPr>
          <w:rFonts w:ascii="Arial" w:cs="Arial" w:eastAsia="Arial" w:hAnsi="Arial"/>
          <w:sz w:val="22"/>
          <w:szCs w:val="22"/>
        </w:rPr>
      </w:pPr>
      <w:r w:rsidDel="00000000" w:rsidR="00000000" w:rsidRPr="00000000">
        <w:rPr>
          <w:rFonts w:ascii="Arial" w:cs="Arial" w:eastAsia="Arial" w:hAnsi="Arial"/>
          <w:sz w:val="22"/>
          <w:szCs w:val="22"/>
          <w:rtl w:val="0"/>
        </w:rPr>
        <w:t xml:space="preserve">The model is also at risk due to the workforce capacity. Failure to fully train professionals means that the hub will not offer quality and timely services. In addition, there are problems of coordination, particularly in handling different organisational cultures and priorities in the multidisciplinary collaboration, in reference to the context of Hanson et al., (2022). Although the SEND Passport is considered a means of addressing data sharing, it is still a possible threat. The sampling of data security concerns and the compatibility of the system can reduce its performance as per the suggestion of Abeyratne (2012). Neither user engagement nor training can be assumed, as it is based on the success of this kind of digital tool.</w:t>
      </w:r>
    </w:p>
    <w:p w:rsidR="00000000" w:rsidDel="00000000" w:rsidP="00000000" w:rsidRDefault="00000000" w:rsidRPr="00000000" w14:paraId="0000002F">
      <w:pPr>
        <w:rPr>
          <w:rFonts w:ascii="Arial" w:cs="Arial" w:eastAsia="Arial" w:hAnsi="Arial"/>
          <w:sz w:val="22"/>
          <w:szCs w:val="22"/>
        </w:rPr>
      </w:pPr>
      <w:r w:rsidDel="00000000" w:rsidR="00000000" w:rsidRPr="00000000">
        <w:rPr>
          <w:rFonts w:ascii="Arial" w:cs="Arial" w:eastAsia="Arial" w:hAnsi="Arial"/>
          <w:sz w:val="22"/>
          <w:szCs w:val="22"/>
          <w:rtl w:val="0"/>
        </w:rPr>
        <w:t xml:space="preserve">Notably, the hub does not take into account the structural underfunding and policy constraints that are the main factors of SEND system failure. Regardless of the fact that it is a solution at the local level, a more systemic change is required to implement sustainable change. In this way, the SEND hub, as a useful and innovative product, should be perceived as a part of the bigger picture of system change and not as a solution.</w:t>
      </w:r>
    </w:p>
    <w:p w:rsidR="00000000" w:rsidDel="00000000" w:rsidP="00000000" w:rsidRDefault="00000000" w:rsidRPr="00000000" w14:paraId="00000030">
      <w:pPr>
        <w:pStyle w:val="Heading1"/>
        <w:keepNext w:val="0"/>
        <w:keepLines w:val="0"/>
        <w:rPr>
          <w:rFonts w:ascii="Arial" w:cs="Arial" w:eastAsia="Arial" w:hAnsi="Arial"/>
        </w:rPr>
      </w:pPr>
      <w:bookmarkStart w:colFirst="0" w:colLast="0" w:name="_roljmz41tav3" w:id="8"/>
      <w:bookmarkEnd w:id="8"/>
      <w:r w:rsidDel="00000000" w:rsidR="00000000" w:rsidRPr="00000000">
        <w:rPr>
          <w:rFonts w:ascii="Arial" w:cs="Arial" w:eastAsia="Arial" w:hAnsi="Arial"/>
          <w:rtl w:val="0"/>
        </w:rPr>
        <w:t xml:space="preserve">6. Skills and Development</w:t>
      </w:r>
    </w:p>
    <w:p w:rsidR="00000000" w:rsidDel="00000000" w:rsidP="00000000" w:rsidRDefault="00000000" w:rsidRPr="00000000" w14:paraId="00000031">
      <w:pPr>
        <w:rPr>
          <w:rFonts w:ascii="Arial" w:cs="Arial" w:eastAsia="Arial" w:hAnsi="Arial"/>
          <w:sz w:val="22"/>
          <w:szCs w:val="22"/>
        </w:rPr>
      </w:pPr>
      <w:r w:rsidDel="00000000" w:rsidR="00000000" w:rsidRPr="00000000">
        <w:rPr>
          <w:rFonts w:ascii="Arial" w:cs="Arial" w:eastAsia="Arial" w:hAnsi="Arial"/>
          <w:sz w:val="22"/>
          <w:szCs w:val="22"/>
          <w:rtl w:val="0"/>
        </w:rPr>
        <w:t xml:space="preserve">The project played a great role in my personal and professional development. One of the most significant skills that I obtained is critical thinking. My attitude towards the project was mostly descriptive at the beginning as I was concerned with discovering issues and offering solutions. However, reflection is what led me to realise that assumptions can be challenged, and I must dig deeper in my analysis. The other thing that I learned is that I developed a better understanding of partnership working and service integration. Being able to work with theoretical frameworks and real-life challenges enabled me to apply my academic knowledge in the field of practical situations. Of specific relevance is my future profession in the field of health and social care, where teamwork is needed. The team and teamwork skills were also enforced during the group process. I accepted that it is necessary to make clear-cut communication, listen and participate in problem-solving. Nevertheless, I also understand that I will have to develop my leadership abilities, in particular, by overseeing group dynamics and providing fair participation. My capacity to be able to critically engage with policy is another area of development. This project has exemplified the importance of having learning policies but also understanding their efficacy and limitations. I am also planning on improving my competencies related to the analysis of policy in various aspects in the future, including in the moral realm and practical aspects.</w:t>
      </w:r>
    </w:p>
    <w:p w:rsidR="00000000" w:rsidDel="00000000" w:rsidP="00000000" w:rsidRDefault="00000000" w:rsidRPr="00000000" w14:paraId="00000032">
      <w:pPr>
        <w:pStyle w:val="Heading1"/>
        <w:keepNext w:val="0"/>
        <w:keepLines w:val="0"/>
        <w:rPr>
          <w:rFonts w:ascii="Arial" w:cs="Arial" w:eastAsia="Arial" w:hAnsi="Arial"/>
        </w:rPr>
      </w:pPr>
      <w:bookmarkStart w:colFirst="0" w:colLast="0" w:name="_3xi47jync4q1" w:id="9"/>
      <w:bookmarkEnd w:id="9"/>
      <w:r w:rsidDel="00000000" w:rsidR="00000000" w:rsidRPr="00000000">
        <w:rPr>
          <w:rFonts w:ascii="Arial" w:cs="Arial" w:eastAsia="Arial" w:hAnsi="Arial"/>
          <w:rtl w:val="0"/>
        </w:rPr>
        <w:t xml:space="preserve">7. Conclusion</w:t>
      </w:r>
    </w:p>
    <w:p w:rsidR="00000000" w:rsidDel="00000000" w:rsidP="00000000" w:rsidRDefault="00000000" w:rsidRPr="00000000" w14:paraId="00000033">
      <w:pPr>
        <w:rPr>
          <w:rFonts w:ascii="Arial" w:cs="Arial" w:eastAsia="Arial" w:hAnsi="Arial"/>
          <w:sz w:val="22"/>
          <w:szCs w:val="22"/>
        </w:rPr>
      </w:pPr>
      <w:r w:rsidDel="00000000" w:rsidR="00000000" w:rsidRPr="00000000">
        <w:rPr>
          <w:rFonts w:ascii="Arial" w:cs="Arial" w:eastAsia="Arial" w:hAnsi="Arial"/>
          <w:sz w:val="22"/>
          <w:szCs w:val="22"/>
          <w:rtl w:val="0"/>
        </w:rPr>
        <w:t xml:space="preserve">This reflection demonstrates that, even though the SEND Integrated Support Hub is a good example of a remedy to the problem of service fragmentation, the framework of the hub operates on is still inherently weak and is characterised by structural, financial, and policy limitations. The barriers identified are not operational but are embedded within the design and provision of the SEND services. Through this contemplative exercise, I have become considerably more discerning and aware as far as my concept of service integration and partnership working is concerned. Now I have understood that effective integration not only means that the stakeholders will sit next to each other, but also a methodical overhaul of the system to address the issues present. It has finally reinforced the value of critical reflection in the practice. It has also assisted me in going beyond descriptive knowledge to a more analytical and evaluative approach, which is key in achieving high academic and professional competence.</w:t>
      </w:r>
    </w:p>
    <w:p w:rsidR="00000000" w:rsidDel="00000000" w:rsidP="00000000" w:rsidRDefault="00000000" w:rsidRPr="00000000" w14:paraId="00000034">
      <w:pPr>
        <w:rPr>
          <w:rFonts w:ascii="Arial" w:cs="Arial" w:eastAsia="Arial" w:hAnsi="Arial"/>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35">
      <w:pPr>
        <w:pStyle w:val="Heading1"/>
        <w:rPr>
          <w:rFonts w:ascii="Arial" w:cs="Arial" w:eastAsia="Arial" w:hAnsi="Arial"/>
        </w:rPr>
      </w:pPr>
      <w:bookmarkStart w:colFirst="0" w:colLast="0" w:name="_w723oob9ux8f" w:id="10"/>
      <w:bookmarkEnd w:id="10"/>
      <w:r w:rsidDel="00000000" w:rsidR="00000000" w:rsidRPr="00000000">
        <w:rPr>
          <w:rFonts w:ascii="Arial" w:cs="Arial" w:eastAsia="Arial" w:hAnsi="Arial"/>
          <w:rtl w:val="0"/>
        </w:rPr>
        <w:t xml:space="preserve">References</w:t>
      </w:r>
    </w:p>
    <w:p w:rsidR="00000000" w:rsidDel="00000000" w:rsidP="00000000" w:rsidRDefault="00000000" w:rsidRPr="00000000" w14:paraId="00000036">
      <w:pPr>
        <w:spacing w:before="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Abeyratne, R. (2012). The ePassport — new technology to counter security threats. </w:t>
      </w:r>
      <w:r w:rsidDel="00000000" w:rsidR="00000000" w:rsidRPr="00000000">
        <w:rPr>
          <w:rFonts w:ascii="Arial" w:cs="Arial" w:eastAsia="Arial" w:hAnsi="Arial"/>
          <w:i w:val="1"/>
          <w:iCs w:val="1"/>
          <w:sz w:val="22"/>
          <w:szCs w:val="22"/>
          <w:rtl w:val="0"/>
        </w:rPr>
        <w:t xml:space="preserve">Journal of Transportation Security</w:t>
      </w:r>
      <w:r w:rsidDel="00000000" w:rsidR="00000000" w:rsidRPr="00000000">
        <w:rPr>
          <w:rFonts w:ascii="Arial" w:cs="Arial" w:eastAsia="Arial" w:hAnsi="Arial"/>
          <w:sz w:val="22"/>
          <w:szCs w:val="22"/>
          <w:rtl w:val="0"/>
        </w:rPr>
        <w:t xml:space="preserve">, 6(1), pp.27–42. doi: </w:t>
      </w:r>
      <w:hyperlink r:id="rId8">
        <w:r w:rsidDel="00000000" w:rsidR="00000000" w:rsidRPr="00000000">
          <w:rPr>
            <w:rFonts w:ascii="Arial" w:cs="Arial" w:eastAsia="Arial" w:hAnsi="Arial"/>
            <w:color w:val="0000ff"/>
            <w:sz w:val="22"/>
            <w:szCs w:val="22"/>
            <w:u w:val="single"/>
            <w:rtl w:val="0"/>
          </w:rPr>
          <w:t xml:space="preserve">https://doi.org/10.1007/s12198-012-0101-z</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37">
      <w:pPr>
        <w:spacing w:before="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Balaha, F., Albinali, H., Alrabiah, H., Ali, M. and Bahroun, Z. (2025). An analytical review of data integration for decision support in smart manufacturing. </w:t>
      </w:r>
      <w:r w:rsidDel="00000000" w:rsidR="00000000" w:rsidRPr="00000000">
        <w:rPr>
          <w:rFonts w:ascii="Arial" w:cs="Arial" w:eastAsia="Arial" w:hAnsi="Arial"/>
          <w:i w:val="1"/>
          <w:iCs w:val="1"/>
          <w:sz w:val="22"/>
          <w:szCs w:val="22"/>
          <w:rtl w:val="0"/>
        </w:rPr>
        <w:t xml:space="preserve">Decision Analytics Journal</w:t>
      </w:r>
      <w:r w:rsidDel="00000000" w:rsidR="00000000" w:rsidRPr="00000000">
        <w:rPr>
          <w:rFonts w:ascii="Arial" w:cs="Arial" w:eastAsia="Arial" w:hAnsi="Arial"/>
          <w:sz w:val="22"/>
          <w:szCs w:val="22"/>
          <w:rtl w:val="0"/>
        </w:rPr>
        <w:t xml:space="preserve">, 17, p.100647. doi: </w:t>
      </w:r>
      <w:hyperlink r:id="rId9">
        <w:r w:rsidDel="00000000" w:rsidR="00000000" w:rsidRPr="00000000">
          <w:rPr>
            <w:rFonts w:ascii="Arial" w:cs="Arial" w:eastAsia="Arial" w:hAnsi="Arial"/>
            <w:color w:val="0000ff"/>
            <w:sz w:val="22"/>
            <w:szCs w:val="22"/>
            <w:u w:val="single"/>
            <w:rtl w:val="0"/>
          </w:rPr>
          <w:t xml:space="preserve">https://doi.org/10.1016/j.dajour.2025.100647</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38">
      <w:pPr>
        <w:spacing w:before="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Barnes, M.D., Hanson, C.L., Novilla, L.B., Magnusson, B.M., Crandall, A.C. and Bradford, G. (2020). Family-centered health promotion: Perspectives for engaging families and achieving better health outcomes. </w:t>
      </w:r>
      <w:r w:rsidDel="00000000" w:rsidR="00000000" w:rsidRPr="00000000">
        <w:rPr>
          <w:rFonts w:ascii="Arial" w:cs="Arial" w:eastAsia="Arial" w:hAnsi="Arial"/>
          <w:i w:val="1"/>
          <w:iCs w:val="1"/>
          <w:sz w:val="22"/>
          <w:szCs w:val="22"/>
          <w:rtl w:val="0"/>
        </w:rPr>
        <w:t xml:space="preserve">INQUIRY: the Journal of Health Care Organization, Provision, and Financing</w:t>
      </w:r>
      <w:r w:rsidDel="00000000" w:rsidR="00000000" w:rsidRPr="00000000">
        <w:rPr>
          <w:rFonts w:ascii="Arial" w:cs="Arial" w:eastAsia="Arial" w:hAnsi="Arial"/>
          <w:sz w:val="22"/>
          <w:szCs w:val="22"/>
          <w:rtl w:val="0"/>
        </w:rPr>
        <w:t xml:space="preserve">, [online] 57(1), pp.1–6. doi: </w:t>
      </w:r>
      <w:hyperlink r:id="rId10">
        <w:r w:rsidDel="00000000" w:rsidR="00000000" w:rsidRPr="00000000">
          <w:rPr>
            <w:rFonts w:ascii="Arial" w:cs="Arial" w:eastAsia="Arial" w:hAnsi="Arial"/>
            <w:color w:val="0000ff"/>
            <w:sz w:val="22"/>
            <w:szCs w:val="22"/>
            <w:u w:val="single"/>
            <w:rtl w:val="0"/>
          </w:rPr>
          <w:t xml:space="preserve">https://doi.org/10.1177/0046958020923537</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39">
      <w:pPr>
        <w:spacing w:before="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Education policy Institute (2018). </w:t>
      </w:r>
      <w:r w:rsidDel="00000000" w:rsidR="00000000" w:rsidRPr="00000000">
        <w:rPr>
          <w:rFonts w:ascii="Arial" w:cs="Arial" w:eastAsia="Arial" w:hAnsi="Arial"/>
          <w:i w:val="1"/>
          <w:iCs w:val="1"/>
          <w:sz w:val="22"/>
          <w:szCs w:val="22"/>
          <w:rtl w:val="0"/>
        </w:rPr>
        <w:t xml:space="preserve">SEND and alternative provision: is policy on the right path? - Education Policy Institute</w:t>
      </w:r>
      <w:r w:rsidDel="00000000" w:rsidR="00000000" w:rsidRPr="00000000">
        <w:rPr>
          <w:rFonts w:ascii="Arial" w:cs="Arial" w:eastAsia="Arial" w:hAnsi="Arial"/>
          <w:sz w:val="22"/>
          <w:szCs w:val="22"/>
          <w:rtl w:val="0"/>
        </w:rPr>
        <w:t xml:space="preserve">. [online] Education Policy Institute. Available at: </w:t>
      </w:r>
      <w:hyperlink r:id="rId11">
        <w:r w:rsidDel="00000000" w:rsidR="00000000" w:rsidRPr="00000000">
          <w:rPr>
            <w:rFonts w:ascii="Arial" w:cs="Arial" w:eastAsia="Arial" w:hAnsi="Arial"/>
            <w:color w:val="0000ff"/>
            <w:sz w:val="22"/>
            <w:szCs w:val="22"/>
            <w:u w:val="single"/>
            <w:rtl w:val="0"/>
          </w:rPr>
          <w:t xml:space="preserve">https://epi.org.uk/publications-and-research/send-and-alternative-provision-policy/</w:t>
        </w:r>
      </w:hyperlink>
      <w:r w:rsidDel="00000000" w:rsidR="00000000" w:rsidRPr="00000000">
        <w:rPr>
          <w:rFonts w:ascii="Arial" w:cs="Arial" w:eastAsia="Arial" w:hAnsi="Arial"/>
          <w:sz w:val="22"/>
          <w:szCs w:val="22"/>
          <w:rtl w:val="0"/>
        </w:rPr>
        <w:t xml:space="preserve">? [Accessed 19 Apr. 2026].</w:t>
      </w:r>
    </w:p>
    <w:p w:rsidR="00000000" w:rsidDel="00000000" w:rsidP="00000000" w:rsidRDefault="00000000" w:rsidRPr="00000000" w14:paraId="0000003A">
      <w:pPr>
        <w:spacing w:before="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Hanson, K., Brikci, N., Erlangga, D., Alebachew, A., De Allegri, M., Balabanova, D., Blecher, M., Cashin, C., Esperato, A., Hipgrave, D., Kalisa, I., Kurowski, C., Meng, Q., Morgan, D., Mtei, G., Nolte, E., Onoka, C., Powell-Jackson, T., Roland, M. and Sadanandan, R. (2022). The Lancet Global Health Commission on Financing Primary Health care: Putting People at the Centre. </w:t>
      </w:r>
      <w:r w:rsidDel="00000000" w:rsidR="00000000" w:rsidRPr="00000000">
        <w:rPr>
          <w:rFonts w:ascii="Arial" w:cs="Arial" w:eastAsia="Arial" w:hAnsi="Arial"/>
          <w:i w:val="1"/>
          <w:iCs w:val="1"/>
          <w:sz w:val="22"/>
          <w:szCs w:val="22"/>
          <w:rtl w:val="0"/>
        </w:rPr>
        <w:t xml:space="preserve">The Lancet Global Health</w:t>
      </w:r>
      <w:r w:rsidDel="00000000" w:rsidR="00000000" w:rsidRPr="00000000">
        <w:rPr>
          <w:rFonts w:ascii="Arial" w:cs="Arial" w:eastAsia="Arial" w:hAnsi="Arial"/>
          <w:sz w:val="22"/>
          <w:szCs w:val="22"/>
          <w:rtl w:val="0"/>
        </w:rPr>
        <w:t xml:space="preserve">, [online] 10(5), pp.715–772. doi: </w:t>
      </w:r>
      <w:hyperlink r:id="rId12">
        <w:r w:rsidDel="00000000" w:rsidR="00000000" w:rsidRPr="00000000">
          <w:rPr>
            <w:rFonts w:ascii="Arial" w:cs="Arial" w:eastAsia="Arial" w:hAnsi="Arial"/>
            <w:color w:val="0000ff"/>
            <w:sz w:val="22"/>
            <w:szCs w:val="22"/>
            <w:u w:val="single"/>
            <w:rtl w:val="0"/>
          </w:rPr>
          <w:t xml:space="preserve">https://doi.org/10.1016/s2214-109x(22)00005-5</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3B">
      <w:pPr>
        <w:spacing w:before="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Ikpuri, E. (2023). Rethinking Collaboration Breaking Silos Between Academic and Student Affairs to Foster Collegial Culture. </w:t>
      </w:r>
      <w:r w:rsidDel="00000000" w:rsidR="00000000" w:rsidRPr="00000000">
        <w:rPr>
          <w:rFonts w:ascii="Arial" w:cs="Arial" w:eastAsia="Arial" w:hAnsi="Arial"/>
          <w:i w:val="1"/>
          <w:iCs w:val="1"/>
          <w:sz w:val="22"/>
          <w:szCs w:val="22"/>
          <w:rtl w:val="0"/>
        </w:rPr>
        <w:t xml:space="preserve">ResearchGate</w:t>
      </w:r>
      <w:r w:rsidDel="00000000" w:rsidR="00000000" w:rsidRPr="00000000">
        <w:rPr>
          <w:rFonts w:ascii="Arial" w:cs="Arial" w:eastAsia="Arial" w:hAnsi="Arial"/>
          <w:sz w:val="22"/>
          <w:szCs w:val="22"/>
          <w:rtl w:val="0"/>
        </w:rPr>
        <w:t xml:space="preserve">. [online] doi: </w:t>
      </w:r>
      <w:hyperlink r:id="rId13">
        <w:r w:rsidDel="00000000" w:rsidR="00000000" w:rsidRPr="00000000">
          <w:rPr>
            <w:rFonts w:ascii="Arial" w:cs="Arial" w:eastAsia="Arial" w:hAnsi="Arial"/>
            <w:color w:val="0000ff"/>
            <w:sz w:val="22"/>
            <w:szCs w:val="22"/>
            <w:u w:val="single"/>
            <w:rtl w:val="0"/>
          </w:rPr>
          <w:t xml:space="preserve">https://doi.org/10.13140/RG.2.2.15727.00167</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3C">
      <w:pPr>
        <w:spacing w:before="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Jayman, M., Edmonds, S. and Gudbrandsen, M. (2024). Driving Innovation to Support Pupils with SEND Through Co-Production in Education and Research: Participatory Action Research with 22q11.2 Deletion Syndrome Families in England. </w:t>
      </w:r>
      <w:r w:rsidDel="00000000" w:rsidR="00000000" w:rsidRPr="00000000">
        <w:rPr>
          <w:rFonts w:ascii="Arial" w:cs="Arial" w:eastAsia="Arial" w:hAnsi="Arial"/>
          <w:i w:val="1"/>
          <w:iCs w:val="1"/>
          <w:sz w:val="22"/>
          <w:szCs w:val="22"/>
          <w:rtl w:val="0"/>
        </w:rPr>
        <w:t xml:space="preserve">Behavioral Sciences</w:t>
      </w:r>
      <w:r w:rsidDel="00000000" w:rsidR="00000000" w:rsidRPr="00000000">
        <w:rPr>
          <w:rFonts w:ascii="Arial" w:cs="Arial" w:eastAsia="Arial" w:hAnsi="Arial"/>
          <w:sz w:val="22"/>
          <w:szCs w:val="22"/>
          <w:rtl w:val="0"/>
        </w:rPr>
        <w:t xml:space="preserve">, 15(1), pp.22–22. doi: </w:t>
      </w:r>
      <w:hyperlink r:id="rId14">
        <w:r w:rsidDel="00000000" w:rsidR="00000000" w:rsidRPr="00000000">
          <w:rPr>
            <w:rFonts w:ascii="Arial" w:cs="Arial" w:eastAsia="Arial" w:hAnsi="Arial"/>
            <w:color w:val="0000ff"/>
            <w:sz w:val="22"/>
            <w:szCs w:val="22"/>
            <w:u w:val="single"/>
            <w:rtl w:val="0"/>
          </w:rPr>
          <w:t xml:space="preserve">https://doi.org/10.3390/bs15010022</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3D">
      <w:pPr>
        <w:spacing w:before="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Leow, K. and Leow, S. (2022). The Role of Social Support in Dealing With the Different Types of Stressors. </w:t>
      </w:r>
      <w:r w:rsidDel="00000000" w:rsidR="00000000" w:rsidRPr="00000000">
        <w:rPr>
          <w:rFonts w:ascii="Arial" w:cs="Arial" w:eastAsia="Arial" w:hAnsi="Arial"/>
          <w:i w:val="1"/>
          <w:iCs w:val="1"/>
          <w:sz w:val="22"/>
          <w:szCs w:val="22"/>
          <w:rtl w:val="0"/>
        </w:rPr>
        <w:t xml:space="preserve">typeset.io</w:t>
      </w:r>
      <w:r w:rsidDel="00000000" w:rsidR="00000000" w:rsidRPr="00000000">
        <w:rPr>
          <w:rFonts w:ascii="Arial" w:cs="Arial" w:eastAsia="Arial" w:hAnsi="Arial"/>
          <w:sz w:val="22"/>
          <w:szCs w:val="22"/>
          <w:rtl w:val="0"/>
        </w:rPr>
        <w:t xml:space="preserve">, [online] pp.92–107. doi: </w:t>
      </w:r>
      <w:hyperlink r:id="rId15">
        <w:r w:rsidDel="00000000" w:rsidR="00000000" w:rsidRPr="00000000">
          <w:rPr>
            <w:rFonts w:ascii="Arial" w:cs="Arial" w:eastAsia="Arial" w:hAnsi="Arial"/>
            <w:color w:val="0000ff"/>
            <w:sz w:val="22"/>
            <w:szCs w:val="22"/>
            <w:u w:val="single"/>
            <w:rtl w:val="0"/>
          </w:rPr>
          <w:t xml:space="preserve">https://doi.org/10.4018/978-1-6684-3937-1.ch006</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3E">
      <w:pPr>
        <w:spacing w:before="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Local.gov (2026). </w:t>
      </w:r>
      <w:r w:rsidDel="00000000" w:rsidR="00000000" w:rsidRPr="00000000">
        <w:rPr>
          <w:rFonts w:ascii="Arial" w:cs="Arial" w:eastAsia="Arial" w:hAnsi="Arial"/>
          <w:i w:val="1"/>
          <w:iCs w:val="1"/>
          <w:sz w:val="22"/>
          <w:szCs w:val="22"/>
          <w:rtl w:val="0"/>
        </w:rPr>
        <w:t xml:space="preserve">SEND System ‘not Working for Anyone in It’ and Needs Urgent Reform – New LGA-commissioned Report</w:t>
      </w:r>
      <w:r w:rsidDel="00000000" w:rsidR="00000000" w:rsidRPr="00000000">
        <w:rPr>
          <w:rFonts w:ascii="Arial" w:cs="Arial" w:eastAsia="Arial" w:hAnsi="Arial"/>
          <w:sz w:val="22"/>
          <w:szCs w:val="22"/>
          <w:rtl w:val="0"/>
        </w:rPr>
        <w:t xml:space="preserve">. [online] Local.gov.uk. Available at: </w:t>
      </w:r>
      <w:hyperlink r:id="rId16">
        <w:r w:rsidDel="00000000" w:rsidR="00000000" w:rsidRPr="00000000">
          <w:rPr>
            <w:rFonts w:ascii="Arial" w:cs="Arial" w:eastAsia="Arial" w:hAnsi="Arial"/>
            <w:color w:val="0000ff"/>
            <w:sz w:val="22"/>
            <w:szCs w:val="22"/>
            <w:u w:val="single"/>
            <w:rtl w:val="0"/>
          </w:rPr>
          <w:t xml:space="preserve">https://www.local.gov.uk/about/news/send-system-not-working-anyone-it-and-needs-urgent-reform-new-lga-commissioned-report</w:t>
        </w:r>
      </w:hyperlink>
      <w:r w:rsidDel="00000000" w:rsidR="00000000" w:rsidRPr="00000000">
        <w:rPr>
          <w:rFonts w:ascii="Arial" w:cs="Arial" w:eastAsia="Arial" w:hAnsi="Arial"/>
          <w:sz w:val="22"/>
          <w:szCs w:val="22"/>
          <w:rtl w:val="0"/>
        </w:rPr>
        <w:t xml:space="preserve">?  [Accessed 19 Apr. 2026].</w:t>
      </w:r>
    </w:p>
    <w:p w:rsidR="00000000" w:rsidDel="00000000" w:rsidP="00000000" w:rsidRDefault="00000000" w:rsidRPr="00000000" w14:paraId="0000003F">
      <w:pPr>
        <w:spacing w:before="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Mohamad, S.K. and Tasir, Z. (2023). Exploring how feedback through questioning may influence reflective thinking skills based on association rules mining technique. </w:t>
      </w:r>
      <w:r w:rsidDel="00000000" w:rsidR="00000000" w:rsidRPr="00000000">
        <w:rPr>
          <w:rFonts w:ascii="Arial" w:cs="Arial" w:eastAsia="Arial" w:hAnsi="Arial"/>
          <w:i w:val="1"/>
          <w:iCs w:val="1"/>
          <w:sz w:val="22"/>
          <w:szCs w:val="22"/>
          <w:rtl w:val="0"/>
        </w:rPr>
        <w:t xml:space="preserve">Thinking Skills and Creativity</w:t>
      </w:r>
      <w:r w:rsidDel="00000000" w:rsidR="00000000" w:rsidRPr="00000000">
        <w:rPr>
          <w:rFonts w:ascii="Arial" w:cs="Arial" w:eastAsia="Arial" w:hAnsi="Arial"/>
          <w:sz w:val="22"/>
          <w:szCs w:val="22"/>
          <w:rtl w:val="0"/>
        </w:rPr>
        <w:t xml:space="preserve">, 47, p.101231. doi: </w:t>
      </w:r>
      <w:hyperlink r:id="rId17">
        <w:r w:rsidDel="00000000" w:rsidR="00000000" w:rsidRPr="00000000">
          <w:rPr>
            <w:rFonts w:ascii="Arial" w:cs="Arial" w:eastAsia="Arial" w:hAnsi="Arial"/>
            <w:color w:val="0000ff"/>
            <w:sz w:val="22"/>
            <w:szCs w:val="22"/>
            <w:u w:val="single"/>
            <w:rtl w:val="0"/>
          </w:rPr>
          <w:t xml:space="preserve">https://doi.org/10.1016/j.tsc.2023.101231</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40">
      <w:pPr>
        <w:spacing w:before="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Ofsted (2021). </w:t>
      </w:r>
      <w:r w:rsidDel="00000000" w:rsidR="00000000" w:rsidRPr="00000000">
        <w:rPr>
          <w:rFonts w:ascii="Arial" w:cs="Arial" w:eastAsia="Arial" w:hAnsi="Arial"/>
          <w:i w:val="1"/>
          <w:iCs w:val="1"/>
          <w:sz w:val="22"/>
          <w:szCs w:val="22"/>
          <w:rtl w:val="0"/>
        </w:rPr>
        <w:t xml:space="preserve">Supporting SEND</w:t>
      </w:r>
      <w:r w:rsidDel="00000000" w:rsidR="00000000" w:rsidRPr="00000000">
        <w:rPr>
          <w:rFonts w:ascii="Arial" w:cs="Arial" w:eastAsia="Arial" w:hAnsi="Arial"/>
          <w:sz w:val="22"/>
          <w:szCs w:val="22"/>
          <w:rtl w:val="0"/>
        </w:rPr>
        <w:t xml:space="preserve">. [online] GOV.UK. Available at: </w:t>
      </w:r>
      <w:hyperlink r:id="rId18">
        <w:r w:rsidDel="00000000" w:rsidR="00000000" w:rsidRPr="00000000">
          <w:rPr>
            <w:rFonts w:ascii="Arial" w:cs="Arial" w:eastAsia="Arial" w:hAnsi="Arial"/>
            <w:color w:val="0000ff"/>
            <w:sz w:val="22"/>
            <w:szCs w:val="22"/>
            <w:u w:val="single"/>
            <w:rtl w:val="0"/>
          </w:rPr>
          <w:t xml:space="preserve">https://www.gov.uk/government/publications/supporting-send/supporting-send</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41">
      <w:pPr>
        <w:spacing w:before="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Parkhouse (2024). </w:t>
      </w:r>
      <w:r w:rsidDel="00000000" w:rsidR="00000000" w:rsidRPr="00000000">
        <w:rPr>
          <w:rFonts w:ascii="Arial" w:cs="Arial" w:eastAsia="Arial" w:hAnsi="Arial"/>
          <w:i w:val="1"/>
          <w:iCs w:val="1"/>
          <w:sz w:val="22"/>
          <w:szCs w:val="22"/>
          <w:rtl w:val="0"/>
        </w:rPr>
        <w:t xml:space="preserve">Special Educational Needs and Disabilities (SEND)</w:t>
      </w:r>
      <w:r w:rsidDel="00000000" w:rsidR="00000000" w:rsidRPr="00000000">
        <w:rPr>
          <w:rFonts w:ascii="Arial" w:cs="Arial" w:eastAsia="Arial" w:hAnsi="Arial"/>
          <w:sz w:val="22"/>
          <w:szCs w:val="22"/>
          <w:rtl w:val="0"/>
        </w:rPr>
        <w:t xml:space="preserve">. [online] Park House Primary School. Available at: </w:t>
      </w:r>
      <w:hyperlink r:id="rId19">
        <w:r w:rsidDel="00000000" w:rsidR="00000000" w:rsidRPr="00000000">
          <w:rPr>
            <w:rFonts w:ascii="Arial" w:cs="Arial" w:eastAsia="Arial" w:hAnsi="Arial"/>
            <w:color w:val="0000ff"/>
            <w:sz w:val="22"/>
            <w:szCs w:val="22"/>
            <w:u w:val="single"/>
            <w:rtl w:val="0"/>
          </w:rPr>
          <w:t xml:space="preserve">https://www.parkhouse.derbyshire.sch.uk/special-educational-needs-and-disabilities-send</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42">
      <w:pPr>
        <w:spacing w:before="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Pine, K.H., Hinrichs, M., Love, K., Shafer, M., Runger, G. and Riley, W. (2022). Addressing Fragmentation of Health Services through Data-Driven Knowledge Co-Production within a Boundary Organization. </w:t>
      </w:r>
      <w:r w:rsidDel="00000000" w:rsidR="00000000" w:rsidRPr="00000000">
        <w:rPr>
          <w:rFonts w:ascii="Arial" w:cs="Arial" w:eastAsia="Arial" w:hAnsi="Arial"/>
          <w:i w:val="1"/>
          <w:iCs w:val="1"/>
          <w:sz w:val="22"/>
          <w:szCs w:val="22"/>
          <w:rtl w:val="0"/>
        </w:rPr>
        <w:t xml:space="preserve">The journal of community informatics</w:t>
      </w:r>
      <w:r w:rsidDel="00000000" w:rsidR="00000000" w:rsidRPr="00000000">
        <w:rPr>
          <w:rFonts w:ascii="Arial" w:cs="Arial" w:eastAsia="Arial" w:hAnsi="Arial"/>
          <w:sz w:val="22"/>
          <w:szCs w:val="22"/>
          <w:rtl w:val="0"/>
        </w:rPr>
        <w:t xml:space="preserve">, 18(2), pp.3–26. doi: </w:t>
      </w:r>
      <w:hyperlink r:id="rId20">
        <w:r w:rsidDel="00000000" w:rsidR="00000000" w:rsidRPr="00000000">
          <w:rPr>
            <w:rFonts w:ascii="Arial" w:cs="Arial" w:eastAsia="Arial" w:hAnsi="Arial"/>
            <w:color w:val="0000ff"/>
            <w:sz w:val="22"/>
            <w:szCs w:val="22"/>
            <w:u w:val="single"/>
            <w:rtl w:val="0"/>
          </w:rPr>
          <w:t xml:space="preserve">https://doi.org/10.15353/joci.v18i2.3595</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43">
      <w:pPr>
        <w:spacing w:before="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Pluquailec, J. and O’Connor, G. (2023). A Critical Discourse Analysis of the UK SEND Review Green Paper. </w:t>
      </w:r>
      <w:r w:rsidDel="00000000" w:rsidR="00000000" w:rsidRPr="00000000">
        <w:rPr>
          <w:rFonts w:ascii="Arial" w:cs="Arial" w:eastAsia="Arial" w:hAnsi="Arial"/>
          <w:i w:val="1"/>
          <w:iCs w:val="1"/>
          <w:sz w:val="22"/>
          <w:szCs w:val="22"/>
          <w:rtl w:val="0"/>
        </w:rPr>
        <w:t xml:space="preserve">Journal of Disability Studies in Education</w:t>
      </w:r>
      <w:r w:rsidDel="00000000" w:rsidR="00000000" w:rsidRPr="00000000">
        <w:rPr>
          <w:rFonts w:ascii="Arial" w:cs="Arial" w:eastAsia="Arial" w:hAnsi="Arial"/>
          <w:sz w:val="22"/>
          <w:szCs w:val="22"/>
          <w:rtl w:val="0"/>
        </w:rPr>
        <w:t xml:space="preserve">, [online] -1(aop), pp.1–25. doi: </w:t>
      </w:r>
      <w:hyperlink r:id="rId21">
        <w:r w:rsidDel="00000000" w:rsidR="00000000" w:rsidRPr="00000000">
          <w:rPr>
            <w:rFonts w:ascii="Arial" w:cs="Arial" w:eastAsia="Arial" w:hAnsi="Arial"/>
            <w:color w:val="0000ff"/>
            <w:sz w:val="22"/>
            <w:szCs w:val="22"/>
            <w:u w:val="single"/>
            <w:rtl w:val="0"/>
          </w:rPr>
          <w:t xml:space="preserve">https://doi.org/10.1163/25888803-bja10022</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44">
      <w:pPr>
        <w:spacing w:before="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Qureshi, O., Endale, T., Ryan, G., Miguel-Esponda, G., Iyer, S.N., Eaton, J., De Silva, M. and Murphy, J. (2021). Barriers and drivers to service delivery in global mental health projects. </w:t>
      </w:r>
      <w:r w:rsidDel="00000000" w:rsidR="00000000" w:rsidRPr="00000000">
        <w:rPr>
          <w:rFonts w:ascii="Arial" w:cs="Arial" w:eastAsia="Arial" w:hAnsi="Arial"/>
          <w:i w:val="1"/>
          <w:iCs w:val="1"/>
          <w:sz w:val="22"/>
          <w:szCs w:val="22"/>
          <w:rtl w:val="0"/>
        </w:rPr>
        <w:t xml:space="preserve">International Journal of Mental Health Systems</w:t>
      </w:r>
      <w:r w:rsidDel="00000000" w:rsidR="00000000" w:rsidRPr="00000000">
        <w:rPr>
          <w:rFonts w:ascii="Arial" w:cs="Arial" w:eastAsia="Arial" w:hAnsi="Arial"/>
          <w:sz w:val="22"/>
          <w:szCs w:val="22"/>
          <w:rtl w:val="0"/>
        </w:rPr>
        <w:t xml:space="preserve">, 15(1). doi: </w:t>
      </w:r>
      <w:hyperlink r:id="rId22">
        <w:r w:rsidDel="00000000" w:rsidR="00000000" w:rsidRPr="00000000">
          <w:rPr>
            <w:rFonts w:ascii="Arial" w:cs="Arial" w:eastAsia="Arial" w:hAnsi="Arial"/>
            <w:color w:val="0000ff"/>
            <w:sz w:val="22"/>
            <w:szCs w:val="22"/>
            <w:u w:val="single"/>
            <w:rtl w:val="0"/>
          </w:rPr>
          <w:t xml:space="preserve">https://doi.org/10.1186/s13033-020-00427-x</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45">
      <w:pPr>
        <w:spacing w:before="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Sibieta, L. and Snape, D. (2025). </w:t>
      </w:r>
      <w:r w:rsidDel="00000000" w:rsidR="00000000" w:rsidRPr="00000000">
        <w:rPr>
          <w:rFonts w:ascii="Arial" w:cs="Arial" w:eastAsia="Arial" w:hAnsi="Arial"/>
          <w:i w:val="1"/>
          <w:iCs w:val="1"/>
          <w:sz w:val="22"/>
          <w:szCs w:val="22"/>
          <w:rtl w:val="0"/>
        </w:rPr>
        <w:t xml:space="preserve">England’s SEND crisis: costs, challenges and the case for reform | Institute for Fiscal Studies</w:t>
      </w:r>
      <w:r w:rsidDel="00000000" w:rsidR="00000000" w:rsidRPr="00000000">
        <w:rPr>
          <w:rFonts w:ascii="Arial" w:cs="Arial" w:eastAsia="Arial" w:hAnsi="Arial"/>
          <w:sz w:val="22"/>
          <w:szCs w:val="22"/>
          <w:rtl w:val="0"/>
        </w:rPr>
        <w:t xml:space="preserve">. [online] Institute for Fiscal Studies. Available at: </w:t>
      </w:r>
      <w:hyperlink r:id="rId23">
        <w:r w:rsidDel="00000000" w:rsidR="00000000" w:rsidRPr="00000000">
          <w:rPr>
            <w:rFonts w:ascii="Arial" w:cs="Arial" w:eastAsia="Arial" w:hAnsi="Arial"/>
            <w:color w:val="0000ff"/>
            <w:sz w:val="22"/>
            <w:szCs w:val="22"/>
            <w:u w:val="single"/>
            <w:rtl w:val="0"/>
          </w:rPr>
          <w:t xml:space="preserve">https://ifs.org.uk/articles/englands-send-crisis-costs-challenges-and-case-reform</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46">
      <w:pPr>
        <w:spacing w:before="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Sokman, Y., Othman, A.K., Abdul Aziz, A., Musa, M.H., Azizan, N. and Rahmat, N.H., 2023. Stages in group work: Is there a relationship among them. </w:t>
      </w:r>
      <w:r w:rsidDel="00000000" w:rsidR="00000000" w:rsidRPr="00000000">
        <w:rPr>
          <w:rFonts w:ascii="Arial" w:cs="Arial" w:eastAsia="Arial" w:hAnsi="Arial"/>
          <w:i w:val="1"/>
          <w:iCs w:val="1"/>
          <w:sz w:val="22"/>
          <w:szCs w:val="22"/>
          <w:rtl w:val="0"/>
        </w:rPr>
        <w:t xml:space="preserve">International Journal of Academic Research in Business and Social Sciences</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13</w:t>
      </w:r>
      <w:r w:rsidDel="00000000" w:rsidR="00000000" w:rsidRPr="00000000">
        <w:rPr>
          <w:rFonts w:ascii="Arial" w:cs="Arial" w:eastAsia="Arial" w:hAnsi="Arial"/>
          <w:sz w:val="22"/>
          <w:szCs w:val="22"/>
          <w:rtl w:val="0"/>
        </w:rPr>
        <w:t xml:space="preserve">(11), pp.7951-7971. Available at: </w:t>
      </w:r>
      <w:hyperlink r:id="rId24">
        <w:r w:rsidDel="00000000" w:rsidR="00000000" w:rsidRPr="00000000">
          <w:rPr>
            <w:rFonts w:ascii="Arial" w:cs="Arial" w:eastAsia="Arial" w:hAnsi="Arial"/>
            <w:color w:val="0000ff"/>
            <w:sz w:val="22"/>
            <w:szCs w:val="22"/>
            <w:u w:val="single"/>
            <w:rtl w:val="0"/>
          </w:rPr>
          <w:t xml:space="preserve">https://kwpublications.com/papers_submitted/7669/stages-in-group-work-is-there-a-relationship-among-them.pdf</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47">
      <w:pPr>
        <w:spacing w:before="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Thelen, J., Sant Fruchtman, C., Bilal, M., Gabaake, K., Iqbal, S., Keakabetse, T., Kwamie, A., Mokalake, E., Mupara, L.M., Seitio-Kgokgwe, O., Zafar, S. and Cobos Muñoz, D. (2023). Development of the systems thinking for health actions framework: A literature review and a case study. </w:t>
      </w:r>
      <w:r w:rsidDel="00000000" w:rsidR="00000000" w:rsidRPr="00000000">
        <w:rPr>
          <w:rFonts w:ascii="Arial" w:cs="Arial" w:eastAsia="Arial" w:hAnsi="Arial"/>
          <w:i w:val="1"/>
          <w:iCs w:val="1"/>
          <w:sz w:val="22"/>
          <w:szCs w:val="22"/>
          <w:rtl w:val="0"/>
        </w:rPr>
        <w:t xml:space="preserve">BMJ Global Health</w:t>
      </w:r>
      <w:r w:rsidDel="00000000" w:rsidR="00000000" w:rsidRPr="00000000">
        <w:rPr>
          <w:rFonts w:ascii="Arial" w:cs="Arial" w:eastAsia="Arial" w:hAnsi="Arial"/>
          <w:sz w:val="22"/>
          <w:szCs w:val="22"/>
          <w:rtl w:val="0"/>
        </w:rPr>
        <w:t xml:space="preserve">, [online] 8(3), pp.1–10. doi: </w:t>
      </w:r>
      <w:hyperlink r:id="rId25">
        <w:r w:rsidDel="00000000" w:rsidR="00000000" w:rsidRPr="00000000">
          <w:rPr>
            <w:rFonts w:ascii="Arial" w:cs="Arial" w:eastAsia="Arial" w:hAnsi="Arial"/>
            <w:color w:val="0000ff"/>
            <w:sz w:val="22"/>
            <w:szCs w:val="22"/>
            <w:u w:val="single"/>
            <w:rtl w:val="0"/>
          </w:rPr>
          <w:t xml:space="preserve">https://doi.org/10.1136/bmjgh-2022-010191</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48">
      <w:pPr>
        <w:spacing w:before="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UK parliament (2024). </w:t>
      </w:r>
      <w:r w:rsidDel="00000000" w:rsidR="00000000" w:rsidRPr="00000000">
        <w:rPr>
          <w:rFonts w:ascii="Arial" w:cs="Arial" w:eastAsia="Arial" w:hAnsi="Arial"/>
          <w:i w:val="1"/>
          <w:iCs w:val="1"/>
          <w:sz w:val="22"/>
          <w:szCs w:val="22"/>
          <w:rtl w:val="0"/>
        </w:rPr>
        <w:t xml:space="preserve">Solving the SEND Crisis</w:t>
      </w:r>
      <w:r w:rsidDel="00000000" w:rsidR="00000000" w:rsidRPr="00000000">
        <w:rPr>
          <w:rFonts w:ascii="Arial" w:cs="Arial" w:eastAsia="Arial" w:hAnsi="Arial"/>
          <w:sz w:val="22"/>
          <w:szCs w:val="22"/>
          <w:rtl w:val="0"/>
        </w:rPr>
        <w:t xml:space="preserve">. [online] Parliament.uk. Available at: </w:t>
      </w:r>
      <w:hyperlink r:id="rId26">
        <w:r w:rsidDel="00000000" w:rsidR="00000000" w:rsidRPr="00000000">
          <w:rPr>
            <w:rFonts w:ascii="Arial" w:cs="Arial" w:eastAsia="Arial" w:hAnsi="Arial"/>
            <w:color w:val="0000ff"/>
            <w:sz w:val="22"/>
            <w:szCs w:val="22"/>
            <w:u w:val="single"/>
            <w:rtl w:val="0"/>
          </w:rPr>
          <w:t xml:space="preserve">https://publications.parliament.uk/pa/cm5901/cmselect/cmeduc/492/report.html</w:t>
        </w:r>
      </w:hyperlink>
      <w:r w:rsidDel="00000000" w:rsidR="00000000" w:rsidRPr="00000000">
        <w:rPr>
          <w:rFonts w:ascii="Arial" w:cs="Arial" w:eastAsia="Arial" w:hAnsi="Arial"/>
          <w:sz w:val="22"/>
          <w:szCs w:val="22"/>
          <w:rtl w:val="0"/>
        </w:rPr>
        <w:t xml:space="preserve">? [Accessed 19 Apr. 2026].</w:t>
      </w:r>
    </w:p>
    <w:p w:rsidR="00000000" w:rsidDel="00000000" w:rsidP="00000000" w:rsidRDefault="00000000" w:rsidRPr="00000000" w14:paraId="00000049">
      <w:pPr>
        <w:spacing w:before="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Z Baghizadeh, D Cecez-Kecmanovic and Schlagwein, D. (2018). Review and Critique of the ISD Project Failure Literature: An Argument for Exploring ISD Project Distress. </w:t>
      </w:r>
      <w:r w:rsidDel="00000000" w:rsidR="00000000" w:rsidRPr="00000000">
        <w:rPr>
          <w:rFonts w:ascii="Arial" w:cs="Arial" w:eastAsia="Arial" w:hAnsi="Arial"/>
          <w:i w:val="1"/>
          <w:iCs w:val="1"/>
          <w:sz w:val="22"/>
          <w:szCs w:val="22"/>
          <w:rtl w:val="0"/>
        </w:rPr>
        <w:t xml:space="preserve">Journal of Information Technology</w:t>
      </w:r>
      <w:r w:rsidDel="00000000" w:rsidR="00000000" w:rsidRPr="00000000">
        <w:rPr>
          <w:rFonts w:ascii="Arial" w:cs="Arial" w:eastAsia="Arial" w:hAnsi="Arial"/>
          <w:sz w:val="22"/>
          <w:szCs w:val="22"/>
          <w:rtl w:val="0"/>
        </w:rPr>
        <w:t xml:space="preserve">. [online] Available at: </w:t>
      </w:r>
      <w:hyperlink r:id="rId27">
        <w:r w:rsidDel="00000000" w:rsidR="00000000" w:rsidRPr="00000000">
          <w:rPr>
            <w:rFonts w:ascii="Arial" w:cs="Arial" w:eastAsia="Arial" w:hAnsi="Arial"/>
            <w:color w:val="0000ff"/>
            <w:sz w:val="22"/>
            <w:szCs w:val="22"/>
            <w:u w:val="single"/>
            <w:rtl w:val="0"/>
          </w:rPr>
          <w:t xml:space="preserve">https://www.researchgate.net/publication/328130570_Review_and_Critique_of_the_ISD_Project_Failure_Literature_An_Argument_for_Exploring_ISD_Project_Distress</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4A">
      <w:pPr>
        <w:spacing w:before="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B">
      <w:pPr>
        <w:rPr>
          <w:rFonts w:ascii="Arial" w:cs="Arial" w:eastAsia="Arial" w:hAnsi="Arial"/>
          <w:sz w:val="22"/>
          <w:szCs w:val="22"/>
        </w:rPr>
      </w:pPr>
      <w:r w:rsidDel="00000000" w:rsidR="00000000" w:rsidRPr="00000000">
        <w:rPr>
          <w:rtl w:val="0"/>
        </w:rPr>
      </w:r>
    </w:p>
    <w:sectPr>
      <w:footerReference r:id="rId28"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Page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of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240" w:before="24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b w:val="1"/>
      <w:bCs w:val="1"/>
      <w:sz w:val="28"/>
      <w:szCs w:val="28"/>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lineRule="auto"/>
    </w:pPr>
    <w:rPr>
      <w:color w:val="666666"/>
      <w:sz w:val="22"/>
      <w:szCs w:val="22"/>
    </w:rPr>
  </w:style>
  <w:style w:type="paragraph" w:styleId="Heading6">
    <w:name w:val="heading 6"/>
    <w:basedOn w:val="Normal"/>
    <w:next w:val="Normal"/>
    <w:pPr>
      <w:keepNext w:val="1"/>
      <w:keepLines w:val="1"/>
      <w:spacing w:after="80" w:lineRule="auto"/>
    </w:pPr>
    <w:rPr>
      <w:i w:val="1"/>
      <w:iCs w:val="1"/>
      <w:color w:val="666666"/>
      <w:sz w:val="22"/>
      <w:szCs w:val="22"/>
    </w:rPr>
  </w:style>
  <w:style w:type="paragraph" w:styleId="Title">
    <w:name w:val="Title"/>
    <w:basedOn w:val="Normal"/>
    <w:next w:val="Normal"/>
    <w:pPr>
      <w:keepNext w:val="1"/>
      <w:keepLines w:val="1"/>
      <w:spacing w:after="120" w:before="480" w:lineRule="auto"/>
      <w:jc w:val="center"/>
    </w:pPr>
    <w:rPr>
      <w:b w:val="1"/>
      <w:bCs w:val="1"/>
      <w:sz w:val="32"/>
      <w:szCs w:val="32"/>
    </w:rPr>
  </w:style>
  <w:style w:type="paragraph" w:styleId="Subtitle">
    <w:name w:val="Subtitle"/>
    <w:basedOn w:val="Normal"/>
    <w:next w:val="Normal"/>
    <w:pPr>
      <w:keepNext w:val="1"/>
      <w:keepLines w:val="1"/>
      <w:spacing w:after="320" w:before="0" w:lineRule="auto"/>
    </w:pPr>
    <w:rPr>
      <w:rFonts w:ascii="Arial" w:cs="Arial" w:eastAsia="Arial" w:hAnsi="Arial"/>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15353/joci.v18i2.3595" TargetMode="External"/><Relationship Id="rId22" Type="http://schemas.openxmlformats.org/officeDocument/2006/relationships/hyperlink" Target="https://doi.org/10.1186/s13033-020-00427-x" TargetMode="External"/><Relationship Id="rId21" Type="http://schemas.openxmlformats.org/officeDocument/2006/relationships/hyperlink" Target="https://doi.org/10.1163/25888803-bja10022" TargetMode="External"/><Relationship Id="rId24" Type="http://schemas.openxmlformats.org/officeDocument/2006/relationships/hyperlink" Target="https://kwpublications.com/papers_submitted/7669/stages-in-group-work-is-there-a-relationship-among-them.pdf" TargetMode="External"/><Relationship Id="rId23" Type="http://schemas.openxmlformats.org/officeDocument/2006/relationships/hyperlink" Target="https://ifs.org.uk/articles/englands-send-crisis-costs-challenges-and-case-refor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016/j.dajour.2025.100647" TargetMode="External"/><Relationship Id="rId26" Type="http://schemas.openxmlformats.org/officeDocument/2006/relationships/hyperlink" Target="https://publications.parliament.uk/pa/cm5901/cmselect/cmeduc/492/report.html" TargetMode="External"/><Relationship Id="rId25" Type="http://schemas.openxmlformats.org/officeDocument/2006/relationships/hyperlink" Target="https://doi.org/10.1136/bmjgh-2022-010191" TargetMode="External"/><Relationship Id="rId28" Type="http://schemas.openxmlformats.org/officeDocument/2006/relationships/footer" Target="footer1.xml"/><Relationship Id="rId27" Type="http://schemas.openxmlformats.org/officeDocument/2006/relationships/hyperlink" Target="https://www.researchgate.net/publication/328130570_Review_and_Critique_of_the_ISD_Project_Failure_Literature_An_Argument_for_Exploring_ISD_Project_Distress"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yperlink" Target="https://doi.org/10.1007/s12198-012-0101-z" TargetMode="External"/><Relationship Id="rId11" Type="http://schemas.openxmlformats.org/officeDocument/2006/relationships/hyperlink" Target="https://epi.org.uk/publications-and-research/send-and-alternative-provision-policy/" TargetMode="External"/><Relationship Id="rId10" Type="http://schemas.openxmlformats.org/officeDocument/2006/relationships/hyperlink" Target="https://doi.org/10.1177/0046958020923537" TargetMode="External"/><Relationship Id="rId13" Type="http://schemas.openxmlformats.org/officeDocument/2006/relationships/hyperlink" Target="https://doi.org/10.13140/RG.2.2.15727.00167" TargetMode="External"/><Relationship Id="rId12" Type="http://schemas.openxmlformats.org/officeDocument/2006/relationships/hyperlink" Target="https://doi.org/10.1016/s2214-109x(22)00005-5" TargetMode="External"/><Relationship Id="rId15" Type="http://schemas.openxmlformats.org/officeDocument/2006/relationships/hyperlink" Target="https://doi.org/10.4018/978-1-6684-3937-1.ch006" TargetMode="External"/><Relationship Id="rId14" Type="http://schemas.openxmlformats.org/officeDocument/2006/relationships/hyperlink" Target="https://doi.org/10.3390/bs15010022" TargetMode="External"/><Relationship Id="rId17" Type="http://schemas.openxmlformats.org/officeDocument/2006/relationships/hyperlink" Target="https://doi.org/10.1016/j.tsc.2023.101231" TargetMode="External"/><Relationship Id="rId16" Type="http://schemas.openxmlformats.org/officeDocument/2006/relationships/hyperlink" Target="https://www.local.gov.uk/about/news/send-system-not-working-anyone-it-and-needs-urgent-reform-new-lga-commissioned-report" TargetMode="External"/><Relationship Id="rId19" Type="http://schemas.openxmlformats.org/officeDocument/2006/relationships/hyperlink" Target="https://www.parkhouse.derbyshire.sch.uk/special-educational-needs-and-disabilities-send" TargetMode="External"/><Relationship Id="rId18" Type="http://schemas.openxmlformats.org/officeDocument/2006/relationships/hyperlink" Target="https://www.gov.uk/government/publications/supporting-send/supporting-se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