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3002F" w14:textId="59EE91EB" w:rsidR="00403714" w:rsidRDefault="000E2E7E">
      <w:r>
        <w:t xml:space="preserve">                                     </w:t>
      </w:r>
      <w:r>
        <w:rPr>
          <w:noProof/>
        </w:rPr>
        <w:drawing>
          <wp:inline distT="0" distB="0" distL="0" distR="0" wp14:anchorId="2D3EAADE" wp14:editId="70C54734">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14:paraId="0E3F4352" w14:textId="77777777" w:rsidR="000E2E7E" w:rsidRDefault="000E2E7E"/>
    <w:p w14:paraId="73022E7D" w14:textId="77777777" w:rsidR="000E2E7E" w:rsidRDefault="000E2E7E">
      <w:pPr>
        <w:rPr>
          <w:sz w:val="52"/>
          <w:szCs w:val="52"/>
        </w:rPr>
      </w:pPr>
    </w:p>
    <w:p w14:paraId="0C87A799" w14:textId="217AA963" w:rsidR="000E2E7E" w:rsidRPr="000E2E7E" w:rsidRDefault="000E2E7E">
      <w:pPr>
        <w:rPr>
          <w:b/>
          <w:bCs/>
          <w:sz w:val="52"/>
          <w:szCs w:val="52"/>
        </w:rPr>
      </w:pPr>
      <w:r w:rsidRPr="000E2E7E">
        <w:rPr>
          <w:b/>
          <w:bCs/>
          <w:sz w:val="52"/>
          <w:szCs w:val="52"/>
        </w:rPr>
        <w:t>Module Code:</w:t>
      </w:r>
      <w:r>
        <w:rPr>
          <w:b/>
          <w:bCs/>
          <w:sz w:val="52"/>
          <w:szCs w:val="52"/>
        </w:rPr>
        <w:t xml:space="preserve">  </w:t>
      </w:r>
      <w:r w:rsidRPr="00D163BC">
        <w:rPr>
          <w:b/>
          <w:bCs/>
          <w:color w:val="FF0000"/>
          <w:sz w:val="48"/>
          <w:szCs w:val="48"/>
        </w:rPr>
        <w:t>ECAD</w:t>
      </w:r>
      <w:r w:rsidR="00510D18" w:rsidRPr="00D163BC">
        <w:rPr>
          <w:b/>
          <w:bCs/>
          <w:color w:val="FF0000"/>
          <w:sz w:val="48"/>
          <w:szCs w:val="48"/>
        </w:rPr>
        <w:t>501</w:t>
      </w:r>
      <w:r w:rsidR="00D163BC" w:rsidRPr="00D163BC">
        <w:rPr>
          <w:b/>
          <w:bCs/>
          <w:color w:val="FF0000"/>
          <w:sz w:val="48"/>
          <w:szCs w:val="48"/>
        </w:rPr>
        <w:t>5</w:t>
      </w:r>
    </w:p>
    <w:p w14:paraId="10FFAE95" w14:textId="77777777" w:rsidR="000E2E7E" w:rsidRPr="000E2E7E" w:rsidRDefault="000E2E7E">
      <w:pPr>
        <w:rPr>
          <w:b/>
          <w:bCs/>
          <w:sz w:val="52"/>
          <w:szCs w:val="52"/>
        </w:rPr>
      </w:pPr>
    </w:p>
    <w:p w14:paraId="78DCE9B9" w14:textId="553AE9B7" w:rsidR="000E2E7E" w:rsidRPr="00D163BC" w:rsidRDefault="000E2E7E" w:rsidP="00D163BC">
      <w:pPr>
        <w:rPr>
          <w:b/>
          <w:bCs/>
          <w:color w:val="FF0000"/>
          <w:sz w:val="52"/>
          <w:szCs w:val="52"/>
        </w:rPr>
      </w:pPr>
      <w:r w:rsidRPr="000E2E7E">
        <w:rPr>
          <w:b/>
          <w:bCs/>
          <w:sz w:val="52"/>
          <w:szCs w:val="52"/>
        </w:rPr>
        <w:t>Assignment Title:</w:t>
      </w:r>
      <w:r>
        <w:rPr>
          <w:b/>
          <w:bCs/>
          <w:sz w:val="52"/>
          <w:szCs w:val="52"/>
        </w:rPr>
        <w:t xml:space="preserve"> </w:t>
      </w:r>
      <w:r w:rsidR="00D163BC" w:rsidRPr="00D163BC">
        <w:rPr>
          <w:b/>
          <w:bCs/>
          <w:color w:val="FF0000"/>
          <w:sz w:val="52"/>
          <w:szCs w:val="52"/>
        </w:rPr>
        <w:t xml:space="preserve">Deepening Practice </w:t>
      </w:r>
    </w:p>
    <w:p w14:paraId="32D7A0CD" w14:textId="1F1FA844" w:rsidR="00D163BC" w:rsidRPr="00D163BC" w:rsidRDefault="00D163BC" w:rsidP="00D163BC">
      <w:pPr>
        <w:rPr>
          <w:b/>
          <w:bCs/>
          <w:color w:val="FF0000"/>
          <w:sz w:val="52"/>
          <w:szCs w:val="52"/>
        </w:rPr>
      </w:pPr>
      <w:r w:rsidRPr="00D163BC">
        <w:rPr>
          <w:b/>
          <w:bCs/>
          <w:color w:val="FF0000"/>
          <w:sz w:val="52"/>
          <w:szCs w:val="52"/>
        </w:rPr>
        <w:t xml:space="preserve">ALN – Part 1 Journal  </w:t>
      </w:r>
    </w:p>
    <w:p w14:paraId="47D65DC0" w14:textId="4C5964B5" w:rsidR="000E2E7E" w:rsidRPr="00D163BC" w:rsidRDefault="000E2E7E">
      <w:pPr>
        <w:rPr>
          <w:b/>
          <w:bCs/>
          <w:sz w:val="52"/>
          <w:szCs w:val="52"/>
        </w:rPr>
      </w:pPr>
      <w:r w:rsidRPr="00D163BC">
        <w:rPr>
          <w:b/>
          <w:bCs/>
          <w:sz w:val="52"/>
          <w:szCs w:val="52"/>
        </w:rPr>
        <w:t>Student Name:</w:t>
      </w:r>
      <w:r w:rsidR="00965747">
        <w:rPr>
          <w:b/>
          <w:bCs/>
          <w:sz w:val="52"/>
          <w:szCs w:val="52"/>
        </w:rPr>
        <w:t xml:space="preserve"> Elisha Josephson</w:t>
      </w:r>
    </w:p>
    <w:p w14:paraId="1025240F" w14:textId="5312C671" w:rsidR="000E2E7E" w:rsidRPr="000E2E7E" w:rsidRDefault="000E2E7E">
      <w:pPr>
        <w:rPr>
          <w:b/>
          <w:bCs/>
          <w:sz w:val="52"/>
          <w:szCs w:val="52"/>
        </w:rPr>
      </w:pPr>
      <w:r w:rsidRPr="000E2E7E">
        <w:rPr>
          <w:b/>
          <w:bCs/>
          <w:sz w:val="52"/>
          <w:szCs w:val="52"/>
        </w:rPr>
        <w:t>Student Number:</w:t>
      </w:r>
      <w:r w:rsidR="00965747">
        <w:rPr>
          <w:b/>
          <w:bCs/>
          <w:sz w:val="52"/>
          <w:szCs w:val="52"/>
        </w:rPr>
        <w:t>2305059</w:t>
      </w:r>
    </w:p>
    <w:p w14:paraId="66EB3C44" w14:textId="3EA69FAC" w:rsidR="000E2E7E" w:rsidRDefault="000E2E7E">
      <w:pPr>
        <w:rPr>
          <w:b/>
          <w:bCs/>
          <w:sz w:val="52"/>
          <w:szCs w:val="52"/>
        </w:rPr>
      </w:pPr>
      <w:r w:rsidRPr="000E2E7E">
        <w:rPr>
          <w:b/>
          <w:bCs/>
          <w:sz w:val="52"/>
          <w:szCs w:val="52"/>
        </w:rPr>
        <w:t>BA Primary Education (QTS)</w:t>
      </w:r>
    </w:p>
    <w:p w14:paraId="097A6454" w14:textId="77777777" w:rsidR="000E2E7E" w:rsidRPr="000E2E7E" w:rsidRDefault="000E2E7E">
      <w:pPr>
        <w:rPr>
          <w:b/>
          <w:bCs/>
          <w:sz w:val="52"/>
          <w:szCs w:val="52"/>
        </w:rPr>
      </w:pPr>
    </w:p>
    <w:p w14:paraId="0BE6D22C" w14:textId="77777777" w:rsidR="000E2E7E" w:rsidRPr="00E243A8" w:rsidRDefault="000E2E7E" w:rsidP="000E2E7E">
      <w:pPr>
        <w:rPr>
          <w:b/>
          <w:bCs/>
          <w:sz w:val="32"/>
          <w:szCs w:val="32"/>
          <w:u w:val="single"/>
        </w:rPr>
      </w:pPr>
      <w:r w:rsidRPr="00E243A8">
        <w:rPr>
          <w:b/>
          <w:bCs/>
          <w:sz w:val="32"/>
          <w:szCs w:val="32"/>
          <w:u w:val="single"/>
        </w:rPr>
        <w:t>AI Acknowledgement</w:t>
      </w:r>
    </w:p>
    <w:p w14:paraId="311990D1" w14:textId="77777777" w:rsidR="000E2E7E" w:rsidRDefault="000E2E7E" w:rsidP="000E2E7E"/>
    <w:p w14:paraId="1F3DC70D" w14:textId="7C58CE0E" w:rsidR="000E2E7E" w:rsidRPr="00C2550A" w:rsidRDefault="000E2E7E" w:rsidP="000E2E7E">
      <w:pPr>
        <w:rPr>
          <w:b/>
          <w:bCs/>
        </w:rPr>
      </w:pPr>
    </w:p>
    <w:p w14:paraId="2009F732" w14:textId="77777777" w:rsidR="000E2E7E" w:rsidRDefault="000E2E7E" w:rsidP="000E2E7E"/>
    <w:p w14:paraId="395CF8DB" w14:textId="544CAED0" w:rsidR="000E2E7E" w:rsidRPr="00DD5969" w:rsidRDefault="000E2E7E" w:rsidP="000E2E7E">
      <w:r w:rsidRPr="00DD5969">
        <w:t xml:space="preserve">I acknowledge the use of </w:t>
      </w:r>
      <w:proofErr w:type="spellStart"/>
      <w:r w:rsidR="00B11845">
        <w:t>ChatGPT</w:t>
      </w:r>
      <w:proofErr w:type="spellEnd"/>
      <w:r w:rsidRPr="00DD5969">
        <w:t xml:space="preserve"> on </w:t>
      </w:r>
      <w:r w:rsidR="00B11845">
        <w:t>17.5.25</w:t>
      </w:r>
      <w:r w:rsidRPr="00DD5969">
        <w:t xml:space="preserve"> </w:t>
      </w:r>
      <w:r w:rsidR="00B11845">
        <w:t>for the p</w:t>
      </w:r>
      <w:r w:rsidRPr="00DD5969">
        <w:t xml:space="preserve">urpose my work. I used the prompt(s): </w:t>
      </w:r>
    </w:p>
    <w:p w14:paraId="3EC3AC2C" w14:textId="6967CD4D" w:rsidR="000E2E7E" w:rsidRPr="00DD5969" w:rsidRDefault="000E2E7E" w:rsidP="000E2E7E">
      <w:r w:rsidRPr="00DD5969">
        <w:t xml:space="preserve">1. </w:t>
      </w:r>
      <w:r w:rsidR="00B11845">
        <w:t>barriers to inclusive practice</w:t>
      </w:r>
      <w:r w:rsidRPr="00DD5969">
        <w:t xml:space="preserve"> </w:t>
      </w:r>
    </w:p>
    <w:p w14:paraId="62A10BDA" w14:textId="7CEDBDE0" w:rsidR="000E2E7E" w:rsidRPr="00DD5969" w:rsidRDefault="000E2E7E" w:rsidP="000E2E7E">
      <w:r w:rsidRPr="00DD5969">
        <w:t xml:space="preserve">2. </w:t>
      </w:r>
      <w:r w:rsidR="00B11845">
        <w:t xml:space="preserve">inclusive classroom </w:t>
      </w:r>
      <w:proofErr w:type="spellStart"/>
      <w:r w:rsidR="00B11845">
        <w:t>stratergies</w:t>
      </w:r>
      <w:proofErr w:type="spellEnd"/>
      <w:r w:rsidRPr="00DD5969">
        <w:t xml:space="preserve">  </w:t>
      </w:r>
    </w:p>
    <w:p w14:paraId="57509DCF" w14:textId="77777777" w:rsidR="000E2E7E" w:rsidRDefault="000E2E7E" w:rsidP="000E2E7E">
      <w:r w:rsidRPr="00DD5969">
        <w:t xml:space="preserve">I confirm that I have not presented any AI generated text as my own work. </w:t>
      </w:r>
    </w:p>
    <w:p w14:paraId="3B533FD1" w14:textId="34C04655" w:rsidR="000E2E7E" w:rsidRPr="00A619FA" w:rsidRDefault="000E2E7E" w:rsidP="000E2E7E">
      <w:r w:rsidRPr="00DD5969">
        <w:t xml:space="preserve">I confirm </w:t>
      </w:r>
      <w:r>
        <w:t xml:space="preserve">that </w:t>
      </w:r>
      <w:r w:rsidRPr="00DD5969">
        <w:t xml:space="preserve">I have copies of my drafts, notes, and other resources I used before and after the use of AI tools which I may be asked to provide in evidence. </w:t>
      </w:r>
    </w:p>
    <w:p w14:paraId="6CDE5B9A" w14:textId="77777777" w:rsidR="000E2E7E" w:rsidRDefault="000E2E7E" w:rsidP="000E2E7E">
      <w:pPr>
        <w:rPr>
          <w:sz w:val="16"/>
          <w:szCs w:val="16"/>
        </w:rPr>
      </w:pPr>
    </w:p>
    <w:p w14:paraId="576F22A4" w14:textId="77777777" w:rsidR="000E2E7E" w:rsidRDefault="000E2E7E" w:rsidP="000E2E7E">
      <w:pPr>
        <w:rPr>
          <w:sz w:val="16"/>
          <w:szCs w:val="16"/>
        </w:rPr>
      </w:pPr>
    </w:p>
    <w:tbl>
      <w:tblPr>
        <w:tblStyle w:val="TableGrid"/>
        <w:tblW w:w="9282" w:type="dxa"/>
        <w:tblLook w:val="04A0" w:firstRow="1" w:lastRow="0" w:firstColumn="1" w:lastColumn="0" w:noHBand="0" w:noVBand="1"/>
      </w:tblPr>
      <w:tblGrid>
        <w:gridCol w:w="3256"/>
        <w:gridCol w:w="3118"/>
        <w:gridCol w:w="2908"/>
      </w:tblGrid>
      <w:tr w:rsidR="000E2E7E" w:rsidRPr="001B4AB4" w14:paraId="0ADB3F25" w14:textId="77777777" w:rsidTr="000E2E7E">
        <w:trPr>
          <w:trHeight w:val="360"/>
        </w:trPr>
        <w:tc>
          <w:tcPr>
            <w:tcW w:w="3256" w:type="dxa"/>
          </w:tcPr>
          <w:p w14:paraId="2110C93E" w14:textId="45B7432A" w:rsidR="000E2E7E" w:rsidRPr="00121BB2" w:rsidRDefault="000E2E7E" w:rsidP="00AE36BB">
            <w:pPr>
              <w:rPr>
                <w:b/>
                <w:bCs/>
                <w:color w:val="FFFFFF"/>
                <w:sz w:val="28"/>
                <w:szCs w:val="28"/>
                <w:lang w:val="cy-GB"/>
              </w:rPr>
            </w:pPr>
            <w:r w:rsidRPr="00121BB2">
              <w:rPr>
                <w:b/>
                <w:bCs/>
                <w:sz w:val="28"/>
                <w:szCs w:val="28"/>
                <w:lang w:val="cy-GB"/>
              </w:rPr>
              <w:t>Targets from previous module</w:t>
            </w:r>
          </w:p>
        </w:tc>
        <w:tc>
          <w:tcPr>
            <w:tcW w:w="3118" w:type="dxa"/>
          </w:tcPr>
          <w:p w14:paraId="1C0504E0" w14:textId="648CF4FC" w:rsidR="000E2E7E" w:rsidRPr="00121BB2" w:rsidRDefault="000E2E7E" w:rsidP="00AE36BB">
            <w:pPr>
              <w:rPr>
                <w:b/>
                <w:bCs/>
                <w:color w:val="FFFFFF"/>
                <w:sz w:val="28"/>
                <w:szCs w:val="28"/>
                <w:lang w:val="cy-GB"/>
              </w:rPr>
            </w:pPr>
            <w:r w:rsidRPr="00121BB2">
              <w:rPr>
                <w:b/>
                <w:bCs/>
                <w:sz w:val="28"/>
                <w:szCs w:val="28"/>
                <w:lang w:val="cy-GB"/>
              </w:rPr>
              <w:t>How I have worked on these?</w:t>
            </w:r>
          </w:p>
        </w:tc>
        <w:tc>
          <w:tcPr>
            <w:tcW w:w="2908" w:type="dxa"/>
          </w:tcPr>
          <w:p w14:paraId="0ED8A1ED" w14:textId="77777777" w:rsidR="000E2E7E" w:rsidRPr="00121BB2" w:rsidRDefault="000E2E7E" w:rsidP="00AE36BB">
            <w:pPr>
              <w:rPr>
                <w:rFonts w:ascii="Calibri" w:hAnsi="Calibri" w:cs="Calibri"/>
                <w:b/>
                <w:bCs/>
                <w:sz w:val="28"/>
                <w:szCs w:val="28"/>
                <w:lang w:val="cy-GB"/>
              </w:rPr>
            </w:pPr>
            <w:r w:rsidRPr="00121BB2">
              <w:rPr>
                <w:rFonts w:ascii="Calibri" w:hAnsi="Calibri" w:cs="Calibri"/>
                <w:b/>
                <w:bCs/>
                <w:sz w:val="28"/>
                <w:szCs w:val="28"/>
                <w:lang w:val="cy-GB"/>
              </w:rPr>
              <w:t>An example can be seen on…</w:t>
            </w:r>
          </w:p>
          <w:p w14:paraId="0798C571" w14:textId="146BBBF0" w:rsidR="000E2E7E" w:rsidRPr="00121BB2" w:rsidRDefault="000E2E7E" w:rsidP="00AE36BB">
            <w:pPr>
              <w:rPr>
                <w:b/>
                <w:bCs/>
                <w:color w:val="FFFFFF"/>
                <w:sz w:val="28"/>
                <w:szCs w:val="28"/>
                <w:lang w:val="cy-GB"/>
              </w:rPr>
            </w:pPr>
          </w:p>
        </w:tc>
      </w:tr>
      <w:tr w:rsidR="000E2E7E" w:rsidRPr="001B4AB4" w14:paraId="0EC7171C" w14:textId="77777777" w:rsidTr="000E2E7E">
        <w:trPr>
          <w:trHeight w:val="338"/>
        </w:trPr>
        <w:tc>
          <w:tcPr>
            <w:tcW w:w="3256" w:type="dxa"/>
          </w:tcPr>
          <w:p w14:paraId="4DC5C8A2" w14:textId="77777777" w:rsidR="000E2E7E" w:rsidRDefault="000E2E7E" w:rsidP="00AE36BB">
            <w:pPr>
              <w:rPr>
                <w:lang w:val="cy-GB"/>
              </w:rPr>
            </w:pPr>
          </w:p>
          <w:tbl>
            <w:tblPr>
              <w:tblStyle w:val="TableGrid"/>
              <w:tblW w:w="0" w:type="auto"/>
              <w:tblLook w:val="04A0" w:firstRow="1" w:lastRow="0" w:firstColumn="1" w:lastColumn="0" w:noHBand="0" w:noVBand="1"/>
            </w:tblPr>
            <w:tblGrid>
              <w:gridCol w:w="3030"/>
            </w:tblGrid>
            <w:tr w:rsidR="003C1BD6" w:rsidRPr="008E4EB6" w14:paraId="1781C83A" w14:textId="77777777" w:rsidTr="001A6D71">
              <w:tc>
                <w:tcPr>
                  <w:tcW w:w="4508" w:type="dxa"/>
                </w:tcPr>
                <w:p w14:paraId="5D4A8300" w14:textId="77777777" w:rsidR="003C1BD6" w:rsidRPr="008E4EB6" w:rsidRDefault="003C1BD6" w:rsidP="003C1BD6">
                  <w:pPr>
                    <w:rPr>
                      <w:sz w:val="16"/>
                      <w:szCs w:val="16"/>
                      <w:lang w:val="cy-GB"/>
                    </w:rPr>
                  </w:pPr>
                </w:p>
                <w:p w14:paraId="572E8F4D" w14:textId="77777777" w:rsidR="003C1BD6" w:rsidRPr="008E4EB6" w:rsidRDefault="003C1BD6" w:rsidP="003C1BD6">
                  <w:pPr>
                    <w:rPr>
                      <w:sz w:val="16"/>
                      <w:szCs w:val="16"/>
                      <w:lang w:val="cy-GB"/>
                    </w:rPr>
                  </w:pPr>
                </w:p>
                <w:p w14:paraId="59747F4D" w14:textId="77777777" w:rsidR="003C1BD6" w:rsidRDefault="003C1BD6" w:rsidP="003C1BD6">
                  <w:pPr>
                    <w:pStyle w:val="NormalWeb"/>
                    <w:spacing w:before="0" w:beforeAutospacing="0" w:after="0" w:afterAutospacing="0"/>
                    <w:rPr>
                      <w:rFonts w:ascii="Roboto" w:hAnsi="Roboto"/>
                      <w:color w:val="283041"/>
                      <w:sz w:val="21"/>
                      <w:szCs w:val="21"/>
                    </w:rPr>
                  </w:pPr>
                  <w:r>
                    <w:rPr>
                      <w:rFonts w:ascii="Roboto" w:hAnsi="Roboto"/>
                      <w:color w:val="283041"/>
                      <w:sz w:val="21"/>
                      <w:szCs w:val="21"/>
                    </w:rPr>
                    <w:t>*</w:t>
                  </w:r>
                  <w:proofErr w:type="spellStart"/>
                  <w:r>
                    <w:rPr>
                      <w:rFonts w:ascii="Roboto" w:hAnsi="Roboto"/>
                      <w:color w:val="283041"/>
                      <w:sz w:val="21"/>
                      <w:szCs w:val="21"/>
                    </w:rPr>
                    <w:t>Parhau</w:t>
                  </w:r>
                  <w:proofErr w:type="spellEnd"/>
                  <w:r>
                    <w:rPr>
                      <w:rFonts w:ascii="Roboto" w:hAnsi="Roboto"/>
                      <w:color w:val="283041"/>
                      <w:sz w:val="21"/>
                      <w:szCs w:val="21"/>
                    </w:rPr>
                    <w:t xml:space="preserve"> </w:t>
                  </w:r>
                  <w:proofErr w:type="spellStart"/>
                  <w:r>
                    <w:rPr>
                      <w:rFonts w:ascii="Roboto" w:hAnsi="Roboto"/>
                      <w:color w:val="283041"/>
                      <w:sz w:val="21"/>
                      <w:szCs w:val="21"/>
                    </w:rPr>
                    <w:t>i</w:t>
                  </w:r>
                  <w:proofErr w:type="spellEnd"/>
                  <w:r>
                    <w:rPr>
                      <w:rFonts w:ascii="Roboto" w:hAnsi="Roboto"/>
                      <w:color w:val="283041"/>
                      <w:sz w:val="21"/>
                      <w:szCs w:val="21"/>
                    </w:rPr>
                    <w:t xml:space="preserve"> </w:t>
                  </w:r>
                  <w:proofErr w:type="spellStart"/>
                  <w:r>
                    <w:rPr>
                      <w:rFonts w:ascii="Roboto" w:hAnsi="Roboto"/>
                      <w:color w:val="283041"/>
                      <w:sz w:val="21"/>
                      <w:szCs w:val="21"/>
                    </w:rPr>
                    <w:t>firenio</w:t>
                  </w:r>
                  <w:proofErr w:type="spellEnd"/>
                  <w:r>
                    <w:rPr>
                      <w:rFonts w:ascii="Roboto" w:hAnsi="Roboto"/>
                      <w:color w:val="283041"/>
                      <w:sz w:val="21"/>
                      <w:szCs w:val="21"/>
                    </w:rPr>
                    <w:t xml:space="preserve"> </w:t>
                  </w:r>
                  <w:proofErr w:type="spellStart"/>
                  <w:r>
                    <w:rPr>
                      <w:rFonts w:ascii="Roboto" w:hAnsi="Roboto"/>
                      <w:color w:val="283041"/>
                      <w:sz w:val="21"/>
                      <w:szCs w:val="21"/>
                    </w:rPr>
                    <w:t>dy</w:t>
                  </w:r>
                  <w:proofErr w:type="spellEnd"/>
                  <w:r>
                    <w:rPr>
                      <w:rFonts w:ascii="Roboto" w:hAnsi="Roboto"/>
                      <w:color w:val="283041"/>
                      <w:sz w:val="21"/>
                      <w:szCs w:val="21"/>
                    </w:rPr>
                    <w:t xml:space="preserve"> </w:t>
                  </w:r>
                  <w:proofErr w:type="spellStart"/>
                  <w:r>
                    <w:rPr>
                      <w:rFonts w:ascii="Roboto" w:hAnsi="Roboto"/>
                      <w:color w:val="283041"/>
                      <w:sz w:val="21"/>
                      <w:szCs w:val="21"/>
                    </w:rPr>
                    <w:t>sgiliau</w:t>
                  </w:r>
                  <w:proofErr w:type="spellEnd"/>
                  <w:r>
                    <w:rPr>
                      <w:rFonts w:ascii="Roboto" w:hAnsi="Roboto"/>
                      <w:color w:val="283041"/>
                      <w:sz w:val="21"/>
                      <w:szCs w:val="21"/>
                    </w:rPr>
                    <w:t xml:space="preserve"> </w:t>
                  </w:r>
                  <w:proofErr w:type="spellStart"/>
                  <w:r>
                    <w:rPr>
                      <w:rFonts w:ascii="Roboto" w:hAnsi="Roboto"/>
                      <w:color w:val="283041"/>
                      <w:sz w:val="21"/>
                      <w:szCs w:val="21"/>
                    </w:rPr>
                    <w:t>cyfeirnodi</w:t>
                  </w:r>
                  <w:proofErr w:type="spellEnd"/>
                  <w:r>
                    <w:rPr>
                      <w:rFonts w:ascii="Roboto" w:hAnsi="Roboto"/>
                      <w:color w:val="283041"/>
                      <w:sz w:val="21"/>
                      <w:szCs w:val="21"/>
                    </w:rPr>
                    <w:t xml:space="preserve"> </w:t>
                  </w:r>
                  <w:proofErr w:type="spellStart"/>
                  <w:r>
                    <w:rPr>
                      <w:rFonts w:ascii="Roboto" w:hAnsi="Roboto"/>
                      <w:color w:val="283041"/>
                      <w:sz w:val="21"/>
                      <w:szCs w:val="21"/>
                    </w:rPr>
                    <w:t>gan</w:t>
                  </w:r>
                  <w:proofErr w:type="spellEnd"/>
                  <w:r>
                    <w:rPr>
                      <w:rFonts w:ascii="Roboto" w:hAnsi="Roboto"/>
                      <w:color w:val="283041"/>
                      <w:sz w:val="21"/>
                      <w:szCs w:val="21"/>
                    </w:rPr>
                    <w:t xml:space="preserve"> </w:t>
                  </w:r>
                  <w:proofErr w:type="spellStart"/>
                  <w:r>
                    <w:rPr>
                      <w:rFonts w:ascii="Roboto" w:hAnsi="Roboto"/>
                      <w:color w:val="283041"/>
                      <w:sz w:val="21"/>
                      <w:szCs w:val="21"/>
                    </w:rPr>
                    <w:t>ddilyn</w:t>
                  </w:r>
                  <w:proofErr w:type="spellEnd"/>
                  <w:r>
                    <w:rPr>
                      <w:rFonts w:ascii="Roboto" w:hAnsi="Roboto"/>
                      <w:color w:val="283041"/>
                      <w:sz w:val="21"/>
                      <w:szCs w:val="21"/>
                    </w:rPr>
                    <w:t xml:space="preserve"> </w:t>
                  </w:r>
                  <w:proofErr w:type="spellStart"/>
                  <w:r>
                    <w:rPr>
                      <w:rFonts w:ascii="Roboto" w:hAnsi="Roboto"/>
                      <w:color w:val="283041"/>
                      <w:sz w:val="21"/>
                      <w:szCs w:val="21"/>
                    </w:rPr>
                    <w:t>canllawiau</w:t>
                  </w:r>
                  <w:proofErr w:type="spellEnd"/>
                  <w:r>
                    <w:rPr>
                      <w:rFonts w:ascii="Roboto" w:hAnsi="Roboto"/>
                      <w:color w:val="283041"/>
                      <w:sz w:val="21"/>
                      <w:szCs w:val="21"/>
                    </w:rPr>
                    <w:t xml:space="preserve"> Harvard </w:t>
                  </w:r>
                  <w:proofErr w:type="spellStart"/>
                  <w:r>
                    <w:rPr>
                      <w:rFonts w:ascii="Roboto" w:hAnsi="Roboto"/>
                      <w:color w:val="283041"/>
                      <w:sz w:val="21"/>
                      <w:szCs w:val="21"/>
                    </w:rPr>
                    <w:t>yn</w:t>
                  </w:r>
                  <w:proofErr w:type="spellEnd"/>
                  <w:r>
                    <w:rPr>
                      <w:rFonts w:ascii="Roboto" w:hAnsi="Roboto"/>
                      <w:color w:val="283041"/>
                      <w:sz w:val="21"/>
                      <w:szCs w:val="21"/>
                    </w:rPr>
                    <w:t xml:space="preserve"> </w:t>
                  </w:r>
                  <w:proofErr w:type="spellStart"/>
                  <w:r>
                    <w:rPr>
                      <w:rFonts w:ascii="Roboto" w:hAnsi="Roboto"/>
                      <w:color w:val="283041"/>
                      <w:sz w:val="21"/>
                      <w:szCs w:val="21"/>
                    </w:rPr>
                    <w:t>enwedig</w:t>
                  </w:r>
                  <w:proofErr w:type="spellEnd"/>
                  <w:r>
                    <w:rPr>
                      <w:rFonts w:ascii="Roboto" w:hAnsi="Roboto"/>
                      <w:color w:val="283041"/>
                      <w:sz w:val="21"/>
                      <w:szCs w:val="21"/>
                    </w:rPr>
                    <w:t xml:space="preserve"> </w:t>
                  </w:r>
                  <w:proofErr w:type="spellStart"/>
                  <w:r>
                    <w:rPr>
                      <w:rFonts w:ascii="Roboto" w:hAnsi="Roboto"/>
                      <w:color w:val="283041"/>
                      <w:sz w:val="21"/>
                      <w:szCs w:val="21"/>
                    </w:rPr>
                    <w:t>yn</w:t>
                  </w:r>
                  <w:proofErr w:type="spellEnd"/>
                  <w:r>
                    <w:rPr>
                      <w:rFonts w:ascii="Roboto" w:hAnsi="Roboto"/>
                      <w:color w:val="283041"/>
                      <w:sz w:val="21"/>
                      <w:szCs w:val="21"/>
                    </w:rPr>
                    <w:t xml:space="preserve"> y </w:t>
                  </w:r>
                  <w:proofErr w:type="spellStart"/>
                  <w:r>
                    <w:rPr>
                      <w:rFonts w:ascii="Roboto" w:hAnsi="Roboto"/>
                      <w:color w:val="283041"/>
                      <w:sz w:val="21"/>
                      <w:szCs w:val="21"/>
                    </w:rPr>
                    <w:t>rhestr</w:t>
                  </w:r>
                  <w:proofErr w:type="spellEnd"/>
                  <w:r>
                    <w:rPr>
                      <w:rFonts w:ascii="Roboto" w:hAnsi="Roboto"/>
                      <w:color w:val="283041"/>
                      <w:sz w:val="21"/>
                      <w:szCs w:val="21"/>
                    </w:rPr>
                    <w:t xml:space="preserve"> </w:t>
                  </w:r>
                  <w:proofErr w:type="spellStart"/>
                  <w:r>
                    <w:rPr>
                      <w:rFonts w:ascii="Roboto" w:hAnsi="Roboto"/>
                      <w:color w:val="283041"/>
                      <w:sz w:val="21"/>
                      <w:szCs w:val="21"/>
                    </w:rPr>
                    <w:t>gyfeiriadau</w:t>
                  </w:r>
                  <w:proofErr w:type="spellEnd"/>
                  <w:r>
                    <w:rPr>
                      <w:rFonts w:ascii="Roboto" w:hAnsi="Roboto"/>
                      <w:color w:val="283041"/>
                      <w:sz w:val="21"/>
                      <w:szCs w:val="21"/>
                    </w:rPr>
                    <w:t> </w:t>
                  </w:r>
                  <w:proofErr w:type="spellStart"/>
                  <w:r>
                    <w:rPr>
                      <w:rFonts w:ascii="Roboto" w:hAnsi="Roboto"/>
                      <w:color w:val="283041"/>
                      <w:sz w:val="21"/>
                      <w:szCs w:val="21"/>
                    </w:rPr>
                    <w:fldChar w:fldCharType="begin"/>
                  </w:r>
                  <w:r>
                    <w:rPr>
                      <w:rFonts w:ascii="Roboto" w:hAnsi="Roboto"/>
                      <w:color w:val="283041"/>
                      <w:sz w:val="21"/>
                      <w:szCs w:val="21"/>
                    </w:rPr>
                    <w:instrText>HYPERLINK "https://intranet.uwtsd.ac.uk/cy/adrannau/llyfrgell-ac-adnoddau-dysgu/defnyddio-ein-llyfrgelloedd/trefnu-apwyntiad?check_logged_in=1"</w:instrText>
                  </w:r>
                  <w:r>
                    <w:rPr>
                      <w:rFonts w:ascii="Roboto" w:hAnsi="Roboto"/>
                      <w:color w:val="283041"/>
                      <w:sz w:val="21"/>
                      <w:szCs w:val="21"/>
                    </w:rPr>
                  </w:r>
                  <w:r>
                    <w:rPr>
                      <w:rFonts w:ascii="Roboto" w:hAnsi="Roboto"/>
                      <w:color w:val="283041"/>
                      <w:sz w:val="21"/>
                      <w:szCs w:val="21"/>
                    </w:rPr>
                    <w:fldChar w:fldCharType="separate"/>
                  </w:r>
                  <w:r>
                    <w:rPr>
                      <w:rStyle w:val="Hyperlink"/>
                      <w:rFonts w:ascii="Roboto" w:eastAsiaTheme="majorEastAsia" w:hAnsi="Roboto"/>
                      <w:color w:val="1E7BBB"/>
                      <w:sz w:val="21"/>
                      <w:szCs w:val="21"/>
                    </w:rPr>
                    <w:t>Trefnu</w:t>
                  </w:r>
                  <w:proofErr w:type="spellEnd"/>
                  <w:r>
                    <w:rPr>
                      <w:rStyle w:val="Hyperlink"/>
                      <w:rFonts w:ascii="Roboto" w:eastAsiaTheme="majorEastAsia" w:hAnsi="Roboto"/>
                      <w:color w:val="1E7BBB"/>
                      <w:sz w:val="21"/>
                      <w:szCs w:val="21"/>
                    </w:rPr>
                    <w:t xml:space="preserve"> </w:t>
                  </w:r>
                  <w:proofErr w:type="spellStart"/>
                  <w:r>
                    <w:rPr>
                      <w:rStyle w:val="Hyperlink"/>
                      <w:rFonts w:ascii="Roboto" w:eastAsiaTheme="majorEastAsia" w:hAnsi="Roboto"/>
                      <w:color w:val="1E7BBB"/>
                      <w:sz w:val="21"/>
                      <w:szCs w:val="21"/>
                    </w:rPr>
                    <w:t>apwyntiad</w:t>
                  </w:r>
                  <w:proofErr w:type="spellEnd"/>
                  <w:r>
                    <w:rPr>
                      <w:rStyle w:val="Hyperlink"/>
                      <w:rFonts w:ascii="Roboto" w:eastAsiaTheme="majorEastAsia" w:hAnsi="Roboto"/>
                      <w:color w:val="1E7BBB"/>
                      <w:sz w:val="21"/>
                      <w:szCs w:val="21"/>
                    </w:rPr>
                    <w:t xml:space="preserve"> | </w:t>
                  </w:r>
                  <w:proofErr w:type="spellStart"/>
                  <w:r>
                    <w:rPr>
                      <w:rStyle w:val="Hyperlink"/>
                      <w:rFonts w:ascii="Roboto" w:eastAsiaTheme="majorEastAsia" w:hAnsi="Roboto"/>
                      <w:color w:val="1E7BBB"/>
                      <w:sz w:val="21"/>
                      <w:szCs w:val="21"/>
                    </w:rPr>
                    <w:t>Prifysgol</w:t>
                  </w:r>
                  <w:proofErr w:type="spellEnd"/>
                  <w:r>
                    <w:rPr>
                      <w:rStyle w:val="Hyperlink"/>
                      <w:rFonts w:ascii="Roboto" w:eastAsiaTheme="majorEastAsia" w:hAnsi="Roboto"/>
                      <w:color w:val="1E7BBB"/>
                      <w:sz w:val="21"/>
                      <w:szCs w:val="21"/>
                    </w:rPr>
                    <w:t xml:space="preserve"> Cymru Y </w:t>
                  </w:r>
                  <w:proofErr w:type="spellStart"/>
                  <w:r>
                    <w:rPr>
                      <w:rStyle w:val="Hyperlink"/>
                      <w:rFonts w:ascii="Roboto" w:eastAsiaTheme="majorEastAsia" w:hAnsi="Roboto"/>
                      <w:color w:val="1E7BBB"/>
                      <w:sz w:val="21"/>
                      <w:szCs w:val="21"/>
                    </w:rPr>
                    <w:t>Drindod</w:t>
                  </w:r>
                  <w:proofErr w:type="spellEnd"/>
                  <w:r>
                    <w:rPr>
                      <w:rStyle w:val="Hyperlink"/>
                      <w:rFonts w:ascii="Roboto" w:eastAsiaTheme="majorEastAsia" w:hAnsi="Roboto"/>
                      <w:color w:val="1E7BBB"/>
                      <w:sz w:val="21"/>
                      <w:szCs w:val="21"/>
                    </w:rPr>
                    <w:t xml:space="preserve"> </w:t>
                  </w:r>
                  <w:proofErr w:type="spellStart"/>
                  <w:r>
                    <w:rPr>
                      <w:rStyle w:val="Hyperlink"/>
                      <w:rFonts w:ascii="Roboto" w:eastAsiaTheme="majorEastAsia" w:hAnsi="Roboto"/>
                      <w:color w:val="1E7BBB"/>
                      <w:sz w:val="21"/>
                      <w:szCs w:val="21"/>
                    </w:rPr>
                    <w:t>Dewi</w:t>
                  </w:r>
                  <w:proofErr w:type="spellEnd"/>
                  <w:r>
                    <w:rPr>
                      <w:rStyle w:val="Hyperlink"/>
                      <w:rFonts w:ascii="Roboto" w:eastAsiaTheme="majorEastAsia" w:hAnsi="Roboto"/>
                      <w:color w:val="1E7BBB"/>
                      <w:sz w:val="21"/>
                      <w:szCs w:val="21"/>
                    </w:rPr>
                    <w:t xml:space="preserve"> Sant</w:t>
                  </w:r>
                  <w:r>
                    <w:rPr>
                      <w:rFonts w:ascii="Roboto" w:hAnsi="Roboto"/>
                      <w:color w:val="283041"/>
                      <w:sz w:val="21"/>
                      <w:szCs w:val="21"/>
                    </w:rPr>
                    <w:fldChar w:fldCharType="end"/>
                  </w:r>
                </w:p>
                <w:p w14:paraId="303C61D4" w14:textId="77777777" w:rsidR="003C1BD6" w:rsidRPr="008E4EB6" w:rsidRDefault="003C1BD6" w:rsidP="003C1BD6">
                  <w:pPr>
                    <w:rPr>
                      <w:sz w:val="16"/>
                      <w:szCs w:val="16"/>
                      <w:lang w:val="cy-GB"/>
                    </w:rPr>
                  </w:pPr>
                </w:p>
              </w:tc>
            </w:tr>
            <w:tr w:rsidR="003C1BD6" w:rsidRPr="008E4EB6" w14:paraId="6F3AD943" w14:textId="77777777" w:rsidTr="001A6D71">
              <w:tc>
                <w:tcPr>
                  <w:tcW w:w="4508" w:type="dxa"/>
                </w:tcPr>
                <w:p w14:paraId="1D6F7B79" w14:textId="7B0A78B8" w:rsidR="003C1BD6" w:rsidRDefault="003C1BD6" w:rsidP="003C1BD6">
                  <w:pPr>
                    <w:pStyle w:val="NormalWeb"/>
                    <w:spacing w:before="0" w:beforeAutospacing="0" w:after="0" w:afterAutospacing="0"/>
                    <w:rPr>
                      <w:rFonts w:ascii="Roboto" w:hAnsi="Roboto"/>
                      <w:color w:val="283041"/>
                      <w:sz w:val="21"/>
                      <w:szCs w:val="21"/>
                    </w:rPr>
                  </w:pPr>
                  <w:r>
                    <w:rPr>
                      <w:rFonts w:ascii="Roboto" w:hAnsi="Roboto"/>
                      <w:color w:val="283041"/>
                      <w:sz w:val="21"/>
                      <w:szCs w:val="21"/>
                    </w:rPr>
                    <w:t>.</w:t>
                  </w:r>
                </w:p>
                <w:p w14:paraId="58E089C0" w14:textId="77777777" w:rsidR="003C1BD6" w:rsidRPr="008E4EB6" w:rsidRDefault="003C1BD6" w:rsidP="003C1BD6">
                  <w:pPr>
                    <w:rPr>
                      <w:sz w:val="16"/>
                      <w:szCs w:val="16"/>
                      <w:lang w:val="cy-GB"/>
                    </w:rPr>
                  </w:pPr>
                </w:p>
                <w:p w14:paraId="39117ED1" w14:textId="77777777" w:rsidR="003C1BD6" w:rsidRPr="008E4EB6" w:rsidRDefault="003C1BD6" w:rsidP="003C1BD6">
                  <w:pPr>
                    <w:rPr>
                      <w:sz w:val="16"/>
                      <w:szCs w:val="16"/>
                      <w:lang w:val="cy-GB"/>
                    </w:rPr>
                  </w:pPr>
                </w:p>
              </w:tc>
            </w:tr>
            <w:tr w:rsidR="003C1BD6" w:rsidRPr="008E4EB6" w14:paraId="405E9141" w14:textId="77777777" w:rsidTr="001A6D71">
              <w:tc>
                <w:tcPr>
                  <w:tcW w:w="4508" w:type="dxa"/>
                </w:tcPr>
                <w:p w14:paraId="08E4D199" w14:textId="7D1E312B" w:rsidR="003C1BD6" w:rsidRDefault="003C1BD6" w:rsidP="003C1BD6">
                  <w:pPr>
                    <w:pStyle w:val="NormalWeb"/>
                    <w:spacing w:before="0" w:beforeAutospacing="0" w:after="0" w:afterAutospacing="0"/>
                    <w:rPr>
                      <w:rFonts w:ascii="Roboto" w:hAnsi="Roboto"/>
                      <w:color w:val="283041"/>
                      <w:sz w:val="21"/>
                      <w:szCs w:val="21"/>
                    </w:rPr>
                  </w:pPr>
                </w:p>
                <w:p w14:paraId="4D4981FE" w14:textId="77777777" w:rsidR="003C1BD6" w:rsidRPr="008E4EB6" w:rsidRDefault="003C1BD6" w:rsidP="003C1BD6">
                  <w:pPr>
                    <w:rPr>
                      <w:sz w:val="16"/>
                      <w:szCs w:val="16"/>
                      <w:lang w:val="cy-GB"/>
                    </w:rPr>
                  </w:pPr>
                </w:p>
                <w:p w14:paraId="180CDBF2" w14:textId="77777777" w:rsidR="003C1BD6" w:rsidRPr="008E4EB6" w:rsidRDefault="003C1BD6" w:rsidP="003C1BD6">
                  <w:pPr>
                    <w:rPr>
                      <w:sz w:val="16"/>
                      <w:szCs w:val="16"/>
                      <w:lang w:val="cy-GB"/>
                    </w:rPr>
                  </w:pPr>
                </w:p>
              </w:tc>
            </w:tr>
          </w:tbl>
          <w:p w14:paraId="18121FAC" w14:textId="77777777" w:rsidR="000E2E7E" w:rsidRPr="001B4AB4" w:rsidRDefault="000E2E7E" w:rsidP="00AE36BB">
            <w:pPr>
              <w:rPr>
                <w:lang w:val="cy-GB"/>
              </w:rPr>
            </w:pPr>
          </w:p>
        </w:tc>
        <w:tc>
          <w:tcPr>
            <w:tcW w:w="3118" w:type="dxa"/>
          </w:tcPr>
          <w:p w14:paraId="0A55C9ED" w14:textId="0E2F6265" w:rsidR="000E2E7E" w:rsidRPr="001B4AB4" w:rsidRDefault="003C1BD6" w:rsidP="00AE36BB">
            <w:pPr>
              <w:rPr>
                <w:lang w:val="cy-GB"/>
              </w:rPr>
            </w:pPr>
            <w:r>
              <w:rPr>
                <w:lang w:val="cy-GB"/>
              </w:rPr>
              <w:t xml:space="preserve">Practiced referencing </w:t>
            </w:r>
          </w:p>
        </w:tc>
        <w:tc>
          <w:tcPr>
            <w:tcW w:w="2908" w:type="dxa"/>
          </w:tcPr>
          <w:p w14:paraId="183044AB" w14:textId="532D0B7C" w:rsidR="000E2E7E" w:rsidRPr="001B4AB4" w:rsidRDefault="003C1BD6" w:rsidP="00AE36BB">
            <w:pPr>
              <w:rPr>
                <w:lang w:val="cy-GB"/>
              </w:rPr>
            </w:pPr>
            <w:r>
              <w:rPr>
                <w:lang w:val="cy-GB"/>
              </w:rPr>
              <w:t>Reference list</w:t>
            </w:r>
          </w:p>
        </w:tc>
      </w:tr>
      <w:tr w:rsidR="000E2E7E" w:rsidRPr="001B4AB4" w14:paraId="388E36FE" w14:textId="77777777" w:rsidTr="000E2E7E">
        <w:trPr>
          <w:trHeight w:val="338"/>
        </w:trPr>
        <w:tc>
          <w:tcPr>
            <w:tcW w:w="3256" w:type="dxa"/>
          </w:tcPr>
          <w:p w14:paraId="7C3CB17E" w14:textId="77777777" w:rsidR="003C1BD6" w:rsidRPr="008E4EB6" w:rsidRDefault="003C1BD6" w:rsidP="003C1BD6">
            <w:pPr>
              <w:rPr>
                <w:sz w:val="16"/>
                <w:szCs w:val="16"/>
                <w:lang w:val="cy-GB"/>
              </w:rPr>
            </w:pPr>
          </w:p>
          <w:p w14:paraId="3F723977" w14:textId="77777777" w:rsidR="003C1BD6" w:rsidRDefault="003C1BD6" w:rsidP="003C1BD6">
            <w:pPr>
              <w:pStyle w:val="NormalWeb"/>
              <w:spacing w:before="0" w:beforeAutospacing="0" w:after="0" w:afterAutospacing="0"/>
              <w:rPr>
                <w:rFonts w:ascii="Roboto" w:hAnsi="Roboto"/>
                <w:color w:val="283041"/>
                <w:sz w:val="21"/>
                <w:szCs w:val="21"/>
              </w:rPr>
            </w:pPr>
            <w:r>
              <w:rPr>
                <w:rFonts w:ascii="Roboto" w:hAnsi="Roboto"/>
                <w:color w:val="283041"/>
                <w:sz w:val="21"/>
                <w:szCs w:val="21"/>
              </w:rPr>
              <w:t>*</w:t>
            </w:r>
            <w:proofErr w:type="spellStart"/>
            <w:r>
              <w:rPr>
                <w:rFonts w:ascii="Roboto" w:hAnsi="Roboto"/>
                <w:color w:val="283041"/>
                <w:sz w:val="21"/>
                <w:szCs w:val="21"/>
              </w:rPr>
              <w:t>Syntheseiddio</w:t>
            </w:r>
            <w:proofErr w:type="spellEnd"/>
            <w:r>
              <w:rPr>
                <w:rFonts w:ascii="Roboto" w:hAnsi="Roboto"/>
                <w:color w:val="283041"/>
                <w:sz w:val="21"/>
                <w:szCs w:val="21"/>
              </w:rPr>
              <w:t xml:space="preserve"> </w:t>
            </w:r>
            <w:proofErr w:type="spellStart"/>
            <w:r>
              <w:rPr>
                <w:rFonts w:ascii="Roboto" w:hAnsi="Roboto"/>
                <w:color w:val="283041"/>
                <w:sz w:val="21"/>
                <w:szCs w:val="21"/>
              </w:rPr>
              <w:t>llenyddiaeth</w:t>
            </w:r>
            <w:proofErr w:type="spellEnd"/>
            <w:r>
              <w:rPr>
                <w:rFonts w:ascii="Roboto" w:hAnsi="Roboto"/>
                <w:color w:val="283041"/>
                <w:sz w:val="21"/>
                <w:szCs w:val="21"/>
              </w:rPr>
              <w:t xml:space="preserve"> </w:t>
            </w:r>
            <w:proofErr w:type="spellStart"/>
            <w:r>
              <w:rPr>
                <w:rFonts w:ascii="Roboto" w:hAnsi="Roboto"/>
                <w:color w:val="283041"/>
                <w:sz w:val="21"/>
                <w:szCs w:val="21"/>
              </w:rPr>
              <w:t>yn</w:t>
            </w:r>
            <w:proofErr w:type="spellEnd"/>
            <w:r>
              <w:rPr>
                <w:rFonts w:ascii="Roboto" w:hAnsi="Roboto"/>
                <w:color w:val="283041"/>
                <w:sz w:val="21"/>
                <w:szCs w:val="21"/>
              </w:rPr>
              <w:t xml:space="preserve"> </w:t>
            </w:r>
            <w:proofErr w:type="spellStart"/>
            <w:r>
              <w:rPr>
                <w:rFonts w:ascii="Roboto" w:hAnsi="Roboto"/>
                <w:color w:val="283041"/>
                <w:sz w:val="21"/>
                <w:szCs w:val="21"/>
              </w:rPr>
              <w:t>gyson</w:t>
            </w:r>
            <w:proofErr w:type="spellEnd"/>
            <w:r>
              <w:rPr>
                <w:rFonts w:ascii="Roboto" w:hAnsi="Roboto"/>
                <w:color w:val="283041"/>
                <w:sz w:val="21"/>
                <w:szCs w:val="21"/>
              </w:rPr>
              <w:t xml:space="preserve"> </w:t>
            </w:r>
            <w:proofErr w:type="spellStart"/>
            <w:r>
              <w:rPr>
                <w:rFonts w:ascii="Roboto" w:hAnsi="Roboto"/>
                <w:color w:val="283041"/>
                <w:sz w:val="21"/>
                <w:szCs w:val="21"/>
              </w:rPr>
              <w:t>drwy</w:t>
            </w:r>
            <w:proofErr w:type="spellEnd"/>
            <w:r>
              <w:rPr>
                <w:rFonts w:ascii="Roboto" w:hAnsi="Roboto"/>
                <w:color w:val="283041"/>
                <w:sz w:val="21"/>
                <w:szCs w:val="21"/>
              </w:rPr>
              <w:t xml:space="preserve"> </w:t>
            </w:r>
            <w:proofErr w:type="spellStart"/>
            <w:r>
              <w:rPr>
                <w:rFonts w:ascii="Roboto" w:hAnsi="Roboto"/>
                <w:color w:val="283041"/>
                <w:sz w:val="21"/>
                <w:szCs w:val="21"/>
              </w:rPr>
              <w:t>dy</w:t>
            </w:r>
            <w:proofErr w:type="spellEnd"/>
            <w:r>
              <w:rPr>
                <w:rFonts w:ascii="Roboto" w:hAnsi="Roboto"/>
                <w:color w:val="283041"/>
                <w:sz w:val="21"/>
                <w:szCs w:val="21"/>
              </w:rPr>
              <w:t xml:space="preserve"> </w:t>
            </w:r>
            <w:proofErr w:type="spellStart"/>
            <w:r>
              <w:rPr>
                <w:rFonts w:ascii="Roboto" w:hAnsi="Roboto"/>
                <w:color w:val="283041"/>
                <w:sz w:val="21"/>
                <w:szCs w:val="21"/>
              </w:rPr>
              <w:t>waith</w:t>
            </w:r>
            <w:proofErr w:type="spellEnd"/>
            <w:r>
              <w:rPr>
                <w:rFonts w:ascii="Roboto" w:hAnsi="Roboto"/>
                <w:color w:val="283041"/>
                <w:sz w:val="21"/>
                <w:szCs w:val="21"/>
              </w:rPr>
              <w:t>.</w:t>
            </w:r>
          </w:p>
          <w:p w14:paraId="2740262D" w14:textId="77777777" w:rsidR="000E2E7E" w:rsidRDefault="000E2E7E" w:rsidP="00AE36BB">
            <w:pPr>
              <w:rPr>
                <w:lang w:val="cy-GB"/>
              </w:rPr>
            </w:pPr>
          </w:p>
          <w:p w14:paraId="06CE4F7D" w14:textId="77777777" w:rsidR="000E2E7E" w:rsidRPr="001B4AB4" w:rsidRDefault="000E2E7E" w:rsidP="00AE36BB">
            <w:pPr>
              <w:rPr>
                <w:lang w:val="cy-GB"/>
              </w:rPr>
            </w:pPr>
          </w:p>
        </w:tc>
        <w:tc>
          <w:tcPr>
            <w:tcW w:w="3118" w:type="dxa"/>
          </w:tcPr>
          <w:p w14:paraId="33CC185F" w14:textId="2110A273" w:rsidR="000E2E7E" w:rsidRPr="001B4AB4" w:rsidRDefault="003C1BD6" w:rsidP="00AE36BB">
            <w:pPr>
              <w:rPr>
                <w:lang w:val="cy-GB"/>
              </w:rPr>
            </w:pPr>
            <w:r>
              <w:rPr>
                <w:lang w:val="cy-GB"/>
              </w:rPr>
              <w:t>Read more articles</w:t>
            </w:r>
          </w:p>
        </w:tc>
        <w:tc>
          <w:tcPr>
            <w:tcW w:w="2908" w:type="dxa"/>
          </w:tcPr>
          <w:p w14:paraId="37CFC390" w14:textId="3828A37B" w:rsidR="000E2E7E" w:rsidRPr="001B4AB4" w:rsidRDefault="003C1BD6" w:rsidP="00AE36BB">
            <w:pPr>
              <w:rPr>
                <w:lang w:val="cy-GB"/>
              </w:rPr>
            </w:pPr>
            <w:r>
              <w:rPr>
                <w:lang w:val="cy-GB"/>
              </w:rPr>
              <w:t>More references</w:t>
            </w:r>
          </w:p>
        </w:tc>
      </w:tr>
      <w:tr w:rsidR="000E2E7E" w:rsidRPr="001B4AB4" w14:paraId="05EE73CD" w14:textId="77777777" w:rsidTr="000E2E7E">
        <w:trPr>
          <w:trHeight w:val="338"/>
        </w:trPr>
        <w:tc>
          <w:tcPr>
            <w:tcW w:w="3256" w:type="dxa"/>
          </w:tcPr>
          <w:p w14:paraId="5C658833" w14:textId="07609781" w:rsidR="000E2E7E" w:rsidRDefault="003C1BD6" w:rsidP="00AE36BB">
            <w:pPr>
              <w:rPr>
                <w:lang w:val="cy-GB"/>
              </w:rPr>
            </w:pPr>
            <w:proofErr w:type="spellStart"/>
            <w:r>
              <w:rPr>
                <w:rFonts w:ascii="Roboto" w:hAnsi="Roboto"/>
                <w:color w:val="283041"/>
                <w:sz w:val="21"/>
                <w:szCs w:val="21"/>
              </w:rPr>
              <w:t>Mabwysiadu</w:t>
            </w:r>
            <w:proofErr w:type="spellEnd"/>
            <w:r>
              <w:rPr>
                <w:rFonts w:ascii="Roboto" w:hAnsi="Roboto"/>
                <w:color w:val="283041"/>
                <w:sz w:val="21"/>
                <w:szCs w:val="21"/>
              </w:rPr>
              <w:t xml:space="preserve"> </w:t>
            </w:r>
            <w:proofErr w:type="spellStart"/>
            <w:r>
              <w:rPr>
                <w:rFonts w:ascii="Roboto" w:hAnsi="Roboto"/>
                <w:color w:val="283041"/>
                <w:sz w:val="21"/>
                <w:szCs w:val="21"/>
              </w:rPr>
              <w:t>arddull</w:t>
            </w:r>
            <w:proofErr w:type="spellEnd"/>
            <w:r>
              <w:rPr>
                <w:rFonts w:ascii="Roboto" w:hAnsi="Roboto"/>
                <w:color w:val="283041"/>
                <w:sz w:val="21"/>
                <w:szCs w:val="21"/>
              </w:rPr>
              <w:t xml:space="preserve"> </w:t>
            </w:r>
            <w:proofErr w:type="spellStart"/>
            <w:r>
              <w:rPr>
                <w:rFonts w:ascii="Roboto" w:hAnsi="Roboto"/>
                <w:color w:val="283041"/>
                <w:sz w:val="21"/>
                <w:szCs w:val="21"/>
              </w:rPr>
              <w:t>academaidd</w:t>
            </w:r>
            <w:proofErr w:type="spellEnd"/>
            <w:r>
              <w:rPr>
                <w:rFonts w:ascii="Roboto" w:hAnsi="Roboto"/>
                <w:color w:val="283041"/>
                <w:sz w:val="21"/>
                <w:szCs w:val="21"/>
              </w:rPr>
              <w:t xml:space="preserve"> o </w:t>
            </w:r>
            <w:proofErr w:type="spellStart"/>
            <w:r>
              <w:rPr>
                <w:rFonts w:ascii="Roboto" w:hAnsi="Roboto"/>
                <w:color w:val="283041"/>
                <w:sz w:val="21"/>
                <w:szCs w:val="21"/>
              </w:rPr>
              <w:t>ysgrifennu</w:t>
            </w:r>
            <w:proofErr w:type="spellEnd"/>
            <w:r>
              <w:rPr>
                <w:rFonts w:ascii="Roboto" w:hAnsi="Roboto"/>
                <w:color w:val="283041"/>
                <w:sz w:val="21"/>
                <w:szCs w:val="21"/>
              </w:rPr>
              <w:t xml:space="preserve"> </w:t>
            </w:r>
            <w:proofErr w:type="spellStart"/>
            <w:r>
              <w:rPr>
                <w:rFonts w:ascii="Roboto" w:hAnsi="Roboto"/>
                <w:color w:val="283041"/>
                <w:sz w:val="21"/>
                <w:szCs w:val="21"/>
              </w:rPr>
              <w:t>gan</w:t>
            </w:r>
            <w:proofErr w:type="spellEnd"/>
            <w:r>
              <w:rPr>
                <w:rFonts w:ascii="Roboto" w:hAnsi="Roboto"/>
                <w:color w:val="283041"/>
                <w:sz w:val="21"/>
                <w:szCs w:val="21"/>
              </w:rPr>
              <w:t xml:space="preserve"> </w:t>
            </w:r>
            <w:proofErr w:type="spellStart"/>
            <w:r>
              <w:rPr>
                <w:rFonts w:ascii="Roboto" w:hAnsi="Roboto"/>
                <w:color w:val="283041"/>
                <w:sz w:val="21"/>
                <w:szCs w:val="21"/>
              </w:rPr>
              <w:t>ddefnyddio</w:t>
            </w:r>
            <w:proofErr w:type="spellEnd"/>
            <w:r>
              <w:rPr>
                <w:rFonts w:ascii="Roboto" w:hAnsi="Roboto"/>
                <w:color w:val="283041"/>
                <w:sz w:val="21"/>
                <w:szCs w:val="21"/>
              </w:rPr>
              <w:t xml:space="preserve"> </w:t>
            </w:r>
            <w:proofErr w:type="spellStart"/>
            <w:r>
              <w:rPr>
                <w:rFonts w:ascii="Roboto" w:hAnsi="Roboto"/>
                <w:color w:val="283041"/>
                <w:sz w:val="21"/>
                <w:szCs w:val="21"/>
              </w:rPr>
              <w:t>iaith</w:t>
            </w:r>
            <w:proofErr w:type="spellEnd"/>
            <w:r>
              <w:rPr>
                <w:rFonts w:ascii="Roboto" w:hAnsi="Roboto"/>
                <w:color w:val="283041"/>
                <w:sz w:val="21"/>
                <w:szCs w:val="21"/>
              </w:rPr>
              <w:t xml:space="preserve"> </w:t>
            </w:r>
            <w:proofErr w:type="spellStart"/>
            <w:r>
              <w:rPr>
                <w:rFonts w:ascii="Roboto" w:hAnsi="Roboto"/>
                <w:color w:val="283041"/>
                <w:sz w:val="21"/>
                <w:szCs w:val="21"/>
              </w:rPr>
              <w:t>betrus</w:t>
            </w:r>
            <w:proofErr w:type="spellEnd"/>
            <w:r>
              <w:rPr>
                <w:rFonts w:ascii="Roboto" w:hAnsi="Roboto"/>
                <w:color w:val="283041"/>
                <w:sz w:val="21"/>
                <w:szCs w:val="21"/>
              </w:rPr>
              <w:t>.</w:t>
            </w:r>
          </w:p>
          <w:p w14:paraId="42E07348" w14:textId="77777777" w:rsidR="000E2E7E" w:rsidRPr="001B4AB4" w:rsidRDefault="000E2E7E" w:rsidP="003C1BD6">
            <w:pPr>
              <w:pStyle w:val="NormalWeb"/>
              <w:spacing w:before="0" w:beforeAutospacing="0" w:after="0" w:afterAutospacing="0"/>
              <w:rPr>
                <w:lang w:val="cy-GB"/>
              </w:rPr>
            </w:pPr>
          </w:p>
        </w:tc>
        <w:tc>
          <w:tcPr>
            <w:tcW w:w="3118" w:type="dxa"/>
          </w:tcPr>
          <w:p w14:paraId="37B37629" w14:textId="5CEE4109" w:rsidR="000E2E7E" w:rsidRPr="001B4AB4" w:rsidRDefault="003C1BD6" w:rsidP="00AE36BB">
            <w:pPr>
              <w:rPr>
                <w:lang w:val="cy-GB"/>
              </w:rPr>
            </w:pPr>
            <w:r>
              <w:rPr>
                <w:lang w:val="cy-GB"/>
              </w:rPr>
              <w:t>Worked on my language</w:t>
            </w:r>
          </w:p>
        </w:tc>
        <w:tc>
          <w:tcPr>
            <w:tcW w:w="2908" w:type="dxa"/>
          </w:tcPr>
          <w:p w14:paraId="7AC8D709" w14:textId="4A34ACB0" w:rsidR="000E2E7E" w:rsidRPr="001B4AB4" w:rsidRDefault="003C1BD6" w:rsidP="00AE36BB">
            <w:pPr>
              <w:rPr>
                <w:lang w:val="cy-GB"/>
              </w:rPr>
            </w:pPr>
            <w:r>
              <w:rPr>
                <w:lang w:val="cy-GB"/>
              </w:rPr>
              <w:t xml:space="preserve">Used formal and academic language throughout </w:t>
            </w:r>
          </w:p>
        </w:tc>
      </w:tr>
    </w:tbl>
    <w:p w14:paraId="1CD1FA79" w14:textId="1E826845" w:rsidR="000E2E7E" w:rsidRPr="00965747" w:rsidRDefault="000E2E7E" w:rsidP="00D163BC"/>
    <w:p w14:paraId="3EE4E141" w14:textId="29565BD7" w:rsidR="009B6A7E" w:rsidRPr="003C1BD6" w:rsidRDefault="003C1BD6" w:rsidP="00D163BC">
      <w:pPr>
        <w:rPr>
          <w:b/>
          <w:bCs/>
          <w:color w:val="000000" w:themeColor="text1"/>
          <w:u w:val="single"/>
          <w:shd w:val="clear" w:color="auto" w:fill="FFFFFF"/>
        </w:rPr>
      </w:pPr>
      <w:r w:rsidRPr="003C1BD6">
        <w:rPr>
          <w:b/>
          <w:bCs/>
          <w:color w:val="000000" w:themeColor="text1"/>
          <w:u w:val="single"/>
          <w:shd w:val="clear" w:color="auto" w:fill="FFFFFF"/>
        </w:rPr>
        <w:t>Part 1</w:t>
      </w:r>
    </w:p>
    <w:p w14:paraId="102351C3" w14:textId="478195B8" w:rsidR="00965747" w:rsidRPr="00B11845" w:rsidRDefault="00965747" w:rsidP="00B11845">
      <w:pPr>
        <w:spacing w:line="360" w:lineRule="auto"/>
        <w:rPr>
          <w:color w:val="3A3A3A"/>
          <w:shd w:val="clear" w:color="auto" w:fill="FFFFFF"/>
        </w:rPr>
      </w:pPr>
      <w:r w:rsidRPr="00B11845">
        <w:rPr>
          <w:color w:val="3A3A3A"/>
          <w:shd w:val="clear" w:color="auto" w:fill="FFFFFF"/>
        </w:rPr>
        <w:t xml:space="preserve">(Lee, 2021) suggests that </w:t>
      </w:r>
      <w:r w:rsidR="00B11845" w:rsidRPr="00B11845">
        <w:rPr>
          <w:color w:val="3A3A3A"/>
          <w:shd w:val="clear" w:color="auto" w:fill="FFFFFF"/>
        </w:rPr>
        <w:t>a definition</w:t>
      </w:r>
      <w:r w:rsidRPr="00B11845">
        <w:rPr>
          <w:color w:val="3A3A3A"/>
          <w:shd w:val="clear" w:color="auto" w:fill="FFFFFF"/>
        </w:rPr>
        <w:t xml:space="preserve"> of inclusive practice is described as “remove barriers to learning and support to facilitate the success of all learners, whilst ensuring that teaching standards are not compromised”</w:t>
      </w:r>
      <w:r w:rsidR="00B11845" w:rsidRPr="00B11845">
        <w:rPr>
          <w:color w:val="3A3A3A"/>
          <w:shd w:val="clear" w:color="auto" w:fill="FFFFFF"/>
        </w:rPr>
        <w:t xml:space="preserve">. </w:t>
      </w:r>
      <w:r w:rsidRPr="00B11845">
        <w:rPr>
          <w:color w:val="3A3A3A"/>
          <w:shd w:val="clear" w:color="auto" w:fill="FFFFFF"/>
        </w:rPr>
        <w:t xml:space="preserve">This means that for students with additional learning needs (ALN) in Wales are entitled to a high standard of education which is supported </w:t>
      </w:r>
      <w:r w:rsidR="00B11845" w:rsidRPr="00B11845">
        <w:rPr>
          <w:color w:val="3A3A3A"/>
          <w:shd w:val="clear" w:color="auto" w:fill="FFFFFF"/>
        </w:rPr>
        <w:t>by</w:t>
      </w:r>
      <w:r w:rsidRPr="00B11845">
        <w:rPr>
          <w:color w:val="3A3A3A"/>
          <w:shd w:val="clear" w:color="auto" w:fill="FFFFFF"/>
        </w:rPr>
        <w:t xml:space="preserve"> the Additional Learning Needs and Education Tribunal (Wales) Act 2018 (the Act). A new legal framework for assisting children and youth with additional learning needs is provided by the Additional Learning Needs and Education Tribunal (Wales) Act 2018 (the Act). The prior laws pertaining to special education needs and the evaluation of children and adolescents with learning disabilities and/or difficulties were superseded by this. This legal framework requires schools to use a person-centred approach that emphasises student voice and collaboration with families and professionals </w:t>
      </w:r>
      <w:r w:rsidR="00B11845" w:rsidRPr="00B11845">
        <w:rPr>
          <w:color w:val="3A3A3A"/>
          <w:shd w:val="clear" w:color="auto" w:fill="FFFFFF"/>
        </w:rPr>
        <w:t>to</w:t>
      </w:r>
      <w:r w:rsidRPr="00B11845">
        <w:rPr>
          <w:color w:val="3A3A3A"/>
          <w:shd w:val="clear" w:color="auto" w:fill="FFFFFF"/>
        </w:rPr>
        <w:t xml:space="preserve"> identify, evaluate, and support children with ALN. By offering personalised instruction, specialised support techniques, and inclusive classroom environments that encourage involvement and success for all students, inclusive practice helps remove learning barriers in a diverse classroom. Prioritising inclusion also benefits each student's growth and well-being, which aligns with the overall goals of the Well-being of Future Generations (Wales) Act 2015 and equips students to prosper in a culture that values diversity, upholds equality, and develops understanding amongst people.</w:t>
      </w:r>
    </w:p>
    <w:p w14:paraId="34EA4B32" w14:textId="2EE2F575" w:rsidR="009B6A7E" w:rsidRPr="00B11845" w:rsidRDefault="00965747" w:rsidP="00B11845">
      <w:pPr>
        <w:pStyle w:val="NormalWeb"/>
        <w:spacing w:line="360" w:lineRule="auto"/>
        <w:rPr>
          <w:rFonts w:asciiTheme="minorHAnsi" w:hAnsiTheme="minorHAnsi"/>
        </w:rPr>
      </w:pPr>
      <w:r w:rsidRPr="00B11845">
        <w:rPr>
          <w:rFonts w:asciiTheme="minorHAnsi" w:hAnsiTheme="minorHAnsi"/>
          <w:color w:val="3A3A3A"/>
          <w:shd w:val="clear" w:color="auto" w:fill="FFFFFF"/>
        </w:rPr>
        <w:t xml:space="preserve">During my placement in a Welsh primary school, I was placed in a year 6 class with students with learning </w:t>
      </w:r>
      <w:r w:rsidR="009B6A7E" w:rsidRPr="00B11845">
        <w:rPr>
          <w:rFonts w:asciiTheme="minorHAnsi" w:hAnsiTheme="minorHAnsi"/>
          <w:color w:val="3A3A3A"/>
          <w:shd w:val="clear" w:color="auto" w:fill="FFFFFF"/>
        </w:rPr>
        <w:t>difficulties</w:t>
      </w:r>
      <w:r w:rsidRPr="00B11845">
        <w:rPr>
          <w:rFonts w:asciiTheme="minorHAnsi" w:hAnsiTheme="minorHAnsi"/>
          <w:color w:val="3A3A3A"/>
          <w:shd w:val="clear" w:color="auto" w:fill="FFFFFF"/>
        </w:rPr>
        <w:t xml:space="preserve"> or disabilities. </w:t>
      </w:r>
      <w:r w:rsidR="009B6A7E" w:rsidRPr="00B11845">
        <w:rPr>
          <w:rFonts w:asciiTheme="minorHAnsi" w:hAnsiTheme="minorHAnsi"/>
          <w:color w:val="3A3A3A"/>
          <w:shd w:val="clear" w:color="auto" w:fill="FFFFFF"/>
        </w:rPr>
        <w:t xml:space="preserve"> In align with (BERA, 2024), all students will remain anonymous for the duration of this assignment. When I met with the additional learning needs coordinator (</w:t>
      </w:r>
      <w:proofErr w:type="spellStart"/>
      <w:r w:rsidR="009B6A7E" w:rsidRPr="00B11845">
        <w:rPr>
          <w:rFonts w:asciiTheme="minorHAnsi" w:hAnsiTheme="minorHAnsi"/>
          <w:color w:val="3A3A3A"/>
          <w:shd w:val="clear" w:color="auto" w:fill="FFFFFF"/>
        </w:rPr>
        <w:t>ALNCo</w:t>
      </w:r>
      <w:proofErr w:type="spellEnd"/>
      <w:r w:rsidR="009B6A7E" w:rsidRPr="00B11845">
        <w:rPr>
          <w:rFonts w:asciiTheme="minorHAnsi" w:hAnsiTheme="minorHAnsi"/>
          <w:color w:val="3A3A3A"/>
          <w:shd w:val="clear" w:color="auto" w:fill="FFFFFF"/>
        </w:rPr>
        <w:t xml:space="preserve">), she expressed the importance of having an inclusive classroom. This was not only to support those with ALN but also to support every </w:t>
      </w:r>
      <w:r w:rsidR="00B11845" w:rsidRPr="00B11845">
        <w:rPr>
          <w:rFonts w:asciiTheme="minorHAnsi" w:hAnsiTheme="minorHAnsi"/>
          <w:color w:val="3A3A3A"/>
          <w:shd w:val="clear" w:color="auto" w:fill="FFFFFF"/>
        </w:rPr>
        <w:t>student</w:t>
      </w:r>
      <w:r w:rsidR="009B6A7E" w:rsidRPr="00B11845">
        <w:rPr>
          <w:rFonts w:asciiTheme="minorHAnsi" w:hAnsiTheme="minorHAnsi"/>
          <w:color w:val="3A3A3A"/>
          <w:shd w:val="clear" w:color="auto" w:fill="FFFFFF"/>
        </w:rPr>
        <w:t xml:space="preserve">. Putting children's needs first enhances the possibility that they will participate in activities because they will be motivated to learn, according to (Learning Journals, 2021), which supports the need for an inclusive classroom. They will feel encouraged and supported to participate if the activities are catered to their individual ability. The </w:t>
      </w:r>
      <w:proofErr w:type="spellStart"/>
      <w:r w:rsidR="009B6A7E" w:rsidRPr="00B11845">
        <w:rPr>
          <w:rFonts w:asciiTheme="minorHAnsi" w:hAnsiTheme="minorHAnsi"/>
          <w:color w:val="3A3A3A"/>
          <w:shd w:val="clear" w:color="auto" w:fill="FFFFFF"/>
        </w:rPr>
        <w:t>ALNCo</w:t>
      </w:r>
      <w:proofErr w:type="spellEnd"/>
      <w:r w:rsidR="009B6A7E" w:rsidRPr="00B11845">
        <w:rPr>
          <w:rFonts w:asciiTheme="minorHAnsi" w:hAnsiTheme="minorHAnsi"/>
          <w:color w:val="3A3A3A"/>
          <w:shd w:val="clear" w:color="auto" w:fill="FFFFFF"/>
        </w:rPr>
        <w:t xml:space="preserve"> was also working on students </w:t>
      </w:r>
      <w:r w:rsidR="009B6A7E" w:rsidRPr="00B11845">
        <w:rPr>
          <w:rFonts w:asciiTheme="minorHAnsi" w:hAnsiTheme="minorHAnsi"/>
        </w:rPr>
        <w:t xml:space="preserve">Individual Development Plans (IDPs) An IDP is a legally required document that contains information about your child, such as an explanation of the ALN for your child and the agreed-upon supplementary learning provision. The student would sit with the teacher and discuss strategies for improvement and success. This really emphasised the importance of a relationship between a student and the teacher. It allows teachers to become familiar with their student and their needs on a deeper level. Building strong relationships with your pupils not only makes your classroom a safe and welcoming place for everyone, but it also helps them succeed in the classroom. </w:t>
      </w:r>
      <w:r w:rsidR="00B11845" w:rsidRPr="00B11845">
        <w:rPr>
          <w:rFonts w:asciiTheme="minorHAnsi" w:hAnsiTheme="minorHAnsi"/>
        </w:rPr>
        <w:t>(</w:t>
      </w:r>
      <w:proofErr w:type="spellStart"/>
      <w:r w:rsidR="009B6A7E" w:rsidRPr="00B11845">
        <w:rPr>
          <w:rFonts w:asciiTheme="minorHAnsi" w:hAnsiTheme="minorHAnsi"/>
        </w:rPr>
        <w:t>Rivolta</w:t>
      </w:r>
      <w:proofErr w:type="spellEnd"/>
      <w:r w:rsidR="009B6A7E" w:rsidRPr="00B11845">
        <w:rPr>
          <w:rFonts w:asciiTheme="minorHAnsi" w:hAnsiTheme="minorHAnsi"/>
        </w:rPr>
        <w:t xml:space="preserve">, 2022) </w:t>
      </w:r>
    </w:p>
    <w:p w14:paraId="4969E32F" w14:textId="4CF03F53" w:rsidR="009B6A7E" w:rsidRPr="00B11845" w:rsidRDefault="009B6A7E" w:rsidP="00B11845">
      <w:pPr>
        <w:pStyle w:val="NormalWeb"/>
        <w:spacing w:line="360" w:lineRule="auto"/>
        <w:rPr>
          <w:rFonts w:asciiTheme="minorHAnsi" w:hAnsiTheme="minorHAnsi"/>
          <w:color w:val="3A3A3A"/>
          <w:shd w:val="clear" w:color="auto" w:fill="FFFFFF"/>
        </w:rPr>
      </w:pPr>
      <w:r w:rsidRPr="00B11845">
        <w:rPr>
          <w:rFonts w:asciiTheme="minorHAnsi" w:hAnsiTheme="minorHAnsi"/>
          <w:color w:val="3A3A3A"/>
          <w:shd w:val="clear" w:color="auto" w:fill="FFFFFF"/>
        </w:rPr>
        <w:t>However, there are many barriers and limitations when it comes to inclusive classrooms. Barriers for inclusive schools include a lack of resources, and inadequate teacher preparation. Biases and stereotypes might make it more difficult to accept different students. Participation is also impacted by communication and physical limitations. Furthermore, it is difficult to adequately address each student's unique needs due to the reduction in individual attention caused by significant class numbers and a lack of support staff. These are all barriers that have a large impact on ensuring a classroom is inclusive. Results from (Estyn,2024) demonstrate that many students are improving appropriately from their starting points in areas where ALN reform has been successfully implemented. All students' learning and welfare were given priority in schools and environments with an inclusive culture.</w:t>
      </w:r>
    </w:p>
    <w:p w14:paraId="2615E505" w14:textId="07FE5704" w:rsidR="00B11845" w:rsidRPr="00B11845" w:rsidRDefault="00B11845" w:rsidP="00B11845">
      <w:pPr>
        <w:pStyle w:val="NormalWeb"/>
        <w:spacing w:line="360" w:lineRule="auto"/>
        <w:rPr>
          <w:rFonts w:asciiTheme="minorHAnsi" w:hAnsiTheme="minorHAnsi"/>
          <w:color w:val="3A3A3A"/>
          <w:shd w:val="clear" w:color="auto" w:fill="FFFFFF"/>
        </w:rPr>
      </w:pPr>
      <w:r w:rsidRPr="00B11845">
        <w:rPr>
          <w:rFonts w:asciiTheme="minorHAnsi" w:hAnsiTheme="minorHAnsi"/>
          <w:color w:val="3A3A3A"/>
          <w:shd w:val="clear" w:color="auto" w:fill="FFFFFF"/>
        </w:rPr>
        <w:t xml:space="preserve">Strategy 1 – visual timetables </w:t>
      </w:r>
    </w:p>
    <w:p w14:paraId="49FD5DA0" w14:textId="1EA3B6DB" w:rsidR="00B11845" w:rsidRPr="00B11845" w:rsidRDefault="00B11845" w:rsidP="00B11845">
      <w:pPr>
        <w:pStyle w:val="NormalWeb"/>
        <w:spacing w:line="360" w:lineRule="auto"/>
        <w:rPr>
          <w:rFonts w:asciiTheme="minorHAnsi" w:hAnsiTheme="minorHAnsi"/>
        </w:rPr>
      </w:pPr>
      <w:r w:rsidRPr="00B11845">
        <w:rPr>
          <w:rFonts w:asciiTheme="minorHAnsi" w:hAnsiTheme="minorHAnsi"/>
        </w:rPr>
        <w:fldChar w:fldCharType="begin"/>
      </w:r>
      <w:r w:rsidRPr="00B11845">
        <w:rPr>
          <w:rFonts w:asciiTheme="minorHAnsi" w:hAnsiTheme="minorHAnsi"/>
        </w:rPr>
        <w:instrText xml:space="preserve"> INCLUDEPICTURE "/Users/elishajosephson/Library/Group Containers/UBF8T346G9.ms/WebArchiveCopyPasteTempFiles/com.microsoft.Word/V+9yqjZ9YdT2wAAAABJRU5ErkJggg==" \* MERGEFORMATINET </w:instrText>
      </w:r>
      <w:r w:rsidRPr="00B11845">
        <w:rPr>
          <w:rFonts w:asciiTheme="minorHAnsi" w:hAnsiTheme="minorHAnsi"/>
        </w:rPr>
        <w:fldChar w:fldCharType="separate"/>
      </w:r>
      <w:r w:rsidRPr="00B11845">
        <w:rPr>
          <w:rFonts w:asciiTheme="minorHAnsi" w:hAnsiTheme="minorHAnsi"/>
          <w:noProof/>
        </w:rPr>
        <w:drawing>
          <wp:inline distT="0" distB="0" distL="0" distR="0" wp14:anchorId="09AAC189" wp14:editId="36D25D39">
            <wp:extent cx="2489920" cy="1244764"/>
            <wp:effectExtent l="0" t="0" r="0" b="0"/>
            <wp:docPr id="1574667986" name="Picture 1" descr="visual timetables for autistic childr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QFcqaOKSIvCthbIPsLb8oAQ_12" descr="visual timetables for autistic children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77912" cy="1538714"/>
                    </a:xfrm>
                    <a:prstGeom prst="rect">
                      <a:avLst/>
                    </a:prstGeom>
                    <a:noFill/>
                    <a:ln>
                      <a:noFill/>
                    </a:ln>
                  </pic:spPr>
                </pic:pic>
              </a:graphicData>
            </a:graphic>
          </wp:inline>
        </w:drawing>
      </w:r>
      <w:r w:rsidRPr="00B11845">
        <w:rPr>
          <w:rFonts w:asciiTheme="minorHAnsi" w:hAnsiTheme="minorHAnsi"/>
        </w:rPr>
        <w:fldChar w:fldCharType="end"/>
      </w:r>
    </w:p>
    <w:p w14:paraId="21C4A7F3" w14:textId="75FD6DAD" w:rsidR="00B11845" w:rsidRPr="00B11845" w:rsidRDefault="00B11845" w:rsidP="00B11845">
      <w:pPr>
        <w:pStyle w:val="NormalWeb"/>
        <w:spacing w:line="360" w:lineRule="auto"/>
        <w:rPr>
          <w:rFonts w:asciiTheme="minorHAnsi" w:hAnsiTheme="minorHAnsi"/>
        </w:rPr>
      </w:pPr>
      <w:r w:rsidRPr="00B11845">
        <w:rPr>
          <w:rFonts w:asciiTheme="minorHAnsi" w:hAnsiTheme="minorHAnsi"/>
        </w:rPr>
        <w:t xml:space="preserve">Visual timetables are an effective inclusive strategy in primary schools, especially when supporting learners with additional learning needs such as autism and speech and language disorder. A visual timetable is a representative of the structure of the day, using pictures and signs to represent an activity. For any student, especially those who like to stick to a routine, can stay aware of the structure of the day. It helps young people understand what must happen before they can engage in the activity they are frequently focused on. By understanding what has happened in the past and what will happen in the future, it also enables children to comprehend where they are in the day. </w:t>
      </w:r>
      <w:r w:rsidRPr="00B11845">
        <w:rPr>
          <w:rFonts w:asciiTheme="minorHAnsi" w:hAnsiTheme="minorHAnsi"/>
          <w:color w:val="3A3A3A"/>
          <w:shd w:val="clear" w:color="auto" w:fill="FFFFFF"/>
        </w:rPr>
        <w:t xml:space="preserve">(Council for disabled children, 2024). A visual timetable an also reduce stress and anxiety in young people as activities will not come as a shock to them, and they are able to prepare for the things that may be out of their comfort zone. </w:t>
      </w:r>
      <w:r w:rsidRPr="00B11845">
        <w:rPr>
          <w:rFonts w:asciiTheme="minorHAnsi" w:hAnsiTheme="minorHAnsi"/>
        </w:rPr>
        <w:t>This is supported by (</w:t>
      </w:r>
      <w:proofErr w:type="gramStart"/>
      <w:r w:rsidRPr="00B11845">
        <w:rPr>
          <w:rFonts w:asciiTheme="minorHAnsi" w:hAnsiTheme="minorHAnsi"/>
        </w:rPr>
        <w:t>Norfolk county</w:t>
      </w:r>
      <w:proofErr w:type="gramEnd"/>
      <w:r w:rsidRPr="00B11845">
        <w:rPr>
          <w:rFonts w:asciiTheme="minorHAnsi" w:hAnsiTheme="minorHAnsi"/>
        </w:rPr>
        <w:t xml:space="preserve"> council, 2025) as they suggest that Visual timetables reduce misunderstanding about impending activities and help keep young people on track throughout the day. They are therefore better able to concentrate on their studies.</w:t>
      </w:r>
    </w:p>
    <w:p w14:paraId="71805017" w14:textId="68764EF6" w:rsidR="00B11845" w:rsidRPr="00B11845" w:rsidRDefault="00B11845" w:rsidP="00B11845">
      <w:pPr>
        <w:pStyle w:val="NormalWeb"/>
        <w:spacing w:line="360" w:lineRule="auto"/>
        <w:rPr>
          <w:rFonts w:asciiTheme="minorHAnsi" w:hAnsiTheme="minorHAnsi"/>
        </w:rPr>
      </w:pPr>
      <w:r w:rsidRPr="00B11845">
        <w:rPr>
          <w:rFonts w:asciiTheme="minorHAnsi" w:hAnsiTheme="minorHAnsi"/>
        </w:rPr>
        <w:t>When the visual timetable was implemented on clinical practice, it was clear to see that those who like to follow a routine felt much happier that day. Especially for the one child who has autism in the class, he felt at ease as he was able to prepare for a certain task or subject that may not be his favourite. I also saw that it only worked well for those with learning disabilities, but for the whole class. The whole class was more prepared and organised for the day as they did not have to wait for certain instructions as they knew what was coming next. Overall, I found that this easy made visual timetable made the whole class felt comfortable and there was a calmer setting throughout the day. More students were engaging in activities as they felt comfortable and happy with their routine for the day.</w:t>
      </w:r>
    </w:p>
    <w:p w14:paraId="3818BBE5" w14:textId="17C90622" w:rsidR="00B11845" w:rsidRPr="00B11845" w:rsidRDefault="00B11845" w:rsidP="00B11845">
      <w:pPr>
        <w:spacing w:line="360" w:lineRule="auto"/>
        <w:rPr>
          <w:rFonts w:eastAsia="Times New Roman" w:cs="Times New Roman"/>
          <w:kern w:val="0"/>
          <w:lang w:eastAsia="en-GB"/>
          <w14:ligatures w14:val="none"/>
        </w:rPr>
      </w:pPr>
      <w:r w:rsidRPr="00B11845">
        <w:t xml:space="preserve">However, it is also important to consider the limitations that come along with visual timetables. </w:t>
      </w:r>
      <w:r w:rsidRPr="00B11845">
        <w:rPr>
          <w:rFonts w:eastAsia="Times New Roman" w:cs="Times New Roman"/>
          <w:kern w:val="0"/>
          <w:lang w:eastAsia="en-GB"/>
          <w14:ligatures w14:val="none"/>
        </w:rPr>
        <w:t xml:space="preserve">It might not adapt well to unforeseen changes, which could be upsetting (Dettmer et al., 2000). Users who depend on visual cues could find it difficult to generalise procedures to new situations or think abstractly. Furthermore, a visual schedule's efficacy is dependent on each person's comprehension abilities; too complicated images can confuse rather than clarify. </w:t>
      </w:r>
    </w:p>
    <w:p w14:paraId="21885BBA" w14:textId="484141CD" w:rsidR="00B11845" w:rsidRPr="00B11845" w:rsidRDefault="00B11845" w:rsidP="00B11845">
      <w:pPr>
        <w:pStyle w:val="NormalWeb"/>
        <w:spacing w:line="360" w:lineRule="auto"/>
        <w:rPr>
          <w:rFonts w:asciiTheme="minorHAnsi" w:hAnsiTheme="minorHAnsi"/>
        </w:rPr>
      </w:pPr>
      <w:r w:rsidRPr="00B11845">
        <w:rPr>
          <w:rFonts w:asciiTheme="minorHAnsi" w:hAnsiTheme="minorHAnsi"/>
        </w:rPr>
        <w:t xml:space="preserve">Strategy 2 – safe space </w:t>
      </w:r>
    </w:p>
    <w:p w14:paraId="01000414" w14:textId="443121A7" w:rsidR="00B11845" w:rsidRPr="00B11845" w:rsidRDefault="00B11845" w:rsidP="00B11845">
      <w:pPr>
        <w:pStyle w:val="NormalWeb"/>
        <w:spacing w:line="360" w:lineRule="auto"/>
        <w:rPr>
          <w:rFonts w:asciiTheme="minorHAnsi" w:hAnsiTheme="minorHAnsi"/>
        </w:rPr>
      </w:pPr>
      <w:r w:rsidRPr="00B11845">
        <w:rPr>
          <w:rFonts w:asciiTheme="minorHAnsi" w:hAnsiTheme="minorHAnsi"/>
        </w:rPr>
        <w:fldChar w:fldCharType="begin"/>
      </w:r>
      <w:r w:rsidRPr="00B11845">
        <w:rPr>
          <w:rFonts w:asciiTheme="minorHAnsi" w:hAnsiTheme="minorHAnsi"/>
        </w:rPr>
        <w:instrText xml:space="preserve"> INCLUDEPICTURE "/Users/elishajosephson/Library/Group Containers/UBF8T346G9.ms/WebArchiveCopyPasteTempFiles/com.microsoft.Word/9k=" \* MERGEFORMATINET </w:instrText>
      </w:r>
      <w:r w:rsidRPr="00B11845">
        <w:rPr>
          <w:rFonts w:asciiTheme="minorHAnsi" w:hAnsiTheme="minorHAnsi"/>
        </w:rPr>
        <w:fldChar w:fldCharType="separate"/>
      </w:r>
      <w:r w:rsidRPr="00B11845">
        <w:rPr>
          <w:rFonts w:asciiTheme="minorHAnsi" w:hAnsiTheme="minorHAnsi"/>
          <w:noProof/>
        </w:rPr>
        <w:drawing>
          <wp:inline distT="0" distB="0" distL="0" distR="0" wp14:anchorId="49BDF071" wp14:editId="22D2C352">
            <wp:extent cx="2068286" cy="2763943"/>
            <wp:effectExtent l="0" t="0" r="1905" b="5080"/>
            <wp:docPr id="1379126808" name="Picture 2" descr="Safe Space” or “Calm Down Corn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7NcqaMCFKZLBhbIP8_a46Q0_245" descr="Safe Space” or “Calm Down Corner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3470" cy="2770871"/>
                    </a:xfrm>
                    <a:prstGeom prst="rect">
                      <a:avLst/>
                    </a:prstGeom>
                    <a:noFill/>
                    <a:ln>
                      <a:noFill/>
                    </a:ln>
                  </pic:spPr>
                </pic:pic>
              </a:graphicData>
            </a:graphic>
          </wp:inline>
        </w:drawing>
      </w:r>
      <w:r w:rsidRPr="00B11845">
        <w:rPr>
          <w:rFonts w:asciiTheme="minorHAnsi" w:hAnsiTheme="minorHAnsi"/>
        </w:rPr>
        <w:fldChar w:fldCharType="end"/>
      </w:r>
    </w:p>
    <w:p w14:paraId="43396051" w14:textId="754FF724" w:rsidR="00B11845" w:rsidRPr="00B11845" w:rsidRDefault="00B11845" w:rsidP="00B11845">
      <w:pPr>
        <w:spacing w:line="360" w:lineRule="auto"/>
        <w:rPr>
          <w:rFonts w:eastAsia="Times New Roman" w:cs="Times New Roman"/>
          <w:kern w:val="0"/>
          <w:lang w:eastAsia="en-GB"/>
          <w14:ligatures w14:val="none"/>
        </w:rPr>
      </w:pPr>
      <w:r w:rsidRPr="00B11845">
        <w:t xml:space="preserve">When referring to a safe space in a classroom, it usually consists of teddy bears, pillows, blankets, and much more comforting tools. It is extremely effective for those with ALN, and often counts as a place for time out within the classroom. Any student will benefit from a safe space in a classroom where they are able to relax without any distractions to process their minds or to simply have a rest. This is supported by (Admin, 2024) as they suggest that </w:t>
      </w:r>
      <w:r w:rsidRPr="00B11845">
        <w:rPr>
          <w:rFonts w:eastAsia="Times New Roman" w:cs="Times New Roman"/>
          <w:kern w:val="0"/>
          <w:lang w:eastAsia="en-GB"/>
          <w14:ligatures w14:val="none"/>
        </w:rPr>
        <w:t>students who attend schools that place a strong priority on safety typically perform better academically overall and receive higher grades and test scores. To support students' mental health, safety is crucial. Students can feel more at ease and supported in a safe environment by lowering tension and anxiety.</w:t>
      </w:r>
    </w:p>
    <w:p w14:paraId="5922537C" w14:textId="40245A62" w:rsidR="00B11845" w:rsidRPr="00B11845" w:rsidRDefault="00B11845" w:rsidP="00B11845">
      <w:pPr>
        <w:pStyle w:val="NormalWeb"/>
        <w:spacing w:line="360" w:lineRule="auto"/>
        <w:rPr>
          <w:rFonts w:asciiTheme="minorHAnsi" w:hAnsiTheme="minorHAnsi"/>
          <w:color w:val="3A3A3A"/>
          <w:shd w:val="clear" w:color="auto" w:fill="FFFFFF"/>
        </w:rPr>
      </w:pPr>
      <w:r w:rsidRPr="00B11845">
        <w:rPr>
          <w:rFonts w:asciiTheme="minorHAnsi" w:hAnsiTheme="minorHAnsi"/>
          <w:color w:val="3A3A3A"/>
          <w:shd w:val="clear" w:color="auto" w:fill="FFFFFF"/>
        </w:rPr>
        <w:t>While on placement, I saw that the safe space was beneficial to those especially with behaviour issues. It allowed one child to think and to be calm, rather than having a tantrum and being made to leave the classroom. I also saw that due to the safe space being in the classroom, there was less attention on children who needed time out as they did not have to leave. This meant that more students were taking advantage of using the safe space and were happy to sit in without embarrassment.</w:t>
      </w:r>
    </w:p>
    <w:p w14:paraId="19DFC736" w14:textId="72CFF131" w:rsidR="00B11845" w:rsidRPr="00B11845" w:rsidRDefault="00B11845" w:rsidP="00B11845">
      <w:pPr>
        <w:pStyle w:val="NormalWeb"/>
        <w:spacing w:line="360" w:lineRule="auto"/>
        <w:rPr>
          <w:rFonts w:asciiTheme="minorHAnsi" w:hAnsiTheme="minorHAnsi"/>
          <w:color w:val="3A3A3A"/>
          <w:shd w:val="clear" w:color="auto" w:fill="FFFFFF"/>
        </w:rPr>
      </w:pPr>
      <w:r w:rsidRPr="00B11845">
        <w:rPr>
          <w:rFonts w:asciiTheme="minorHAnsi" w:hAnsiTheme="minorHAnsi"/>
          <w:color w:val="3A3A3A"/>
          <w:shd w:val="clear" w:color="auto" w:fill="FFFFFF"/>
        </w:rPr>
        <w:t xml:space="preserve">However, safe places in classrooms have disadvantages. One is that they can unintentionally limit intellectual challenge and free discussion, both of which are critical for academic development. Resilience and critical thinking may be impeded when young people are overprotected from discomfort. It is still difficult to strike a balance between academic rigour and emotional safety. According to (Lukianoff and Haidt 2015), placing too much focus on emotional comfort may make it more difficult for students to interact with difficult and divisive concepts. </w:t>
      </w:r>
    </w:p>
    <w:p w14:paraId="51FC0F99" w14:textId="77777777" w:rsidR="00B11845" w:rsidRPr="00B11845" w:rsidRDefault="00B11845" w:rsidP="00B11845">
      <w:pPr>
        <w:pStyle w:val="NormalWeb"/>
        <w:spacing w:line="360" w:lineRule="auto"/>
        <w:rPr>
          <w:rFonts w:asciiTheme="minorHAnsi" w:hAnsiTheme="minorHAnsi"/>
          <w:color w:val="3A3A3A"/>
          <w:shd w:val="clear" w:color="auto" w:fill="FFFFFF"/>
        </w:rPr>
      </w:pPr>
    </w:p>
    <w:p w14:paraId="5E06A976" w14:textId="77777777" w:rsidR="00B11845" w:rsidRPr="00B11845" w:rsidRDefault="00B11845" w:rsidP="00B11845">
      <w:pPr>
        <w:pStyle w:val="NormalWeb"/>
        <w:spacing w:line="360" w:lineRule="auto"/>
        <w:rPr>
          <w:rFonts w:asciiTheme="minorHAnsi" w:hAnsiTheme="minorHAnsi"/>
          <w:color w:val="3A3A3A"/>
          <w:shd w:val="clear" w:color="auto" w:fill="FFFFFF"/>
        </w:rPr>
      </w:pPr>
    </w:p>
    <w:p w14:paraId="5021FCDB" w14:textId="5E9E5319" w:rsidR="00965747" w:rsidRPr="00B11845" w:rsidRDefault="009B6A7E" w:rsidP="00B11845">
      <w:pPr>
        <w:spacing w:line="360" w:lineRule="auto"/>
        <w:rPr>
          <w:color w:val="3A3A3A"/>
          <w:shd w:val="clear" w:color="auto" w:fill="FFFFFF"/>
        </w:rPr>
      </w:pPr>
      <w:r w:rsidRPr="00B11845">
        <w:rPr>
          <w:color w:val="3A3A3A"/>
          <w:shd w:val="clear" w:color="auto" w:fill="FFFFFF"/>
        </w:rPr>
        <w:t>Being an inclusive practitioner entails identifying and meeting the various needs of each student and making sure they are all given the opportunity to reach their greatest potential. I've discovered from my experiences in educational settings that inclusion is about modifying instruction, communication, and the classroom atmosphere to break down barriers and promote participation</w:t>
      </w:r>
      <w:r w:rsidR="00B11845" w:rsidRPr="00B11845">
        <w:rPr>
          <w:color w:val="3A3A3A"/>
          <w:shd w:val="clear" w:color="auto" w:fill="FFFFFF"/>
        </w:rPr>
        <w:t xml:space="preserve">. </w:t>
      </w:r>
      <w:r w:rsidRPr="00B11845">
        <w:rPr>
          <w:color w:val="3A3A3A"/>
          <w:shd w:val="clear" w:color="auto" w:fill="FFFFFF"/>
        </w:rPr>
        <w:t xml:space="preserve">Using the right techniques has made it easier for me to think about how crucial student voice, and accessibility are to building inclusive classrooms. The Professional Standards for Teaching and Leadership in Wales, such as the responsibility to "meet the needs of all learners" and "demonstrate high expectations of all learners" (Welsh Government, 2017), are closely aligned with these methods. To make sure my instruction is </w:t>
      </w:r>
      <w:r w:rsidR="00B11845" w:rsidRPr="00B11845">
        <w:rPr>
          <w:color w:val="3A3A3A"/>
          <w:shd w:val="clear" w:color="auto" w:fill="FFFFFF"/>
        </w:rPr>
        <w:t>inclusive,</w:t>
      </w:r>
      <w:r w:rsidRPr="00B11845">
        <w:rPr>
          <w:color w:val="3A3A3A"/>
          <w:shd w:val="clear" w:color="auto" w:fill="FFFFFF"/>
        </w:rPr>
        <w:t xml:space="preserve"> and child centred, I'm dedicated to continual introspection, teamwork, and professional development. According to Wales's legal frameworks and future teachers' ethical obligations, inclusion is a continual process of listening, modifying, and enhancing practices to fit the individual requirements of each student.</w:t>
      </w:r>
      <w:r w:rsidR="00B11845" w:rsidRPr="00B11845">
        <w:rPr>
          <w:color w:val="3A3A3A"/>
          <w:shd w:val="clear" w:color="auto" w:fill="FFFFFF"/>
        </w:rPr>
        <w:t xml:space="preserve">  </w:t>
      </w:r>
    </w:p>
    <w:p w14:paraId="5DC842EA" w14:textId="4D225800" w:rsidR="00965747" w:rsidRPr="00B11845" w:rsidRDefault="00965747" w:rsidP="00D163BC">
      <w:pPr>
        <w:rPr>
          <w:b/>
          <w:bCs/>
          <w:color w:val="3A3A3A"/>
          <w:u w:val="single"/>
          <w:shd w:val="clear" w:color="auto" w:fill="FFFFFF"/>
        </w:rPr>
      </w:pPr>
      <w:r w:rsidRPr="00B11845">
        <w:rPr>
          <w:b/>
          <w:bCs/>
          <w:color w:val="3A3A3A"/>
          <w:u w:val="single"/>
          <w:shd w:val="clear" w:color="auto" w:fill="FFFFFF"/>
        </w:rPr>
        <w:t>Reference list</w:t>
      </w:r>
    </w:p>
    <w:p w14:paraId="303875AC" w14:textId="77777777" w:rsidR="009B6A7E" w:rsidRPr="00B11845" w:rsidRDefault="009B6A7E" w:rsidP="00D163BC">
      <w:pPr>
        <w:rPr>
          <w:b/>
          <w:bCs/>
          <w:color w:val="3A3A3A"/>
          <w:u w:val="single"/>
          <w:shd w:val="clear" w:color="auto" w:fill="FFFFFF"/>
        </w:rPr>
      </w:pPr>
    </w:p>
    <w:p w14:paraId="05D6F0A4" w14:textId="77777777" w:rsidR="00B11845" w:rsidRPr="00B11845" w:rsidRDefault="00B11845" w:rsidP="00B11845">
      <w:pPr>
        <w:spacing w:after="0" w:line="240" w:lineRule="auto"/>
        <w:rPr>
          <w:rFonts w:eastAsia="Times New Roman" w:cs="Times New Roman"/>
          <w:kern w:val="0"/>
          <w:lang w:eastAsia="en-GB"/>
          <w14:ligatures w14:val="none"/>
        </w:rPr>
      </w:pPr>
    </w:p>
    <w:p w14:paraId="21DA8884" w14:textId="77777777" w:rsidR="00B11845" w:rsidRPr="00B11845" w:rsidRDefault="00B11845" w:rsidP="00B11845">
      <w:pPr>
        <w:pStyle w:val="NormalWeb"/>
        <w:numPr>
          <w:ilvl w:val="0"/>
          <w:numId w:val="1"/>
        </w:numPr>
        <w:spacing w:before="0" w:beforeAutospacing="0" w:after="240" w:afterAutospacing="0" w:line="360" w:lineRule="atLeast"/>
        <w:rPr>
          <w:rFonts w:asciiTheme="minorHAnsi" w:hAnsiTheme="minorHAnsi"/>
          <w:color w:val="000000"/>
        </w:rPr>
      </w:pPr>
      <w:r w:rsidRPr="00B11845">
        <w:rPr>
          <w:rFonts w:asciiTheme="minorHAnsi" w:hAnsiTheme="minorHAnsi"/>
          <w:color w:val="000000"/>
        </w:rPr>
        <w:t>Admin (2024).</w:t>
      </w:r>
      <w:r w:rsidRPr="00B11845">
        <w:rPr>
          <w:rStyle w:val="apple-converted-space"/>
          <w:rFonts w:asciiTheme="minorHAnsi" w:eastAsiaTheme="majorEastAsia" w:hAnsiTheme="minorHAnsi"/>
          <w:color w:val="000000"/>
        </w:rPr>
        <w:t> </w:t>
      </w:r>
      <w:r w:rsidRPr="00B11845">
        <w:rPr>
          <w:rFonts w:asciiTheme="minorHAnsi" w:hAnsiTheme="minorHAnsi"/>
          <w:i/>
          <w:iCs/>
          <w:color w:val="000000"/>
        </w:rPr>
        <w:t>The Importance of a Safe School Environment</w:t>
      </w:r>
      <w:r w:rsidRPr="00B11845">
        <w:rPr>
          <w:rFonts w:asciiTheme="minorHAnsi" w:hAnsiTheme="minorHAnsi"/>
          <w:color w:val="000000"/>
        </w:rPr>
        <w:t>. [online] Careerprepschool.org. Available at: https://careerprepschool.org/blog/importance-of-a-safe-school-environment [Accessed 14 May 2025].</w:t>
      </w:r>
    </w:p>
    <w:p w14:paraId="57B3E7A0" w14:textId="77777777" w:rsidR="00B11845" w:rsidRPr="00B11845" w:rsidRDefault="00B11845" w:rsidP="009B6A7E">
      <w:pPr>
        <w:pStyle w:val="NormalWeb"/>
        <w:numPr>
          <w:ilvl w:val="0"/>
          <w:numId w:val="1"/>
        </w:numPr>
        <w:spacing w:before="0" w:beforeAutospacing="0" w:after="240" w:afterAutospacing="0" w:line="360" w:lineRule="atLeast"/>
        <w:rPr>
          <w:rFonts w:asciiTheme="minorHAnsi" w:hAnsiTheme="minorHAnsi"/>
          <w:color w:val="000000"/>
        </w:rPr>
      </w:pPr>
      <w:proofErr w:type="spellStart"/>
      <w:r w:rsidRPr="00B11845">
        <w:rPr>
          <w:rFonts w:asciiTheme="minorHAnsi" w:hAnsiTheme="minorHAnsi"/>
          <w:color w:val="000000"/>
        </w:rPr>
        <w:t>Coristine</w:t>
      </w:r>
      <w:proofErr w:type="spellEnd"/>
      <w:r w:rsidRPr="00B11845">
        <w:rPr>
          <w:rFonts w:asciiTheme="minorHAnsi" w:hAnsiTheme="minorHAnsi"/>
          <w:color w:val="000000"/>
        </w:rPr>
        <w:t xml:space="preserve">, S., Russo, S., Fitzmorris, R., </w:t>
      </w:r>
      <w:proofErr w:type="spellStart"/>
      <w:r w:rsidRPr="00B11845">
        <w:rPr>
          <w:rFonts w:asciiTheme="minorHAnsi" w:hAnsiTheme="minorHAnsi"/>
          <w:color w:val="000000"/>
        </w:rPr>
        <w:t>Beninato</w:t>
      </w:r>
      <w:proofErr w:type="spellEnd"/>
      <w:r w:rsidRPr="00B11845">
        <w:rPr>
          <w:rFonts w:asciiTheme="minorHAnsi" w:hAnsiTheme="minorHAnsi"/>
          <w:color w:val="000000"/>
        </w:rPr>
        <w:t xml:space="preserve">, P. and </w:t>
      </w:r>
      <w:proofErr w:type="spellStart"/>
      <w:r w:rsidRPr="00B11845">
        <w:rPr>
          <w:rFonts w:asciiTheme="minorHAnsi" w:hAnsiTheme="minorHAnsi"/>
          <w:color w:val="000000"/>
        </w:rPr>
        <w:t>Rivolta</w:t>
      </w:r>
      <w:proofErr w:type="spellEnd"/>
      <w:r w:rsidRPr="00B11845">
        <w:rPr>
          <w:rFonts w:asciiTheme="minorHAnsi" w:hAnsiTheme="minorHAnsi"/>
          <w:color w:val="000000"/>
        </w:rPr>
        <w:t>, G. (2022). The Importance of Student-Teacher Relationships.</w:t>
      </w:r>
      <w:r w:rsidRPr="00B11845">
        <w:rPr>
          <w:rStyle w:val="apple-converted-space"/>
          <w:rFonts w:asciiTheme="minorHAnsi" w:eastAsiaTheme="majorEastAsia" w:hAnsiTheme="minorHAnsi"/>
          <w:color w:val="000000"/>
        </w:rPr>
        <w:t> </w:t>
      </w:r>
      <w:r w:rsidRPr="00B11845">
        <w:rPr>
          <w:rFonts w:asciiTheme="minorHAnsi" w:hAnsiTheme="minorHAnsi"/>
          <w:i/>
          <w:iCs/>
          <w:color w:val="000000"/>
        </w:rPr>
        <w:t>Classroom Practice in 2022</w:t>
      </w:r>
      <w:r w:rsidRPr="00B11845">
        <w:rPr>
          <w:rFonts w:asciiTheme="minorHAnsi" w:hAnsiTheme="minorHAnsi"/>
          <w:color w:val="000000"/>
        </w:rPr>
        <w:t>, [online] 1(1). Available at: https://ecampusontario.pressbooks.pub/educ5202/chapter/the-importance-of-student-teacher-relationships/ [Accessed 13 May 2025].</w:t>
      </w:r>
    </w:p>
    <w:p w14:paraId="2BC9BD64" w14:textId="77777777" w:rsidR="00B11845" w:rsidRPr="00B11845" w:rsidRDefault="00B11845" w:rsidP="00B11845">
      <w:pPr>
        <w:pStyle w:val="NormalWeb"/>
        <w:numPr>
          <w:ilvl w:val="0"/>
          <w:numId w:val="1"/>
        </w:numPr>
        <w:spacing w:before="0" w:beforeAutospacing="0" w:after="240" w:afterAutospacing="0" w:line="360" w:lineRule="atLeast"/>
        <w:rPr>
          <w:rFonts w:asciiTheme="minorHAnsi" w:hAnsiTheme="minorHAnsi"/>
          <w:color w:val="000000"/>
        </w:rPr>
      </w:pPr>
      <w:r w:rsidRPr="00B11845">
        <w:rPr>
          <w:rFonts w:asciiTheme="minorHAnsi" w:hAnsiTheme="minorHAnsi"/>
          <w:color w:val="000000"/>
        </w:rPr>
        <w:t>Council for Disabled Children (2024).</w:t>
      </w:r>
      <w:r w:rsidRPr="00B11845">
        <w:rPr>
          <w:rStyle w:val="apple-converted-space"/>
          <w:rFonts w:asciiTheme="minorHAnsi" w:eastAsiaTheme="majorEastAsia" w:hAnsiTheme="minorHAnsi"/>
          <w:color w:val="000000"/>
        </w:rPr>
        <w:t> </w:t>
      </w:r>
      <w:r w:rsidRPr="00B11845">
        <w:rPr>
          <w:rFonts w:asciiTheme="minorHAnsi" w:hAnsiTheme="minorHAnsi"/>
          <w:i/>
          <w:iCs/>
          <w:color w:val="000000"/>
        </w:rPr>
        <w:t>What is a visual timetable?</w:t>
      </w:r>
      <w:r w:rsidRPr="00B11845">
        <w:rPr>
          <w:rStyle w:val="apple-converted-space"/>
          <w:rFonts w:asciiTheme="minorHAnsi" w:eastAsiaTheme="majorEastAsia" w:hAnsiTheme="minorHAnsi"/>
          <w:color w:val="000000"/>
        </w:rPr>
        <w:t> </w:t>
      </w:r>
      <w:r w:rsidRPr="00B11845">
        <w:rPr>
          <w:rFonts w:asciiTheme="minorHAnsi" w:hAnsiTheme="minorHAnsi"/>
          <w:color w:val="000000"/>
        </w:rPr>
        <w:t>[online] Available at: https://councilfordisabledchildren.org.uk/sites/default/files/uploads/attachments/Visual%20Timetables%20Resource.I%20CAN.FINAL_.pdf [Accessed 13 May 2025].</w:t>
      </w:r>
    </w:p>
    <w:p w14:paraId="75737E1D" w14:textId="77777777" w:rsidR="00B11845" w:rsidRPr="00B11845" w:rsidRDefault="00B11845" w:rsidP="00B11845">
      <w:pPr>
        <w:pStyle w:val="NormalWeb"/>
        <w:numPr>
          <w:ilvl w:val="0"/>
          <w:numId w:val="1"/>
        </w:numPr>
        <w:spacing w:before="0" w:beforeAutospacing="0" w:after="240" w:afterAutospacing="0" w:line="360" w:lineRule="atLeast"/>
        <w:rPr>
          <w:rFonts w:asciiTheme="minorHAnsi" w:hAnsiTheme="minorHAnsi"/>
          <w:color w:val="000000"/>
        </w:rPr>
      </w:pPr>
      <w:r w:rsidRPr="00B11845">
        <w:rPr>
          <w:rFonts w:asciiTheme="minorHAnsi" w:hAnsiTheme="minorHAnsi"/>
          <w:color w:val="000000"/>
        </w:rPr>
        <w:t>Dettmer, S., Simpson, R. L., Myles, B. S., &amp; Ganz, J. B. (2000). The use of visual supports to facilitate transitions of students with autism. Focus on Autism and Other Developmental Disabilities, 15(3), 163–169.</w:t>
      </w:r>
    </w:p>
    <w:p w14:paraId="6ABA281A" w14:textId="77777777" w:rsidR="00B11845" w:rsidRPr="00B11845" w:rsidRDefault="00B11845" w:rsidP="009B6A7E">
      <w:pPr>
        <w:pStyle w:val="NormalWeb"/>
        <w:numPr>
          <w:ilvl w:val="0"/>
          <w:numId w:val="1"/>
        </w:numPr>
        <w:spacing w:before="0" w:beforeAutospacing="0" w:after="240" w:afterAutospacing="0" w:line="360" w:lineRule="atLeast"/>
        <w:rPr>
          <w:rFonts w:asciiTheme="minorHAnsi" w:hAnsiTheme="minorHAnsi"/>
          <w:color w:val="000000"/>
        </w:rPr>
      </w:pPr>
      <w:r w:rsidRPr="00B11845">
        <w:rPr>
          <w:rFonts w:asciiTheme="minorHAnsi" w:hAnsiTheme="minorHAnsi"/>
          <w:color w:val="000000"/>
        </w:rPr>
        <w:t>Estyn (2024).</w:t>
      </w:r>
      <w:r w:rsidRPr="00B11845">
        <w:rPr>
          <w:rStyle w:val="apple-converted-space"/>
          <w:rFonts w:asciiTheme="minorHAnsi" w:eastAsiaTheme="majorEastAsia" w:hAnsiTheme="minorHAnsi"/>
          <w:color w:val="000000"/>
        </w:rPr>
        <w:t> </w:t>
      </w:r>
      <w:r w:rsidRPr="00B11845">
        <w:rPr>
          <w:rFonts w:asciiTheme="minorHAnsi" w:hAnsiTheme="minorHAnsi"/>
          <w:i/>
          <w:iCs/>
          <w:color w:val="000000"/>
        </w:rPr>
        <w:t>Estyn highlights progress and challenges in implementing Additional Learning Needs reform in Wales - Estyn</w:t>
      </w:r>
      <w:r w:rsidRPr="00B11845">
        <w:rPr>
          <w:rFonts w:asciiTheme="minorHAnsi" w:hAnsiTheme="minorHAnsi"/>
          <w:color w:val="000000"/>
        </w:rPr>
        <w:t>. [online] Estyn. Available at: https://estyn.gov.wales/news/estyn-highlights-progress-and-challenges-in-implementing-additional-learning-needs-reform-in-wales/ [Accessed 18 May 2025].</w:t>
      </w:r>
    </w:p>
    <w:p w14:paraId="02A15A2C" w14:textId="77777777" w:rsidR="00B11845" w:rsidRPr="00B11845" w:rsidRDefault="00B11845" w:rsidP="009B6A7E">
      <w:pPr>
        <w:pStyle w:val="NormalWeb"/>
        <w:numPr>
          <w:ilvl w:val="0"/>
          <w:numId w:val="1"/>
        </w:numPr>
        <w:spacing w:before="0" w:beforeAutospacing="0" w:after="240" w:afterAutospacing="0" w:line="360" w:lineRule="atLeast"/>
        <w:rPr>
          <w:rFonts w:asciiTheme="minorHAnsi" w:hAnsiTheme="minorHAnsi"/>
          <w:color w:val="000000"/>
        </w:rPr>
      </w:pPr>
      <w:r w:rsidRPr="00B11845">
        <w:rPr>
          <w:rFonts w:asciiTheme="minorHAnsi" w:hAnsiTheme="minorHAnsi"/>
          <w:color w:val="000000"/>
        </w:rPr>
        <w:t>Learning Journals (2021).</w:t>
      </w:r>
      <w:r w:rsidRPr="00B11845">
        <w:rPr>
          <w:rStyle w:val="apple-converted-space"/>
          <w:rFonts w:asciiTheme="minorHAnsi" w:eastAsiaTheme="majorEastAsia" w:hAnsiTheme="minorHAnsi"/>
          <w:color w:val="000000"/>
        </w:rPr>
        <w:t> </w:t>
      </w:r>
      <w:r w:rsidRPr="00B11845">
        <w:rPr>
          <w:rFonts w:asciiTheme="minorHAnsi" w:hAnsiTheme="minorHAnsi"/>
          <w:i/>
          <w:iCs/>
          <w:color w:val="000000"/>
        </w:rPr>
        <w:t>What Is Inclusive Practice and Why Does it Matter?</w:t>
      </w:r>
      <w:r w:rsidRPr="00B11845">
        <w:rPr>
          <w:rStyle w:val="apple-converted-space"/>
          <w:rFonts w:asciiTheme="minorHAnsi" w:eastAsiaTheme="majorEastAsia" w:hAnsiTheme="minorHAnsi"/>
          <w:color w:val="000000"/>
        </w:rPr>
        <w:t> </w:t>
      </w:r>
      <w:r w:rsidRPr="00B11845">
        <w:rPr>
          <w:rFonts w:asciiTheme="minorHAnsi" w:hAnsiTheme="minorHAnsi"/>
          <w:color w:val="000000"/>
        </w:rPr>
        <w:t>[online] Learning Journals. Available at: https://learningjournals.co.uk/what-is-inclusive-practice-and-why-does-it-matter/ [Accessed 10 May 2025].</w:t>
      </w:r>
    </w:p>
    <w:p w14:paraId="030CEC9B" w14:textId="77777777" w:rsidR="00B11845" w:rsidRPr="00B11845" w:rsidRDefault="00B11845" w:rsidP="009B6A7E">
      <w:pPr>
        <w:pStyle w:val="NormalWeb"/>
        <w:numPr>
          <w:ilvl w:val="0"/>
          <w:numId w:val="1"/>
        </w:numPr>
        <w:spacing w:before="0" w:beforeAutospacing="0" w:after="240" w:afterAutospacing="0" w:line="360" w:lineRule="atLeast"/>
        <w:rPr>
          <w:rFonts w:asciiTheme="minorHAnsi" w:hAnsiTheme="minorHAnsi"/>
          <w:color w:val="000000"/>
        </w:rPr>
      </w:pPr>
      <w:r w:rsidRPr="00B11845">
        <w:rPr>
          <w:rFonts w:asciiTheme="minorHAnsi" w:hAnsiTheme="minorHAnsi"/>
          <w:color w:val="000000"/>
        </w:rPr>
        <w:t>Lee, E. (2021).</w:t>
      </w:r>
      <w:r w:rsidRPr="00B11845">
        <w:rPr>
          <w:rStyle w:val="apple-converted-space"/>
          <w:rFonts w:asciiTheme="minorHAnsi" w:eastAsiaTheme="majorEastAsia" w:hAnsiTheme="minorHAnsi"/>
          <w:color w:val="000000"/>
        </w:rPr>
        <w:t> </w:t>
      </w:r>
      <w:r w:rsidRPr="00B11845">
        <w:rPr>
          <w:rFonts w:asciiTheme="minorHAnsi" w:hAnsiTheme="minorHAnsi"/>
          <w:i/>
          <w:iCs/>
          <w:color w:val="000000"/>
        </w:rPr>
        <w:t>What is inclusive practice?</w:t>
      </w:r>
      <w:r w:rsidRPr="00B11845">
        <w:rPr>
          <w:rStyle w:val="apple-converted-space"/>
          <w:rFonts w:asciiTheme="minorHAnsi" w:eastAsiaTheme="majorEastAsia" w:hAnsiTheme="minorHAnsi"/>
          <w:color w:val="000000"/>
        </w:rPr>
        <w:t> </w:t>
      </w:r>
      <w:r w:rsidRPr="00B11845">
        <w:rPr>
          <w:rFonts w:asciiTheme="minorHAnsi" w:hAnsiTheme="minorHAnsi"/>
          <w:color w:val="000000"/>
        </w:rPr>
        <w:t>[online] CPD Online College. Available at: https://cpdonline.co.uk/knowledge-base/safeguarding/inclusive-practice [Accessed 13 May 2025].</w:t>
      </w:r>
    </w:p>
    <w:p w14:paraId="21DDA6A4" w14:textId="77777777" w:rsidR="00B11845" w:rsidRPr="00B11845" w:rsidRDefault="00B11845" w:rsidP="00B11845">
      <w:pPr>
        <w:pStyle w:val="ListParagraph"/>
        <w:numPr>
          <w:ilvl w:val="0"/>
          <w:numId w:val="1"/>
        </w:numPr>
        <w:spacing w:after="180" w:line="240" w:lineRule="auto"/>
        <w:rPr>
          <w:rFonts w:eastAsia="Times New Roman" w:cs="Times New Roman"/>
          <w:color w:val="000000"/>
          <w:kern w:val="0"/>
          <w:lang w:eastAsia="en-GB"/>
          <w14:ligatures w14:val="none"/>
        </w:rPr>
      </w:pPr>
      <w:r w:rsidRPr="00B11845">
        <w:rPr>
          <w:rFonts w:eastAsia="Times New Roman" w:cs="Times New Roman"/>
          <w:color w:val="000000"/>
          <w:kern w:val="0"/>
          <w:lang w:eastAsia="en-GB"/>
          <w14:ligatures w14:val="none"/>
        </w:rPr>
        <w:t>Lukianoff, G., &amp; Haidt, J. (2015). </w:t>
      </w:r>
      <w:r w:rsidRPr="00B11845">
        <w:rPr>
          <w:rFonts w:eastAsia="Times New Roman" w:cs="Times New Roman"/>
          <w:i/>
          <w:iCs/>
          <w:color w:val="000000"/>
          <w:kern w:val="0"/>
          <w:lang w:eastAsia="en-GB"/>
          <w14:ligatures w14:val="none"/>
        </w:rPr>
        <w:t>The Coddling of the American Mind</w:t>
      </w:r>
      <w:r w:rsidRPr="00B11845">
        <w:rPr>
          <w:rFonts w:eastAsia="Times New Roman" w:cs="Times New Roman"/>
          <w:color w:val="000000"/>
          <w:kern w:val="0"/>
          <w:lang w:eastAsia="en-GB"/>
          <w14:ligatures w14:val="none"/>
        </w:rPr>
        <w:t>. The Atlantic. </w:t>
      </w:r>
      <w:hyperlink r:id="rId8" w:history="1">
        <w:r w:rsidRPr="00B11845">
          <w:rPr>
            <w:rFonts w:eastAsia="Times New Roman" w:cs="Times New Roman"/>
            <w:color w:val="0000FF"/>
            <w:kern w:val="0"/>
            <w:u w:val="single"/>
            <w:lang w:eastAsia="en-GB"/>
            <w14:ligatures w14:val="none"/>
          </w:rPr>
          <w:t>https://www.theatlantic.com/magazine/archive/2015/09/the-coddling-of-the-american-mind/399356/</w:t>
        </w:r>
      </w:hyperlink>
    </w:p>
    <w:p w14:paraId="4F4EB21F" w14:textId="77777777" w:rsidR="00B11845" w:rsidRPr="00B11845" w:rsidRDefault="00B11845" w:rsidP="00B11845">
      <w:pPr>
        <w:pStyle w:val="NormalWeb"/>
        <w:numPr>
          <w:ilvl w:val="0"/>
          <w:numId w:val="1"/>
        </w:numPr>
        <w:spacing w:before="0" w:beforeAutospacing="0" w:after="240" w:afterAutospacing="0" w:line="360" w:lineRule="atLeast"/>
        <w:rPr>
          <w:rFonts w:asciiTheme="minorHAnsi" w:hAnsiTheme="minorHAnsi"/>
          <w:color w:val="000000"/>
        </w:rPr>
      </w:pPr>
      <w:r w:rsidRPr="00B11845">
        <w:rPr>
          <w:rFonts w:asciiTheme="minorHAnsi" w:hAnsiTheme="minorHAnsi"/>
          <w:color w:val="000000"/>
        </w:rPr>
        <w:t>Norfolk county council (2025).</w:t>
      </w:r>
      <w:r w:rsidRPr="00B11845">
        <w:rPr>
          <w:rStyle w:val="apple-converted-space"/>
          <w:rFonts w:asciiTheme="minorHAnsi" w:eastAsiaTheme="majorEastAsia" w:hAnsiTheme="minorHAnsi"/>
          <w:color w:val="000000"/>
        </w:rPr>
        <w:t> </w:t>
      </w:r>
      <w:r w:rsidRPr="00B11845">
        <w:rPr>
          <w:rFonts w:asciiTheme="minorHAnsi" w:hAnsiTheme="minorHAnsi"/>
          <w:i/>
          <w:iCs/>
          <w:color w:val="000000"/>
        </w:rPr>
        <w:t>Visual timetables - Norfolk Schools and Learning Providers - Norfolk County Council</w:t>
      </w:r>
      <w:r w:rsidRPr="00B11845">
        <w:rPr>
          <w:rFonts w:asciiTheme="minorHAnsi" w:hAnsiTheme="minorHAnsi"/>
          <w:color w:val="000000"/>
        </w:rPr>
        <w:t>. [online] Norfolk Schools and Learning Providers - Norfolk County Council. Available at: https://www.schools.norfolk.gov.uk/article/62813/Visual-timetables [Accessed 16 May 2025].</w:t>
      </w:r>
    </w:p>
    <w:p w14:paraId="19142B93" w14:textId="77777777" w:rsidR="00B11845" w:rsidRPr="00B11845" w:rsidRDefault="00B11845" w:rsidP="009B6A7E">
      <w:pPr>
        <w:pStyle w:val="NormalWeb"/>
        <w:numPr>
          <w:ilvl w:val="0"/>
          <w:numId w:val="1"/>
        </w:numPr>
        <w:rPr>
          <w:rFonts w:asciiTheme="minorHAnsi" w:hAnsiTheme="minorHAnsi"/>
        </w:rPr>
      </w:pPr>
      <w:r w:rsidRPr="00B11845">
        <w:rPr>
          <w:rFonts w:asciiTheme="minorHAnsi" w:hAnsiTheme="minorHAnsi"/>
        </w:rPr>
        <w:t xml:space="preserve">Welsh Government (2017) </w:t>
      </w:r>
      <w:r w:rsidRPr="00B11845">
        <w:rPr>
          <w:rFonts w:asciiTheme="minorHAnsi" w:hAnsiTheme="minorHAnsi"/>
          <w:i/>
          <w:iCs/>
        </w:rPr>
        <w:t>Professional standards for teaching and leadership</w:t>
      </w:r>
      <w:r w:rsidRPr="00B11845">
        <w:rPr>
          <w:rFonts w:asciiTheme="minorHAnsi" w:hAnsiTheme="minorHAnsi"/>
        </w:rPr>
        <w:t xml:space="preserve">. Available at: https://gov.wales/professional-standards-teaching-and-leadership [Accessed 6 May 2025]. </w:t>
      </w:r>
    </w:p>
    <w:p w14:paraId="35D877DA" w14:textId="77777777" w:rsidR="00B11845" w:rsidRPr="00B11845" w:rsidRDefault="00B11845" w:rsidP="009B6A7E">
      <w:pPr>
        <w:pStyle w:val="NormalWeb"/>
        <w:numPr>
          <w:ilvl w:val="0"/>
          <w:numId w:val="1"/>
        </w:numPr>
        <w:spacing w:before="0" w:beforeAutospacing="0" w:after="240" w:afterAutospacing="0" w:line="360" w:lineRule="atLeast"/>
        <w:rPr>
          <w:rFonts w:asciiTheme="minorHAnsi" w:hAnsiTheme="minorHAnsi"/>
          <w:color w:val="000000"/>
        </w:rPr>
      </w:pPr>
      <w:r w:rsidRPr="00B11845">
        <w:rPr>
          <w:rFonts w:asciiTheme="minorHAnsi" w:hAnsiTheme="minorHAnsi"/>
          <w:color w:val="000000"/>
        </w:rPr>
        <w:t>Welsh Government (2023).</w:t>
      </w:r>
      <w:r w:rsidRPr="00B11845">
        <w:rPr>
          <w:rStyle w:val="apple-converted-space"/>
          <w:rFonts w:asciiTheme="minorHAnsi" w:eastAsiaTheme="majorEastAsia" w:hAnsiTheme="minorHAnsi"/>
          <w:color w:val="000000"/>
        </w:rPr>
        <w:t> </w:t>
      </w:r>
      <w:r w:rsidRPr="00B11845">
        <w:rPr>
          <w:rFonts w:asciiTheme="minorHAnsi" w:hAnsiTheme="minorHAnsi"/>
          <w:i/>
          <w:iCs/>
          <w:color w:val="000000"/>
        </w:rPr>
        <w:t>Additional Learning Needs and Education Tribunal (Wales) Act 2018 | Law Wales</w:t>
      </w:r>
      <w:r w:rsidRPr="00B11845">
        <w:rPr>
          <w:rFonts w:asciiTheme="minorHAnsi" w:hAnsiTheme="minorHAnsi"/>
          <w:color w:val="000000"/>
        </w:rPr>
        <w:t xml:space="preserve">. [online] </w:t>
      </w:r>
      <w:proofErr w:type="spellStart"/>
      <w:proofErr w:type="gramStart"/>
      <w:r w:rsidRPr="00B11845">
        <w:rPr>
          <w:rFonts w:asciiTheme="minorHAnsi" w:hAnsiTheme="minorHAnsi"/>
          <w:color w:val="000000"/>
        </w:rPr>
        <w:t>law.gov.wales</w:t>
      </w:r>
      <w:proofErr w:type="spellEnd"/>
      <w:proofErr w:type="gramEnd"/>
      <w:r w:rsidRPr="00B11845">
        <w:rPr>
          <w:rFonts w:asciiTheme="minorHAnsi" w:hAnsiTheme="minorHAnsi"/>
          <w:color w:val="000000"/>
        </w:rPr>
        <w:t>. Available at: https://law.gov.wales/additional-learning-needs-and-education-tribunal-wales-act-2018 [Accessed 12 May 2025].</w:t>
      </w:r>
    </w:p>
    <w:p w14:paraId="7F7DCF94" w14:textId="77777777" w:rsidR="009B6A7E" w:rsidRDefault="009B6A7E" w:rsidP="00D163BC"/>
    <w:p w14:paraId="7A8CA85F" w14:textId="3096AAB5" w:rsidR="003C1BD6" w:rsidRPr="003C1BD6" w:rsidRDefault="003C1BD6" w:rsidP="00D163BC">
      <w:pPr>
        <w:rPr>
          <w:b/>
          <w:bCs/>
          <w:u w:val="single"/>
        </w:rPr>
      </w:pPr>
    </w:p>
    <w:sectPr w:rsidR="003C1BD6" w:rsidRPr="003C1B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302A64"/>
    <w:multiLevelType w:val="hybridMultilevel"/>
    <w:tmpl w:val="E9086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5684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7E"/>
    <w:rsid w:val="000E2E7E"/>
    <w:rsid w:val="00121BB2"/>
    <w:rsid w:val="001675AC"/>
    <w:rsid w:val="00191CFB"/>
    <w:rsid w:val="001E698E"/>
    <w:rsid w:val="001F1157"/>
    <w:rsid w:val="00371AC6"/>
    <w:rsid w:val="00372668"/>
    <w:rsid w:val="003A7750"/>
    <w:rsid w:val="003C1BD6"/>
    <w:rsid w:val="00403714"/>
    <w:rsid w:val="00504994"/>
    <w:rsid w:val="00510D18"/>
    <w:rsid w:val="00604703"/>
    <w:rsid w:val="008F0B48"/>
    <w:rsid w:val="00965747"/>
    <w:rsid w:val="00965B69"/>
    <w:rsid w:val="009B6A7E"/>
    <w:rsid w:val="009D31A8"/>
    <w:rsid w:val="00A619FA"/>
    <w:rsid w:val="00AB5565"/>
    <w:rsid w:val="00B11845"/>
    <w:rsid w:val="00C0493E"/>
    <w:rsid w:val="00D163BC"/>
    <w:rsid w:val="00DF09B3"/>
    <w:rsid w:val="00E5184C"/>
    <w:rsid w:val="00F664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B9060"/>
  <w15:chartTrackingRefBased/>
  <w15:docId w15:val="{1B585F4F-5F9A-4953-9D79-C7D04A850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E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2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2E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E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E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E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E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E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E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E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2E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2E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E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E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E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E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E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E7E"/>
    <w:rPr>
      <w:rFonts w:eastAsiaTheme="majorEastAsia" w:cstheme="majorBidi"/>
      <w:color w:val="272727" w:themeColor="text1" w:themeTint="D8"/>
    </w:rPr>
  </w:style>
  <w:style w:type="paragraph" w:styleId="Title">
    <w:name w:val="Title"/>
    <w:basedOn w:val="Normal"/>
    <w:next w:val="Normal"/>
    <w:link w:val="TitleChar"/>
    <w:uiPriority w:val="10"/>
    <w:qFormat/>
    <w:rsid w:val="000E2E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E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E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E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E7E"/>
    <w:pPr>
      <w:spacing w:before="160"/>
      <w:jc w:val="center"/>
    </w:pPr>
    <w:rPr>
      <w:i/>
      <w:iCs/>
      <w:color w:val="404040" w:themeColor="text1" w:themeTint="BF"/>
    </w:rPr>
  </w:style>
  <w:style w:type="character" w:customStyle="1" w:styleId="QuoteChar">
    <w:name w:val="Quote Char"/>
    <w:basedOn w:val="DefaultParagraphFont"/>
    <w:link w:val="Quote"/>
    <w:uiPriority w:val="29"/>
    <w:rsid w:val="000E2E7E"/>
    <w:rPr>
      <w:i/>
      <w:iCs/>
      <w:color w:val="404040" w:themeColor="text1" w:themeTint="BF"/>
    </w:rPr>
  </w:style>
  <w:style w:type="paragraph" w:styleId="ListParagraph">
    <w:name w:val="List Paragraph"/>
    <w:basedOn w:val="Normal"/>
    <w:uiPriority w:val="34"/>
    <w:qFormat/>
    <w:rsid w:val="000E2E7E"/>
    <w:pPr>
      <w:ind w:left="720"/>
      <w:contextualSpacing/>
    </w:pPr>
  </w:style>
  <w:style w:type="character" w:styleId="IntenseEmphasis">
    <w:name w:val="Intense Emphasis"/>
    <w:basedOn w:val="DefaultParagraphFont"/>
    <w:uiPriority w:val="21"/>
    <w:qFormat/>
    <w:rsid w:val="000E2E7E"/>
    <w:rPr>
      <w:i/>
      <w:iCs/>
      <w:color w:val="0F4761" w:themeColor="accent1" w:themeShade="BF"/>
    </w:rPr>
  </w:style>
  <w:style w:type="paragraph" w:styleId="IntenseQuote">
    <w:name w:val="Intense Quote"/>
    <w:basedOn w:val="Normal"/>
    <w:next w:val="Normal"/>
    <w:link w:val="IntenseQuoteChar"/>
    <w:uiPriority w:val="30"/>
    <w:qFormat/>
    <w:rsid w:val="000E2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E7E"/>
    <w:rPr>
      <w:i/>
      <w:iCs/>
      <w:color w:val="0F4761" w:themeColor="accent1" w:themeShade="BF"/>
    </w:rPr>
  </w:style>
  <w:style w:type="character" w:styleId="IntenseReference">
    <w:name w:val="Intense Reference"/>
    <w:basedOn w:val="DefaultParagraphFont"/>
    <w:uiPriority w:val="32"/>
    <w:qFormat/>
    <w:rsid w:val="000E2E7E"/>
    <w:rPr>
      <w:b/>
      <w:bCs/>
      <w:smallCaps/>
      <w:color w:val="0F4761" w:themeColor="accent1" w:themeShade="BF"/>
      <w:spacing w:val="5"/>
    </w:rPr>
  </w:style>
  <w:style w:type="table" w:styleId="TableGrid">
    <w:name w:val="Table Grid"/>
    <w:basedOn w:val="TableNormal"/>
    <w:uiPriority w:val="39"/>
    <w:rsid w:val="000E2E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6574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965747"/>
  </w:style>
  <w:style w:type="character" w:styleId="Hyperlink">
    <w:name w:val="Hyperlink"/>
    <w:basedOn w:val="DefaultParagraphFont"/>
    <w:uiPriority w:val="99"/>
    <w:semiHidden/>
    <w:unhideWhenUsed/>
    <w:rsid w:val="00B118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3731">
      <w:bodyDiv w:val="1"/>
      <w:marLeft w:val="0"/>
      <w:marRight w:val="0"/>
      <w:marTop w:val="0"/>
      <w:marBottom w:val="0"/>
      <w:divBdr>
        <w:top w:val="none" w:sz="0" w:space="0" w:color="auto"/>
        <w:left w:val="none" w:sz="0" w:space="0" w:color="auto"/>
        <w:bottom w:val="none" w:sz="0" w:space="0" w:color="auto"/>
        <w:right w:val="none" w:sz="0" w:space="0" w:color="auto"/>
      </w:divBdr>
      <w:divsChild>
        <w:div w:id="1509978447">
          <w:marLeft w:val="0"/>
          <w:marRight w:val="0"/>
          <w:marTop w:val="0"/>
          <w:marBottom w:val="0"/>
          <w:divBdr>
            <w:top w:val="none" w:sz="0" w:space="0" w:color="auto"/>
            <w:left w:val="none" w:sz="0" w:space="0" w:color="auto"/>
            <w:bottom w:val="none" w:sz="0" w:space="0" w:color="auto"/>
            <w:right w:val="none" w:sz="0" w:space="0" w:color="auto"/>
          </w:divBdr>
        </w:div>
      </w:divsChild>
    </w:div>
    <w:div w:id="30349888">
      <w:bodyDiv w:val="1"/>
      <w:marLeft w:val="0"/>
      <w:marRight w:val="0"/>
      <w:marTop w:val="0"/>
      <w:marBottom w:val="0"/>
      <w:divBdr>
        <w:top w:val="none" w:sz="0" w:space="0" w:color="auto"/>
        <w:left w:val="none" w:sz="0" w:space="0" w:color="auto"/>
        <w:bottom w:val="none" w:sz="0" w:space="0" w:color="auto"/>
        <w:right w:val="none" w:sz="0" w:space="0" w:color="auto"/>
      </w:divBdr>
      <w:divsChild>
        <w:div w:id="71122975">
          <w:marLeft w:val="0"/>
          <w:marRight w:val="0"/>
          <w:marTop w:val="0"/>
          <w:marBottom w:val="0"/>
          <w:divBdr>
            <w:top w:val="none" w:sz="0" w:space="0" w:color="auto"/>
            <w:left w:val="none" w:sz="0" w:space="0" w:color="auto"/>
            <w:bottom w:val="none" w:sz="0" w:space="0" w:color="auto"/>
            <w:right w:val="none" w:sz="0" w:space="0" w:color="auto"/>
          </w:divBdr>
        </w:div>
      </w:divsChild>
    </w:div>
    <w:div w:id="50814078">
      <w:bodyDiv w:val="1"/>
      <w:marLeft w:val="0"/>
      <w:marRight w:val="0"/>
      <w:marTop w:val="0"/>
      <w:marBottom w:val="0"/>
      <w:divBdr>
        <w:top w:val="none" w:sz="0" w:space="0" w:color="auto"/>
        <w:left w:val="none" w:sz="0" w:space="0" w:color="auto"/>
        <w:bottom w:val="none" w:sz="0" w:space="0" w:color="auto"/>
        <w:right w:val="none" w:sz="0" w:space="0" w:color="auto"/>
      </w:divBdr>
      <w:divsChild>
        <w:div w:id="1264462601">
          <w:marLeft w:val="0"/>
          <w:marRight w:val="0"/>
          <w:marTop w:val="0"/>
          <w:marBottom w:val="0"/>
          <w:divBdr>
            <w:top w:val="none" w:sz="0" w:space="0" w:color="auto"/>
            <w:left w:val="none" w:sz="0" w:space="0" w:color="auto"/>
            <w:bottom w:val="none" w:sz="0" w:space="0" w:color="auto"/>
            <w:right w:val="none" w:sz="0" w:space="0" w:color="auto"/>
          </w:divBdr>
        </w:div>
      </w:divsChild>
    </w:div>
    <w:div w:id="120392878">
      <w:bodyDiv w:val="1"/>
      <w:marLeft w:val="0"/>
      <w:marRight w:val="0"/>
      <w:marTop w:val="0"/>
      <w:marBottom w:val="0"/>
      <w:divBdr>
        <w:top w:val="none" w:sz="0" w:space="0" w:color="auto"/>
        <w:left w:val="none" w:sz="0" w:space="0" w:color="auto"/>
        <w:bottom w:val="none" w:sz="0" w:space="0" w:color="auto"/>
        <w:right w:val="none" w:sz="0" w:space="0" w:color="auto"/>
      </w:divBdr>
      <w:divsChild>
        <w:div w:id="1551653037">
          <w:marLeft w:val="0"/>
          <w:marRight w:val="0"/>
          <w:marTop w:val="0"/>
          <w:marBottom w:val="0"/>
          <w:divBdr>
            <w:top w:val="none" w:sz="0" w:space="0" w:color="auto"/>
            <w:left w:val="none" w:sz="0" w:space="0" w:color="auto"/>
            <w:bottom w:val="none" w:sz="0" w:space="0" w:color="auto"/>
            <w:right w:val="none" w:sz="0" w:space="0" w:color="auto"/>
          </w:divBdr>
        </w:div>
      </w:divsChild>
    </w:div>
    <w:div w:id="470292852">
      <w:bodyDiv w:val="1"/>
      <w:marLeft w:val="0"/>
      <w:marRight w:val="0"/>
      <w:marTop w:val="0"/>
      <w:marBottom w:val="0"/>
      <w:divBdr>
        <w:top w:val="none" w:sz="0" w:space="0" w:color="auto"/>
        <w:left w:val="none" w:sz="0" w:space="0" w:color="auto"/>
        <w:bottom w:val="none" w:sz="0" w:space="0" w:color="auto"/>
        <w:right w:val="none" w:sz="0" w:space="0" w:color="auto"/>
      </w:divBdr>
      <w:divsChild>
        <w:div w:id="1973292684">
          <w:marLeft w:val="0"/>
          <w:marRight w:val="0"/>
          <w:marTop w:val="0"/>
          <w:marBottom w:val="0"/>
          <w:divBdr>
            <w:top w:val="none" w:sz="0" w:space="0" w:color="auto"/>
            <w:left w:val="none" w:sz="0" w:space="0" w:color="auto"/>
            <w:bottom w:val="none" w:sz="0" w:space="0" w:color="auto"/>
            <w:right w:val="none" w:sz="0" w:space="0" w:color="auto"/>
          </w:divBdr>
        </w:div>
      </w:divsChild>
    </w:div>
    <w:div w:id="510414679">
      <w:bodyDiv w:val="1"/>
      <w:marLeft w:val="0"/>
      <w:marRight w:val="0"/>
      <w:marTop w:val="0"/>
      <w:marBottom w:val="0"/>
      <w:divBdr>
        <w:top w:val="none" w:sz="0" w:space="0" w:color="auto"/>
        <w:left w:val="none" w:sz="0" w:space="0" w:color="auto"/>
        <w:bottom w:val="none" w:sz="0" w:space="0" w:color="auto"/>
        <w:right w:val="none" w:sz="0" w:space="0" w:color="auto"/>
      </w:divBdr>
      <w:divsChild>
        <w:div w:id="74515403">
          <w:marLeft w:val="0"/>
          <w:marRight w:val="0"/>
          <w:marTop w:val="0"/>
          <w:marBottom w:val="0"/>
          <w:divBdr>
            <w:top w:val="none" w:sz="0" w:space="0" w:color="auto"/>
            <w:left w:val="none" w:sz="0" w:space="0" w:color="auto"/>
            <w:bottom w:val="none" w:sz="0" w:space="0" w:color="auto"/>
            <w:right w:val="none" w:sz="0" w:space="0" w:color="auto"/>
          </w:divBdr>
        </w:div>
      </w:divsChild>
    </w:div>
    <w:div w:id="1001271639">
      <w:bodyDiv w:val="1"/>
      <w:marLeft w:val="0"/>
      <w:marRight w:val="0"/>
      <w:marTop w:val="0"/>
      <w:marBottom w:val="0"/>
      <w:divBdr>
        <w:top w:val="none" w:sz="0" w:space="0" w:color="auto"/>
        <w:left w:val="none" w:sz="0" w:space="0" w:color="auto"/>
        <w:bottom w:val="none" w:sz="0" w:space="0" w:color="auto"/>
        <w:right w:val="none" w:sz="0" w:space="0" w:color="auto"/>
      </w:divBdr>
      <w:divsChild>
        <w:div w:id="878979380">
          <w:marLeft w:val="0"/>
          <w:marRight w:val="0"/>
          <w:marTop w:val="0"/>
          <w:marBottom w:val="0"/>
          <w:divBdr>
            <w:top w:val="none" w:sz="0" w:space="0" w:color="auto"/>
            <w:left w:val="none" w:sz="0" w:space="0" w:color="auto"/>
            <w:bottom w:val="none" w:sz="0" w:space="0" w:color="auto"/>
            <w:right w:val="none" w:sz="0" w:space="0" w:color="auto"/>
          </w:divBdr>
          <w:divsChild>
            <w:div w:id="2138254210">
              <w:marLeft w:val="0"/>
              <w:marRight w:val="0"/>
              <w:marTop w:val="0"/>
              <w:marBottom w:val="0"/>
              <w:divBdr>
                <w:top w:val="none" w:sz="0" w:space="0" w:color="auto"/>
                <w:left w:val="none" w:sz="0" w:space="0" w:color="auto"/>
                <w:bottom w:val="none" w:sz="0" w:space="0" w:color="auto"/>
                <w:right w:val="none" w:sz="0" w:space="0" w:color="auto"/>
              </w:divBdr>
              <w:divsChild>
                <w:div w:id="1084181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851880">
      <w:bodyDiv w:val="1"/>
      <w:marLeft w:val="0"/>
      <w:marRight w:val="0"/>
      <w:marTop w:val="0"/>
      <w:marBottom w:val="0"/>
      <w:divBdr>
        <w:top w:val="none" w:sz="0" w:space="0" w:color="auto"/>
        <w:left w:val="none" w:sz="0" w:space="0" w:color="auto"/>
        <w:bottom w:val="none" w:sz="0" w:space="0" w:color="auto"/>
        <w:right w:val="none" w:sz="0" w:space="0" w:color="auto"/>
      </w:divBdr>
      <w:divsChild>
        <w:div w:id="1916089973">
          <w:marLeft w:val="0"/>
          <w:marRight w:val="0"/>
          <w:marTop w:val="0"/>
          <w:marBottom w:val="0"/>
          <w:divBdr>
            <w:top w:val="none" w:sz="0" w:space="0" w:color="auto"/>
            <w:left w:val="none" w:sz="0" w:space="0" w:color="auto"/>
            <w:bottom w:val="none" w:sz="0" w:space="0" w:color="auto"/>
            <w:right w:val="none" w:sz="0" w:space="0" w:color="auto"/>
          </w:divBdr>
        </w:div>
      </w:divsChild>
    </w:div>
    <w:div w:id="1115952612">
      <w:bodyDiv w:val="1"/>
      <w:marLeft w:val="0"/>
      <w:marRight w:val="0"/>
      <w:marTop w:val="0"/>
      <w:marBottom w:val="0"/>
      <w:divBdr>
        <w:top w:val="none" w:sz="0" w:space="0" w:color="auto"/>
        <w:left w:val="none" w:sz="0" w:space="0" w:color="auto"/>
        <w:bottom w:val="none" w:sz="0" w:space="0" w:color="auto"/>
        <w:right w:val="none" w:sz="0" w:space="0" w:color="auto"/>
      </w:divBdr>
      <w:divsChild>
        <w:div w:id="557790530">
          <w:marLeft w:val="0"/>
          <w:marRight w:val="0"/>
          <w:marTop w:val="0"/>
          <w:marBottom w:val="0"/>
          <w:divBdr>
            <w:top w:val="none" w:sz="0" w:space="0" w:color="auto"/>
            <w:left w:val="none" w:sz="0" w:space="0" w:color="auto"/>
            <w:bottom w:val="none" w:sz="0" w:space="0" w:color="auto"/>
            <w:right w:val="none" w:sz="0" w:space="0" w:color="auto"/>
          </w:divBdr>
          <w:divsChild>
            <w:div w:id="188884271">
              <w:marLeft w:val="0"/>
              <w:marRight w:val="0"/>
              <w:marTop w:val="0"/>
              <w:marBottom w:val="0"/>
              <w:divBdr>
                <w:top w:val="none" w:sz="0" w:space="0" w:color="auto"/>
                <w:left w:val="none" w:sz="0" w:space="0" w:color="auto"/>
                <w:bottom w:val="none" w:sz="0" w:space="0" w:color="auto"/>
                <w:right w:val="none" w:sz="0" w:space="0" w:color="auto"/>
              </w:divBdr>
              <w:divsChild>
                <w:div w:id="194649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929981">
      <w:bodyDiv w:val="1"/>
      <w:marLeft w:val="0"/>
      <w:marRight w:val="0"/>
      <w:marTop w:val="0"/>
      <w:marBottom w:val="0"/>
      <w:divBdr>
        <w:top w:val="none" w:sz="0" w:space="0" w:color="auto"/>
        <w:left w:val="none" w:sz="0" w:space="0" w:color="auto"/>
        <w:bottom w:val="none" w:sz="0" w:space="0" w:color="auto"/>
        <w:right w:val="none" w:sz="0" w:space="0" w:color="auto"/>
      </w:divBdr>
      <w:divsChild>
        <w:div w:id="629896696">
          <w:marLeft w:val="0"/>
          <w:marRight w:val="0"/>
          <w:marTop w:val="0"/>
          <w:marBottom w:val="0"/>
          <w:divBdr>
            <w:top w:val="none" w:sz="0" w:space="0" w:color="auto"/>
            <w:left w:val="none" w:sz="0" w:space="0" w:color="auto"/>
            <w:bottom w:val="none" w:sz="0" w:space="0" w:color="auto"/>
            <w:right w:val="none" w:sz="0" w:space="0" w:color="auto"/>
          </w:divBdr>
        </w:div>
      </w:divsChild>
    </w:div>
    <w:div w:id="1781756745">
      <w:bodyDiv w:val="1"/>
      <w:marLeft w:val="0"/>
      <w:marRight w:val="0"/>
      <w:marTop w:val="0"/>
      <w:marBottom w:val="0"/>
      <w:divBdr>
        <w:top w:val="none" w:sz="0" w:space="0" w:color="auto"/>
        <w:left w:val="none" w:sz="0" w:space="0" w:color="auto"/>
        <w:bottom w:val="none" w:sz="0" w:space="0" w:color="auto"/>
        <w:right w:val="none" w:sz="0" w:space="0" w:color="auto"/>
      </w:divBdr>
      <w:divsChild>
        <w:div w:id="1455367777">
          <w:marLeft w:val="0"/>
          <w:marRight w:val="0"/>
          <w:marTop w:val="0"/>
          <w:marBottom w:val="0"/>
          <w:divBdr>
            <w:top w:val="none" w:sz="0" w:space="0" w:color="auto"/>
            <w:left w:val="none" w:sz="0" w:space="0" w:color="auto"/>
            <w:bottom w:val="none" w:sz="0" w:space="0" w:color="auto"/>
            <w:right w:val="none" w:sz="0" w:space="0" w:color="auto"/>
          </w:divBdr>
          <w:divsChild>
            <w:div w:id="121921485">
              <w:marLeft w:val="0"/>
              <w:marRight w:val="0"/>
              <w:marTop w:val="0"/>
              <w:marBottom w:val="0"/>
              <w:divBdr>
                <w:top w:val="none" w:sz="0" w:space="0" w:color="auto"/>
                <w:left w:val="none" w:sz="0" w:space="0" w:color="auto"/>
                <w:bottom w:val="none" w:sz="0" w:space="0" w:color="auto"/>
                <w:right w:val="none" w:sz="0" w:space="0" w:color="auto"/>
              </w:divBdr>
              <w:divsChild>
                <w:div w:id="116635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381477">
      <w:bodyDiv w:val="1"/>
      <w:marLeft w:val="0"/>
      <w:marRight w:val="0"/>
      <w:marTop w:val="0"/>
      <w:marBottom w:val="0"/>
      <w:divBdr>
        <w:top w:val="none" w:sz="0" w:space="0" w:color="auto"/>
        <w:left w:val="none" w:sz="0" w:space="0" w:color="auto"/>
        <w:bottom w:val="none" w:sz="0" w:space="0" w:color="auto"/>
        <w:right w:val="none" w:sz="0" w:space="0" w:color="auto"/>
      </w:divBdr>
      <w:divsChild>
        <w:div w:id="1499883096">
          <w:marLeft w:val="0"/>
          <w:marRight w:val="0"/>
          <w:marTop w:val="0"/>
          <w:marBottom w:val="0"/>
          <w:divBdr>
            <w:top w:val="none" w:sz="0" w:space="0" w:color="auto"/>
            <w:left w:val="none" w:sz="0" w:space="0" w:color="auto"/>
            <w:bottom w:val="none" w:sz="0" w:space="0" w:color="auto"/>
            <w:right w:val="none" w:sz="0" w:space="0" w:color="auto"/>
          </w:divBdr>
        </w:div>
      </w:divsChild>
    </w:div>
    <w:div w:id="2021663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atlantic.com/magazine/archive/2015/09/the-coddling-of-the-american-mind/399356/"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163</TotalTime>
  <Pages>1</Pages>
  <Words>2062</Words>
  <Characters>11755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Josephson, Elisha</cp:lastModifiedBy>
  <cp:revision>5</cp:revision>
  <dcterms:created xsi:type="dcterms:W3CDTF">2025-04-27T19:47:00Z</dcterms:created>
  <dcterms:modified xsi:type="dcterms:W3CDTF">2025-05-19T07:34:00Z</dcterms:modified>
</cp:coreProperties>
</file>