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63FC2" w:rsidRDefault="006D12BC" w:rsidP="00783B42">
      <w:pPr>
        <w:jc w:val="center"/>
      </w:pPr>
      <w:r w:rsidRPr="006D12BC">
        <w:rPr>
          <w:noProof/>
          <w:lang w:eastAsia="en-GB"/>
        </w:rPr>
        <w:drawing>
          <wp:inline distT="0" distB="0" distL="0" distR="0" wp14:anchorId="23E591FD" wp14:editId="4C768236">
            <wp:extent cx="3572374" cy="1409897"/>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72374" cy="1409897"/>
                    </a:xfrm>
                    <a:prstGeom prst="rect">
                      <a:avLst/>
                    </a:prstGeom>
                  </pic:spPr>
                </pic:pic>
              </a:graphicData>
            </a:graphic>
          </wp:inline>
        </w:drawing>
      </w:r>
    </w:p>
    <w:p w:rsidR="006D12BC" w:rsidRDefault="006D12BC" w:rsidP="000258B8"/>
    <w:p w:rsidR="006D12BC" w:rsidRDefault="006D12BC" w:rsidP="000258B8"/>
    <w:p w:rsidR="006D12BC" w:rsidRDefault="006D12BC" w:rsidP="000258B8"/>
    <w:p w:rsidR="006D12BC" w:rsidRDefault="006D12BC" w:rsidP="00783B42">
      <w:pPr>
        <w:spacing w:line="480" w:lineRule="auto"/>
        <w:jc w:val="center"/>
      </w:pPr>
      <w:r>
        <w:t xml:space="preserve">Programme: </w:t>
      </w:r>
      <w:r w:rsidR="00511463">
        <w:t>MBA International Business</w:t>
      </w:r>
    </w:p>
    <w:p w:rsidR="006D12BC" w:rsidRDefault="006D12BC" w:rsidP="00783B42">
      <w:pPr>
        <w:spacing w:line="480" w:lineRule="auto"/>
        <w:jc w:val="center"/>
      </w:pPr>
      <w:r>
        <w:t>Module: Dissertation</w:t>
      </w:r>
    </w:p>
    <w:p w:rsidR="006D12BC" w:rsidRDefault="006D12BC" w:rsidP="00783B42">
      <w:pPr>
        <w:spacing w:line="480" w:lineRule="auto"/>
        <w:jc w:val="center"/>
      </w:pPr>
      <w:r>
        <w:t>Module code: LCMB7035</w:t>
      </w:r>
    </w:p>
    <w:p w:rsidR="00511463" w:rsidRDefault="006D12BC" w:rsidP="00511463">
      <w:pPr>
        <w:spacing w:line="480" w:lineRule="auto"/>
        <w:jc w:val="center"/>
      </w:pPr>
      <w:r>
        <w:t>Dissertation proposal title</w:t>
      </w:r>
      <w:r w:rsidR="00511463">
        <w:t>:</w:t>
      </w:r>
    </w:p>
    <w:p w:rsidR="00511463" w:rsidRDefault="006D12BC" w:rsidP="00783B42">
      <w:pPr>
        <w:spacing w:line="480" w:lineRule="auto"/>
        <w:jc w:val="center"/>
      </w:pPr>
      <w:r>
        <w:t>Supervisor’s name</w:t>
      </w:r>
      <w:r w:rsidR="00F056E2">
        <w:t>:</w:t>
      </w:r>
      <w:r w:rsidR="00511463">
        <w:t xml:space="preserve"> </w:t>
      </w:r>
      <w:proofErr w:type="spellStart"/>
      <w:r w:rsidR="00511463">
        <w:t>Alireza</w:t>
      </w:r>
      <w:proofErr w:type="spellEnd"/>
      <w:r w:rsidR="00511463">
        <w:t xml:space="preserve"> </w:t>
      </w:r>
      <w:proofErr w:type="spellStart"/>
      <w:r w:rsidR="00511463">
        <w:t>Nazarian</w:t>
      </w:r>
      <w:proofErr w:type="spellEnd"/>
    </w:p>
    <w:p w:rsidR="006D12BC" w:rsidRDefault="00511463" w:rsidP="00783B42">
      <w:pPr>
        <w:spacing w:line="480" w:lineRule="auto"/>
        <w:jc w:val="center"/>
      </w:pPr>
      <w:r w:rsidRPr="00511463">
        <w:t>Lecturer (HPL) (Business &amp; Management, London)</w:t>
      </w:r>
    </w:p>
    <w:p w:rsidR="004A5A70" w:rsidRDefault="004A5A70" w:rsidP="00783B42">
      <w:pPr>
        <w:spacing w:line="480" w:lineRule="auto"/>
        <w:jc w:val="center"/>
      </w:pPr>
      <w:r>
        <w:t>student Name: Hamza Khan</w:t>
      </w:r>
      <w:bookmarkStart w:id="0" w:name="_GoBack"/>
      <w:bookmarkEnd w:id="0"/>
    </w:p>
    <w:p w:rsidR="006D12BC" w:rsidRDefault="006D12BC" w:rsidP="00783B42">
      <w:pPr>
        <w:spacing w:line="480" w:lineRule="auto"/>
        <w:jc w:val="center"/>
      </w:pPr>
      <w:r>
        <w:t>Submission date</w:t>
      </w:r>
      <w:r w:rsidR="00F056E2">
        <w:t>:</w:t>
      </w:r>
      <w:r w:rsidR="00511463">
        <w:t xml:space="preserve"> 16 July 2026</w:t>
      </w:r>
    </w:p>
    <w:p w:rsidR="006D12BC" w:rsidRDefault="006D12BC" w:rsidP="00783B42">
      <w:pPr>
        <w:spacing w:line="480" w:lineRule="auto"/>
        <w:jc w:val="center"/>
      </w:pPr>
      <w:r>
        <w:t>Word count</w:t>
      </w:r>
      <w:r w:rsidR="00F056E2">
        <w:t>:</w:t>
      </w:r>
      <w:r w:rsidR="00511463">
        <w:t xml:space="preserve"> 2697</w:t>
      </w:r>
    </w:p>
    <w:p w:rsidR="00511463" w:rsidRDefault="00F94180" w:rsidP="000258B8">
      <w:r>
        <w:br w:type="page"/>
      </w:r>
    </w:p>
    <w:sdt>
      <w:sdtPr>
        <w:rPr>
          <w:rFonts w:ascii="Times New Roman" w:eastAsiaTheme="minorHAnsi" w:hAnsi="Times New Roman" w:cstheme="minorBidi"/>
          <w:color w:val="auto"/>
          <w:sz w:val="24"/>
          <w:szCs w:val="22"/>
          <w:lang w:val="en-GB"/>
        </w:rPr>
        <w:id w:val="-783116633"/>
        <w:docPartObj>
          <w:docPartGallery w:val="Table of Contents"/>
          <w:docPartUnique/>
        </w:docPartObj>
      </w:sdtPr>
      <w:sdtEndPr>
        <w:rPr>
          <w:b/>
          <w:bCs/>
          <w:noProof/>
        </w:rPr>
      </w:sdtEndPr>
      <w:sdtContent>
        <w:p w:rsidR="00511463" w:rsidRDefault="00511463">
          <w:pPr>
            <w:pStyle w:val="TOCHeading"/>
          </w:pPr>
          <w:r>
            <w:t>Table of Contents</w:t>
          </w:r>
        </w:p>
        <w:p w:rsidR="00511463" w:rsidRDefault="00511463">
          <w:pPr>
            <w:pStyle w:val="TOC1"/>
            <w:tabs>
              <w:tab w:val="right" w:leader="dot" w:pos="9016"/>
            </w:tabs>
            <w:rPr>
              <w:noProof/>
            </w:rPr>
          </w:pPr>
          <w:r>
            <w:fldChar w:fldCharType="begin"/>
          </w:r>
          <w:r>
            <w:instrText xml:space="preserve"> TOC \o "1-3" \h \z \u </w:instrText>
          </w:r>
          <w:r>
            <w:fldChar w:fldCharType="separate"/>
          </w:r>
          <w:hyperlink w:anchor="_Toc234883750" w:history="1">
            <w:r w:rsidRPr="00A7368B">
              <w:rPr>
                <w:rStyle w:val="Hyperlink"/>
                <w:noProof/>
              </w:rPr>
              <w:t>1. Introduction</w:t>
            </w:r>
            <w:r>
              <w:rPr>
                <w:noProof/>
                <w:webHidden/>
              </w:rPr>
              <w:tab/>
            </w:r>
            <w:r>
              <w:rPr>
                <w:noProof/>
                <w:webHidden/>
              </w:rPr>
              <w:fldChar w:fldCharType="begin"/>
            </w:r>
            <w:r>
              <w:rPr>
                <w:noProof/>
                <w:webHidden/>
              </w:rPr>
              <w:instrText xml:space="preserve"> PAGEREF _Toc234883750 \h </w:instrText>
            </w:r>
            <w:r>
              <w:rPr>
                <w:noProof/>
                <w:webHidden/>
              </w:rPr>
            </w:r>
            <w:r>
              <w:rPr>
                <w:noProof/>
                <w:webHidden/>
              </w:rPr>
              <w:fldChar w:fldCharType="separate"/>
            </w:r>
            <w:r>
              <w:rPr>
                <w:noProof/>
                <w:webHidden/>
              </w:rPr>
              <w:t>2</w:t>
            </w:r>
            <w:r>
              <w:rPr>
                <w:noProof/>
                <w:webHidden/>
              </w:rPr>
              <w:fldChar w:fldCharType="end"/>
            </w:r>
          </w:hyperlink>
        </w:p>
        <w:p w:rsidR="00511463" w:rsidRDefault="00320D35">
          <w:pPr>
            <w:pStyle w:val="TOC2"/>
            <w:tabs>
              <w:tab w:val="right" w:leader="dot" w:pos="9016"/>
            </w:tabs>
            <w:rPr>
              <w:noProof/>
            </w:rPr>
          </w:pPr>
          <w:hyperlink w:anchor="_Toc234883751" w:history="1">
            <w:r w:rsidR="00511463" w:rsidRPr="00A7368B">
              <w:rPr>
                <w:rStyle w:val="Hyperlink"/>
                <w:noProof/>
              </w:rPr>
              <w:t>1.1 Research Background</w:t>
            </w:r>
            <w:r w:rsidR="00511463">
              <w:rPr>
                <w:noProof/>
                <w:webHidden/>
              </w:rPr>
              <w:tab/>
            </w:r>
            <w:r w:rsidR="00511463">
              <w:rPr>
                <w:noProof/>
                <w:webHidden/>
              </w:rPr>
              <w:fldChar w:fldCharType="begin"/>
            </w:r>
            <w:r w:rsidR="00511463">
              <w:rPr>
                <w:noProof/>
                <w:webHidden/>
              </w:rPr>
              <w:instrText xml:space="preserve"> PAGEREF _Toc234883751 \h </w:instrText>
            </w:r>
            <w:r w:rsidR="00511463">
              <w:rPr>
                <w:noProof/>
                <w:webHidden/>
              </w:rPr>
            </w:r>
            <w:r w:rsidR="00511463">
              <w:rPr>
                <w:noProof/>
                <w:webHidden/>
              </w:rPr>
              <w:fldChar w:fldCharType="separate"/>
            </w:r>
            <w:r w:rsidR="00511463">
              <w:rPr>
                <w:noProof/>
                <w:webHidden/>
              </w:rPr>
              <w:t>2</w:t>
            </w:r>
            <w:r w:rsidR="00511463">
              <w:rPr>
                <w:noProof/>
                <w:webHidden/>
              </w:rPr>
              <w:fldChar w:fldCharType="end"/>
            </w:r>
          </w:hyperlink>
        </w:p>
        <w:p w:rsidR="00511463" w:rsidRDefault="00320D35">
          <w:pPr>
            <w:pStyle w:val="TOC2"/>
            <w:tabs>
              <w:tab w:val="right" w:leader="dot" w:pos="9016"/>
            </w:tabs>
            <w:rPr>
              <w:noProof/>
            </w:rPr>
          </w:pPr>
          <w:hyperlink w:anchor="_Toc234883752" w:history="1">
            <w:r w:rsidR="00511463" w:rsidRPr="00A7368B">
              <w:rPr>
                <w:rStyle w:val="Hyperlink"/>
                <w:noProof/>
              </w:rPr>
              <w:t>1.2 Research Problem</w:t>
            </w:r>
            <w:r w:rsidR="00511463">
              <w:rPr>
                <w:noProof/>
                <w:webHidden/>
              </w:rPr>
              <w:tab/>
            </w:r>
            <w:r w:rsidR="00511463">
              <w:rPr>
                <w:noProof/>
                <w:webHidden/>
              </w:rPr>
              <w:fldChar w:fldCharType="begin"/>
            </w:r>
            <w:r w:rsidR="00511463">
              <w:rPr>
                <w:noProof/>
                <w:webHidden/>
              </w:rPr>
              <w:instrText xml:space="preserve"> PAGEREF _Toc234883752 \h </w:instrText>
            </w:r>
            <w:r w:rsidR="00511463">
              <w:rPr>
                <w:noProof/>
                <w:webHidden/>
              </w:rPr>
            </w:r>
            <w:r w:rsidR="00511463">
              <w:rPr>
                <w:noProof/>
                <w:webHidden/>
              </w:rPr>
              <w:fldChar w:fldCharType="separate"/>
            </w:r>
            <w:r w:rsidR="00511463">
              <w:rPr>
                <w:noProof/>
                <w:webHidden/>
              </w:rPr>
              <w:t>3</w:t>
            </w:r>
            <w:r w:rsidR="00511463">
              <w:rPr>
                <w:noProof/>
                <w:webHidden/>
              </w:rPr>
              <w:fldChar w:fldCharType="end"/>
            </w:r>
          </w:hyperlink>
        </w:p>
        <w:p w:rsidR="00511463" w:rsidRDefault="00320D35">
          <w:pPr>
            <w:pStyle w:val="TOC2"/>
            <w:tabs>
              <w:tab w:val="right" w:leader="dot" w:pos="9016"/>
            </w:tabs>
            <w:rPr>
              <w:noProof/>
            </w:rPr>
          </w:pPr>
          <w:hyperlink w:anchor="_Toc234883753" w:history="1">
            <w:r w:rsidR="00511463" w:rsidRPr="00A7368B">
              <w:rPr>
                <w:rStyle w:val="Hyperlink"/>
                <w:noProof/>
              </w:rPr>
              <w:t>1.3 Research Rationale and Justification</w:t>
            </w:r>
            <w:r w:rsidR="00511463">
              <w:rPr>
                <w:noProof/>
                <w:webHidden/>
              </w:rPr>
              <w:tab/>
            </w:r>
            <w:r w:rsidR="00511463">
              <w:rPr>
                <w:noProof/>
                <w:webHidden/>
              </w:rPr>
              <w:fldChar w:fldCharType="begin"/>
            </w:r>
            <w:r w:rsidR="00511463">
              <w:rPr>
                <w:noProof/>
                <w:webHidden/>
              </w:rPr>
              <w:instrText xml:space="preserve"> PAGEREF _Toc234883753 \h </w:instrText>
            </w:r>
            <w:r w:rsidR="00511463">
              <w:rPr>
                <w:noProof/>
                <w:webHidden/>
              </w:rPr>
            </w:r>
            <w:r w:rsidR="00511463">
              <w:rPr>
                <w:noProof/>
                <w:webHidden/>
              </w:rPr>
              <w:fldChar w:fldCharType="separate"/>
            </w:r>
            <w:r w:rsidR="00511463">
              <w:rPr>
                <w:noProof/>
                <w:webHidden/>
              </w:rPr>
              <w:t>3</w:t>
            </w:r>
            <w:r w:rsidR="00511463">
              <w:rPr>
                <w:noProof/>
                <w:webHidden/>
              </w:rPr>
              <w:fldChar w:fldCharType="end"/>
            </w:r>
          </w:hyperlink>
        </w:p>
        <w:p w:rsidR="00511463" w:rsidRDefault="00320D35">
          <w:pPr>
            <w:pStyle w:val="TOC2"/>
            <w:tabs>
              <w:tab w:val="right" w:leader="dot" w:pos="9016"/>
            </w:tabs>
            <w:rPr>
              <w:noProof/>
            </w:rPr>
          </w:pPr>
          <w:hyperlink w:anchor="_Toc234883754" w:history="1">
            <w:r w:rsidR="00511463" w:rsidRPr="00A7368B">
              <w:rPr>
                <w:rStyle w:val="Hyperlink"/>
                <w:noProof/>
              </w:rPr>
              <w:t>1.4 Research Aim</w:t>
            </w:r>
            <w:r w:rsidR="00511463">
              <w:rPr>
                <w:noProof/>
                <w:webHidden/>
              </w:rPr>
              <w:tab/>
            </w:r>
            <w:r w:rsidR="00511463">
              <w:rPr>
                <w:noProof/>
                <w:webHidden/>
              </w:rPr>
              <w:fldChar w:fldCharType="begin"/>
            </w:r>
            <w:r w:rsidR="00511463">
              <w:rPr>
                <w:noProof/>
                <w:webHidden/>
              </w:rPr>
              <w:instrText xml:space="preserve"> PAGEREF _Toc234883754 \h </w:instrText>
            </w:r>
            <w:r w:rsidR="00511463">
              <w:rPr>
                <w:noProof/>
                <w:webHidden/>
              </w:rPr>
            </w:r>
            <w:r w:rsidR="00511463">
              <w:rPr>
                <w:noProof/>
                <w:webHidden/>
              </w:rPr>
              <w:fldChar w:fldCharType="separate"/>
            </w:r>
            <w:r w:rsidR="00511463">
              <w:rPr>
                <w:noProof/>
                <w:webHidden/>
              </w:rPr>
              <w:t>4</w:t>
            </w:r>
            <w:r w:rsidR="00511463">
              <w:rPr>
                <w:noProof/>
                <w:webHidden/>
              </w:rPr>
              <w:fldChar w:fldCharType="end"/>
            </w:r>
          </w:hyperlink>
        </w:p>
        <w:p w:rsidR="00511463" w:rsidRDefault="00320D35">
          <w:pPr>
            <w:pStyle w:val="TOC2"/>
            <w:tabs>
              <w:tab w:val="right" w:leader="dot" w:pos="9016"/>
            </w:tabs>
            <w:rPr>
              <w:noProof/>
            </w:rPr>
          </w:pPr>
          <w:hyperlink w:anchor="_Toc234883755" w:history="1">
            <w:r w:rsidR="00511463" w:rsidRPr="00A7368B">
              <w:rPr>
                <w:rStyle w:val="Hyperlink"/>
                <w:noProof/>
              </w:rPr>
              <w:t>1.5 Research Objectives</w:t>
            </w:r>
            <w:r w:rsidR="00511463">
              <w:rPr>
                <w:noProof/>
                <w:webHidden/>
              </w:rPr>
              <w:tab/>
            </w:r>
            <w:r w:rsidR="00511463">
              <w:rPr>
                <w:noProof/>
                <w:webHidden/>
              </w:rPr>
              <w:fldChar w:fldCharType="begin"/>
            </w:r>
            <w:r w:rsidR="00511463">
              <w:rPr>
                <w:noProof/>
                <w:webHidden/>
              </w:rPr>
              <w:instrText xml:space="preserve"> PAGEREF _Toc234883755 \h </w:instrText>
            </w:r>
            <w:r w:rsidR="00511463">
              <w:rPr>
                <w:noProof/>
                <w:webHidden/>
              </w:rPr>
            </w:r>
            <w:r w:rsidR="00511463">
              <w:rPr>
                <w:noProof/>
                <w:webHidden/>
              </w:rPr>
              <w:fldChar w:fldCharType="separate"/>
            </w:r>
            <w:r w:rsidR="00511463">
              <w:rPr>
                <w:noProof/>
                <w:webHidden/>
              </w:rPr>
              <w:t>4</w:t>
            </w:r>
            <w:r w:rsidR="00511463">
              <w:rPr>
                <w:noProof/>
                <w:webHidden/>
              </w:rPr>
              <w:fldChar w:fldCharType="end"/>
            </w:r>
          </w:hyperlink>
        </w:p>
        <w:p w:rsidR="00511463" w:rsidRDefault="00320D35">
          <w:pPr>
            <w:pStyle w:val="TOC2"/>
            <w:tabs>
              <w:tab w:val="right" w:leader="dot" w:pos="9016"/>
            </w:tabs>
            <w:rPr>
              <w:noProof/>
            </w:rPr>
          </w:pPr>
          <w:hyperlink w:anchor="_Toc234883756" w:history="1">
            <w:r w:rsidR="00511463" w:rsidRPr="00A7368B">
              <w:rPr>
                <w:rStyle w:val="Hyperlink"/>
                <w:noProof/>
              </w:rPr>
              <w:t>1.6 Research Questions</w:t>
            </w:r>
            <w:r w:rsidR="00511463">
              <w:rPr>
                <w:noProof/>
                <w:webHidden/>
              </w:rPr>
              <w:tab/>
            </w:r>
            <w:r w:rsidR="00511463">
              <w:rPr>
                <w:noProof/>
                <w:webHidden/>
              </w:rPr>
              <w:fldChar w:fldCharType="begin"/>
            </w:r>
            <w:r w:rsidR="00511463">
              <w:rPr>
                <w:noProof/>
                <w:webHidden/>
              </w:rPr>
              <w:instrText xml:space="preserve"> PAGEREF _Toc234883756 \h </w:instrText>
            </w:r>
            <w:r w:rsidR="00511463">
              <w:rPr>
                <w:noProof/>
                <w:webHidden/>
              </w:rPr>
            </w:r>
            <w:r w:rsidR="00511463">
              <w:rPr>
                <w:noProof/>
                <w:webHidden/>
              </w:rPr>
              <w:fldChar w:fldCharType="separate"/>
            </w:r>
            <w:r w:rsidR="00511463">
              <w:rPr>
                <w:noProof/>
                <w:webHidden/>
              </w:rPr>
              <w:t>5</w:t>
            </w:r>
            <w:r w:rsidR="00511463">
              <w:rPr>
                <w:noProof/>
                <w:webHidden/>
              </w:rPr>
              <w:fldChar w:fldCharType="end"/>
            </w:r>
          </w:hyperlink>
        </w:p>
        <w:p w:rsidR="00511463" w:rsidRDefault="00320D35">
          <w:pPr>
            <w:pStyle w:val="TOC1"/>
            <w:tabs>
              <w:tab w:val="right" w:leader="dot" w:pos="9016"/>
            </w:tabs>
            <w:rPr>
              <w:noProof/>
            </w:rPr>
          </w:pPr>
          <w:hyperlink w:anchor="_Toc234883757" w:history="1">
            <w:r w:rsidR="00511463" w:rsidRPr="00A7368B">
              <w:rPr>
                <w:rStyle w:val="Hyperlink"/>
                <w:noProof/>
              </w:rPr>
              <w:t>2. Preliminary Literature Review</w:t>
            </w:r>
            <w:r w:rsidR="00511463">
              <w:rPr>
                <w:noProof/>
                <w:webHidden/>
              </w:rPr>
              <w:tab/>
            </w:r>
            <w:r w:rsidR="00511463">
              <w:rPr>
                <w:noProof/>
                <w:webHidden/>
              </w:rPr>
              <w:fldChar w:fldCharType="begin"/>
            </w:r>
            <w:r w:rsidR="00511463">
              <w:rPr>
                <w:noProof/>
                <w:webHidden/>
              </w:rPr>
              <w:instrText xml:space="preserve"> PAGEREF _Toc234883757 \h </w:instrText>
            </w:r>
            <w:r w:rsidR="00511463">
              <w:rPr>
                <w:noProof/>
                <w:webHidden/>
              </w:rPr>
            </w:r>
            <w:r w:rsidR="00511463">
              <w:rPr>
                <w:noProof/>
                <w:webHidden/>
              </w:rPr>
              <w:fldChar w:fldCharType="separate"/>
            </w:r>
            <w:r w:rsidR="00511463">
              <w:rPr>
                <w:noProof/>
                <w:webHidden/>
              </w:rPr>
              <w:t>5</w:t>
            </w:r>
            <w:r w:rsidR="00511463">
              <w:rPr>
                <w:noProof/>
                <w:webHidden/>
              </w:rPr>
              <w:fldChar w:fldCharType="end"/>
            </w:r>
          </w:hyperlink>
        </w:p>
        <w:p w:rsidR="00511463" w:rsidRDefault="00320D35">
          <w:pPr>
            <w:pStyle w:val="TOC1"/>
            <w:tabs>
              <w:tab w:val="right" w:leader="dot" w:pos="9016"/>
            </w:tabs>
            <w:rPr>
              <w:noProof/>
            </w:rPr>
          </w:pPr>
          <w:hyperlink w:anchor="_Toc234883758" w:history="1">
            <w:r w:rsidR="00511463" w:rsidRPr="00A7368B">
              <w:rPr>
                <w:rStyle w:val="Hyperlink"/>
                <w:noProof/>
              </w:rPr>
              <w:t>3. Research Methodology</w:t>
            </w:r>
            <w:r w:rsidR="00511463">
              <w:rPr>
                <w:noProof/>
                <w:webHidden/>
              </w:rPr>
              <w:tab/>
            </w:r>
            <w:r w:rsidR="00511463">
              <w:rPr>
                <w:noProof/>
                <w:webHidden/>
              </w:rPr>
              <w:fldChar w:fldCharType="begin"/>
            </w:r>
            <w:r w:rsidR="00511463">
              <w:rPr>
                <w:noProof/>
                <w:webHidden/>
              </w:rPr>
              <w:instrText xml:space="preserve"> PAGEREF _Toc234883758 \h </w:instrText>
            </w:r>
            <w:r w:rsidR="00511463">
              <w:rPr>
                <w:noProof/>
                <w:webHidden/>
              </w:rPr>
            </w:r>
            <w:r w:rsidR="00511463">
              <w:rPr>
                <w:noProof/>
                <w:webHidden/>
              </w:rPr>
              <w:fldChar w:fldCharType="separate"/>
            </w:r>
            <w:r w:rsidR="00511463">
              <w:rPr>
                <w:noProof/>
                <w:webHidden/>
              </w:rPr>
              <w:t>7</w:t>
            </w:r>
            <w:r w:rsidR="00511463">
              <w:rPr>
                <w:noProof/>
                <w:webHidden/>
              </w:rPr>
              <w:fldChar w:fldCharType="end"/>
            </w:r>
          </w:hyperlink>
        </w:p>
        <w:p w:rsidR="00511463" w:rsidRDefault="00320D35">
          <w:pPr>
            <w:pStyle w:val="TOC1"/>
            <w:tabs>
              <w:tab w:val="right" w:leader="dot" w:pos="9016"/>
            </w:tabs>
            <w:rPr>
              <w:noProof/>
            </w:rPr>
          </w:pPr>
          <w:hyperlink w:anchor="_Toc234883759" w:history="1">
            <w:r w:rsidR="00511463" w:rsidRPr="00A7368B">
              <w:rPr>
                <w:rStyle w:val="Hyperlink"/>
                <w:noProof/>
              </w:rPr>
              <w:t>4. Expected Findings</w:t>
            </w:r>
            <w:r w:rsidR="00511463">
              <w:rPr>
                <w:noProof/>
                <w:webHidden/>
              </w:rPr>
              <w:tab/>
            </w:r>
            <w:r w:rsidR="00511463">
              <w:rPr>
                <w:noProof/>
                <w:webHidden/>
              </w:rPr>
              <w:fldChar w:fldCharType="begin"/>
            </w:r>
            <w:r w:rsidR="00511463">
              <w:rPr>
                <w:noProof/>
                <w:webHidden/>
              </w:rPr>
              <w:instrText xml:space="preserve"> PAGEREF _Toc234883759 \h </w:instrText>
            </w:r>
            <w:r w:rsidR="00511463">
              <w:rPr>
                <w:noProof/>
                <w:webHidden/>
              </w:rPr>
            </w:r>
            <w:r w:rsidR="00511463">
              <w:rPr>
                <w:noProof/>
                <w:webHidden/>
              </w:rPr>
              <w:fldChar w:fldCharType="separate"/>
            </w:r>
            <w:r w:rsidR="00511463">
              <w:rPr>
                <w:noProof/>
                <w:webHidden/>
              </w:rPr>
              <w:t>9</w:t>
            </w:r>
            <w:r w:rsidR="00511463">
              <w:rPr>
                <w:noProof/>
                <w:webHidden/>
              </w:rPr>
              <w:fldChar w:fldCharType="end"/>
            </w:r>
          </w:hyperlink>
        </w:p>
        <w:p w:rsidR="00511463" w:rsidRDefault="00320D35">
          <w:pPr>
            <w:pStyle w:val="TOC1"/>
            <w:tabs>
              <w:tab w:val="right" w:leader="dot" w:pos="9016"/>
            </w:tabs>
            <w:rPr>
              <w:noProof/>
            </w:rPr>
          </w:pPr>
          <w:hyperlink w:anchor="_Toc234883760" w:history="1">
            <w:r w:rsidR="00511463" w:rsidRPr="00A7368B">
              <w:rPr>
                <w:rStyle w:val="Hyperlink"/>
                <w:noProof/>
              </w:rPr>
              <w:t>5. Anticipated Limitations</w:t>
            </w:r>
            <w:r w:rsidR="00511463">
              <w:rPr>
                <w:noProof/>
                <w:webHidden/>
              </w:rPr>
              <w:tab/>
            </w:r>
            <w:r w:rsidR="00511463">
              <w:rPr>
                <w:noProof/>
                <w:webHidden/>
              </w:rPr>
              <w:fldChar w:fldCharType="begin"/>
            </w:r>
            <w:r w:rsidR="00511463">
              <w:rPr>
                <w:noProof/>
                <w:webHidden/>
              </w:rPr>
              <w:instrText xml:space="preserve"> PAGEREF _Toc234883760 \h </w:instrText>
            </w:r>
            <w:r w:rsidR="00511463">
              <w:rPr>
                <w:noProof/>
                <w:webHidden/>
              </w:rPr>
            </w:r>
            <w:r w:rsidR="00511463">
              <w:rPr>
                <w:noProof/>
                <w:webHidden/>
              </w:rPr>
              <w:fldChar w:fldCharType="separate"/>
            </w:r>
            <w:r w:rsidR="00511463">
              <w:rPr>
                <w:noProof/>
                <w:webHidden/>
              </w:rPr>
              <w:t>10</w:t>
            </w:r>
            <w:r w:rsidR="00511463">
              <w:rPr>
                <w:noProof/>
                <w:webHidden/>
              </w:rPr>
              <w:fldChar w:fldCharType="end"/>
            </w:r>
          </w:hyperlink>
        </w:p>
        <w:p w:rsidR="00511463" w:rsidRDefault="00320D35">
          <w:pPr>
            <w:pStyle w:val="TOC1"/>
            <w:tabs>
              <w:tab w:val="right" w:leader="dot" w:pos="9016"/>
            </w:tabs>
            <w:rPr>
              <w:noProof/>
            </w:rPr>
          </w:pPr>
          <w:hyperlink w:anchor="_Toc234883761" w:history="1">
            <w:r w:rsidR="00511463" w:rsidRPr="00A7368B">
              <w:rPr>
                <w:rStyle w:val="Hyperlink"/>
                <w:noProof/>
              </w:rPr>
              <w:t>6. Research Timeframe</w:t>
            </w:r>
            <w:r w:rsidR="00511463">
              <w:rPr>
                <w:noProof/>
                <w:webHidden/>
              </w:rPr>
              <w:tab/>
            </w:r>
            <w:r w:rsidR="00511463">
              <w:rPr>
                <w:noProof/>
                <w:webHidden/>
              </w:rPr>
              <w:fldChar w:fldCharType="begin"/>
            </w:r>
            <w:r w:rsidR="00511463">
              <w:rPr>
                <w:noProof/>
                <w:webHidden/>
              </w:rPr>
              <w:instrText xml:space="preserve"> PAGEREF _Toc234883761 \h </w:instrText>
            </w:r>
            <w:r w:rsidR="00511463">
              <w:rPr>
                <w:noProof/>
                <w:webHidden/>
              </w:rPr>
            </w:r>
            <w:r w:rsidR="00511463">
              <w:rPr>
                <w:noProof/>
                <w:webHidden/>
              </w:rPr>
              <w:fldChar w:fldCharType="separate"/>
            </w:r>
            <w:r w:rsidR="00511463">
              <w:rPr>
                <w:noProof/>
                <w:webHidden/>
              </w:rPr>
              <w:t>11</w:t>
            </w:r>
            <w:r w:rsidR="00511463">
              <w:rPr>
                <w:noProof/>
                <w:webHidden/>
              </w:rPr>
              <w:fldChar w:fldCharType="end"/>
            </w:r>
          </w:hyperlink>
        </w:p>
        <w:p w:rsidR="00511463" w:rsidRDefault="00320D35">
          <w:pPr>
            <w:pStyle w:val="TOC1"/>
            <w:tabs>
              <w:tab w:val="right" w:leader="dot" w:pos="9016"/>
            </w:tabs>
            <w:rPr>
              <w:noProof/>
            </w:rPr>
          </w:pPr>
          <w:hyperlink w:anchor="_Toc234883762" w:history="1">
            <w:r w:rsidR="00511463" w:rsidRPr="00A7368B">
              <w:rPr>
                <w:rStyle w:val="Hyperlink"/>
                <w:noProof/>
              </w:rPr>
              <w:t>7. Conclusion</w:t>
            </w:r>
            <w:r w:rsidR="00511463">
              <w:rPr>
                <w:noProof/>
                <w:webHidden/>
              </w:rPr>
              <w:tab/>
            </w:r>
            <w:r w:rsidR="00511463">
              <w:rPr>
                <w:noProof/>
                <w:webHidden/>
              </w:rPr>
              <w:fldChar w:fldCharType="begin"/>
            </w:r>
            <w:r w:rsidR="00511463">
              <w:rPr>
                <w:noProof/>
                <w:webHidden/>
              </w:rPr>
              <w:instrText xml:space="preserve"> PAGEREF _Toc234883762 \h </w:instrText>
            </w:r>
            <w:r w:rsidR="00511463">
              <w:rPr>
                <w:noProof/>
                <w:webHidden/>
              </w:rPr>
            </w:r>
            <w:r w:rsidR="00511463">
              <w:rPr>
                <w:noProof/>
                <w:webHidden/>
              </w:rPr>
              <w:fldChar w:fldCharType="separate"/>
            </w:r>
            <w:r w:rsidR="00511463">
              <w:rPr>
                <w:noProof/>
                <w:webHidden/>
              </w:rPr>
              <w:t>12</w:t>
            </w:r>
            <w:r w:rsidR="00511463">
              <w:rPr>
                <w:noProof/>
                <w:webHidden/>
              </w:rPr>
              <w:fldChar w:fldCharType="end"/>
            </w:r>
          </w:hyperlink>
        </w:p>
        <w:p w:rsidR="00511463" w:rsidRDefault="00320D35">
          <w:pPr>
            <w:pStyle w:val="TOC1"/>
            <w:tabs>
              <w:tab w:val="right" w:leader="dot" w:pos="9016"/>
            </w:tabs>
            <w:rPr>
              <w:noProof/>
            </w:rPr>
          </w:pPr>
          <w:hyperlink w:anchor="_Toc234883763" w:history="1">
            <w:r w:rsidR="00511463" w:rsidRPr="00A7368B">
              <w:rPr>
                <w:rStyle w:val="Hyperlink"/>
                <w:noProof/>
              </w:rPr>
              <w:t>References</w:t>
            </w:r>
            <w:r w:rsidR="00511463">
              <w:rPr>
                <w:noProof/>
                <w:webHidden/>
              </w:rPr>
              <w:tab/>
            </w:r>
            <w:r w:rsidR="00511463">
              <w:rPr>
                <w:noProof/>
                <w:webHidden/>
              </w:rPr>
              <w:fldChar w:fldCharType="begin"/>
            </w:r>
            <w:r w:rsidR="00511463">
              <w:rPr>
                <w:noProof/>
                <w:webHidden/>
              </w:rPr>
              <w:instrText xml:space="preserve"> PAGEREF _Toc234883763 \h </w:instrText>
            </w:r>
            <w:r w:rsidR="00511463">
              <w:rPr>
                <w:noProof/>
                <w:webHidden/>
              </w:rPr>
            </w:r>
            <w:r w:rsidR="00511463">
              <w:rPr>
                <w:noProof/>
                <w:webHidden/>
              </w:rPr>
              <w:fldChar w:fldCharType="separate"/>
            </w:r>
            <w:r w:rsidR="00511463">
              <w:rPr>
                <w:noProof/>
                <w:webHidden/>
              </w:rPr>
              <w:t>14</w:t>
            </w:r>
            <w:r w:rsidR="00511463">
              <w:rPr>
                <w:noProof/>
                <w:webHidden/>
              </w:rPr>
              <w:fldChar w:fldCharType="end"/>
            </w:r>
          </w:hyperlink>
        </w:p>
        <w:p w:rsidR="00511463" w:rsidRDefault="00511463">
          <w:r>
            <w:rPr>
              <w:b/>
              <w:bCs/>
              <w:noProof/>
            </w:rPr>
            <w:fldChar w:fldCharType="end"/>
          </w:r>
        </w:p>
      </w:sdtContent>
    </w:sdt>
    <w:p w:rsidR="00F94180" w:rsidRDefault="00F94180" w:rsidP="000258B8"/>
    <w:p w:rsidR="00511463" w:rsidRDefault="00511463">
      <w:pPr>
        <w:spacing w:line="259" w:lineRule="auto"/>
        <w:jc w:val="left"/>
        <w:rPr>
          <w:rFonts w:eastAsiaTheme="majorEastAsia" w:cstheme="majorBidi"/>
          <w:b/>
          <w:color w:val="2E74B5" w:themeColor="accent1" w:themeShade="BF"/>
          <w:sz w:val="32"/>
          <w:szCs w:val="32"/>
        </w:rPr>
      </w:pPr>
      <w:bookmarkStart w:id="1" w:name="_Toc234883750"/>
      <w:r>
        <w:br w:type="page"/>
      </w:r>
    </w:p>
    <w:p w:rsidR="00F94180" w:rsidRPr="00F94180" w:rsidRDefault="00F94180" w:rsidP="00BE6D5C">
      <w:pPr>
        <w:pStyle w:val="Heading1"/>
      </w:pPr>
      <w:r w:rsidRPr="00F94180">
        <w:lastRenderedPageBreak/>
        <w:t>1. Introduction</w:t>
      </w:r>
      <w:bookmarkEnd w:id="1"/>
    </w:p>
    <w:p w:rsidR="00F94180" w:rsidRPr="00F94180" w:rsidRDefault="00F94180" w:rsidP="00BE6D5C">
      <w:pPr>
        <w:pStyle w:val="Heading2"/>
      </w:pPr>
      <w:bookmarkStart w:id="2" w:name="_Toc234883751"/>
      <w:r w:rsidRPr="00F94180">
        <w:t>1.1 Research Background</w:t>
      </w:r>
      <w:bookmarkEnd w:id="2"/>
    </w:p>
    <w:p w:rsidR="00BE6D5C" w:rsidRDefault="00F94180" w:rsidP="000258B8">
      <w:r w:rsidRPr="00F94180">
        <w:t>Escalating climate change, resource depletion, pollution and biodiversity loss have intensified pressure on businesses to reconsider how products are designed, produced and marketed. Consequently, sustainability has shifted from a peripheral corporate social responsibility activity towards a strategic marketing concern through which organisations seek legitimacy, differentiation and long-term competitive advantage. At the same time, consumers are demonstrating greater awareness of the environmental consequences of consumption, contributing to the expansion of eco-friendly alternatives across food, fashion, personal care, household products, electronics and packaging. Nevertheless, environmental awareness does not necessarily translate into purchasing behaviour because consumers continue to balance ecological benefits against price, quality, convenience and product performance (Paul, Modi and Patel, 2016).</w:t>
      </w:r>
      <w:r w:rsidR="00BE6D5C">
        <w:t xml:space="preserve"> </w:t>
      </w:r>
      <w:r w:rsidRPr="00F94180">
        <w:t xml:space="preserve">Green marketing practices encompass organisational decisions concerning environmentally responsible product development, pricing, promotion, distribution, packaging and eco-labelling. </w:t>
      </w:r>
    </w:p>
    <w:p w:rsidR="00F94180" w:rsidRPr="00F94180" w:rsidRDefault="00F94180" w:rsidP="000258B8">
      <w:r w:rsidRPr="00F94180">
        <w:t>These practices may include using recyclable materials, reducing waste, adopting sustainable logistics, providing credible environmental certifications and communicating verifiable sustainability benefits. Empirical research generally reports a positive relationship between green marketing practices and green purchase intentions; however, the strength of this relationship varies across products, consumer groups and institutional contexts (</w:t>
      </w:r>
      <w:proofErr w:type="spellStart"/>
      <w:r w:rsidRPr="00F94180">
        <w:t>Majeed</w:t>
      </w:r>
      <w:proofErr w:type="spellEnd"/>
      <w:r w:rsidRPr="00F94180">
        <w:t xml:space="preserve"> et al., 2022). This inconsistency demonstrates that green marketing should not be treated as an automatically persuasive organisational signal. Consumers frequently lack the technical knowledge required to verify whether environmental claims accurately represent product performance. Moreover, the proliferation of vague labels and unsupported sustainability messages has increased exposure to greenwashing, which can undermine corporate transparency, brand credibility and consumer confidence (Santos, Coelho and Marques, 2024). Therefore, green marketing is likely to stimulate purchase willingness only when consumers regard the organisation’s environmental claims as honest, reliable and credible. This positions </w:t>
      </w:r>
      <w:r w:rsidRPr="00BE6D5C">
        <w:rPr>
          <w:bCs/>
        </w:rPr>
        <w:t>green trust</w:t>
      </w:r>
      <w:r w:rsidRPr="00F94180">
        <w:t xml:space="preserve"> as a potentially important psychological mechanism connecting green marketing practices with consumers’ willingness to purchase eco-friendly products.</w:t>
      </w:r>
    </w:p>
    <w:p w:rsidR="00F94180" w:rsidRPr="00F94180" w:rsidRDefault="00F94180" w:rsidP="00BE6D5C">
      <w:pPr>
        <w:pStyle w:val="Heading2"/>
      </w:pPr>
      <w:bookmarkStart w:id="3" w:name="_Toc234883752"/>
      <w:r w:rsidRPr="00F94180">
        <w:lastRenderedPageBreak/>
        <w:t>1.2 Research Problem</w:t>
      </w:r>
      <w:bookmarkEnd w:id="3"/>
    </w:p>
    <w:p w:rsidR="00BE6D5C" w:rsidRDefault="00F94180" w:rsidP="000258B8">
      <w:r w:rsidRPr="00F94180">
        <w:t>Despite substantial organisational investment in environmentally responsible products and promotional campaigns, consumer acceptance of eco-friendly products remains inconsistent. Consumers may express favourable environmental attitudes while avoiding green products because of higher perceived prices, doubts regarding functional performance, limited availability, confusing eco-labels and uncertainty about the authenticity of corporate environmental claims</w:t>
      </w:r>
      <w:r w:rsidR="00347797">
        <w:t xml:space="preserve"> (Badhwar et al., 2024)</w:t>
      </w:r>
      <w:r w:rsidRPr="00F94180">
        <w:t>. This reflects an attitude–intention gap in which ecological concern does not necessarily produce a corresponding willingness to purchase.</w:t>
      </w:r>
      <w:r w:rsidR="00BE6D5C">
        <w:t xml:space="preserve"> </w:t>
      </w:r>
      <w:r w:rsidRPr="00F94180">
        <w:t>A further difficulty is that organisations may use environmental terminology strategically without making proportionate changes to their products or operations. Such greenwashing increases perceived risk and scepticism and can weaken the trust required for consumers to rely upon environmental information. Systematic evidence indicates that greenwashing has significant consequences for consumer trust, corporate transparency and brand evaluation (</w:t>
      </w:r>
      <w:proofErr w:type="spellStart"/>
      <w:r w:rsidRPr="00F94180">
        <w:t>Persakis</w:t>
      </w:r>
      <w:proofErr w:type="spellEnd"/>
      <w:r w:rsidRPr="00F94180">
        <w:t xml:space="preserve"> et al., 2025). </w:t>
      </w:r>
      <w:r w:rsidR="00BE6D5C">
        <w:t xml:space="preserve"> </w:t>
      </w:r>
    </w:p>
    <w:p w:rsidR="00F94180" w:rsidRPr="00F94180" w:rsidRDefault="00F94180" w:rsidP="000258B8">
      <w:r w:rsidRPr="00F94180">
        <w:t xml:space="preserve">Although previous studies have established associations between green marketing and purchase intention, many concentrate on direct effects or examine isolated factors such as environmental awareness, brand image or consumer attitude. For example, </w:t>
      </w:r>
      <w:proofErr w:type="spellStart"/>
      <w:r w:rsidRPr="00F94180">
        <w:t>Majeed</w:t>
      </w:r>
      <w:proofErr w:type="spellEnd"/>
      <w:r w:rsidRPr="00F94180">
        <w:t xml:space="preserve"> et al. (2022) found that green marketing positively influenced environmentally friendly purchase intentions, but the relationship was also shaped by brand image and environmental attitudes. Such evidence suggests that the effect of green marketing may operate through intervening psychological mechanisms rather than through a simple direct relationship. Green trust is particularly relevant because consumers must depend upon firms to provide accurate information about attributes that cannot always be independently verified. Without trust, substantial investment in green product design, eco-labelling and environmental communication may fail to generate purchase willingness</w:t>
      </w:r>
      <w:r w:rsidR="00347797">
        <w:t xml:space="preserve"> (</w:t>
      </w:r>
      <w:proofErr w:type="spellStart"/>
      <w:r w:rsidR="00347797">
        <w:t>Sudirja</w:t>
      </w:r>
      <w:proofErr w:type="spellEnd"/>
      <w:r w:rsidR="00347797">
        <w:t xml:space="preserve"> et al., 2023)</w:t>
      </w:r>
      <w:r w:rsidRPr="00F94180">
        <w:t>.</w:t>
      </w:r>
    </w:p>
    <w:p w:rsidR="00F94180" w:rsidRPr="00F94180" w:rsidRDefault="00F94180" w:rsidP="00BE6D5C">
      <w:pPr>
        <w:pStyle w:val="Heading2"/>
      </w:pPr>
      <w:bookmarkStart w:id="4" w:name="_Toc234883753"/>
      <w:r w:rsidRPr="00F94180">
        <w:t>1.3 Research Rationale and Justification</w:t>
      </w:r>
      <w:bookmarkEnd w:id="4"/>
    </w:p>
    <w:p w:rsidR="00BE6D5C" w:rsidRDefault="00F94180" w:rsidP="000258B8">
      <w:r w:rsidRPr="00F94180">
        <w:t xml:space="preserve">Academically, this research is justified by the need to integrate green marketing practices, green trust and purchase willingness within a unified explanatory model. Existing evidence confirms that environmental marketing can influence purchase intentions, but findings remain fragmented regarding the mechanism through which this influence occurs. Green trust has been associated with stronger purchase intentions because it reduces perceived uncertainty surrounding environmental claims (Chen and Chang, 2012). More recent research also </w:t>
      </w:r>
      <w:r w:rsidRPr="00F94180">
        <w:lastRenderedPageBreak/>
        <w:t>indicates that trust can mediate the effect of sustainability-related marketing activities on green purchase intentions. The Pakistani context strengthens the study’s contribution. Although research has examined environmental concern and green purchasing in Pakistan, the market remains comparatively under-represented in research integrating multidimensional green marketing practices with green trust</w:t>
      </w:r>
      <w:r w:rsidR="006267AB">
        <w:t xml:space="preserve"> (</w:t>
      </w:r>
      <w:proofErr w:type="spellStart"/>
      <w:r w:rsidR="006267AB">
        <w:t>Margariti</w:t>
      </w:r>
      <w:proofErr w:type="spellEnd"/>
      <w:r w:rsidR="006267AB">
        <w:t xml:space="preserve"> et al., 2024)</w:t>
      </w:r>
      <w:r w:rsidRPr="00F94180">
        <w:t xml:space="preserve">. </w:t>
      </w:r>
    </w:p>
    <w:p w:rsidR="00F94180" w:rsidRPr="00F94180" w:rsidRDefault="00F94180" w:rsidP="000258B8">
      <w:r w:rsidRPr="00F94180">
        <w:t>Evidence from developed markets may not be directly transferable because purchasing power, regulatory enforcement, environmental literacy and access to certified products differ across contexts. The study therefore addresses an empirical and contextual gap by testing whether green marketing produces purchase willingness directly and indirectly through green trust among Pakistani consumers.</w:t>
      </w:r>
      <w:r w:rsidR="00BE6D5C">
        <w:t xml:space="preserve"> </w:t>
      </w:r>
      <w:r w:rsidRPr="00F94180">
        <w:t>Managerially, the findings may help firms distinguish credible environmental strategy from superficial promotional activity</w:t>
      </w:r>
      <w:r w:rsidR="006267AB">
        <w:t xml:space="preserve"> (</w:t>
      </w:r>
      <w:proofErr w:type="spellStart"/>
      <w:r w:rsidR="006267AB">
        <w:t>Cutinha</w:t>
      </w:r>
      <w:proofErr w:type="spellEnd"/>
      <w:r w:rsidR="006267AB">
        <w:t xml:space="preserve"> &amp; </w:t>
      </w:r>
      <w:proofErr w:type="spellStart"/>
      <w:r w:rsidR="006267AB">
        <w:t>Mokshagundam</w:t>
      </w:r>
      <w:proofErr w:type="spellEnd"/>
      <w:r w:rsidR="006267AB">
        <w:t>, 2024)</w:t>
      </w:r>
      <w:r w:rsidRPr="00F94180">
        <w:t>. Identifying which green marketing practices strengthen trust can support more effective product design, eco-labelling, pricing and communication decisions. The findings may also help policymakers develop clearer standards for environmental claims and reduce misleading green advertising. This directly addresses the assessment requirement to establish the importance and urgency of the research, identify a defensible literature gap and explain the study’s academic and practical value</w:t>
      </w:r>
      <w:r w:rsidR="006267AB">
        <w:t xml:space="preserve"> (</w:t>
      </w:r>
      <w:proofErr w:type="spellStart"/>
      <w:r w:rsidR="006267AB">
        <w:t>Hossen</w:t>
      </w:r>
      <w:proofErr w:type="spellEnd"/>
      <w:r w:rsidR="006267AB">
        <w:t xml:space="preserve"> &amp; Amin, 2024)</w:t>
      </w:r>
      <w:r w:rsidRPr="00F94180">
        <w:t xml:space="preserve">. </w:t>
      </w:r>
    </w:p>
    <w:p w:rsidR="00F94180" w:rsidRPr="00F94180" w:rsidRDefault="00F94180" w:rsidP="00BE6D5C">
      <w:pPr>
        <w:pStyle w:val="Heading2"/>
      </w:pPr>
      <w:bookmarkStart w:id="5" w:name="_Toc234883754"/>
      <w:r w:rsidRPr="00F94180">
        <w:t>1.4 Research Aim</w:t>
      </w:r>
      <w:bookmarkEnd w:id="5"/>
    </w:p>
    <w:p w:rsidR="00F94180" w:rsidRPr="00F94180" w:rsidRDefault="00F94180" w:rsidP="000258B8">
      <w:r w:rsidRPr="00F94180">
        <w:t>The study aims to examine the influence of green marketing practices on Pakistani consumers’ willingness to purchase eco-friendly products and determine whether green trust mediates this relationship.</w:t>
      </w:r>
    </w:p>
    <w:p w:rsidR="00F94180" w:rsidRPr="00F94180" w:rsidRDefault="00F94180" w:rsidP="00BE6D5C">
      <w:pPr>
        <w:pStyle w:val="Heading2"/>
      </w:pPr>
      <w:bookmarkStart w:id="6" w:name="_Toc234883755"/>
      <w:r w:rsidRPr="00F94180">
        <w:t>1.5 Research Objectives</w:t>
      </w:r>
      <w:bookmarkEnd w:id="6"/>
    </w:p>
    <w:p w:rsidR="00F94180" w:rsidRPr="00F94180" w:rsidRDefault="00F94180" w:rsidP="000258B8">
      <w:r w:rsidRPr="00F94180">
        <w:t>The study seeks:</w:t>
      </w:r>
    </w:p>
    <w:p w:rsidR="00F94180" w:rsidRPr="00F94180" w:rsidRDefault="00F94180" w:rsidP="000258B8">
      <w:r w:rsidRPr="00F94180">
        <w:t xml:space="preserve">To critically evaluate literature concerning green marketing practices, green trust and consumers’ willingness to purchase eco-friendly products. </w:t>
      </w:r>
    </w:p>
    <w:p w:rsidR="00F94180" w:rsidRPr="00F94180" w:rsidRDefault="00F94180" w:rsidP="000258B8">
      <w:r w:rsidRPr="00F94180">
        <w:t xml:space="preserve">To examine the influence of green marketing practices on consumers’ willingness to purchase eco-friendly products in Pakistan. </w:t>
      </w:r>
    </w:p>
    <w:p w:rsidR="00F94180" w:rsidRPr="00F94180" w:rsidRDefault="00F94180" w:rsidP="000258B8">
      <w:r w:rsidRPr="00F94180">
        <w:t xml:space="preserve">To assess the influence of green marketing practices on consumers’ green trust. </w:t>
      </w:r>
    </w:p>
    <w:p w:rsidR="00F94180" w:rsidRPr="00F94180" w:rsidRDefault="00F94180" w:rsidP="000258B8">
      <w:r w:rsidRPr="00F94180">
        <w:t xml:space="preserve">To determine the influence of green trust on consumers’ willingness to purchase eco-friendly products. </w:t>
      </w:r>
    </w:p>
    <w:p w:rsidR="00F94180" w:rsidRPr="00F94180" w:rsidRDefault="00F94180" w:rsidP="000258B8">
      <w:r w:rsidRPr="00F94180">
        <w:lastRenderedPageBreak/>
        <w:t xml:space="preserve">To evaluate whether green trust mediates the relationship between green marketing practices and consumers’ purchase willingness. </w:t>
      </w:r>
    </w:p>
    <w:p w:rsidR="00F94180" w:rsidRPr="00F94180" w:rsidRDefault="00F94180" w:rsidP="000258B8">
      <w:r w:rsidRPr="00F94180">
        <w:t xml:space="preserve">To develop evidence-based recommendations for organisations seeking to market eco-friendly products credibly and effectively. </w:t>
      </w:r>
    </w:p>
    <w:p w:rsidR="00F94180" w:rsidRPr="00F94180" w:rsidRDefault="00F94180" w:rsidP="00BE6D5C">
      <w:pPr>
        <w:pStyle w:val="Heading2"/>
      </w:pPr>
      <w:bookmarkStart w:id="7" w:name="_Toc234883756"/>
      <w:r w:rsidRPr="00F94180">
        <w:t>1.6 Research Questions</w:t>
      </w:r>
      <w:bookmarkEnd w:id="7"/>
    </w:p>
    <w:p w:rsidR="00F94180" w:rsidRPr="00F94180" w:rsidRDefault="00F94180" w:rsidP="000258B8">
      <w:r w:rsidRPr="00F94180">
        <w:t xml:space="preserve">How do green marketing practices influence Pakistani consumers’ willingness to purchase eco-friendly products? </w:t>
      </w:r>
    </w:p>
    <w:p w:rsidR="00F94180" w:rsidRPr="00F94180" w:rsidRDefault="00F94180" w:rsidP="000258B8">
      <w:r w:rsidRPr="00F94180">
        <w:t xml:space="preserve">How do green marketing practices influence consumers’ green trust? </w:t>
      </w:r>
    </w:p>
    <w:p w:rsidR="00F94180" w:rsidRPr="00F94180" w:rsidRDefault="00F94180" w:rsidP="000258B8">
      <w:r w:rsidRPr="00F94180">
        <w:t xml:space="preserve">How does green trust influence consumers’ willingness to purchase eco-friendly products? </w:t>
      </w:r>
    </w:p>
    <w:p w:rsidR="00F94180" w:rsidRDefault="00F94180" w:rsidP="000258B8">
      <w:r w:rsidRPr="00F94180">
        <w:t>To what extent does green trust mediate the relationship between green marketing practices and consumers’ purchase willingness?</w:t>
      </w:r>
    </w:p>
    <w:p w:rsidR="000258B8" w:rsidRPr="000258B8" w:rsidRDefault="000258B8" w:rsidP="00BE6D5C">
      <w:pPr>
        <w:pStyle w:val="Heading1"/>
      </w:pPr>
      <w:bookmarkStart w:id="8" w:name="_Toc234883757"/>
      <w:r w:rsidRPr="000258B8">
        <w:t>2. Preliminary Literature Review</w:t>
      </w:r>
      <w:bookmarkEnd w:id="8"/>
    </w:p>
    <w:p w:rsidR="00BE6D5C" w:rsidRDefault="000258B8" w:rsidP="000258B8">
      <w:r w:rsidRPr="000258B8">
        <w:t>Green marketing has evolved from a narrow emphasis on environmental advertising into an integrated organisational approach involving product development, sustainable sourcing, pricing, distribution, packaging, eco-labelling and transparent communication. Nevertheless, the literature remains conceptually fragmented. Some researchers treat green marketing as a unidimensional construct representing an organisation’s overall environmental orientation, whereas others operationalise it through separate marketing-mix components, including green products, prices, promotion and distribution</w:t>
      </w:r>
      <w:r w:rsidR="006774B3">
        <w:t xml:space="preserve"> (Kumar, 2021)</w:t>
      </w:r>
      <w:r w:rsidRPr="000258B8">
        <w:t>. The multidimensional approach provides greater diagnostic value because it identifies which organisational practices influence consumers; however, it may overlook the interdependence among marketing activities. Conversely, a composite measure is more parsimonious but may conceal the unequal effects of individual practices. Treating green marketing solely as promotion is particularly problematic because advertising claims cannot compensate for environmentally harmful sourcing, excessive packaging or unsustainable distribution</w:t>
      </w:r>
      <w:r w:rsidR="006774B3">
        <w:t xml:space="preserve"> (</w:t>
      </w:r>
      <w:proofErr w:type="spellStart"/>
      <w:r w:rsidR="006774B3">
        <w:t>Baruah</w:t>
      </w:r>
      <w:proofErr w:type="spellEnd"/>
      <w:r w:rsidR="006774B3">
        <w:t xml:space="preserve"> &amp; Das, 2024)</w:t>
      </w:r>
      <w:r w:rsidRPr="000258B8">
        <w:t xml:space="preserve">. </w:t>
      </w:r>
    </w:p>
    <w:p w:rsidR="000258B8" w:rsidRPr="000258B8" w:rsidRDefault="000258B8" w:rsidP="000258B8">
      <w:r w:rsidRPr="000258B8">
        <w:t>Consequently, consumers are likely to evaluate the credibility of the organisation’s entire environmental value proposition rather than isolated promotional messages (</w:t>
      </w:r>
      <w:proofErr w:type="spellStart"/>
      <w:r w:rsidRPr="000258B8">
        <w:t>García-Salirrosas</w:t>
      </w:r>
      <w:proofErr w:type="spellEnd"/>
      <w:r w:rsidRPr="000258B8">
        <w:t xml:space="preserve"> and </w:t>
      </w:r>
      <w:proofErr w:type="spellStart"/>
      <w:r w:rsidRPr="000258B8">
        <w:t>Rondon-Eusebio</w:t>
      </w:r>
      <w:proofErr w:type="spellEnd"/>
      <w:r w:rsidRPr="000258B8">
        <w:t xml:space="preserve">, 2022). Green product practices involve designing goods that minimise environmental damage through renewable or recycled materials, energy efficiency, durability, biodegradability, ethical sourcing and waste reduction. These characteristics can create </w:t>
      </w:r>
      <w:r w:rsidRPr="000258B8">
        <w:lastRenderedPageBreak/>
        <w:t>environmental and functional value, yet their influence is not unconditional. Consumers may express support for sustainable products while continuing to prioritise performance, quality, price and convenience. Green attributes may therefore strengthen purchase willingness only when they do not require consumers to accept significant functional sacrifices</w:t>
      </w:r>
      <w:r w:rsidR="007B25D3">
        <w:t xml:space="preserve"> (</w:t>
      </w:r>
      <w:proofErr w:type="spellStart"/>
      <w:r w:rsidR="007B25D3">
        <w:t>Alyahia</w:t>
      </w:r>
      <w:proofErr w:type="spellEnd"/>
      <w:r w:rsidR="007B25D3">
        <w:t xml:space="preserve"> et al., 2024)</w:t>
      </w:r>
      <w:r w:rsidRPr="000258B8">
        <w:t>. Similarly, green prices can signal ethical sourcing and higher production standards, but excessive premiums may discourage purchase, particularly in price-sensitive emerging markets. Research conducted in Pakistan indicates that green products, premium pricing, packaging and eco-labelling affect purchase intentions through consumer beliefs and brand-related evaluations rather than through uniformly strong direct effects (</w:t>
      </w:r>
      <w:proofErr w:type="spellStart"/>
      <w:r w:rsidRPr="000258B8">
        <w:t>Majeed</w:t>
      </w:r>
      <w:proofErr w:type="spellEnd"/>
      <w:r w:rsidRPr="000258B8">
        <w:t xml:space="preserve"> et al., 2022). </w:t>
      </w:r>
    </w:p>
    <w:p w:rsidR="000258B8" w:rsidRPr="000258B8" w:rsidRDefault="000258B8" w:rsidP="000258B8">
      <w:r w:rsidRPr="000258B8">
        <w:t xml:space="preserve">Green promotion communicates environmental benefits through advertising, public relations, social media, sustainability reports and corporate campaigns. However, its effectiveness depends more on credibility than message frequency. Specific, evidence-based claims supported by recognised certification are more likely to generate confidence than vague expressions such as “natural” or “environmentally friendly”. Greenwashing arises when environmental communication exaggerates, selectively represents or misstates organisational performance. Systematic reviews show that greenwashing contributes to consumer scepticism, confusion and adverse behavioural responses, thereby weakening the effectiveness of legitimate sustainability initiatives (de Freitas </w:t>
      </w:r>
      <w:proofErr w:type="spellStart"/>
      <w:r w:rsidRPr="000258B8">
        <w:t>Netto</w:t>
      </w:r>
      <w:proofErr w:type="spellEnd"/>
      <w:r w:rsidRPr="000258B8">
        <w:t xml:space="preserve"> et al., 2020; Santos, Coelho and Marques, 2024). Packaging and eco-labels can reduce information asymmetry by making environmental characteristics visible, but unclear labels, excessive claims and weak certification may instead increase uncertainty. Distribution is equally important because even environmentally concerned consumers cannot select eco-friendly products that are unavailable, inconveniently located or delivered through visibly unsustainable logistics</w:t>
      </w:r>
      <w:r w:rsidR="009E5418">
        <w:t xml:space="preserve"> (</w:t>
      </w:r>
      <w:proofErr w:type="spellStart"/>
      <w:r w:rsidR="009E5418">
        <w:t>Shojaei</w:t>
      </w:r>
      <w:proofErr w:type="spellEnd"/>
      <w:r w:rsidR="009E5418">
        <w:t xml:space="preserve"> et al., 2024)</w:t>
      </w:r>
      <w:r w:rsidRPr="000258B8">
        <w:t>.</w:t>
      </w:r>
    </w:p>
    <w:p w:rsidR="00BE6D5C" w:rsidRDefault="000258B8" w:rsidP="000258B8">
      <w:r w:rsidRPr="000258B8">
        <w:t>Green trust refers to consumers’ willingness to rely on a product, brand or organisation because of expectations concerning its environmental credibility, integrity, competence and performance. It incorporates confidence that environmental promises are honest, reliable and fulfilled. Trust is especially important because</w:t>
      </w:r>
      <w:r w:rsidR="00BE6D5C">
        <w:t xml:space="preserve"> many sustainability attributes </w:t>
      </w:r>
      <w:r w:rsidRPr="000258B8">
        <w:t xml:space="preserve">such as carbon reduction, ethical sourcing </w:t>
      </w:r>
      <w:r w:rsidR="00BE6D5C">
        <w:t xml:space="preserve">and supply-chain responsibility </w:t>
      </w:r>
      <w:r w:rsidRPr="000258B8">
        <w:t>cannot be directly verified by consumers. Chen and Chang (2012) demonstrated that green trust strengthens purchase intention and mediates relationships involving perceived environmental value and risk. More recent evidence likewise shows that green brand trust can transmit the effects of environmental marketing factors to purchase intention among Pakistani consumers (Tan et al., 2022). Consumers’ willingness to purchase represents their readiness or likelihood of selecting eco-</w:t>
      </w:r>
      <w:r w:rsidRPr="000258B8">
        <w:lastRenderedPageBreak/>
        <w:t xml:space="preserve">friendly products, but it should not be equated with actual purchasing behaviour. Environmental concern reflects general ecological awareness, whereas attitudes represent evaluations and purchase intentions represent planned behaviour. </w:t>
      </w:r>
    </w:p>
    <w:p w:rsidR="000258B8" w:rsidRPr="000258B8" w:rsidRDefault="000258B8" w:rsidP="000258B8">
      <w:r w:rsidRPr="000258B8">
        <w:t>The distinction is important because the attitude–behaviour gap means that favourable environmental beliefs may not produce purchases when consumers encounter high prices, limited availability, scepticism or performance concerns. This study therefore draws primarily on Signalling Theory: green marketing practices communicate signals about environmental responsibility, while green trust reflects consumers’ judgement that those signals are credible</w:t>
      </w:r>
      <w:r w:rsidR="000B17B1">
        <w:t xml:space="preserve"> (Abbas et al., 2024)</w:t>
      </w:r>
      <w:r w:rsidRPr="000258B8">
        <w:t>. The Theory of Planned Behaviour provides complementary support by explaining how beliefs and evaluations shape behavioural intentions. The resulting logic is that credible green marketing strengthens green trust, which subsequently increases purchase willingness. Nevertheless, much prior research examines direct effects or alternative mediators, creating a theoretical and methodological gap concerning green trust. Evidence from Pakistan also remains comparatively limited and frequently focuses on particular products or consumer segments</w:t>
      </w:r>
      <w:r w:rsidR="000B17B1">
        <w:t xml:space="preserve"> (</w:t>
      </w:r>
      <w:proofErr w:type="spellStart"/>
      <w:r w:rsidR="000B17B1">
        <w:t>Achchuthan</w:t>
      </w:r>
      <w:proofErr w:type="spellEnd"/>
      <w:r w:rsidR="000B17B1">
        <w:t xml:space="preserve"> et al., 2024)</w:t>
      </w:r>
      <w:r w:rsidRPr="000258B8">
        <w:t>. Accordingly, the following hypotheses are proposed:</w:t>
      </w:r>
    </w:p>
    <w:p w:rsidR="000258B8" w:rsidRDefault="000258B8" w:rsidP="000258B8">
      <w:r w:rsidRPr="000258B8">
        <w:rPr>
          <w:b/>
          <w:bCs/>
        </w:rPr>
        <w:t>H1:</w:t>
      </w:r>
      <w:r w:rsidRPr="000258B8">
        <w:t xml:space="preserve"> Green marketing practices positively influence consumers’ willingness to purchase eco-friendly products.</w:t>
      </w:r>
      <w:r w:rsidRPr="000258B8">
        <w:br/>
      </w:r>
      <w:r w:rsidRPr="000258B8">
        <w:rPr>
          <w:b/>
          <w:bCs/>
        </w:rPr>
        <w:t>H2:</w:t>
      </w:r>
      <w:r w:rsidRPr="000258B8">
        <w:t xml:space="preserve"> Green marketing practices positively influence green trust.</w:t>
      </w:r>
      <w:r w:rsidRPr="000258B8">
        <w:br/>
      </w:r>
      <w:r w:rsidRPr="000258B8">
        <w:rPr>
          <w:b/>
          <w:bCs/>
        </w:rPr>
        <w:t>H3:</w:t>
      </w:r>
      <w:r w:rsidRPr="000258B8">
        <w:t xml:space="preserve"> Green trust positively influences consumers’ willingness to purchase eco-friendly products.</w:t>
      </w:r>
      <w:r w:rsidRPr="000258B8">
        <w:br/>
      </w:r>
      <w:r w:rsidRPr="000258B8">
        <w:rPr>
          <w:b/>
          <w:bCs/>
        </w:rPr>
        <w:t>H4:</w:t>
      </w:r>
      <w:r w:rsidRPr="000258B8">
        <w:t xml:space="preserve"> Green trust mediates the relationship between green marketing practices and consumers’ willingness to purchase eco-friendly products.</w:t>
      </w:r>
    </w:p>
    <w:p w:rsidR="00345BD5" w:rsidRDefault="00345BD5" w:rsidP="00BE6D5C">
      <w:pPr>
        <w:pStyle w:val="Heading1"/>
      </w:pPr>
      <w:bookmarkStart w:id="9" w:name="_Toc234883758"/>
      <w:r>
        <w:t>3. Research Methodology</w:t>
      </w:r>
      <w:bookmarkEnd w:id="9"/>
    </w:p>
    <w:p w:rsidR="00345BD5" w:rsidRPr="000B17B1" w:rsidRDefault="00345BD5" w:rsidP="00345BD5">
      <w:pPr>
        <w:rPr>
          <w:lang w:val="en-US"/>
        </w:rPr>
      </w:pPr>
      <w:r>
        <w:t>This study will adopt a positivist philosophy, a deductive approach and a mono-method quantitative design because its purpose is to test theoretically specified relationships between green marketing practices, green trust and consumers’ purchase willingness. Although trust and consumer perceptions are inherently subjective, positivism remains appropriate because these latent concepts will be operationalised through standardised questionnaire items and examined statistically. The investigation will proceed from Signalling Theory and existing green-consumption literature to four testable hypotheses; consequently, an inductive strategy is inappropriate because the research is not intended to construct a new theory from unstructured observations</w:t>
      </w:r>
      <w:r w:rsidR="000B17B1">
        <w:t xml:space="preserve"> </w:t>
      </w:r>
      <w:r w:rsidR="000B17B1" w:rsidRPr="000B17B1">
        <w:rPr>
          <w:lang w:val="en-US"/>
        </w:rPr>
        <w:t>(Sun et al., 2022</w:t>
      </w:r>
      <w:r w:rsidR="000B17B1">
        <w:rPr>
          <w:lang w:val="en-US"/>
        </w:rPr>
        <w:t>)</w:t>
      </w:r>
      <w:r>
        <w:t xml:space="preserve">. Quantitative research is preferable because it </w:t>
      </w:r>
      <w:r>
        <w:lastRenderedPageBreak/>
        <w:t>permits systematic comparison across consumers and estimation of the direction, magnitude and statistical significance of direct and indirect relationships (Creswell and Creswell, 2023).</w:t>
      </w:r>
    </w:p>
    <w:p w:rsidR="00345BD5" w:rsidRPr="00FC3893" w:rsidRDefault="00345BD5" w:rsidP="00345BD5">
      <w:pPr>
        <w:rPr>
          <w:lang w:val="en-US"/>
        </w:rPr>
      </w:pPr>
      <w:r>
        <w:t>An explanatory cross-sectional survey will collect data at one point in time from Pakistani consumers aged 18 years or above who understand, have considered or have purchased eco-friendly products. This may include environmentally responsible food, fashion, cosmetics, reusable household goods, energy-efficient products and products with recyclable packaging. Cross-sectional surveys are efficient for identifying associations among predefined variables, but they cannot conclusively establish temporal precedence; therefore, findings will be interpreted as explanatory associations rather than definitive proof of causality (</w:t>
      </w:r>
      <w:proofErr w:type="spellStart"/>
      <w:r>
        <w:t>Bryman</w:t>
      </w:r>
      <w:proofErr w:type="spellEnd"/>
      <w:r>
        <w:t>, 2016).</w:t>
      </w:r>
      <w:r w:rsidR="00BE6D5C">
        <w:t xml:space="preserve"> </w:t>
      </w:r>
      <w:r>
        <w:t>A combination of purposive and convenience sampling will be employed. Screening questions will confirm participants’ age, Pakistani residence and familiarity with eco-friendly products. Although the assessment specification requires a minimum of 50 valid quantitative responses, the study will target 120–150 respondents to support more stable regression and mediation estimates</w:t>
      </w:r>
      <w:r w:rsidR="00FC3893">
        <w:t xml:space="preserve"> (</w:t>
      </w:r>
      <w:r w:rsidR="00FC3893" w:rsidRPr="00FC3893">
        <w:rPr>
          <w:lang w:val="en-US"/>
        </w:rPr>
        <w:t>Xiang &amp; Liu, 2024</w:t>
      </w:r>
      <w:r w:rsidR="00FC3893">
        <w:rPr>
          <w:lang w:val="en-US"/>
        </w:rPr>
        <w:t>)</w:t>
      </w:r>
      <w:r>
        <w:t>. Nevertheless, the non-probability design may produce selection bias and restrict population-level generalisation; this limitation will be mitigated by distributing the questionnaire across diverse demographic and online consumer groups.</w:t>
      </w:r>
    </w:p>
    <w:p w:rsidR="00BE6D5C" w:rsidRPr="00BE6D5C" w:rsidRDefault="00BE6D5C" w:rsidP="00345BD5">
      <w:pPr>
        <w:rPr>
          <w:b/>
        </w:rPr>
      </w:pPr>
      <w:r>
        <w:rPr>
          <w:b/>
        </w:rPr>
        <w:t>Table 1</w:t>
      </w:r>
      <w:r w:rsidRPr="00BE6D5C">
        <w:rPr>
          <w:b/>
        </w:rPr>
        <w:t>. Summary of the Proposed Research Methodology</w:t>
      </w:r>
    </w:p>
    <w:tbl>
      <w:tblPr>
        <w:tblStyle w:val="GridTable4-Accent5"/>
        <w:tblW w:w="9072" w:type="dxa"/>
        <w:tblLook w:val="04A0" w:firstRow="1" w:lastRow="0" w:firstColumn="1" w:lastColumn="0" w:noHBand="0" w:noVBand="1"/>
      </w:tblPr>
      <w:tblGrid>
        <w:gridCol w:w="4536"/>
        <w:gridCol w:w="4536"/>
      </w:tblGrid>
      <w:tr w:rsidR="00BE6D5C" w:rsidRPr="00BE6D5C" w:rsidTr="00425347">
        <w:trPr>
          <w:cnfStyle w:val="100000000000" w:firstRow="1" w:lastRow="0" w:firstColumn="0" w:lastColumn="0" w:oddVBand="0" w:evenVBand="0" w:oddHBand="0" w:evenHBand="0" w:firstRowFirstColumn="0" w:firstRowLastColumn="0" w:lastRowFirstColumn="0" w:lastRowLastColumn="0"/>
          <w:trHeight w:val="434"/>
        </w:trPr>
        <w:tc>
          <w:tcPr>
            <w:cnfStyle w:val="001000000000" w:firstRow="0" w:lastRow="0" w:firstColumn="1" w:lastColumn="0" w:oddVBand="0" w:evenVBand="0" w:oddHBand="0" w:evenHBand="0" w:firstRowFirstColumn="0" w:firstRowLastColumn="0" w:lastRowFirstColumn="0" w:lastRowLastColumn="0"/>
            <w:tcW w:w="4536" w:type="dxa"/>
          </w:tcPr>
          <w:p w:rsidR="00BE6D5C" w:rsidRPr="00BE6D5C" w:rsidRDefault="00BE6D5C" w:rsidP="00FA40A8">
            <w:r w:rsidRPr="00BE6D5C">
              <w:t>Methodological component</w:t>
            </w:r>
          </w:p>
        </w:tc>
        <w:tc>
          <w:tcPr>
            <w:tcW w:w="4536" w:type="dxa"/>
          </w:tcPr>
          <w:p w:rsidR="00BE6D5C" w:rsidRPr="00BE6D5C" w:rsidRDefault="00BE6D5C" w:rsidP="00FA40A8">
            <w:pPr>
              <w:cnfStyle w:val="100000000000" w:firstRow="1" w:lastRow="0" w:firstColumn="0" w:lastColumn="0" w:oddVBand="0" w:evenVBand="0" w:oddHBand="0" w:evenHBand="0" w:firstRowFirstColumn="0" w:firstRowLastColumn="0" w:lastRowFirstColumn="0" w:lastRowLastColumn="0"/>
            </w:pPr>
            <w:r w:rsidRPr="00BE6D5C">
              <w:t>Proposed decision and justification</w:t>
            </w:r>
          </w:p>
        </w:tc>
      </w:tr>
      <w:tr w:rsidR="00BE6D5C" w:rsidRPr="00BE6D5C" w:rsidTr="00425347">
        <w:trPr>
          <w:cnfStyle w:val="000000100000" w:firstRow="0" w:lastRow="0" w:firstColumn="0" w:lastColumn="0" w:oddVBand="0" w:evenVBand="0" w:oddHBand="1" w:evenHBand="0" w:firstRowFirstColumn="0" w:firstRowLastColumn="0" w:lastRowFirstColumn="0" w:lastRowLastColumn="0"/>
          <w:trHeight w:val="879"/>
        </w:trPr>
        <w:tc>
          <w:tcPr>
            <w:cnfStyle w:val="001000000000" w:firstRow="0" w:lastRow="0" w:firstColumn="1" w:lastColumn="0" w:oddVBand="0" w:evenVBand="0" w:oddHBand="0" w:evenHBand="0" w:firstRowFirstColumn="0" w:firstRowLastColumn="0" w:lastRowFirstColumn="0" w:lastRowLastColumn="0"/>
            <w:tcW w:w="4536" w:type="dxa"/>
          </w:tcPr>
          <w:p w:rsidR="00BE6D5C" w:rsidRPr="00BE6D5C" w:rsidRDefault="00BE6D5C" w:rsidP="00FA40A8">
            <w:r w:rsidRPr="00BE6D5C">
              <w:t>Data collection</w:t>
            </w:r>
          </w:p>
        </w:tc>
        <w:tc>
          <w:tcPr>
            <w:tcW w:w="4536" w:type="dxa"/>
          </w:tcPr>
          <w:p w:rsidR="00BE6D5C" w:rsidRPr="00BE6D5C" w:rsidRDefault="00BE6D5C" w:rsidP="00FA40A8">
            <w:pPr>
              <w:cnfStyle w:val="000000100000" w:firstRow="0" w:lastRow="0" w:firstColumn="0" w:lastColumn="0" w:oddVBand="0" w:evenVBand="0" w:oddHBand="1" w:evenHBand="0" w:firstRowFirstColumn="0" w:firstRowLastColumn="0" w:lastRowFirstColumn="0" w:lastRowLastColumn="0"/>
            </w:pPr>
            <w:r w:rsidRPr="00BE6D5C">
              <w:t>Structured online questionnaire administered through Microsoft Forms or Google Forms</w:t>
            </w:r>
          </w:p>
        </w:tc>
      </w:tr>
      <w:tr w:rsidR="00BE6D5C" w:rsidRPr="00BE6D5C" w:rsidTr="00425347">
        <w:trPr>
          <w:trHeight w:val="879"/>
        </w:trPr>
        <w:tc>
          <w:tcPr>
            <w:cnfStyle w:val="001000000000" w:firstRow="0" w:lastRow="0" w:firstColumn="1" w:lastColumn="0" w:oddVBand="0" w:evenVBand="0" w:oddHBand="0" w:evenHBand="0" w:firstRowFirstColumn="0" w:firstRowLastColumn="0" w:lastRowFirstColumn="0" w:lastRowLastColumn="0"/>
            <w:tcW w:w="4536" w:type="dxa"/>
          </w:tcPr>
          <w:p w:rsidR="00BE6D5C" w:rsidRPr="00BE6D5C" w:rsidRDefault="00BE6D5C" w:rsidP="00FA40A8">
            <w:r w:rsidRPr="00BE6D5C">
              <w:t>Instrument structure</w:t>
            </w:r>
          </w:p>
        </w:tc>
        <w:tc>
          <w:tcPr>
            <w:tcW w:w="4536" w:type="dxa"/>
          </w:tcPr>
          <w:p w:rsidR="00BE6D5C" w:rsidRPr="00BE6D5C" w:rsidRDefault="00BE6D5C" w:rsidP="00FA40A8">
            <w:pPr>
              <w:cnfStyle w:val="000000000000" w:firstRow="0" w:lastRow="0" w:firstColumn="0" w:lastColumn="0" w:oddVBand="0" w:evenVBand="0" w:oddHBand="0" w:evenHBand="0" w:firstRowFirstColumn="0" w:firstRowLastColumn="0" w:lastRowFirstColumn="0" w:lastRowLastColumn="0"/>
            </w:pPr>
            <w:r w:rsidRPr="00BE6D5C">
              <w:t>Consent and screening; demographics; green marketing; green trust; purchase willingness</w:t>
            </w:r>
          </w:p>
        </w:tc>
      </w:tr>
      <w:tr w:rsidR="00BE6D5C" w:rsidRPr="00BE6D5C" w:rsidTr="00425347">
        <w:trPr>
          <w:cnfStyle w:val="000000100000" w:firstRow="0" w:lastRow="0" w:firstColumn="0" w:lastColumn="0" w:oddVBand="0" w:evenVBand="0" w:oddHBand="1" w:evenHBand="0" w:firstRowFirstColumn="0" w:firstRowLastColumn="0" w:lastRowFirstColumn="0" w:lastRowLastColumn="0"/>
          <w:trHeight w:val="869"/>
        </w:trPr>
        <w:tc>
          <w:tcPr>
            <w:cnfStyle w:val="001000000000" w:firstRow="0" w:lastRow="0" w:firstColumn="1" w:lastColumn="0" w:oddVBand="0" w:evenVBand="0" w:oddHBand="0" w:evenHBand="0" w:firstRowFirstColumn="0" w:firstRowLastColumn="0" w:lastRowFirstColumn="0" w:lastRowLastColumn="0"/>
            <w:tcW w:w="4536" w:type="dxa"/>
          </w:tcPr>
          <w:p w:rsidR="00BE6D5C" w:rsidRPr="00BE6D5C" w:rsidRDefault="00BE6D5C" w:rsidP="00FA40A8">
            <w:r w:rsidRPr="00BE6D5C">
              <w:t>Measurement scale</w:t>
            </w:r>
          </w:p>
        </w:tc>
        <w:tc>
          <w:tcPr>
            <w:tcW w:w="4536" w:type="dxa"/>
          </w:tcPr>
          <w:p w:rsidR="00BE6D5C" w:rsidRPr="00BE6D5C" w:rsidRDefault="00BE6D5C" w:rsidP="00FA40A8">
            <w:pPr>
              <w:cnfStyle w:val="000000100000" w:firstRow="0" w:lastRow="0" w:firstColumn="0" w:lastColumn="0" w:oddVBand="0" w:evenVBand="0" w:oddHBand="1" w:evenHBand="0" w:firstRowFirstColumn="0" w:firstRowLastColumn="0" w:lastRowFirstColumn="0" w:lastRowLastColumn="0"/>
            </w:pPr>
            <w:r w:rsidRPr="00BE6D5C">
              <w:t>Five-point Likert scale ranging from 1, “strongly disagree”, to 5, “strongly agree”</w:t>
            </w:r>
          </w:p>
        </w:tc>
      </w:tr>
      <w:tr w:rsidR="00BE6D5C" w:rsidRPr="00BE6D5C" w:rsidTr="00425347">
        <w:trPr>
          <w:trHeight w:val="879"/>
        </w:trPr>
        <w:tc>
          <w:tcPr>
            <w:cnfStyle w:val="001000000000" w:firstRow="0" w:lastRow="0" w:firstColumn="1" w:lastColumn="0" w:oddVBand="0" w:evenVBand="0" w:oddHBand="0" w:evenHBand="0" w:firstRowFirstColumn="0" w:firstRowLastColumn="0" w:lastRowFirstColumn="0" w:lastRowLastColumn="0"/>
            <w:tcW w:w="4536" w:type="dxa"/>
          </w:tcPr>
          <w:p w:rsidR="00BE6D5C" w:rsidRPr="00BE6D5C" w:rsidRDefault="00BE6D5C" w:rsidP="00FA40A8">
            <w:r w:rsidRPr="00BE6D5C">
              <w:t>Operationalisation</w:t>
            </w:r>
          </w:p>
        </w:tc>
        <w:tc>
          <w:tcPr>
            <w:tcW w:w="4536" w:type="dxa"/>
          </w:tcPr>
          <w:p w:rsidR="00BE6D5C" w:rsidRPr="00BE6D5C" w:rsidRDefault="00BE6D5C" w:rsidP="00FA40A8">
            <w:pPr>
              <w:cnfStyle w:val="000000000000" w:firstRow="0" w:lastRow="0" w:firstColumn="0" w:lastColumn="0" w:oddVBand="0" w:evenVBand="0" w:oddHBand="0" w:evenHBand="0" w:firstRowFirstColumn="0" w:firstRowLastColumn="0" w:lastRowFirstColumn="0" w:lastRowLastColumn="0"/>
            </w:pPr>
            <w:r w:rsidRPr="00BE6D5C">
              <w:t>Green marketing: 10–12 items; green trust: 5–6 items; purchase willingness: 4–5 items</w:t>
            </w:r>
          </w:p>
        </w:tc>
      </w:tr>
      <w:tr w:rsidR="00BE6D5C" w:rsidRPr="00BE6D5C" w:rsidTr="00425347">
        <w:trPr>
          <w:cnfStyle w:val="000000100000" w:firstRow="0" w:lastRow="0" w:firstColumn="0" w:lastColumn="0" w:oddVBand="0" w:evenVBand="0" w:oddHBand="1" w:evenHBand="0" w:firstRowFirstColumn="0" w:firstRowLastColumn="0" w:lastRowFirstColumn="0" w:lastRowLastColumn="0"/>
          <w:trHeight w:val="1314"/>
        </w:trPr>
        <w:tc>
          <w:tcPr>
            <w:cnfStyle w:val="001000000000" w:firstRow="0" w:lastRow="0" w:firstColumn="1" w:lastColumn="0" w:oddVBand="0" w:evenVBand="0" w:oddHBand="0" w:evenHBand="0" w:firstRowFirstColumn="0" w:firstRowLastColumn="0" w:lastRowFirstColumn="0" w:lastRowLastColumn="0"/>
            <w:tcW w:w="4536" w:type="dxa"/>
          </w:tcPr>
          <w:p w:rsidR="00BE6D5C" w:rsidRPr="00BE6D5C" w:rsidRDefault="00BE6D5C" w:rsidP="00FA40A8">
            <w:r w:rsidRPr="00BE6D5C">
              <w:t>Pilot study</w:t>
            </w:r>
          </w:p>
        </w:tc>
        <w:tc>
          <w:tcPr>
            <w:tcW w:w="4536" w:type="dxa"/>
          </w:tcPr>
          <w:p w:rsidR="00BE6D5C" w:rsidRPr="00BE6D5C" w:rsidRDefault="00BE6D5C" w:rsidP="00FA40A8">
            <w:pPr>
              <w:cnfStyle w:val="000000100000" w:firstRow="0" w:lastRow="0" w:firstColumn="0" w:lastColumn="0" w:oddVBand="0" w:evenVBand="0" w:oddHBand="1" w:evenHBand="0" w:firstRowFirstColumn="0" w:firstRowLastColumn="0" w:lastRowFirstColumn="0" w:lastRowLastColumn="0"/>
            </w:pPr>
            <w:r w:rsidRPr="00BE6D5C">
              <w:t>10–15 eligible consumers to assess clarity, completion time, accessibility and item ambiguity</w:t>
            </w:r>
          </w:p>
        </w:tc>
      </w:tr>
      <w:tr w:rsidR="00BE6D5C" w:rsidRPr="00BE6D5C" w:rsidTr="00425347">
        <w:trPr>
          <w:trHeight w:val="434"/>
        </w:trPr>
        <w:tc>
          <w:tcPr>
            <w:cnfStyle w:val="001000000000" w:firstRow="0" w:lastRow="0" w:firstColumn="1" w:lastColumn="0" w:oddVBand="0" w:evenVBand="0" w:oddHBand="0" w:evenHBand="0" w:firstRowFirstColumn="0" w:firstRowLastColumn="0" w:lastRowFirstColumn="0" w:lastRowLastColumn="0"/>
            <w:tcW w:w="4536" w:type="dxa"/>
          </w:tcPr>
          <w:p w:rsidR="00BE6D5C" w:rsidRPr="00BE6D5C" w:rsidRDefault="00BE6D5C" w:rsidP="00FA40A8">
            <w:r w:rsidRPr="00BE6D5C">
              <w:t>Analysis software</w:t>
            </w:r>
          </w:p>
        </w:tc>
        <w:tc>
          <w:tcPr>
            <w:tcW w:w="4536" w:type="dxa"/>
          </w:tcPr>
          <w:p w:rsidR="00BE6D5C" w:rsidRPr="00BE6D5C" w:rsidRDefault="00BE6D5C" w:rsidP="00FA40A8">
            <w:pPr>
              <w:cnfStyle w:val="000000000000" w:firstRow="0" w:lastRow="0" w:firstColumn="0" w:lastColumn="0" w:oddVBand="0" w:evenVBand="0" w:oddHBand="0" w:evenHBand="0" w:firstRowFirstColumn="0" w:firstRowLastColumn="0" w:lastRowFirstColumn="0" w:lastRowLastColumn="0"/>
            </w:pPr>
            <w:r w:rsidRPr="00BE6D5C">
              <w:t>IBM SPSS Statistics</w:t>
            </w:r>
          </w:p>
        </w:tc>
      </w:tr>
    </w:tbl>
    <w:p w:rsidR="00345BD5" w:rsidRDefault="00345BD5" w:rsidP="00345BD5"/>
    <w:p w:rsidR="00BE6D5C" w:rsidRPr="00104F7C" w:rsidRDefault="00345BD5" w:rsidP="00345BD5">
      <w:pPr>
        <w:rPr>
          <w:lang w:val="en-US"/>
        </w:rPr>
      </w:pPr>
      <w:r>
        <w:lastRenderedPageBreak/>
        <w:t>Questionnaire items will be adapted from validated scales rather than developed solely for this project. Green marketing will represent product, promotion, pricing, distribution, packaging and eco-labelling practices; green trust will capture reliability, credibility and integrity; and purchase willingness will measure preference, likelihood and readiness to purchase</w:t>
      </w:r>
      <w:r w:rsidR="00104F7C">
        <w:t xml:space="preserve"> (</w:t>
      </w:r>
      <w:r w:rsidR="00104F7C" w:rsidRPr="00104F7C">
        <w:rPr>
          <w:lang w:val="en-US"/>
        </w:rPr>
        <w:t>Din et al., 2023</w:t>
      </w:r>
      <w:r w:rsidR="00104F7C">
        <w:rPr>
          <w:lang w:val="en-US"/>
        </w:rPr>
        <w:t>)</w:t>
      </w:r>
      <w:r>
        <w:t>. Content validity will be strengthened through supervisor review, while pilot testing will assess face validity. Cronbach’s alpha will examine internal consistency, although the conventional 0.70 benchmark will not be applied mechanically because reliability also depends on scale length, dimensionality and item content (</w:t>
      </w:r>
      <w:proofErr w:type="spellStart"/>
      <w:r>
        <w:t>Morera</w:t>
      </w:r>
      <w:proofErr w:type="spellEnd"/>
      <w:r>
        <w:t xml:space="preserve"> and Stokes, 2016).</w:t>
      </w:r>
      <w:r w:rsidR="00BE6D5C">
        <w:t xml:space="preserve"> </w:t>
      </w:r>
      <w:r>
        <w:t xml:space="preserve">SPSS analysis will include data screening, missing-value assessment, demographic frequencies, means, standard deviations, reliability analysis, composite-score construction and Pearson correlations. Regression analysis will test H1–H3, while Hayes’ PROCESS Model 4 with bootstrapped confidence intervals will test whether green trust transmits the effect of green marketing to purchase willingness. </w:t>
      </w:r>
    </w:p>
    <w:p w:rsidR="00345BD5" w:rsidRPr="003D45B4" w:rsidRDefault="00345BD5" w:rsidP="00345BD5">
      <w:pPr>
        <w:rPr>
          <w:lang w:val="en-US"/>
        </w:rPr>
      </w:pPr>
      <w:r>
        <w:t>Mediation will be supported where the indirect-effect confidence interval excludes zero, rather than relying only on individual regression significance (Hayes, 2022). IBM SPSS supports reliability, correlation and regression procedures required for this analysis.</w:t>
      </w:r>
      <w:r w:rsidR="00BE6D5C">
        <w:t xml:space="preserve"> </w:t>
      </w:r>
      <w:r>
        <w:t>Ethical approval will be obtained before recruitment. Participation will be voluntary and based on informed consent; no unnecessary identifiers will be collected, participants may withdraw before submitting the anonymous questionnaire, and data will be securely retained on the university OneDrive with restricted access and subsequent deletion according to university requirements. Data collected before approval would be invalid under the assessment specification</w:t>
      </w:r>
      <w:r w:rsidR="003D45B4">
        <w:t xml:space="preserve"> (</w:t>
      </w:r>
      <w:r w:rsidR="003D45B4" w:rsidRPr="003D45B4">
        <w:rPr>
          <w:lang w:val="en-US"/>
        </w:rPr>
        <w:t>Siyal et al., 2021</w:t>
      </w:r>
      <w:r w:rsidR="003D45B4">
        <w:rPr>
          <w:lang w:val="en-US"/>
        </w:rPr>
        <w:t>)</w:t>
      </w:r>
      <w:r w:rsidR="00085F89">
        <w:t>.</w:t>
      </w:r>
    </w:p>
    <w:p w:rsidR="00085F89" w:rsidRDefault="00085F89" w:rsidP="00BE6D5C">
      <w:pPr>
        <w:pStyle w:val="Heading1"/>
      </w:pPr>
      <w:bookmarkStart w:id="10" w:name="_Toc234883759"/>
      <w:r>
        <w:t>4. Expected Findings</w:t>
      </w:r>
      <w:bookmarkEnd w:id="10"/>
    </w:p>
    <w:p w:rsidR="00BE6D5C" w:rsidRDefault="00085F89" w:rsidP="00085F89">
      <w:r>
        <w:t>Based on Signalling Theory and previous empirical evidence, the study is expected to indicate that green marketing practices positively influence consumers' willingness to purchase eco-friendly products by reducing uncertainty surrounding environmental claims and strengthening confidence in product credibility</w:t>
      </w:r>
      <w:r w:rsidR="00DF198C">
        <w:t xml:space="preserve"> (Han et al., 2023)</w:t>
      </w:r>
      <w:r>
        <w:t xml:space="preserve">. More specifically, environmentally responsible product design, transparent communication, credible eco-labelling and sustainable packaging are anticipated to function as positive market signals that enhance consumers' perceptions of organisational environmental responsibility. Nevertheless, the relationship is unlikely to be uniformly strong across all dimensions of green marketing because consumers may interpret certain practices as symbolic rather than substantive commitments to </w:t>
      </w:r>
      <w:r>
        <w:lastRenderedPageBreak/>
        <w:t>sustainability (Chen and Chang, 2012).</w:t>
      </w:r>
      <w:r w:rsidR="00BE6D5C">
        <w:t xml:space="preserve"> </w:t>
      </w:r>
      <w:r>
        <w:t xml:space="preserve">The study further expects that green trust will positively influence consumers' willingness to purchase eco-friendly products and partially mediate the relationship between green marketing practices and purchase willingness. This expectation is theoretically consistent with Signalling Theory because consumers frequently lack the technical knowledge necessary to independently verify environmental claims and therefore rely on trust as a mechanism for reducing perceived risk and information asymmetry (Connelly et al., 2011). </w:t>
      </w:r>
    </w:p>
    <w:p w:rsidR="00085F89" w:rsidRDefault="00085F89" w:rsidP="00085F89">
      <w:r>
        <w:t xml:space="preserve">However, the anticipated mediation effect should not be interpreted as predetermined because consumers may react differently where environmental claims are perceived as vague, exaggerated or inconsistent with actual corporate behaviour. Research on greenwashing demonstrates that unsupported environmental communication may damage credibility and weaken the effectiveness of sustainability initiatives (de Freitas </w:t>
      </w:r>
      <w:proofErr w:type="spellStart"/>
      <w:r>
        <w:t>Netto</w:t>
      </w:r>
      <w:proofErr w:type="spellEnd"/>
      <w:r>
        <w:t xml:space="preserve"> et al., 2020).</w:t>
      </w:r>
      <w:r w:rsidR="00BE6D5C">
        <w:t xml:space="preserve"> </w:t>
      </w:r>
      <w:r>
        <w:t>Consequently, the expected findings may suggest that organisations should prioritise transparency, independently verifiable eco-labels, evidence-based communication and authentic sustainability commitments rather than relying exclusively on environmental advertising or symbolic promotional activities. Such findings would contribute to the growing literature examining the psychological mechanisms underlying green consumer behaviour while simultaneously providing practical guidance for organisations operating in increasingly sustainability-conscious markets</w:t>
      </w:r>
      <w:r w:rsidR="00DF198C">
        <w:t xml:space="preserve"> (Fu, 2021)</w:t>
      </w:r>
      <w:r>
        <w:t>.</w:t>
      </w:r>
    </w:p>
    <w:p w:rsidR="00085F89" w:rsidRDefault="00085F89" w:rsidP="00BE6D5C">
      <w:pPr>
        <w:pStyle w:val="Heading1"/>
      </w:pPr>
      <w:bookmarkStart w:id="11" w:name="_Toc234883760"/>
      <w:r>
        <w:t>5. Anticipated Limitations</w:t>
      </w:r>
      <w:bookmarkEnd w:id="11"/>
    </w:p>
    <w:p w:rsidR="00BE6D5C" w:rsidRDefault="00085F89" w:rsidP="00085F89">
      <w:r>
        <w:t>Although the proposed research design is appropriate for addressing the study objectives, several methodological limitations should be acknowledged to demonstrate critical reflexivity and strengthen the credibility of the research process</w:t>
      </w:r>
      <w:r w:rsidR="00DF198C">
        <w:t xml:space="preserve"> (Liu &amp; MA, 2023)</w:t>
      </w:r>
      <w:r>
        <w:t xml:space="preserve">. </w:t>
      </w:r>
    </w:p>
    <w:p w:rsidR="00085F89" w:rsidRDefault="00085F89" w:rsidP="00085F89">
      <w:r>
        <w:t>First, the use of convenience and purposive sampling may introduce selection bias because respondents who participate in online surveys often possess greater environmental awareness than the general population. This limitation may reduce the external validity of the findings and constrain their generalisability beyond the sampled population. To minimise this risk, questionnaire distribution will target respondents from diverse age groups, educational backgrounds and income categories across Pakistan</w:t>
      </w:r>
      <w:r w:rsidR="00DF198C">
        <w:t xml:space="preserve"> (Huang et al., 2024)</w:t>
      </w:r>
      <w:r>
        <w:t>.</w:t>
      </w:r>
    </w:p>
    <w:p w:rsidR="00085F89" w:rsidRDefault="00085F89" w:rsidP="00085F89">
      <w:r>
        <w:t xml:space="preserve">Second, the use of self-reported questionnaire responses creates the possibility of social desirability bias whereby participants may overstate environmentally responsible attitudes or </w:t>
      </w:r>
      <w:r>
        <w:lastRenderedPageBreak/>
        <w:t>behaviours to present themselves positively. Anonymous participation, neutral wording and the absence of identifying information will be used to mitigate this concern (</w:t>
      </w:r>
      <w:proofErr w:type="spellStart"/>
      <w:r>
        <w:t>Podsakoff</w:t>
      </w:r>
      <w:proofErr w:type="spellEnd"/>
      <w:r>
        <w:t xml:space="preserve"> et al., 2003). Third, the cross-sectional design limits the ability to establish causal relationships because temporal sequencing between variables cannot be directly observed. Therefore, findings will be interpreted as statistically significant associations rather than definitive causal effects.</w:t>
      </w:r>
    </w:p>
    <w:p w:rsidR="00085F89" w:rsidRPr="00D770A2" w:rsidRDefault="00085F89" w:rsidP="00085F89">
      <w:pPr>
        <w:rPr>
          <w:lang w:val="en-US"/>
        </w:rPr>
      </w:pPr>
      <w:r>
        <w:t>A further limitation concerns the widely recognised attitude–behaviour gap in green consumption research. Consumers frequently express positive environmental attitudes and purchase intentions that are not translated into actual purchasing behaviour because of financial constraints, convenience considerations or product availability (Joshi and Rahman, 2015). Accordingly, this study intentionally measures willingness to purchase rather than actual behaviour. Finally, the broad definition of eco-friendly products may introduce heterogeneity across product categories; therefore, respondents will receive clear definitions and examples to improve conceptual consistency</w:t>
      </w:r>
      <w:r w:rsidR="00D770A2">
        <w:t xml:space="preserve"> (</w:t>
      </w:r>
      <w:r w:rsidR="00D770A2" w:rsidRPr="00D770A2">
        <w:rPr>
          <w:lang w:val="en-US"/>
        </w:rPr>
        <w:t>Liu &amp; MA, 2023</w:t>
      </w:r>
      <w:r w:rsidR="00D770A2">
        <w:rPr>
          <w:lang w:val="en-US"/>
        </w:rPr>
        <w:t>)</w:t>
      </w:r>
      <w:r>
        <w:t>.</w:t>
      </w:r>
    </w:p>
    <w:p w:rsidR="00BE6D5C" w:rsidRPr="00BE6D5C" w:rsidRDefault="00BE6D5C" w:rsidP="00085F89">
      <w:pPr>
        <w:rPr>
          <w:b/>
        </w:rPr>
      </w:pPr>
      <w:r>
        <w:rPr>
          <w:b/>
        </w:rPr>
        <w:t>Table 2</w:t>
      </w:r>
      <w:r w:rsidRPr="00BE6D5C">
        <w:rPr>
          <w:b/>
        </w:rPr>
        <w:t>. Potential Research Limitations and Mitigation Strategies</w:t>
      </w:r>
    </w:p>
    <w:tbl>
      <w:tblPr>
        <w:tblStyle w:val="GridTable4-Accent5"/>
        <w:tblW w:w="9052" w:type="dxa"/>
        <w:tblLook w:val="04A0" w:firstRow="1" w:lastRow="0" w:firstColumn="1" w:lastColumn="0" w:noHBand="0" w:noVBand="1"/>
      </w:tblPr>
      <w:tblGrid>
        <w:gridCol w:w="4526"/>
        <w:gridCol w:w="4526"/>
      </w:tblGrid>
      <w:tr w:rsidR="00BE6D5C" w:rsidRPr="00BE6D5C" w:rsidTr="00425347">
        <w:trPr>
          <w:cnfStyle w:val="100000000000" w:firstRow="1" w:lastRow="0" w:firstColumn="0" w:lastColumn="0" w:oddVBand="0" w:evenVBand="0" w:oddHBand="0" w:evenHBand="0" w:firstRowFirstColumn="0" w:firstRowLastColumn="0" w:lastRowFirstColumn="0" w:lastRowLastColumn="0"/>
          <w:trHeight w:val="439"/>
        </w:trPr>
        <w:tc>
          <w:tcPr>
            <w:cnfStyle w:val="001000000000" w:firstRow="0" w:lastRow="0" w:firstColumn="1" w:lastColumn="0" w:oddVBand="0" w:evenVBand="0" w:oddHBand="0" w:evenHBand="0" w:firstRowFirstColumn="0" w:firstRowLastColumn="0" w:lastRowFirstColumn="0" w:lastRowLastColumn="0"/>
            <w:tcW w:w="4526" w:type="dxa"/>
          </w:tcPr>
          <w:p w:rsidR="00BE6D5C" w:rsidRPr="00BE6D5C" w:rsidRDefault="00BE6D5C" w:rsidP="006A721E">
            <w:r w:rsidRPr="00BE6D5C">
              <w:t>Potential limitation</w:t>
            </w:r>
          </w:p>
        </w:tc>
        <w:tc>
          <w:tcPr>
            <w:tcW w:w="4526" w:type="dxa"/>
          </w:tcPr>
          <w:p w:rsidR="00BE6D5C" w:rsidRPr="00BE6D5C" w:rsidRDefault="00BE6D5C" w:rsidP="006A721E">
            <w:pPr>
              <w:cnfStyle w:val="100000000000" w:firstRow="1" w:lastRow="0" w:firstColumn="0" w:lastColumn="0" w:oddVBand="0" w:evenVBand="0" w:oddHBand="0" w:evenHBand="0" w:firstRowFirstColumn="0" w:firstRowLastColumn="0" w:lastRowFirstColumn="0" w:lastRowLastColumn="0"/>
            </w:pPr>
            <w:r w:rsidRPr="00BE6D5C">
              <w:t>Mitigation strategy</w:t>
            </w:r>
          </w:p>
        </w:tc>
      </w:tr>
      <w:tr w:rsidR="00BE6D5C" w:rsidRPr="00BE6D5C" w:rsidTr="00425347">
        <w:trPr>
          <w:cnfStyle w:val="000000100000" w:firstRow="0" w:lastRow="0" w:firstColumn="0" w:lastColumn="0" w:oddVBand="0" w:evenVBand="0" w:oddHBand="1" w:evenHBand="0" w:firstRowFirstColumn="0" w:firstRowLastColumn="0" w:lastRowFirstColumn="0" w:lastRowLastColumn="0"/>
          <w:trHeight w:val="889"/>
        </w:trPr>
        <w:tc>
          <w:tcPr>
            <w:cnfStyle w:val="001000000000" w:firstRow="0" w:lastRow="0" w:firstColumn="1" w:lastColumn="0" w:oddVBand="0" w:evenVBand="0" w:oddHBand="0" w:evenHBand="0" w:firstRowFirstColumn="0" w:firstRowLastColumn="0" w:lastRowFirstColumn="0" w:lastRowLastColumn="0"/>
            <w:tcW w:w="4526" w:type="dxa"/>
          </w:tcPr>
          <w:p w:rsidR="00BE6D5C" w:rsidRPr="00BE6D5C" w:rsidRDefault="00BE6D5C" w:rsidP="006A721E">
            <w:r w:rsidRPr="00BE6D5C">
              <w:t>Convenience sampling bias</w:t>
            </w:r>
          </w:p>
        </w:tc>
        <w:tc>
          <w:tcPr>
            <w:tcW w:w="4526" w:type="dxa"/>
          </w:tcPr>
          <w:p w:rsidR="00BE6D5C" w:rsidRPr="00BE6D5C" w:rsidRDefault="00BE6D5C" w:rsidP="006A721E">
            <w:pPr>
              <w:cnfStyle w:val="000000100000" w:firstRow="0" w:lastRow="0" w:firstColumn="0" w:lastColumn="0" w:oddVBand="0" w:evenVBand="0" w:oddHBand="1" w:evenHBand="0" w:firstRowFirstColumn="0" w:firstRowLastColumn="0" w:lastRowFirstColumn="0" w:lastRowLastColumn="0"/>
            </w:pPr>
            <w:r w:rsidRPr="00BE6D5C">
              <w:t>Recruit respondents from varied demographic groups</w:t>
            </w:r>
          </w:p>
        </w:tc>
      </w:tr>
      <w:tr w:rsidR="00BE6D5C" w:rsidRPr="00BE6D5C" w:rsidTr="00425347">
        <w:trPr>
          <w:trHeight w:val="439"/>
        </w:trPr>
        <w:tc>
          <w:tcPr>
            <w:cnfStyle w:val="001000000000" w:firstRow="0" w:lastRow="0" w:firstColumn="1" w:lastColumn="0" w:oddVBand="0" w:evenVBand="0" w:oddHBand="0" w:evenHBand="0" w:firstRowFirstColumn="0" w:firstRowLastColumn="0" w:lastRowFirstColumn="0" w:lastRowLastColumn="0"/>
            <w:tcW w:w="4526" w:type="dxa"/>
          </w:tcPr>
          <w:p w:rsidR="00BE6D5C" w:rsidRPr="00BE6D5C" w:rsidRDefault="00BE6D5C" w:rsidP="006A721E">
            <w:r w:rsidRPr="00BE6D5C">
              <w:t>Self-report bias</w:t>
            </w:r>
          </w:p>
        </w:tc>
        <w:tc>
          <w:tcPr>
            <w:tcW w:w="4526" w:type="dxa"/>
          </w:tcPr>
          <w:p w:rsidR="00BE6D5C" w:rsidRPr="00BE6D5C" w:rsidRDefault="00BE6D5C" w:rsidP="006A721E">
            <w:pPr>
              <w:cnfStyle w:val="000000000000" w:firstRow="0" w:lastRow="0" w:firstColumn="0" w:lastColumn="0" w:oddVBand="0" w:evenVBand="0" w:oddHBand="0" w:evenHBand="0" w:firstRowFirstColumn="0" w:firstRowLastColumn="0" w:lastRowFirstColumn="0" w:lastRowLastColumn="0"/>
            </w:pPr>
            <w:r w:rsidRPr="00BE6D5C">
              <w:t>Maintain anonymity and neutral wording</w:t>
            </w:r>
          </w:p>
        </w:tc>
      </w:tr>
      <w:tr w:rsidR="00BE6D5C" w:rsidRPr="00BE6D5C" w:rsidTr="00425347">
        <w:trPr>
          <w:cnfStyle w:val="000000100000" w:firstRow="0" w:lastRow="0" w:firstColumn="0" w:lastColumn="0" w:oddVBand="0" w:evenVBand="0" w:oddHBand="1"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4526" w:type="dxa"/>
          </w:tcPr>
          <w:p w:rsidR="00BE6D5C" w:rsidRPr="00BE6D5C" w:rsidRDefault="00BE6D5C" w:rsidP="006A721E">
            <w:r w:rsidRPr="00BE6D5C">
              <w:t>Cross-sectional design</w:t>
            </w:r>
          </w:p>
        </w:tc>
        <w:tc>
          <w:tcPr>
            <w:tcW w:w="4526" w:type="dxa"/>
          </w:tcPr>
          <w:p w:rsidR="00BE6D5C" w:rsidRPr="00BE6D5C" w:rsidRDefault="00BE6D5C" w:rsidP="006A721E">
            <w:pPr>
              <w:cnfStyle w:val="000000100000" w:firstRow="0" w:lastRow="0" w:firstColumn="0" w:lastColumn="0" w:oddVBand="0" w:evenVBand="0" w:oddHBand="1" w:evenHBand="0" w:firstRowFirstColumn="0" w:firstRowLastColumn="0" w:lastRowFirstColumn="0" w:lastRowLastColumn="0"/>
            </w:pPr>
            <w:r w:rsidRPr="00BE6D5C">
              <w:t>Avoid causal interpretations</w:t>
            </w:r>
          </w:p>
        </w:tc>
      </w:tr>
      <w:tr w:rsidR="00BE6D5C" w:rsidRPr="00BE6D5C" w:rsidTr="00425347">
        <w:trPr>
          <w:trHeight w:val="879"/>
        </w:trPr>
        <w:tc>
          <w:tcPr>
            <w:cnfStyle w:val="001000000000" w:firstRow="0" w:lastRow="0" w:firstColumn="1" w:lastColumn="0" w:oddVBand="0" w:evenVBand="0" w:oddHBand="0" w:evenHBand="0" w:firstRowFirstColumn="0" w:firstRowLastColumn="0" w:lastRowFirstColumn="0" w:lastRowLastColumn="0"/>
            <w:tcW w:w="4526" w:type="dxa"/>
          </w:tcPr>
          <w:p w:rsidR="00BE6D5C" w:rsidRPr="00BE6D5C" w:rsidRDefault="00BE6D5C" w:rsidP="006A721E">
            <w:r w:rsidRPr="00BE6D5C">
              <w:t>Attitude–behaviour gap</w:t>
            </w:r>
          </w:p>
        </w:tc>
        <w:tc>
          <w:tcPr>
            <w:tcW w:w="4526" w:type="dxa"/>
          </w:tcPr>
          <w:p w:rsidR="00BE6D5C" w:rsidRPr="00BE6D5C" w:rsidRDefault="00BE6D5C" w:rsidP="006A721E">
            <w:pPr>
              <w:cnfStyle w:val="000000000000" w:firstRow="0" w:lastRow="0" w:firstColumn="0" w:lastColumn="0" w:oddVBand="0" w:evenVBand="0" w:oddHBand="0" w:evenHBand="0" w:firstRowFirstColumn="0" w:firstRowLastColumn="0" w:lastRowFirstColumn="0" w:lastRowLastColumn="0"/>
            </w:pPr>
            <w:r w:rsidRPr="00BE6D5C">
              <w:t>Measure willingness rather than actual behaviour</w:t>
            </w:r>
          </w:p>
        </w:tc>
      </w:tr>
      <w:tr w:rsidR="00BE6D5C" w:rsidRPr="00BE6D5C" w:rsidTr="00425347">
        <w:trPr>
          <w:cnfStyle w:val="000000100000" w:firstRow="0" w:lastRow="0" w:firstColumn="0" w:lastColumn="0" w:oddVBand="0" w:evenVBand="0" w:oddHBand="1" w:evenHBand="0" w:firstRowFirstColumn="0" w:firstRowLastColumn="0" w:lastRowFirstColumn="0" w:lastRowLastColumn="0"/>
          <w:trHeight w:val="889"/>
        </w:trPr>
        <w:tc>
          <w:tcPr>
            <w:cnfStyle w:val="001000000000" w:firstRow="0" w:lastRow="0" w:firstColumn="1" w:lastColumn="0" w:oddVBand="0" w:evenVBand="0" w:oddHBand="0" w:evenHBand="0" w:firstRowFirstColumn="0" w:firstRowLastColumn="0" w:lastRowFirstColumn="0" w:lastRowLastColumn="0"/>
            <w:tcW w:w="4526" w:type="dxa"/>
          </w:tcPr>
          <w:p w:rsidR="00BE6D5C" w:rsidRPr="00BE6D5C" w:rsidRDefault="00BE6D5C" w:rsidP="006A721E">
            <w:r w:rsidRPr="00BE6D5C">
              <w:t>Common method variance</w:t>
            </w:r>
          </w:p>
        </w:tc>
        <w:tc>
          <w:tcPr>
            <w:tcW w:w="4526" w:type="dxa"/>
          </w:tcPr>
          <w:p w:rsidR="00BE6D5C" w:rsidRPr="00BE6D5C" w:rsidRDefault="00BE6D5C" w:rsidP="006A721E">
            <w:pPr>
              <w:cnfStyle w:val="000000100000" w:firstRow="0" w:lastRow="0" w:firstColumn="0" w:lastColumn="0" w:oddVBand="0" w:evenVBand="0" w:oddHBand="1" w:evenHBand="0" w:firstRowFirstColumn="0" w:firstRowLastColumn="0" w:lastRowFirstColumn="0" w:lastRowLastColumn="0"/>
            </w:pPr>
            <w:r w:rsidRPr="00BE6D5C">
              <w:t>Separate questionnaire sections and ensure anonymity</w:t>
            </w:r>
          </w:p>
        </w:tc>
      </w:tr>
      <w:tr w:rsidR="00BE6D5C" w:rsidRPr="00BE6D5C" w:rsidTr="00425347">
        <w:trPr>
          <w:trHeight w:val="439"/>
        </w:trPr>
        <w:tc>
          <w:tcPr>
            <w:cnfStyle w:val="001000000000" w:firstRow="0" w:lastRow="0" w:firstColumn="1" w:lastColumn="0" w:oddVBand="0" w:evenVBand="0" w:oddHBand="0" w:evenHBand="0" w:firstRowFirstColumn="0" w:firstRowLastColumn="0" w:lastRowFirstColumn="0" w:lastRowLastColumn="0"/>
            <w:tcW w:w="4526" w:type="dxa"/>
          </w:tcPr>
          <w:p w:rsidR="00BE6D5C" w:rsidRPr="00BE6D5C" w:rsidRDefault="00BE6D5C" w:rsidP="006A721E">
            <w:r w:rsidRPr="00BE6D5C">
              <w:t>Broad product categories</w:t>
            </w:r>
          </w:p>
        </w:tc>
        <w:tc>
          <w:tcPr>
            <w:tcW w:w="4526" w:type="dxa"/>
          </w:tcPr>
          <w:p w:rsidR="00BE6D5C" w:rsidRPr="00BE6D5C" w:rsidRDefault="00BE6D5C" w:rsidP="006A721E">
            <w:pPr>
              <w:cnfStyle w:val="000000000000" w:firstRow="0" w:lastRow="0" w:firstColumn="0" w:lastColumn="0" w:oddVBand="0" w:evenVBand="0" w:oddHBand="0" w:evenHBand="0" w:firstRowFirstColumn="0" w:firstRowLastColumn="0" w:lastRowFirstColumn="0" w:lastRowLastColumn="0"/>
            </w:pPr>
            <w:r w:rsidRPr="00BE6D5C">
              <w:t>Provide clear definitions and examples</w:t>
            </w:r>
          </w:p>
        </w:tc>
      </w:tr>
      <w:tr w:rsidR="00BE6D5C" w:rsidRPr="00BE6D5C" w:rsidTr="00425347">
        <w:trPr>
          <w:cnfStyle w:val="000000100000" w:firstRow="0" w:lastRow="0" w:firstColumn="0" w:lastColumn="0" w:oddVBand="0" w:evenVBand="0" w:oddHBand="1"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4526" w:type="dxa"/>
          </w:tcPr>
          <w:p w:rsidR="00BE6D5C" w:rsidRPr="00BE6D5C" w:rsidRDefault="00BE6D5C" w:rsidP="006A721E">
            <w:r w:rsidRPr="00BE6D5C">
              <w:t>Limited sample size</w:t>
            </w:r>
          </w:p>
        </w:tc>
        <w:tc>
          <w:tcPr>
            <w:tcW w:w="4526" w:type="dxa"/>
          </w:tcPr>
          <w:p w:rsidR="00BE6D5C" w:rsidRPr="00BE6D5C" w:rsidRDefault="00BE6D5C" w:rsidP="006A721E">
            <w:pPr>
              <w:cnfStyle w:val="000000100000" w:firstRow="0" w:lastRow="0" w:firstColumn="0" w:lastColumn="0" w:oddVBand="0" w:evenVBand="0" w:oddHBand="1" w:evenHBand="0" w:firstRowFirstColumn="0" w:firstRowLastColumn="0" w:lastRowFirstColumn="0" w:lastRowLastColumn="0"/>
            </w:pPr>
            <w:r w:rsidRPr="00BE6D5C">
              <w:t>Target 120–150 valid responses</w:t>
            </w:r>
          </w:p>
        </w:tc>
      </w:tr>
    </w:tbl>
    <w:p w:rsidR="003B36D5" w:rsidRDefault="003B36D5" w:rsidP="00085F89"/>
    <w:p w:rsidR="00085F89" w:rsidRDefault="00085F89" w:rsidP="003B36D5">
      <w:pPr>
        <w:pStyle w:val="Heading1"/>
      </w:pPr>
      <w:bookmarkStart w:id="12" w:name="_Toc234883761"/>
      <w:r>
        <w:t>6. Research Timeframe</w:t>
      </w:r>
      <w:bookmarkEnd w:id="12"/>
    </w:p>
    <w:p w:rsidR="00F64193" w:rsidRDefault="00085F89" w:rsidP="00085F89">
      <w:r>
        <w:t xml:space="preserve">The project is considered feasible within the sixteen-week dissertation period established by the university. A structured timeline is particularly important because research delays </w:t>
      </w:r>
      <w:r>
        <w:lastRenderedPageBreak/>
        <w:t>frequently occur during ethical approval and data collection stages. Therefore, sufficient flexibility has been incorporated to accommodate unforeseen disruptions while ensuring completion of all stages before submission deadlines.</w:t>
      </w:r>
    </w:p>
    <w:p w:rsidR="00085F89" w:rsidRPr="00F64193" w:rsidRDefault="00916FB0" w:rsidP="00085F89">
      <w:pPr>
        <w:rPr>
          <w:b/>
        </w:rPr>
      </w:pPr>
      <w:r>
        <w:rPr>
          <w:b/>
        </w:rPr>
        <w:t>Table 3</w:t>
      </w:r>
      <w:r w:rsidRPr="00916FB0">
        <w:rPr>
          <w:b/>
        </w:rPr>
        <w:t>. Proposed Research Timeline and Schedule of Activities</w:t>
      </w:r>
    </w:p>
    <w:tbl>
      <w:tblPr>
        <w:tblStyle w:val="GridTable4-Accent5"/>
        <w:tblW w:w="9200" w:type="dxa"/>
        <w:tblLook w:val="04A0" w:firstRow="1" w:lastRow="0" w:firstColumn="1" w:lastColumn="0" w:noHBand="0" w:noVBand="1"/>
      </w:tblPr>
      <w:tblGrid>
        <w:gridCol w:w="4600"/>
        <w:gridCol w:w="4600"/>
      </w:tblGrid>
      <w:tr w:rsidR="003B36D5" w:rsidRPr="003B36D5" w:rsidTr="00425347">
        <w:trPr>
          <w:cnfStyle w:val="100000000000" w:firstRow="1" w:lastRow="0" w:firstColumn="0" w:lastColumn="0" w:oddVBand="0" w:evenVBand="0" w:oddHBand="0"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4600" w:type="dxa"/>
          </w:tcPr>
          <w:p w:rsidR="003B36D5" w:rsidRPr="003B36D5" w:rsidRDefault="003B36D5" w:rsidP="00BC4A67">
            <w:r w:rsidRPr="003B36D5">
              <w:t>Activity</w:t>
            </w:r>
          </w:p>
        </w:tc>
        <w:tc>
          <w:tcPr>
            <w:tcW w:w="4600" w:type="dxa"/>
          </w:tcPr>
          <w:p w:rsidR="003B36D5" w:rsidRPr="003B36D5" w:rsidRDefault="003B36D5" w:rsidP="00BC4A67">
            <w:pPr>
              <w:cnfStyle w:val="100000000000" w:firstRow="1" w:lastRow="0" w:firstColumn="0" w:lastColumn="0" w:oddVBand="0" w:evenVBand="0" w:oddHBand="0" w:evenHBand="0" w:firstRowFirstColumn="0" w:firstRowLastColumn="0" w:lastRowFirstColumn="0" w:lastRowLastColumn="0"/>
            </w:pPr>
            <w:r w:rsidRPr="003B36D5">
              <w:t>Weeks</w:t>
            </w:r>
          </w:p>
        </w:tc>
      </w:tr>
      <w:tr w:rsidR="003B36D5" w:rsidRPr="003B36D5" w:rsidTr="00425347">
        <w:trPr>
          <w:cnfStyle w:val="000000100000" w:firstRow="0" w:lastRow="0" w:firstColumn="0" w:lastColumn="0" w:oddVBand="0" w:evenVBand="0" w:oddHBand="1" w:evenHBand="0" w:firstRowFirstColumn="0" w:firstRowLastColumn="0" w:lastRowFirstColumn="0" w:lastRowLastColumn="0"/>
          <w:trHeight w:val="901"/>
        </w:trPr>
        <w:tc>
          <w:tcPr>
            <w:cnfStyle w:val="001000000000" w:firstRow="0" w:lastRow="0" w:firstColumn="1" w:lastColumn="0" w:oddVBand="0" w:evenVBand="0" w:oddHBand="0" w:evenHBand="0" w:firstRowFirstColumn="0" w:firstRowLastColumn="0" w:lastRowFirstColumn="0" w:lastRowLastColumn="0"/>
            <w:tcW w:w="4600" w:type="dxa"/>
          </w:tcPr>
          <w:p w:rsidR="003B36D5" w:rsidRPr="003B36D5" w:rsidRDefault="003B36D5" w:rsidP="00BC4A67">
            <w:r w:rsidRPr="003B36D5">
              <w:t>Topic refinement and proposal preparation</w:t>
            </w:r>
          </w:p>
        </w:tc>
        <w:tc>
          <w:tcPr>
            <w:tcW w:w="4600" w:type="dxa"/>
          </w:tcPr>
          <w:p w:rsidR="003B36D5" w:rsidRPr="003B36D5" w:rsidRDefault="003B36D5" w:rsidP="00BC4A67">
            <w:pPr>
              <w:cnfStyle w:val="000000100000" w:firstRow="0" w:lastRow="0" w:firstColumn="0" w:lastColumn="0" w:oddVBand="0" w:evenVBand="0" w:oddHBand="1" w:evenHBand="0" w:firstRowFirstColumn="0" w:firstRowLastColumn="0" w:lastRowFirstColumn="0" w:lastRowLastColumn="0"/>
            </w:pPr>
            <w:r w:rsidRPr="003B36D5">
              <w:t>1–2</w:t>
            </w:r>
          </w:p>
        </w:tc>
      </w:tr>
      <w:tr w:rsidR="003B36D5" w:rsidRPr="003B36D5" w:rsidTr="00425347">
        <w:trPr>
          <w:trHeight w:val="445"/>
        </w:trPr>
        <w:tc>
          <w:tcPr>
            <w:cnfStyle w:val="001000000000" w:firstRow="0" w:lastRow="0" w:firstColumn="1" w:lastColumn="0" w:oddVBand="0" w:evenVBand="0" w:oddHBand="0" w:evenHBand="0" w:firstRowFirstColumn="0" w:firstRowLastColumn="0" w:lastRowFirstColumn="0" w:lastRowLastColumn="0"/>
            <w:tcW w:w="4600" w:type="dxa"/>
          </w:tcPr>
          <w:p w:rsidR="003B36D5" w:rsidRPr="003B36D5" w:rsidRDefault="003B36D5" w:rsidP="00BC4A67">
            <w:r w:rsidRPr="003B36D5">
              <w:t>Preliminary literature review</w:t>
            </w:r>
          </w:p>
        </w:tc>
        <w:tc>
          <w:tcPr>
            <w:tcW w:w="4600" w:type="dxa"/>
          </w:tcPr>
          <w:p w:rsidR="003B36D5" w:rsidRPr="003B36D5" w:rsidRDefault="003B36D5" w:rsidP="00BC4A67">
            <w:pPr>
              <w:cnfStyle w:val="000000000000" w:firstRow="0" w:lastRow="0" w:firstColumn="0" w:lastColumn="0" w:oddVBand="0" w:evenVBand="0" w:oddHBand="0" w:evenHBand="0" w:firstRowFirstColumn="0" w:firstRowLastColumn="0" w:lastRowFirstColumn="0" w:lastRowLastColumn="0"/>
            </w:pPr>
            <w:r w:rsidRPr="003B36D5">
              <w:t>1–3</w:t>
            </w:r>
          </w:p>
        </w:tc>
      </w:tr>
      <w:tr w:rsidR="003B36D5" w:rsidRPr="003B36D5" w:rsidTr="00425347">
        <w:trPr>
          <w:cnfStyle w:val="000000100000" w:firstRow="0" w:lastRow="0" w:firstColumn="0" w:lastColumn="0" w:oddVBand="0" w:evenVBand="0" w:oddHBand="1" w:evenHBand="0" w:firstRowFirstColumn="0" w:firstRowLastColumn="0" w:lastRowFirstColumn="0" w:lastRowLastColumn="0"/>
          <w:trHeight w:val="455"/>
        </w:trPr>
        <w:tc>
          <w:tcPr>
            <w:cnfStyle w:val="001000000000" w:firstRow="0" w:lastRow="0" w:firstColumn="1" w:lastColumn="0" w:oddVBand="0" w:evenVBand="0" w:oddHBand="0" w:evenHBand="0" w:firstRowFirstColumn="0" w:firstRowLastColumn="0" w:lastRowFirstColumn="0" w:lastRowLastColumn="0"/>
            <w:tcW w:w="4600" w:type="dxa"/>
          </w:tcPr>
          <w:p w:rsidR="003B36D5" w:rsidRPr="003B36D5" w:rsidRDefault="003B36D5" w:rsidP="00BC4A67">
            <w:r w:rsidRPr="003B36D5">
              <w:t>Ethics application and revisions</w:t>
            </w:r>
          </w:p>
        </w:tc>
        <w:tc>
          <w:tcPr>
            <w:tcW w:w="4600" w:type="dxa"/>
          </w:tcPr>
          <w:p w:rsidR="003B36D5" w:rsidRPr="003B36D5" w:rsidRDefault="003B36D5" w:rsidP="00BC4A67">
            <w:pPr>
              <w:cnfStyle w:val="000000100000" w:firstRow="0" w:lastRow="0" w:firstColumn="0" w:lastColumn="0" w:oddVBand="0" w:evenVBand="0" w:oddHBand="1" w:evenHBand="0" w:firstRowFirstColumn="0" w:firstRowLastColumn="0" w:lastRowFirstColumn="0" w:lastRowLastColumn="0"/>
            </w:pPr>
            <w:r w:rsidRPr="003B36D5">
              <w:t>2–4</w:t>
            </w:r>
          </w:p>
        </w:tc>
      </w:tr>
      <w:tr w:rsidR="003B36D5" w:rsidRPr="003B36D5" w:rsidTr="00425347">
        <w:trPr>
          <w:trHeight w:val="445"/>
        </w:trPr>
        <w:tc>
          <w:tcPr>
            <w:cnfStyle w:val="001000000000" w:firstRow="0" w:lastRow="0" w:firstColumn="1" w:lastColumn="0" w:oddVBand="0" w:evenVBand="0" w:oddHBand="0" w:evenHBand="0" w:firstRowFirstColumn="0" w:firstRowLastColumn="0" w:lastRowFirstColumn="0" w:lastRowLastColumn="0"/>
            <w:tcW w:w="4600" w:type="dxa"/>
          </w:tcPr>
          <w:p w:rsidR="003B36D5" w:rsidRPr="003B36D5" w:rsidRDefault="003B36D5" w:rsidP="00BC4A67">
            <w:r w:rsidRPr="003B36D5">
              <w:t>Questionnaire design and pilot testing</w:t>
            </w:r>
          </w:p>
        </w:tc>
        <w:tc>
          <w:tcPr>
            <w:tcW w:w="4600" w:type="dxa"/>
          </w:tcPr>
          <w:p w:rsidR="003B36D5" w:rsidRPr="003B36D5" w:rsidRDefault="003B36D5" w:rsidP="00BC4A67">
            <w:pPr>
              <w:cnfStyle w:val="000000000000" w:firstRow="0" w:lastRow="0" w:firstColumn="0" w:lastColumn="0" w:oddVBand="0" w:evenVBand="0" w:oddHBand="0" w:evenHBand="0" w:firstRowFirstColumn="0" w:firstRowLastColumn="0" w:lastRowFirstColumn="0" w:lastRowLastColumn="0"/>
            </w:pPr>
            <w:r w:rsidRPr="003B36D5">
              <w:t>4–5</w:t>
            </w:r>
          </w:p>
        </w:tc>
      </w:tr>
      <w:tr w:rsidR="003B36D5" w:rsidRPr="003B36D5" w:rsidTr="00425347">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4600" w:type="dxa"/>
          </w:tcPr>
          <w:p w:rsidR="003B36D5" w:rsidRPr="003B36D5" w:rsidRDefault="003B36D5" w:rsidP="00BC4A67">
            <w:r w:rsidRPr="003B36D5">
              <w:t>Main data collection</w:t>
            </w:r>
          </w:p>
        </w:tc>
        <w:tc>
          <w:tcPr>
            <w:tcW w:w="4600" w:type="dxa"/>
          </w:tcPr>
          <w:p w:rsidR="003B36D5" w:rsidRPr="003B36D5" w:rsidRDefault="003B36D5" w:rsidP="00BC4A67">
            <w:pPr>
              <w:cnfStyle w:val="000000100000" w:firstRow="0" w:lastRow="0" w:firstColumn="0" w:lastColumn="0" w:oddVBand="0" w:evenVBand="0" w:oddHBand="1" w:evenHBand="0" w:firstRowFirstColumn="0" w:firstRowLastColumn="0" w:lastRowFirstColumn="0" w:lastRowLastColumn="0"/>
            </w:pPr>
            <w:r w:rsidRPr="003B36D5">
              <w:t>6–8</w:t>
            </w:r>
          </w:p>
        </w:tc>
      </w:tr>
      <w:tr w:rsidR="003B36D5" w:rsidRPr="003B36D5" w:rsidTr="00425347">
        <w:trPr>
          <w:trHeight w:val="455"/>
        </w:trPr>
        <w:tc>
          <w:tcPr>
            <w:cnfStyle w:val="001000000000" w:firstRow="0" w:lastRow="0" w:firstColumn="1" w:lastColumn="0" w:oddVBand="0" w:evenVBand="0" w:oddHBand="0" w:evenHBand="0" w:firstRowFirstColumn="0" w:firstRowLastColumn="0" w:lastRowFirstColumn="0" w:lastRowLastColumn="0"/>
            <w:tcW w:w="4600" w:type="dxa"/>
          </w:tcPr>
          <w:p w:rsidR="003B36D5" w:rsidRPr="003B36D5" w:rsidRDefault="003B36D5" w:rsidP="00BC4A67">
            <w:r w:rsidRPr="003B36D5">
              <w:t>Data cleaning and coding</w:t>
            </w:r>
          </w:p>
        </w:tc>
        <w:tc>
          <w:tcPr>
            <w:tcW w:w="4600" w:type="dxa"/>
          </w:tcPr>
          <w:p w:rsidR="003B36D5" w:rsidRPr="003B36D5" w:rsidRDefault="003B36D5" w:rsidP="00BC4A67">
            <w:pPr>
              <w:cnfStyle w:val="000000000000" w:firstRow="0" w:lastRow="0" w:firstColumn="0" w:lastColumn="0" w:oddVBand="0" w:evenVBand="0" w:oddHBand="0" w:evenHBand="0" w:firstRowFirstColumn="0" w:firstRowLastColumn="0" w:lastRowFirstColumn="0" w:lastRowLastColumn="0"/>
            </w:pPr>
            <w:r w:rsidRPr="003B36D5">
              <w:t>9</w:t>
            </w:r>
          </w:p>
        </w:tc>
      </w:tr>
      <w:tr w:rsidR="003B36D5" w:rsidRPr="003B36D5" w:rsidTr="00425347">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4600" w:type="dxa"/>
          </w:tcPr>
          <w:p w:rsidR="003B36D5" w:rsidRPr="003B36D5" w:rsidRDefault="003B36D5" w:rsidP="00BC4A67">
            <w:r w:rsidRPr="003B36D5">
              <w:t>Statistical analysis using SPSS</w:t>
            </w:r>
          </w:p>
        </w:tc>
        <w:tc>
          <w:tcPr>
            <w:tcW w:w="4600" w:type="dxa"/>
          </w:tcPr>
          <w:p w:rsidR="003B36D5" w:rsidRPr="003B36D5" w:rsidRDefault="003B36D5" w:rsidP="00BC4A67">
            <w:pPr>
              <w:cnfStyle w:val="000000100000" w:firstRow="0" w:lastRow="0" w:firstColumn="0" w:lastColumn="0" w:oddVBand="0" w:evenVBand="0" w:oddHBand="1" w:evenHBand="0" w:firstRowFirstColumn="0" w:firstRowLastColumn="0" w:lastRowFirstColumn="0" w:lastRowLastColumn="0"/>
            </w:pPr>
            <w:r w:rsidRPr="003B36D5">
              <w:t>10–11</w:t>
            </w:r>
          </w:p>
        </w:tc>
      </w:tr>
      <w:tr w:rsidR="003B36D5" w:rsidRPr="003B36D5" w:rsidTr="00425347">
        <w:trPr>
          <w:trHeight w:val="445"/>
        </w:trPr>
        <w:tc>
          <w:tcPr>
            <w:cnfStyle w:val="001000000000" w:firstRow="0" w:lastRow="0" w:firstColumn="1" w:lastColumn="0" w:oddVBand="0" w:evenVBand="0" w:oddHBand="0" w:evenHBand="0" w:firstRowFirstColumn="0" w:firstRowLastColumn="0" w:lastRowFirstColumn="0" w:lastRowLastColumn="0"/>
            <w:tcW w:w="4600" w:type="dxa"/>
          </w:tcPr>
          <w:p w:rsidR="003B36D5" w:rsidRPr="003B36D5" w:rsidRDefault="003B36D5" w:rsidP="00BC4A67">
            <w:r w:rsidRPr="003B36D5">
              <w:t>Findings chapter preparation</w:t>
            </w:r>
          </w:p>
        </w:tc>
        <w:tc>
          <w:tcPr>
            <w:tcW w:w="4600" w:type="dxa"/>
          </w:tcPr>
          <w:p w:rsidR="003B36D5" w:rsidRPr="003B36D5" w:rsidRDefault="003B36D5" w:rsidP="00BC4A67">
            <w:pPr>
              <w:cnfStyle w:val="000000000000" w:firstRow="0" w:lastRow="0" w:firstColumn="0" w:lastColumn="0" w:oddVBand="0" w:evenVBand="0" w:oddHBand="0" w:evenHBand="0" w:firstRowFirstColumn="0" w:firstRowLastColumn="0" w:lastRowFirstColumn="0" w:lastRowLastColumn="0"/>
            </w:pPr>
            <w:r w:rsidRPr="003B36D5">
              <w:t>11–12</w:t>
            </w:r>
          </w:p>
        </w:tc>
      </w:tr>
      <w:tr w:rsidR="003B36D5" w:rsidRPr="003B36D5" w:rsidTr="00425347">
        <w:trPr>
          <w:cnfStyle w:val="000000100000" w:firstRow="0" w:lastRow="0" w:firstColumn="0" w:lastColumn="0" w:oddVBand="0" w:evenVBand="0" w:oddHBand="1" w:evenHBand="0" w:firstRowFirstColumn="0" w:firstRowLastColumn="0" w:lastRowFirstColumn="0" w:lastRowLastColumn="0"/>
          <w:trHeight w:val="455"/>
        </w:trPr>
        <w:tc>
          <w:tcPr>
            <w:cnfStyle w:val="001000000000" w:firstRow="0" w:lastRow="0" w:firstColumn="1" w:lastColumn="0" w:oddVBand="0" w:evenVBand="0" w:oddHBand="0" w:evenHBand="0" w:firstRowFirstColumn="0" w:firstRowLastColumn="0" w:lastRowFirstColumn="0" w:lastRowLastColumn="0"/>
            <w:tcW w:w="4600" w:type="dxa"/>
          </w:tcPr>
          <w:p w:rsidR="003B36D5" w:rsidRPr="003B36D5" w:rsidRDefault="003B36D5" w:rsidP="00BC4A67">
            <w:r w:rsidRPr="003B36D5">
              <w:t>Discussion and recommendations</w:t>
            </w:r>
          </w:p>
        </w:tc>
        <w:tc>
          <w:tcPr>
            <w:tcW w:w="4600" w:type="dxa"/>
          </w:tcPr>
          <w:p w:rsidR="003B36D5" w:rsidRPr="003B36D5" w:rsidRDefault="003B36D5" w:rsidP="00BC4A67">
            <w:pPr>
              <w:cnfStyle w:val="000000100000" w:firstRow="0" w:lastRow="0" w:firstColumn="0" w:lastColumn="0" w:oddVBand="0" w:evenVBand="0" w:oddHBand="1" w:evenHBand="0" w:firstRowFirstColumn="0" w:firstRowLastColumn="0" w:lastRowFirstColumn="0" w:lastRowLastColumn="0"/>
            </w:pPr>
            <w:r w:rsidRPr="003B36D5">
              <w:t>13–14</w:t>
            </w:r>
          </w:p>
        </w:tc>
      </w:tr>
      <w:tr w:rsidR="003B36D5" w:rsidRPr="003B36D5" w:rsidTr="00425347">
        <w:trPr>
          <w:trHeight w:val="445"/>
        </w:trPr>
        <w:tc>
          <w:tcPr>
            <w:cnfStyle w:val="001000000000" w:firstRow="0" w:lastRow="0" w:firstColumn="1" w:lastColumn="0" w:oddVBand="0" w:evenVBand="0" w:oddHBand="0" w:evenHBand="0" w:firstRowFirstColumn="0" w:firstRowLastColumn="0" w:lastRowFirstColumn="0" w:lastRowLastColumn="0"/>
            <w:tcW w:w="4600" w:type="dxa"/>
          </w:tcPr>
          <w:p w:rsidR="003B36D5" w:rsidRPr="003B36D5" w:rsidRDefault="003B36D5" w:rsidP="00BC4A67">
            <w:r w:rsidRPr="003B36D5">
              <w:t>Conclusion, editing and referencing</w:t>
            </w:r>
          </w:p>
        </w:tc>
        <w:tc>
          <w:tcPr>
            <w:tcW w:w="4600" w:type="dxa"/>
          </w:tcPr>
          <w:p w:rsidR="003B36D5" w:rsidRPr="003B36D5" w:rsidRDefault="003B36D5" w:rsidP="00BC4A67">
            <w:pPr>
              <w:cnfStyle w:val="000000000000" w:firstRow="0" w:lastRow="0" w:firstColumn="0" w:lastColumn="0" w:oddVBand="0" w:evenVBand="0" w:oddHBand="0" w:evenHBand="0" w:firstRowFirstColumn="0" w:firstRowLastColumn="0" w:lastRowFirstColumn="0" w:lastRowLastColumn="0"/>
            </w:pPr>
            <w:r w:rsidRPr="003B36D5">
              <w:t>15</w:t>
            </w:r>
          </w:p>
        </w:tc>
      </w:tr>
      <w:tr w:rsidR="003B36D5" w:rsidRPr="003B36D5" w:rsidTr="00425347">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4600" w:type="dxa"/>
          </w:tcPr>
          <w:p w:rsidR="003B36D5" w:rsidRPr="003B36D5" w:rsidRDefault="003B36D5" w:rsidP="00BC4A67">
            <w:r w:rsidRPr="003B36D5">
              <w:t>Proofreading and final submission</w:t>
            </w:r>
          </w:p>
        </w:tc>
        <w:tc>
          <w:tcPr>
            <w:tcW w:w="4600" w:type="dxa"/>
          </w:tcPr>
          <w:p w:rsidR="003B36D5" w:rsidRPr="003B36D5" w:rsidRDefault="003B36D5" w:rsidP="00BC4A67">
            <w:pPr>
              <w:cnfStyle w:val="000000100000" w:firstRow="0" w:lastRow="0" w:firstColumn="0" w:lastColumn="0" w:oddVBand="0" w:evenVBand="0" w:oddHBand="1" w:evenHBand="0" w:firstRowFirstColumn="0" w:firstRowLastColumn="0" w:lastRowFirstColumn="0" w:lastRowLastColumn="0"/>
            </w:pPr>
            <w:r w:rsidRPr="003B36D5">
              <w:t>16</w:t>
            </w:r>
          </w:p>
        </w:tc>
      </w:tr>
    </w:tbl>
    <w:p w:rsidR="00085F89" w:rsidRDefault="00085F89" w:rsidP="00085F89"/>
    <w:p w:rsidR="00AC0473" w:rsidRDefault="00AC0473" w:rsidP="00085F89"/>
    <w:p w:rsidR="00AC0473" w:rsidRDefault="00AC0473" w:rsidP="00085F89"/>
    <w:p w:rsidR="00AC0473" w:rsidRDefault="00AC0473" w:rsidP="00085F89"/>
    <w:p w:rsidR="00AC0473" w:rsidRDefault="00AC0473" w:rsidP="00085F89"/>
    <w:p w:rsidR="00AC0473" w:rsidRDefault="00AC0473" w:rsidP="00085F89"/>
    <w:p w:rsidR="00AC0473" w:rsidRDefault="00AC0473" w:rsidP="00085F89"/>
    <w:p w:rsidR="00AC0473" w:rsidRDefault="00AC0473" w:rsidP="00085F89"/>
    <w:p w:rsidR="00AC0473" w:rsidRDefault="00AC0473" w:rsidP="00085F89"/>
    <w:p w:rsidR="00AC0473" w:rsidRDefault="00AC0473" w:rsidP="00085F89"/>
    <w:p w:rsidR="00085F89" w:rsidRDefault="00085F89" w:rsidP="00085F89">
      <w:r>
        <w:lastRenderedPageBreak/>
        <w:t>The research proposal guidance recommends presenting this schedule as a Gantt chart to demonstrate project management capability and feasibility within the available timeframe.</w:t>
      </w:r>
    </w:p>
    <w:p w:rsidR="00AC0473" w:rsidRDefault="00AC0473" w:rsidP="00085F89">
      <w:r w:rsidRPr="00AC0473">
        <w:rPr>
          <w:noProof/>
          <w:lang w:eastAsia="en-GB"/>
        </w:rPr>
        <w:drawing>
          <wp:inline distT="0" distB="0" distL="0" distR="0" wp14:anchorId="7A77B5BF" wp14:editId="15A10BFD">
            <wp:extent cx="5731510" cy="33483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348355"/>
                    </a:xfrm>
                    <a:prstGeom prst="rect">
                      <a:avLst/>
                    </a:prstGeom>
                  </pic:spPr>
                </pic:pic>
              </a:graphicData>
            </a:graphic>
          </wp:inline>
        </w:drawing>
      </w:r>
    </w:p>
    <w:p w:rsidR="00085F89" w:rsidRDefault="00085F89" w:rsidP="003B36D5">
      <w:pPr>
        <w:pStyle w:val="Heading1"/>
      </w:pPr>
      <w:bookmarkStart w:id="13" w:name="_Toc234883762"/>
      <w:r>
        <w:t>7. Conclusion</w:t>
      </w:r>
      <w:bookmarkEnd w:id="13"/>
    </w:p>
    <w:p w:rsidR="003B36D5" w:rsidRDefault="00085F89" w:rsidP="00085F89">
      <w:r>
        <w:t>Increasing environmental concerns and growing consumer expectations regarding corporate sustainability have encouraged organisations to invest heavily in green marketing practices. Nevertheless, existing evidence suggests that environmental promotion alone may be insufficient to influence purchasing decisions where consumers remain sceptical regarding the authenticity of corporate claims. Against this background, the present study aims to examine the influence of green marketing practices on consumers' willingness to purchase eco-friendly products and to determine whether green trust mediates this relationship among Pakistani consumers.</w:t>
      </w:r>
      <w:r w:rsidR="003B36D5">
        <w:t xml:space="preserve"> </w:t>
      </w:r>
      <w:r>
        <w:t xml:space="preserve">The proposed framework advances understanding by moving beyond the question of whether green marketing influences consumers towards examining the psychological mechanism through which such influence occurs. </w:t>
      </w:r>
    </w:p>
    <w:p w:rsidR="00085F89" w:rsidRDefault="00085F89" w:rsidP="00085F89">
      <w:r>
        <w:t>The study therefore contributes to the literature by integrating Signalling Theory with green trust as an explanatory construct in an emerging market context characterised by increasing environmental awareness but relatively limited empirical evidence. The quantitative methodology, explanatory survey design and mediation analysis are considered appropriate for addressing the research objectives and testing the proposed hypotheses.</w:t>
      </w:r>
      <w:r w:rsidR="003B36D5">
        <w:t xml:space="preserve"> </w:t>
      </w:r>
      <w:r>
        <w:t xml:space="preserve">From a managerial perspective, the findings are expected to assist organisations in distinguishing substantive </w:t>
      </w:r>
      <w:r>
        <w:lastRenderedPageBreak/>
        <w:t>sustainability initiatives from symbolic environmental communication by identifying the forms of green marketing that most effectively build trust and encourage purchase willingness. Consequently, the study has the potential to provide both theoretical advancement and practical guidance for organisations seeking to promote environmentally responsible consumption without increasing consumer scepticism or perceptions of greenwashing.</w:t>
      </w:r>
    </w:p>
    <w:p w:rsidR="00916FB0" w:rsidRDefault="00916FB0">
      <w:pPr>
        <w:spacing w:line="259" w:lineRule="auto"/>
        <w:jc w:val="left"/>
        <w:rPr>
          <w:rFonts w:eastAsiaTheme="majorEastAsia" w:cstheme="majorBidi"/>
          <w:b/>
          <w:color w:val="2E74B5" w:themeColor="accent1" w:themeShade="BF"/>
          <w:sz w:val="32"/>
          <w:szCs w:val="32"/>
        </w:rPr>
      </w:pPr>
      <w:r>
        <w:br w:type="page"/>
      </w:r>
    </w:p>
    <w:p w:rsidR="001B30B5" w:rsidRDefault="00085F89" w:rsidP="001B30B5">
      <w:pPr>
        <w:pStyle w:val="Heading1"/>
      </w:pPr>
      <w:bookmarkStart w:id="14" w:name="_Toc234883763"/>
      <w:r>
        <w:lastRenderedPageBreak/>
        <w:t>References</w:t>
      </w:r>
      <w:bookmarkEnd w:id="14"/>
    </w:p>
    <w:p w:rsidR="001B30B5" w:rsidRDefault="001B30B5" w:rsidP="000B17B1">
      <w:pPr>
        <w:rPr>
          <w:lang w:val="en-US"/>
        </w:rPr>
      </w:pPr>
      <w:r w:rsidRPr="000B17B1">
        <w:rPr>
          <w:lang w:val="en-US"/>
        </w:rPr>
        <w:t xml:space="preserve">Abbas, S., </w:t>
      </w:r>
      <w:proofErr w:type="spellStart"/>
      <w:r w:rsidRPr="000B17B1">
        <w:rPr>
          <w:lang w:val="en-US"/>
        </w:rPr>
        <w:t>Munir</w:t>
      </w:r>
      <w:proofErr w:type="spellEnd"/>
      <w:r w:rsidRPr="000B17B1">
        <w:rPr>
          <w:lang w:val="en-US"/>
        </w:rPr>
        <w:t xml:space="preserve">, H. and Ahmad, Y. (2024) ‘Integrating eco-labeling and green advertising in achieving Sustainable Development Goal 12’, </w:t>
      </w:r>
      <w:r w:rsidRPr="000B17B1">
        <w:rPr>
          <w:i/>
          <w:iCs/>
          <w:lang w:val="en-US"/>
        </w:rPr>
        <w:t>Business Strategy &amp; Development</w:t>
      </w:r>
      <w:r w:rsidRPr="000B17B1">
        <w:rPr>
          <w:lang w:val="en-US"/>
        </w:rPr>
        <w:t xml:space="preserve">, 7(2). Available at: </w:t>
      </w:r>
      <w:hyperlink r:id="rId10" w:tgtFrame="_new" w:history="1">
        <w:r w:rsidRPr="000B17B1">
          <w:rPr>
            <w:rStyle w:val="Hyperlink"/>
            <w:lang w:val="en-US"/>
          </w:rPr>
          <w:t>https://doi.org/10.1002/bsd2.378</w:t>
        </w:r>
      </w:hyperlink>
      <w:r w:rsidRPr="000B17B1">
        <w:rPr>
          <w:lang w:val="en-US"/>
        </w:rPr>
        <w:t>.</w:t>
      </w:r>
    </w:p>
    <w:p w:rsidR="001B30B5" w:rsidRPr="000B17B1" w:rsidRDefault="001B30B5" w:rsidP="000B17B1">
      <w:pPr>
        <w:rPr>
          <w:lang w:val="en-US"/>
        </w:rPr>
      </w:pPr>
      <w:proofErr w:type="spellStart"/>
      <w:r w:rsidRPr="000B17B1">
        <w:rPr>
          <w:lang w:val="en-US"/>
        </w:rPr>
        <w:t>Achchuthan</w:t>
      </w:r>
      <w:proofErr w:type="spellEnd"/>
      <w:r w:rsidRPr="000B17B1">
        <w:rPr>
          <w:lang w:val="en-US"/>
        </w:rPr>
        <w:t xml:space="preserve">, S., </w:t>
      </w:r>
      <w:proofErr w:type="spellStart"/>
      <w:r w:rsidRPr="000B17B1">
        <w:rPr>
          <w:lang w:val="en-US"/>
        </w:rPr>
        <w:t>Jebarajakirthy</w:t>
      </w:r>
      <w:proofErr w:type="spellEnd"/>
      <w:r w:rsidRPr="000B17B1">
        <w:rPr>
          <w:lang w:val="en-US"/>
        </w:rPr>
        <w:t xml:space="preserve">, C., </w:t>
      </w:r>
      <w:proofErr w:type="spellStart"/>
      <w:r w:rsidRPr="000B17B1">
        <w:rPr>
          <w:lang w:val="en-US"/>
        </w:rPr>
        <w:t>Saha</w:t>
      </w:r>
      <w:proofErr w:type="spellEnd"/>
      <w:r w:rsidRPr="000B17B1">
        <w:rPr>
          <w:lang w:val="en-US"/>
        </w:rPr>
        <w:t xml:space="preserve">, R., Mehta, P., </w:t>
      </w:r>
      <w:proofErr w:type="spellStart"/>
      <w:r w:rsidRPr="000B17B1">
        <w:rPr>
          <w:lang w:val="en-US"/>
        </w:rPr>
        <w:t>Balaji</w:t>
      </w:r>
      <w:proofErr w:type="spellEnd"/>
      <w:r w:rsidRPr="000B17B1">
        <w:rPr>
          <w:lang w:val="en-US"/>
        </w:rPr>
        <w:t xml:space="preserve">, M.S. and </w:t>
      </w:r>
      <w:proofErr w:type="spellStart"/>
      <w:r w:rsidRPr="000B17B1">
        <w:rPr>
          <w:lang w:val="en-US"/>
        </w:rPr>
        <w:t>Maseeh</w:t>
      </w:r>
      <w:proofErr w:type="spellEnd"/>
      <w:r w:rsidRPr="000B17B1">
        <w:rPr>
          <w:lang w:val="en-US"/>
        </w:rPr>
        <w:t xml:space="preserve">, H.I. (2024) ‘Green skepticism: Review and research agenda’, </w:t>
      </w:r>
      <w:r w:rsidRPr="000B17B1">
        <w:rPr>
          <w:i/>
          <w:iCs/>
          <w:lang w:val="en-US"/>
        </w:rPr>
        <w:t>Marketing Intelligence &amp; Planning</w:t>
      </w:r>
      <w:r w:rsidRPr="000B17B1">
        <w:rPr>
          <w:lang w:val="en-US"/>
        </w:rPr>
        <w:t xml:space="preserve">, 42(8), pp. 1541–1580. Available at: </w:t>
      </w:r>
      <w:hyperlink r:id="rId11" w:tgtFrame="_new" w:history="1">
        <w:r w:rsidRPr="000B17B1">
          <w:rPr>
            <w:rStyle w:val="Hyperlink"/>
            <w:lang w:val="en-US"/>
          </w:rPr>
          <w:t>https://doi.org/10.1108/MIP-04-2023-0179</w:t>
        </w:r>
      </w:hyperlink>
      <w:r w:rsidRPr="000B17B1">
        <w:rPr>
          <w:lang w:val="en-US"/>
        </w:rPr>
        <w:t>.</w:t>
      </w:r>
    </w:p>
    <w:p w:rsidR="001B30B5" w:rsidRPr="000B17B1" w:rsidRDefault="001B30B5" w:rsidP="000B17B1">
      <w:pPr>
        <w:rPr>
          <w:lang w:val="en-US"/>
        </w:rPr>
      </w:pPr>
      <w:proofErr w:type="spellStart"/>
      <w:r w:rsidRPr="000B17B1">
        <w:rPr>
          <w:lang w:val="en-US"/>
        </w:rPr>
        <w:t>Alyahia</w:t>
      </w:r>
      <w:proofErr w:type="spellEnd"/>
      <w:r w:rsidRPr="000B17B1">
        <w:rPr>
          <w:lang w:val="en-US"/>
        </w:rPr>
        <w:t xml:space="preserve">, M., </w:t>
      </w:r>
      <w:proofErr w:type="spellStart"/>
      <w:r w:rsidRPr="000B17B1">
        <w:rPr>
          <w:lang w:val="en-US"/>
        </w:rPr>
        <w:t>Azazz</w:t>
      </w:r>
      <w:proofErr w:type="spellEnd"/>
      <w:r w:rsidRPr="000B17B1">
        <w:rPr>
          <w:lang w:val="en-US"/>
        </w:rPr>
        <w:t xml:space="preserve">, A.M.S., Fayyad, S., </w:t>
      </w:r>
      <w:proofErr w:type="spellStart"/>
      <w:r w:rsidRPr="000B17B1">
        <w:rPr>
          <w:lang w:val="en-US"/>
        </w:rPr>
        <w:t>Elshaer</w:t>
      </w:r>
      <w:proofErr w:type="spellEnd"/>
      <w:r w:rsidRPr="000B17B1">
        <w:rPr>
          <w:lang w:val="en-US"/>
        </w:rPr>
        <w:t xml:space="preserve">, I.A. and Mohammad, A. (2024) ‘Greenwashing behavior in hotels industry: The role of green transparency and green authenticity’, </w:t>
      </w:r>
      <w:r w:rsidRPr="000B17B1">
        <w:rPr>
          <w:i/>
          <w:iCs/>
          <w:lang w:val="en-US"/>
        </w:rPr>
        <w:t>Sustainability</w:t>
      </w:r>
      <w:r w:rsidRPr="000B17B1">
        <w:rPr>
          <w:lang w:val="en-US"/>
        </w:rPr>
        <w:t xml:space="preserve">, 16(3), p. 1050. Available at: </w:t>
      </w:r>
      <w:hyperlink r:id="rId12" w:tgtFrame="_new" w:history="1">
        <w:r w:rsidRPr="000B17B1">
          <w:rPr>
            <w:rStyle w:val="Hyperlink"/>
            <w:lang w:val="en-US"/>
          </w:rPr>
          <w:t>https://doi.org/10.3390/su16031050</w:t>
        </w:r>
      </w:hyperlink>
      <w:r w:rsidRPr="000B17B1">
        <w:rPr>
          <w:lang w:val="en-US"/>
        </w:rPr>
        <w:t>.</w:t>
      </w:r>
    </w:p>
    <w:p w:rsidR="001B30B5" w:rsidRPr="000B17B1" w:rsidRDefault="001B30B5" w:rsidP="000B17B1">
      <w:pPr>
        <w:rPr>
          <w:lang w:val="en-US"/>
        </w:rPr>
      </w:pPr>
      <w:r w:rsidRPr="000B17B1">
        <w:rPr>
          <w:lang w:val="en-US"/>
        </w:rPr>
        <w:t xml:space="preserve">Badhwar, A., Islam, S., Tan, C.S.L., </w:t>
      </w:r>
      <w:proofErr w:type="spellStart"/>
      <w:r w:rsidRPr="000B17B1">
        <w:rPr>
          <w:lang w:val="en-US"/>
        </w:rPr>
        <w:t>Panwar</w:t>
      </w:r>
      <w:proofErr w:type="spellEnd"/>
      <w:r w:rsidRPr="000B17B1">
        <w:rPr>
          <w:lang w:val="en-US"/>
        </w:rPr>
        <w:t xml:space="preserve">, T., </w:t>
      </w:r>
      <w:proofErr w:type="spellStart"/>
      <w:r w:rsidRPr="000B17B1">
        <w:rPr>
          <w:lang w:val="en-US"/>
        </w:rPr>
        <w:t>Wigley</w:t>
      </w:r>
      <w:proofErr w:type="spellEnd"/>
      <w:r w:rsidRPr="000B17B1">
        <w:rPr>
          <w:lang w:val="en-US"/>
        </w:rPr>
        <w:t xml:space="preserve">, S.M. and </w:t>
      </w:r>
      <w:proofErr w:type="spellStart"/>
      <w:r w:rsidRPr="000B17B1">
        <w:rPr>
          <w:lang w:val="en-US"/>
        </w:rPr>
        <w:t>Nayak</w:t>
      </w:r>
      <w:proofErr w:type="spellEnd"/>
      <w:r w:rsidRPr="000B17B1">
        <w:rPr>
          <w:lang w:val="en-US"/>
        </w:rPr>
        <w:t xml:space="preserve">, R. (2024) ‘Unraveling green marketing and greenwashing: A systematic review in the context of the fashion and textiles industry’, </w:t>
      </w:r>
      <w:r w:rsidRPr="000B17B1">
        <w:rPr>
          <w:i/>
          <w:iCs/>
          <w:lang w:val="en-US"/>
        </w:rPr>
        <w:t>Sustainability</w:t>
      </w:r>
      <w:r w:rsidRPr="000B17B1">
        <w:rPr>
          <w:lang w:val="en-US"/>
        </w:rPr>
        <w:t xml:space="preserve">, 16(7), p. 2738. Available at: </w:t>
      </w:r>
      <w:hyperlink r:id="rId13" w:tgtFrame="_new" w:history="1">
        <w:r w:rsidRPr="000B17B1">
          <w:rPr>
            <w:rStyle w:val="Hyperlink"/>
            <w:lang w:val="en-US"/>
          </w:rPr>
          <w:t>https://doi.org/10.3390/su16072738</w:t>
        </w:r>
      </w:hyperlink>
      <w:r w:rsidRPr="000B17B1">
        <w:rPr>
          <w:lang w:val="en-US"/>
        </w:rPr>
        <w:t>.</w:t>
      </w:r>
    </w:p>
    <w:p w:rsidR="001B30B5" w:rsidRPr="000B17B1" w:rsidRDefault="001B30B5" w:rsidP="000B17B1">
      <w:pPr>
        <w:rPr>
          <w:lang w:val="en-US"/>
        </w:rPr>
      </w:pPr>
      <w:proofErr w:type="spellStart"/>
      <w:r w:rsidRPr="000B17B1">
        <w:rPr>
          <w:lang w:val="en-US"/>
        </w:rPr>
        <w:t>Baruah</w:t>
      </w:r>
      <w:proofErr w:type="spellEnd"/>
      <w:r w:rsidRPr="000B17B1">
        <w:rPr>
          <w:lang w:val="en-US"/>
        </w:rPr>
        <w:t xml:space="preserve">, A. and Das, B.M. (2024) ‘A study on consumer awareness towards green FMCG products in the food and beverage categories with special reference to </w:t>
      </w:r>
      <w:proofErr w:type="spellStart"/>
      <w:r w:rsidRPr="000B17B1">
        <w:rPr>
          <w:lang w:val="en-US"/>
        </w:rPr>
        <w:t>Kamrup</w:t>
      </w:r>
      <w:proofErr w:type="spellEnd"/>
      <w:r w:rsidRPr="000B17B1">
        <w:rPr>
          <w:lang w:val="en-US"/>
        </w:rPr>
        <w:t xml:space="preserve"> Metropolitan, Assam’, </w:t>
      </w:r>
      <w:r w:rsidRPr="000B17B1">
        <w:rPr>
          <w:i/>
          <w:iCs/>
          <w:lang w:val="en-US"/>
        </w:rPr>
        <w:t>Educational Administration: Theory and Practice</w:t>
      </w:r>
      <w:r w:rsidRPr="000B17B1">
        <w:rPr>
          <w:lang w:val="en-US"/>
        </w:rPr>
        <w:t xml:space="preserve">. Available at: </w:t>
      </w:r>
      <w:hyperlink r:id="rId14" w:tgtFrame="_new" w:history="1">
        <w:r w:rsidRPr="000B17B1">
          <w:rPr>
            <w:rStyle w:val="Hyperlink"/>
            <w:lang w:val="en-US"/>
          </w:rPr>
          <w:t>https://doi.org/10.53555/kuey.v30i4.2328</w:t>
        </w:r>
      </w:hyperlink>
      <w:r w:rsidRPr="000B17B1">
        <w:rPr>
          <w:lang w:val="en-US"/>
        </w:rPr>
        <w:t>.</w:t>
      </w:r>
    </w:p>
    <w:p w:rsidR="001B30B5" w:rsidRPr="004C2934" w:rsidRDefault="001B30B5" w:rsidP="004C2934">
      <w:r w:rsidRPr="004C2934">
        <w:t xml:space="preserve">Bryman, A. (2016) </w:t>
      </w:r>
      <w:r w:rsidRPr="004C2934">
        <w:rPr>
          <w:i/>
          <w:iCs/>
        </w:rPr>
        <w:t>Social Research Methods</w:t>
      </w:r>
      <w:r w:rsidRPr="004C2934">
        <w:t xml:space="preserve">. 5th </w:t>
      </w:r>
      <w:proofErr w:type="spellStart"/>
      <w:r w:rsidRPr="004C2934">
        <w:t>edn</w:t>
      </w:r>
      <w:proofErr w:type="spellEnd"/>
      <w:r w:rsidRPr="004C2934">
        <w:t>. Oxford: Oxford University Press.</w:t>
      </w:r>
    </w:p>
    <w:p w:rsidR="001B30B5" w:rsidRPr="00BD4F70" w:rsidRDefault="001B30B5" w:rsidP="00BD4F70">
      <w:r w:rsidRPr="00BD4F70">
        <w:t xml:space="preserve">Chen, Y.S. and Chang, C.H. (2012) ‘Enhance green purchase intentions: The roles of green perceived value, green perceived risk, and green trust’, </w:t>
      </w:r>
      <w:r w:rsidRPr="00BD4F70">
        <w:rPr>
          <w:i/>
          <w:iCs/>
        </w:rPr>
        <w:t>Management Decision</w:t>
      </w:r>
      <w:r w:rsidRPr="00BD4F70">
        <w:t xml:space="preserve">, 50(3), pp. 502–520. </w:t>
      </w:r>
      <w:hyperlink r:id="rId15" w:tgtFrame="_new" w:history="1">
        <w:r w:rsidRPr="00BD4F70">
          <w:rPr>
            <w:rStyle w:val="Hyperlink"/>
          </w:rPr>
          <w:t>https://doi.org/10.1108/00251741211216250</w:t>
        </w:r>
      </w:hyperlink>
      <w:r w:rsidRPr="00BD4F70">
        <w:t>.</w:t>
      </w:r>
    </w:p>
    <w:p w:rsidR="001B30B5" w:rsidRPr="00210A51" w:rsidRDefault="001B30B5" w:rsidP="00210A51">
      <w:r w:rsidRPr="00210A51">
        <w:t xml:space="preserve">Connelly, B.L., </w:t>
      </w:r>
      <w:proofErr w:type="spellStart"/>
      <w:r w:rsidRPr="00210A51">
        <w:t>Certo</w:t>
      </w:r>
      <w:proofErr w:type="spellEnd"/>
      <w:r w:rsidRPr="00210A51">
        <w:t xml:space="preserve">, S.T., Ireland, R.D. and </w:t>
      </w:r>
      <w:proofErr w:type="spellStart"/>
      <w:r w:rsidRPr="00210A51">
        <w:t>Reutzel</w:t>
      </w:r>
      <w:proofErr w:type="spellEnd"/>
      <w:r w:rsidRPr="00210A51">
        <w:t>, C.R. (2011) ‘</w:t>
      </w:r>
      <w:proofErr w:type="spellStart"/>
      <w:r w:rsidRPr="00210A51">
        <w:t>Signaling</w:t>
      </w:r>
      <w:proofErr w:type="spellEnd"/>
      <w:r w:rsidRPr="00210A51">
        <w:t xml:space="preserve"> theory: A review and assessment’, </w:t>
      </w:r>
      <w:r w:rsidRPr="00210A51">
        <w:rPr>
          <w:i/>
          <w:iCs/>
        </w:rPr>
        <w:t>Journal of Management</w:t>
      </w:r>
      <w:r w:rsidRPr="00210A51">
        <w:t xml:space="preserve">, 37(1), pp. 39–67. </w:t>
      </w:r>
      <w:hyperlink r:id="rId16" w:tgtFrame="_new" w:history="1">
        <w:r w:rsidRPr="00210A51">
          <w:rPr>
            <w:rStyle w:val="Hyperlink"/>
          </w:rPr>
          <w:t>https://doi.org/10.1177/0149206310388419</w:t>
        </w:r>
      </w:hyperlink>
    </w:p>
    <w:p w:rsidR="001B30B5" w:rsidRPr="004C2934" w:rsidRDefault="001B30B5" w:rsidP="004C2934">
      <w:r w:rsidRPr="004C2934">
        <w:t xml:space="preserve">Creswell, J.W. and Creswell, J.D. (2023) </w:t>
      </w:r>
      <w:r w:rsidRPr="004C2934">
        <w:rPr>
          <w:i/>
          <w:iCs/>
        </w:rPr>
        <w:t>Research Design: Qualitative, Quantitative, and Mixed Methods Approaches</w:t>
      </w:r>
      <w:r w:rsidRPr="004C2934">
        <w:t xml:space="preserve">. 6th </w:t>
      </w:r>
      <w:proofErr w:type="spellStart"/>
      <w:r w:rsidRPr="004C2934">
        <w:t>edn</w:t>
      </w:r>
      <w:proofErr w:type="spellEnd"/>
      <w:r w:rsidRPr="004C2934">
        <w:t>. Thousand Oaks, CA: SAGE Publications.</w:t>
      </w:r>
    </w:p>
    <w:p w:rsidR="001B30B5" w:rsidRPr="000B17B1" w:rsidRDefault="001B30B5" w:rsidP="000B17B1">
      <w:pPr>
        <w:rPr>
          <w:lang w:val="en-US"/>
        </w:rPr>
      </w:pPr>
      <w:r w:rsidRPr="000B17B1">
        <w:rPr>
          <w:lang w:val="en-US"/>
        </w:rPr>
        <w:t xml:space="preserve">Cutinha, Z.P. and </w:t>
      </w:r>
      <w:proofErr w:type="spellStart"/>
      <w:r w:rsidRPr="000B17B1">
        <w:rPr>
          <w:lang w:val="en-US"/>
        </w:rPr>
        <w:t>Mokshagundam</w:t>
      </w:r>
      <w:proofErr w:type="spellEnd"/>
      <w:r w:rsidRPr="000B17B1">
        <w:rPr>
          <w:lang w:val="en-US"/>
        </w:rPr>
        <w:t xml:space="preserve">, S.S. (2024) ‘Sustainability practices in e-commerce: Opportunities and challenges for digital marketers’, </w:t>
      </w:r>
      <w:r w:rsidRPr="000B17B1">
        <w:rPr>
          <w:i/>
          <w:iCs/>
          <w:lang w:val="en-US"/>
        </w:rPr>
        <w:t xml:space="preserve">International Journal of Research </w:t>
      </w:r>
      <w:r w:rsidRPr="000B17B1">
        <w:rPr>
          <w:i/>
          <w:iCs/>
          <w:lang w:val="en-US"/>
        </w:rPr>
        <w:lastRenderedPageBreak/>
        <w:t>Publication and Reviews</w:t>
      </w:r>
      <w:r w:rsidRPr="000B17B1">
        <w:rPr>
          <w:lang w:val="en-US"/>
        </w:rPr>
        <w:t xml:space="preserve">, 5(2), pp. 1068–1075. Available at: </w:t>
      </w:r>
      <w:hyperlink r:id="rId17" w:tgtFrame="_new" w:history="1">
        <w:r w:rsidRPr="000B17B1">
          <w:rPr>
            <w:rStyle w:val="Hyperlink"/>
            <w:lang w:val="en-US"/>
          </w:rPr>
          <w:t>https://doi.org/10.55248/gengpi.5.0224.0435</w:t>
        </w:r>
      </w:hyperlink>
      <w:r w:rsidRPr="000B17B1">
        <w:rPr>
          <w:lang w:val="en-US"/>
        </w:rPr>
        <w:t>.</w:t>
      </w:r>
    </w:p>
    <w:p w:rsidR="001B30B5" w:rsidRPr="00210A51" w:rsidRDefault="001B30B5" w:rsidP="00210A51">
      <w:r w:rsidRPr="00210A51">
        <w:t xml:space="preserve">de Freitas </w:t>
      </w:r>
      <w:proofErr w:type="spellStart"/>
      <w:r w:rsidRPr="00210A51">
        <w:t>Netto</w:t>
      </w:r>
      <w:proofErr w:type="spellEnd"/>
      <w:r w:rsidRPr="00210A51">
        <w:t xml:space="preserve">, S.V., </w:t>
      </w:r>
      <w:proofErr w:type="spellStart"/>
      <w:r w:rsidRPr="00210A51">
        <w:t>Sobral</w:t>
      </w:r>
      <w:proofErr w:type="spellEnd"/>
      <w:r w:rsidRPr="00210A51">
        <w:t xml:space="preserve">, M.F.F., Ribeiro, A.R.B. and </w:t>
      </w:r>
      <w:proofErr w:type="spellStart"/>
      <w:r w:rsidRPr="00210A51">
        <w:t>Soares</w:t>
      </w:r>
      <w:proofErr w:type="spellEnd"/>
      <w:r w:rsidRPr="00210A51">
        <w:t xml:space="preserve">, G.R.L. (2020) ‘Concepts and forms of greenwashing: A systematic review’, </w:t>
      </w:r>
      <w:r w:rsidRPr="00210A51">
        <w:rPr>
          <w:i/>
          <w:iCs/>
        </w:rPr>
        <w:t>Environmental Sciences Europe</w:t>
      </w:r>
      <w:r w:rsidRPr="00210A51">
        <w:t xml:space="preserve">, 32(1), pp. 1–12. </w:t>
      </w:r>
      <w:hyperlink r:id="rId18" w:tgtFrame="_new" w:history="1">
        <w:r w:rsidRPr="00210A51">
          <w:rPr>
            <w:rStyle w:val="Hyperlink"/>
          </w:rPr>
          <w:t>https://doi.org/10.1186/s12302-020-0300-3</w:t>
        </w:r>
      </w:hyperlink>
    </w:p>
    <w:p w:rsidR="001B30B5" w:rsidRPr="00BD4F70" w:rsidRDefault="001B30B5" w:rsidP="00BD4F70">
      <w:r w:rsidRPr="00BD4F70">
        <w:t xml:space="preserve">de Freitas </w:t>
      </w:r>
      <w:proofErr w:type="spellStart"/>
      <w:r w:rsidRPr="00BD4F70">
        <w:t>Netto</w:t>
      </w:r>
      <w:proofErr w:type="spellEnd"/>
      <w:r w:rsidRPr="00BD4F70">
        <w:t xml:space="preserve">, S.V., </w:t>
      </w:r>
      <w:proofErr w:type="spellStart"/>
      <w:r w:rsidRPr="00BD4F70">
        <w:t>Sobral</w:t>
      </w:r>
      <w:proofErr w:type="spellEnd"/>
      <w:r w:rsidRPr="00BD4F70">
        <w:t xml:space="preserve">, M.F.F., Ribeiro, A.R.B. and </w:t>
      </w:r>
      <w:proofErr w:type="spellStart"/>
      <w:r w:rsidRPr="00BD4F70">
        <w:t>Soares</w:t>
      </w:r>
      <w:proofErr w:type="spellEnd"/>
      <w:r w:rsidRPr="00BD4F70">
        <w:t xml:space="preserve">, G.R.L. (2020) ‘Concepts and forms of greenwashing: A systematic review’, </w:t>
      </w:r>
      <w:r w:rsidRPr="00BD4F70">
        <w:rPr>
          <w:i/>
          <w:iCs/>
        </w:rPr>
        <w:t>Environmental Sciences Europe</w:t>
      </w:r>
      <w:r w:rsidRPr="00BD4F70">
        <w:t xml:space="preserve">, 32, article 19. </w:t>
      </w:r>
      <w:hyperlink r:id="rId19" w:tgtFrame="_new" w:history="1">
        <w:r w:rsidRPr="00BD4F70">
          <w:rPr>
            <w:rStyle w:val="Hyperlink"/>
          </w:rPr>
          <w:t>https://doi.org/10.1186/s12302-020-0300-3</w:t>
        </w:r>
      </w:hyperlink>
      <w:r w:rsidRPr="00BD4F70">
        <w:t>.</w:t>
      </w:r>
    </w:p>
    <w:p w:rsidR="001B30B5" w:rsidRPr="000B17B1" w:rsidRDefault="001B30B5" w:rsidP="000B17B1">
      <w:pPr>
        <w:rPr>
          <w:lang w:val="en-US"/>
        </w:rPr>
      </w:pPr>
      <w:r w:rsidRPr="00DF198C">
        <w:t xml:space="preserve">Din, S.U., </w:t>
      </w:r>
      <w:proofErr w:type="spellStart"/>
      <w:r w:rsidRPr="00DF198C">
        <w:t>Wimalasiri</w:t>
      </w:r>
      <w:proofErr w:type="spellEnd"/>
      <w:r w:rsidRPr="00DF198C">
        <w:t xml:space="preserve">, R., Ehsan, M., </w:t>
      </w:r>
      <w:proofErr w:type="spellStart"/>
      <w:r w:rsidRPr="00DF198C">
        <w:t>Xue</w:t>
      </w:r>
      <w:proofErr w:type="spellEnd"/>
      <w:r w:rsidRPr="00DF198C">
        <w:t xml:space="preserve">, L., Ning, F., </w:t>
      </w:r>
      <w:proofErr w:type="spellStart"/>
      <w:r w:rsidRPr="00DF198C">
        <w:t>Guo</w:t>
      </w:r>
      <w:proofErr w:type="spellEnd"/>
      <w:r w:rsidRPr="00DF198C">
        <w:t xml:space="preserve">, D., </w:t>
      </w:r>
      <w:proofErr w:type="spellStart"/>
      <w:r w:rsidRPr="00DF198C">
        <w:t>Manzoor</w:t>
      </w:r>
      <w:proofErr w:type="spellEnd"/>
      <w:r w:rsidRPr="00DF198C">
        <w:t>, Z., Abu-</w:t>
      </w:r>
      <w:proofErr w:type="spellStart"/>
      <w:r w:rsidRPr="00DF198C">
        <w:t>Alam</w:t>
      </w:r>
      <w:proofErr w:type="spellEnd"/>
      <w:r w:rsidRPr="00DF198C">
        <w:t xml:space="preserve">, T. and </w:t>
      </w:r>
      <w:proofErr w:type="spellStart"/>
      <w:r w:rsidRPr="00DF198C">
        <w:t>Abioui</w:t>
      </w:r>
      <w:proofErr w:type="spellEnd"/>
      <w:r w:rsidRPr="00DF198C">
        <w:t xml:space="preserve">, M. (2023) ‘Assessing public perception and willingness to pay for renewable energy in Pakistan through the theory of planned behavior’, </w:t>
      </w:r>
      <w:r w:rsidRPr="00DF198C">
        <w:rPr>
          <w:i/>
          <w:iCs/>
        </w:rPr>
        <w:t>Frontiers in Energy Research</w:t>
      </w:r>
      <w:r w:rsidRPr="00DF198C">
        <w:t xml:space="preserve">, 11. Available at: </w:t>
      </w:r>
      <w:hyperlink r:id="rId20" w:tgtFrame="_new" w:history="1">
        <w:r w:rsidRPr="00DF198C">
          <w:rPr>
            <w:rStyle w:val="Hyperlink"/>
          </w:rPr>
          <w:t>https://doi.org/10.3389/fenrg.2023.1088297</w:t>
        </w:r>
      </w:hyperlink>
      <w:r w:rsidRPr="00DF198C">
        <w:t>.</w:t>
      </w:r>
    </w:p>
    <w:p w:rsidR="001B30B5" w:rsidRPr="001B30B5" w:rsidRDefault="001B30B5" w:rsidP="001B30B5">
      <w:pPr>
        <w:rPr>
          <w:lang w:val="en-US"/>
        </w:rPr>
      </w:pPr>
      <w:r w:rsidRPr="001B30B5">
        <w:rPr>
          <w:lang w:val="en-US"/>
        </w:rPr>
        <w:t xml:space="preserve">Fu, Y. (2021) ‘Live streaming commerce: A review and prospects’, </w:t>
      </w:r>
      <w:r w:rsidRPr="001B30B5">
        <w:rPr>
          <w:i/>
          <w:iCs/>
          <w:lang w:val="en-US"/>
        </w:rPr>
        <w:t>Advances in Social Science, Education and Humanities Research</w:t>
      </w:r>
      <w:r w:rsidRPr="001B30B5">
        <w:rPr>
          <w:lang w:val="en-US"/>
        </w:rPr>
        <w:t xml:space="preserve">, 203. Available at: </w:t>
      </w:r>
      <w:hyperlink r:id="rId21" w:tgtFrame="_new" w:history="1">
        <w:r w:rsidRPr="001B30B5">
          <w:rPr>
            <w:rStyle w:val="Hyperlink"/>
            <w:lang w:val="en-US"/>
          </w:rPr>
          <w:t>https://doi.org/10.2991/assehr.k.211209.414</w:t>
        </w:r>
      </w:hyperlink>
      <w:r w:rsidRPr="001B30B5">
        <w:rPr>
          <w:lang w:val="en-US"/>
        </w:rPr>
        <w:t>.</w:t>
      </w:r>
    </w:p>
    <w:p w:rsidR="001B30B5" w:rsidRPr="00BD4F70" w:rsidRDefault="001B30B5" w:rsidP="00BD4F70">
      <w:proofErr w:type="spellStart"/>
      <w:r w:rsidRPr="00BD4F70">
        <w:t>García-Salirrosas</w:t>
      </w:r>
      <w:proofErr w:type="spellEnd"/>
      <w:r w:rsidRPr="00BD4F70">
        <w:t xml:space="preserve">, E.E. and </w:t>
      </w:r>
      <w:proofErr w:type="spellStart"/>
      <w:r w:rsidRPr="00BD4F70">
        <w:t>Rondon-Eusebio</w:t>
      </w:r>
      <w:proofErr w:type="spellEnd"/>
      <w:r w:rsidRPr="00BD4F70">
        <w:t xml:space="preserve">, R.F. (2022) ‘Green marketing practices related to key variables of consumer purchasing behaviour’, </w:t>
      </w:r>
      <w:r w:rsidRPr="00BD4F70">
        <w:rPr>
          <w:i/>
          <w:iCs/>
        </w:rPr>
        <w:t>Sustainability</w:t>
      </w:r>
      <w:r w:rsidRPr="00BD4F70">
        <w:t xml:space="preserve">, 14(14), article 8499. </w:t>
      </w:r>
      <w:hyperlink r:id="rId22" w:tgtFrame="_new" w:history="1">
        <w:r w:rsidRPr="00BD4F70">
          <w:rPr>
            <w:rStyle w:val="Hyperlink"/>
          </w:rPr>
          <w:t>https://doi.org/10.3390/su14148499</w:t>
        </w:r>
      </w:hyperlink>
      <w:r w:rsidRPr="00BD4F70">
        <w:t>.</w:t>
      </w:r>
    </w:p>
    <w:p w:rsidR="001B30B5" w:rsidRPr="001B30B5" w:rsidRDefault="001B30B5" w:rsidP="001B30B5">
      <w:pPr>
        <w:rPr>
          <w:lang w:val="en-US"/>
        </w:rPr>
      </w:pPr>
      <w:r w:rsidRPr="001B30B5">
        <w:rPr>
          <w:lang w:val="en-US"/>
        </w:rPr>
        <w:t xml:space="preserve">Han, X., Xiao, J. and Dong, M. (2023) ‘The carbon emission reduction effect of green finance development’, </w:t>
      </w:r>
      <w:r w:rsidRPr="001B30B5">
        <w:rPr>
          <w:i/>
          <w:iCs/>
          <w:lang w:val="en-US"/>
        </w:rPr>
        <w:t>Resources Science</w:t>
      </w:r>
      <w:r w:rsidRPr="001B30B5">
        <w:rPr>
          <w:lang w:val="en-US"/>
        </w:rPr>
        <w:t xml:space="preserve">, 45(4), pp. 843–856. Available at: </w:t>
      </w:r>
      <w:hyperlink r:id="rId23" w:tgtFrame="_new" w:history="1">
        <w:r w:rsidRPr="001B30B5">
          <w:rPr>
            <w:rStyle w:val="Hyperlink"/>
            <w:lang w:val="en-US"/>
          </w:rPr>
          <w:t>https://doi.org/10.18402/resci.2023.04.13</w:t>
        </w:r>
      </w:hyperlink>
      <w:r w:rsidRPr="001B30B5">
        <w:rPr>
          <w:lang w:val="en-US"/>
        </w:rPr>
        <w:t>.</w:t>
      </w:r>
    </w:p>
    <w:p w:rsidR="001B30B5" w:rsidRPr="004C2934" w:rsidRDefault="001B30B5" w:rsidP="004C2934">
      <w:r w:rsidRPr="004C2934">
        <w:t xml:space="preserve">Hayes, A.F. (2022) </w:t>
      </w:r>
      <w:r w:rsidRPr="004C2934">
        <w:rPr>
          <w:i/>
          <w:iCs/>
        </w:rPr>
        <w:t>Introduction to Mediation, Moderation, and Conditional Process Analysis: A Regression-Based Approach</w:t>
      </w:r>
      <w:r w:rsidRPr="004C2934">
        <w:t xml:space="preserve">. 3rd </w:t>
      </w:r>
      <w:proofErr w:type="spellStart"/>
      <w:r w:rsidRPr="004C2934">
        <w:t>edn</w:t>
      </w:r>
      <w:proofErr w:type="spellEnd"/>
      <w:r w:rsidRPr="004C2934">
        <w:t>. New York: Guilford Press.</w:t>
      </w:r>
    </w:p>
    <w:p w:rsidR="001B30B5" w:rsidRPr="000B17B1" w:rsidRDefault="001B30B5" w:rsidP="000B17B1">
      <w:pPr>
        <w:rPr>
          <w:lang w:val="en-US"/>
        </w:rPr>
      </w:pPr>
      <w:r w:rsidRPr="000B17B1">
        <w:rPr>
          <w:lang w:val="en-US"/>
        </w:rPr>
        <w:t xml:space="preserve">Hossen, S. and Amin, R.O.M.R. (2024) ‘Consumer perceptions and purchasing trends of eco-friendly textile products in the U.S. market’, </w:t>
      </w:r>
      <w:r w:rsidRPr="000B17B1">
        <w:rPr>
          <w:i/>
          <w:iCs/>
          <w:lang w:val="en-US"/>
        </w:rPr>
        <w:t>Global Management Journal</w:t>
      </w:r>
      <w:r w:rsidRPr="000B17B1">
        <w:rPr>
          <w:lang w:val="en-US"/>
        </w:rPr>
        <w:t xml:space="preserve">, 1(2), pp. 20–32. Available at: </w:t>
      </w:r>
      <w:hyperlink r:id="rId24" w:tgtFrame="_new" w:history="1">
        <w:r w:rsidRPr="000B17B1">
          <w:rPr>
            <w:rStyle w:val="Hyperlink"/>
            <w:lang w:val="en-US"/>
          </w:rPr>
          <w:t>https://doi.org/10.62304/ijbm.v1i2.145</w:t>
        </w:r>
      </w:hyperlink>
      <w:r w:rsidRPr="000B17B1">
        <w:rPr>
          <w:lang w:val="en-US"/>
        </w:rPr>
        <w:t>.</w:t>
      </w:r>
    </w:p>
    <w:p w:rsidR="001B30B5" w:rsidRPr="001B30B5" w:rsidRDefault="001B30B5" w:rsidP="001B30B5">
      <w:pPr>
        <w:rPr>
          <w:lang w:val="en-US"/>
        </w:rPr>
      </w:pPr>
      <w:r w:rsidRPr="001B30B5">
        <w:rPr>
          <w:lang w:val="en-US"/>
        </w:rPr>
        <w:t xml:space="preserve">Huang, H., Huang, H., Xiao, Y. and Xiang, X. (2024) ‘Industrial structure upgrading, government’s attention to ecological environment and the efficiency of green innovation: Evidence from 115 resource-based cities in China’, </w:t>
      </w:r>
      <w:r w:rsidRPr="001B30B5">
        <w:rPr>
          <w:i/>
          <w:iCs/>
          <w:lang w:val="en-US"/>
        </w:rPr>
        <w:t>Journal of Natural Resources</w:t>
      </w:r>
      <w:r w:rsidRPr="001B30B5">
        <w:rPr>
          <w:lang w:val="en-US"/>
        </w:rPr>
        <w:t xml:space="preserve">, 39(1), p. 104. Available at: </w:t>
      </w:r>
      <w:hyperlink r:id="rId25" w:tgtFrame="_new" w:history="1">
        <w:r w:rsidRPr="001B30B5">
          <w:rPr>
            <w:rStyle w:val="Hyperlink"/>
            <w:lang w:val="en-US"/>
          </w:rPr>
          <w:t>https://doi.org/10.31497/zrzyxb.20240106</w:t>
        </w:r>
      </w:hyperlink>
      <w:r w:rsidRPr="001B30B5">
        <w:rPr>
          <w:lang w:val="en-US"/>
        </w:rPr>
        <w:t>.</w:t>
      </w:r>
    </w:p>
    <w:p w:rsidR="001B30B5" w:rsidRPr="00210A51" w:rsidRDefault="001B30B5" w:rsidP="00210A51">
      <w:r w:rsidRPr="00210A51">
        <w:lastRenderedPageBreak/>
        <w:t xml:space="preserve">Joshi, Y. and Rahman, Z. (2015) ‘Factors affecting green purchase behaviour and future research directions’, </w:t>
      </w:r>
      <w:r w:rsidRPr="00210A51">
        <w:rPr>
          <w:i/>
          <w:iCs/>
        </w:rPr>
        <w:t>International Strategic Management Review</w:t>
      </w:r>
      <w:r w:rsidRPr="00210A51">
        <w:t xml:space="preserve">, 3(1–2), pp. 128–143. </w:t>
      </w:r>
      <w:hyperlink r:id="rId26" w:tgtFrame="_new" w:history="1">
        <w:r w:rsidRPr="00210A51">
          <w:rPr>
            <w:rStyle w:val="Hyperlink"/>
          </w:rPr>
          <w:t>https://doi.org/10.1016/j.ism.2015.04.001</w:t>
        </w:r>
      </w:hyperlink>
    </w:p>
    <w:p w:rsidR="001B30B5" w:rsidRPr="000B17B1" w:rsidRDefault="001B30B5" w:rsidP="000B17B1">
      <w:pPr>
        <w:rPr>
          <w:lang w:val="en-US"/>
        </w:rPr>
      </w:pPr>
      <w:r w:rsidRPr="000B17B1">
        <w:rPr>
          <w:lang w:val="en-US"/>
        </w:rPr>
        <w:t xml:space="preserve">Kumar, S. (2021) ‘A study on factors that influence consumers’ decision process towards sustainable products in a retail store environment’. Available at: </w:t>
      </w:r>
      <w:hyperlink r:id="rId27" w:tgtFrame="_new" w:history="1">
        <w:r w:rsidRPr="000B17B1">
          <w:rPr>
            <w:rStyle w:val="Hyperlink"/>
            <w:lang w:val="en-US"/>
          </w:rPr>
          <w:t>https://doi.org/10.33422/4th.icmrss.2021.07.850</w:t>
        </w:r>
      </w:hyperlink>
      <w:r w:rsidRPr="000B17B1">
        <w:rPr>
          <w:lang w:val="en-US"/>
        </w:rPr>
        <w:t>.</w:t>
      </w:r>
    </w:p>
    <w:p w:rsidR="001B30B5" w:rsidRPr="001B30B5" w:rsidRDefault="001B30B5" w:rsidP="001B30B5">
      <w:pPr>
        <w:rPr>
          <w:lang w:val="en-US"/>
        </w:rPr>
      </w:pPr>
      <w:r w:rsidRPr="001B30B5">
        <w:rPr>
          <w:lang w:val="en-US"/>
        </w:rPr>
        <w:t xml:space="preserve">Liu, S. and Ma, L. (2023) ‘Impact of green finance on the green transformation of manufacturing enterprises’, </w:t>
      </w:r>
      <w:r w:rsidRPr="001B30B5">
        <w:rPr>
          <w:i/>
          <w:iCs/>
          <w:lang w:val="en-US"/>
        </w:rPr>
        <w:t>Resources Science</w:t>
      </w:r>
      <w:r w:rsidRPr="001B30B5">
        <w:rPr>
          <w:lang w:val="en-US"/>
        </w:rPr>
        <w:t xml:space="preserve">, 45(10), pp. 1992–2008. Available at: </w:t>
      </w:r>
      <w:hyperlink r:id="rId28" w:tgtFrame="_new" w:history="1">
        <w:r w:rsidRPr="001B30B5">
          <w:rPr>
            <w:rStyle w:val="Hyperlink"/>
            <w:lang w:val="en-US"/>
          </w:rPr>
          <w:t>https://doi.org/10.18402/resci.2023.10.06</w:t>
        </w:r>
      </w:hyperlink>
      <w:r w:rsidRPr="001B30B5">
        <w:rPr>
          <w:lang w:val="en-US"/>
        </w:rPr>
        <w:t>.</w:t>
      </w:r>
    </w:p>
    <w:p w:rsidR="001B30B5" w:rsidRDefault="001B30B5" w:rsidP="000B17B1">
      <w:pPr>
        <w:rPr>
          <w:lang w:val="en-US"/>
        </w:rPr>
      </w:pPr>
      <w:r w:rsidRPr="001B30B5">
        <w:rPr>
          <w:lang w:val="en-US"/>
        </w:rPr>
        <w:t xml:space="preserve">Mai, L.T.T., </w:t>
      </w:r>
      <w:proofErr w:type="spellStart"/>
      <w:r w:rsidRPr="001B30B5">
        <w:rPr>
          <w:lang w:val="en-US"/>
        </w:rPr>
        <w:t>Toan</w:t>
      </w:r>
      <w:proofErr w:type="spellEnd"/>
      <w:r w:rsidRPr="001B30B5">
        <w:rPr>
          <w:lang w:val="en-US"/>
        </w:rPr>
        <w:t xml:space="preserve">, N.D. and Thong, V.H. (2026) ‘The pathways from eco-label to green purchase behavior: The roles of eco-label credibility, knowledge, attitude, and trust’, </w:t>
      </w:r>
      <w:r w:rsidRPr="001B30B5">
        <w:rPr>
          <w:i/>
          <w:iCs/>
          <w:lang w:val="en-US"/>
        </w:rPr>
        <w:t>Business Strategy &amp; Development</w:t>
      </w:r>
      <w:r w:rsidRPr="001B30B5">
        <w:rPr>
          <w:lang w:val="en-US"/>
        </w:rPr>
        <w:t xml:space="preserve">, 9(1). Available at: </w:t>
      </w:r>
      <w:hyperlink r:id="rId29" w:tgtFrame="_new" w:history="1">
        <w:r w:rsidRPr="001B30B5">
          <w:rPr>
            <w:rStyle w:val="Hyperlink"/>
            <w:lang w:val="en-US"/>
          </w:rPr>
          <w:t>https://doi.org/10.1002/bsd2.70274</w:t>
        </w:r>
      </w:hyperlink>
      <w:r w:rsidRPr="001B30B5">
        <w:rPr>
          <w:lang w:val="en-US"/>
        </w:rPr>
        <w:t>.</w:t>
      </w:r>
    </w:p>
    <w:p w:rsidR="001B30B5" w:rsidRPr="00A348E5" w:rsidRDefault="001B30B5" w:rsidP="00A348E5">
      <w:r w:rsidRPr="00A348E5">
        <w:t xml:space="preserve">Majeed, M.U., Aslam, S., </w:t>
      </w:r>
      <w:proofErr w:type="spellStart"/>
      <w:r w:rsidRPr="00A348E5">
        <w:t>Murtaza</w:t>
      </w:r>
      <w:proofErr w:type="spellEnd"/>
      <w:r w:rsidRPr="00A348E5">
        <w:t xml:space="preserve">, S.A., Attila, S. and </w:t>
      </w:r>
      <w:proofErr w:type="spellStart"/>
      <w:r w:rsidRPr="00A348E5">
        <w:t>Molnár</w:t>
      </w:r>
      <w:proofErr w:type="spellEnd"/>
      <w:r w:rsidRPr="00A348E5">
        <w:t xml:space="preserve">, E. (2022) ‘Green marketing approaches and their impact on green purchase intentions: Mediating role of green brand image and consumer beliefs towards the environment’, </w:t>
      </w:r>
      <w:r w:rsidRPr="00A348E5">
        <w:rPr>
          <w:i/>
          <w:iCs/>
        </w:rPr>
        <w:t>Sustainability</w:t>
      </w:r>
      <w:r w:rsidRPr="00A348E5">
        <w:t xml:space="preserve">, 14(18), article 11703. Available at: </w:t>
      </w:r>
      <w:hyperlink r:id="rId30" w:tgtFrame="_new" w:history="1">
        <w:r w:rsidRPr="00A348E5">
          <w:rPr>
            <w:rStyle w:val="Hyperlink"/>
          </w:rPr>
          <w:t>https://doi.org/10.3390/su141811703</w:t>
        </w:r>
      </w:hyperlink>
      <w:r w:rsidRPr="00A348E5">
        <w:t>.</w:t>
      </w:r>
    </w:p>
    <w:p w:rsidR="001B30B5" w:rsidRPr="000B17B1" w:rsidRDefault="001B30B5" w:rsidP="000B17B1">
      <w:pPr>
        <w:rPr>
          <w:lang w:val="en-US"/>
        </w:rPr>
      </w:pPr>
      <w:r w:rsidRPr="000B17B1">
        <w:rPr>
          <w:lang w:val="en-US"/>
        </w:rPr>
        <w:t xml:space="preserve">Margariti, K., </w:t>
      </w:r>
      <w:proofErr w:type="spellStart"/>
      <w:r w:rsidRPr="000B17B1">
        <w:rPr>
          <w:lang w:val="en-US"/>
        </w:rPr>
        <w:t>Hatzithomas</w:t>
      </w:r>
      <w:proofErr w:type="spellEnd"/>
      <w:r w:rsidRPr="000B17B1">
        <w:rPr>
          <w:lang w:val="en-US"/>
        </w:rPr>
        <w:t xml:space="preserve">, L. and </w:t>
      </w:r>
      <w:proofErr w:type="spellStart"/>
      <w:r w:rsidRPr="000B17B1">
        <w:rPr>
          <w:lang w:val="en-US"/>
        </w:rPr>
        <w:t>Boutsouki</w:t>
      </w:r>
      <w:proofErr w:type="spellEnd"/>
      <w:r w:rsidRPr="000B17B1">
        <w:rPr>
          <w:lang w:val="en-US"/>
        </w:rPr>
        <w:t xml:space="preserve">, C. (2024) ‘Elucidating the gap between green attitudes, intentions, and behavior through the prism of greenwashing concerns’, </w:t>
      </w:r>
      <w:r w:rsidRPr="000B17B1">
        <w:rPr>
          <w:i/>
          <w:iCs/>
          <w:lang w:val="en-US"/>
        </w:rPr>
        <w:t>Sustainability</w:t>
      </w:r>
      <w:r w:rsidRPr="000B17B1">
        <w:rPr>
          <w:lang w:val="en-US"/>
        </w:rPr>
        <w:t xml:space="preserve">, 16(12), p. 5108. Available at: </w:t>
      </w:r>
      <w:hyperlink r:id="rId31" w:tgtFrame="_new" w:history="1">
        <w:r w:rsidRPr="000B17B1">
          <w:rPr>
            <w:rStyle w:val="Hyperlink"/>
            <w:lang w:val="en-US"/>
          </w:rPr>
          <w:t>https://doi.org/10.3390/su16125108</w:t>
        </w:r>
      </w:hyperlink>
      <w:r w:rsidRPr="000B17B1">
        <w:rPr>
          <w:lang w:val="en-US"/>
        </w:rPr>
        <w:t>.</w:t>
      </w:r>
    </w:p>
    <w:p w:rsidR="001B30B5" w:rsidRDefault="001B30B5" w:rsidP="004C2934">
      <w:r w:rsidRPr="004C2934">
        <w:t xml:space="preserve">Morera, O.F. and Stokes, S.M. (2016) ‘Coefficient α as a measure of test score reliability: Review of three popular misconceptions’, </w:t>
      </w:r>
      <w:r w:rsidRPr="004C2934">
        <w:rPr>
          <w:i/>
          <w:iCs/>
        </w:rPr>
        <w:t>American Journal of Public Health</w:t>
      </w:r>
      <w:r w:rsidRPr="004C2934">
        <w:t xml:space="preserve">, 106(3), pp. 458–461. Available at: </w:t>
      </w:r>
      <w:hyperlink r:id="rId32" w:history="1">
        <w:r w:rsidRPr="00331718">
          <w:rPr>
            <w:rStyle w:val="Hyperlink"/>
          </w:rPr>
          <w:t>https://doi.org/10.2105/AJPH.2015.302993</w:t>
        </w:r>
      </w:hyperlink>
    </w:p>
    <w:p w:rsidR="001B30B5" w:rsidRPr="00A348E5" w:rsidRDefault="001B30B5" w:rsidP="00A348E5">
      <w:r w:rsidRPr="00A348E5">
        <w:t xml:space="preserve">Paul, J., Modi, A. and Patel, J. (2016) ‘Predicting green product consumption using Theory of Planned Behavior and Reasoned Action’, </w:t>
      </w:r>
      <w:r w:rsidRPr="00A348E5">
        <w:rPr>
          <w:i/>
          <w:iCs/>
        </w:rPr>
        <w:t>Journal of Retailing and Consumer Services</w:t>
      </w:r>
      <w:r w:rsidRPr="00A348E5">
        <w:t xml:space="preserve">, 29, pp. 123–134. Available at: </w:t>
      </w:r>
      <w:hyperlink r:id="rId33" w:tgtFrame="_new" w:history="1">
        <w:r w:rsidRPr="00A348E5">
          <w:rPr>
            <w:rStyle w:val="Hyperlink"/>
          </w:rPr>
          <w:t>https://doi.org/10.1016/j.jretconser.2015.11.006</w:t>
        </w:r>
      </w:hyperlink>
      <w:r w:rsidRPr="00A348E5">
        <w:t>.</w:t>
      </w:r>
    </w:p>
    <w:p w:rsidR="001B30B5" w:rsidRPr="00A348E5" w:rsidRDefault="001B30B5" w:rsidP="00A348E5">
      <w:proofErr w:type="spellStart"/>
      <w:r w:rsidRPr="00A348E5">
        <w:t>Persakis</w:t>
      </w:r>
      <w:proofErr w:type="spellEnd"/>
      <w:r w:rsidRPr="00A348E5">
        <w:t xml:space="preserve">, A., </w:t>
      </w:r>
      <w:proofErr w:type="spellStart"/>
      <w:r w:rsidRPr="00A348E5">
        <w:t>Anagnostou</w:t>
      </w:r>
      <w:proofErr w:type="spellEnd"/>
      <w:r w:rsidRPr="00A348E5">
        <w:t xml:space="preserve">, A., </w:t>
      </w:r>
      <w:proofErr w:type="spellStart"/>
      <w:r w:rsidRPr="00A348E5">
        <w:t>Koutsimpogiorgos</w:t>
      </w:r>
      <w:proofErr w:type="spellEnd"/>
      <w:r w:rsidRPr="00A348E5">
        <w:t xml:space="preserve">, N. and </w:t>
      </w:r>
      <w:proofErr w:type="spellStart"/>
      <w:r w:rsidRPr="00A348E5">
        <w:t>Kallieris</w:t>
      </w:r>
      <w:proofErr w:type="spellEnd"/>
      <w:r w:rsidRPr="00A348E5">
        <w:t xml:space="preserve">, I. (2025) ‘Greenwashing in marketing: A systematic literature review and bibliometric analysis’, </w:t>
      </w:r>
      <w:r w:rsidRPr="00A348E5">
        <w:rPr>
          <w:i/>
          <w:iCs/>
        </w:rPr>
        <w:t>Management Review Quarterly</w:t>
      </w:r>
      <w:r w:rsidRPr="00A348E5">
        <w:t xml:space="preserve">. Available at: </w:t>
      </w:r>
      <w:hyperlink r:id="rId34" w:tgtFrame="_new" w:history="1">
        <w:r w:rsidRPr="00A348E5">
          <w:rPr>
            <w:rStyle w:val="Hyperlink"/>
          </w:rPr>
          <w:t>https://doi.org/10.1007/s12208-025-00452-x</w:t>
        </w:r>
      </w:hyperlink>
      <w:r w:rsidRPr="00A348E5">
        <w:t>.</w:t>
      </w:r>
    </w:p>
    <w:p w:rsidR="001B30B5" w:rsidRPr="00210A51" w:rsidRDefault="001B30B5" w:rsidP="00210A51">
      <w:proofErr w:type="spellStart"/>
      <w:r w:rsidRPr="00210A51">
        <w:t>Podsakoff</w:t>
      </w:r>
      <w:proofErr w:type="spellEnd"/>
      <w:r w:rsidRPr="00210A51">
        <w:t xml:space="preserve">, P.M., </w:t>
      </w:r>
      <w:proofErr w:type="spellStart"/>
      <w:r w:rsidRPr="00210A51">
        <w:t>MacKenzie</w:t>
      </w:r>
      <w:proofErr w:type="spellEnd"/>
      <w:r w:rsidRPr="00210A51">
        <w:t xml:space="preserve">, S.B., Lee, J.Y. and </w:t>
      </w:r>
      <w:proofErr w:type="spellStart"/>
      <w:r w:rsidRPr="00210A51">
        <w:t>Podsakoff</w:t>
      </w:r>
      <w:proofErr w:type="spellEnd"/>
      <w:r w:rsidRPr="00210A51">
        <w:t xml:space="preserve">, N.P. (2003) ‘Common method biases in behavioural research: A critical review of the literature and recommended remedies’, </w:t>
      </w:r>
      <w:r w:rsidRPr="00210A51">
        <w:rPr>
          <w:i/>
          <w:iCs/>
        </w:rPr>
        <w:lastRenderedPageBreak/>
        <w:t>Journal of Applied Psychology</w:t>
      </w:r>
      <w:r w:rsidRPr="00210A51">
        <w:t xml:space="preserve">, 88(5), pp. 879–903. </w:t>
      </w:r>
      <w:hyperlink r:id="rId35" w:tgtFrame="_new" w:history="1">
        <w:r w:rsidRPr="00210A51">
          <w:rPr>
            <w:rStyle w:val="Hyperlink"/>
          </w:rPr>
          <w:t>https://doi.org/10.1037/0021-9010.88.5.879</w:t>
        </w:r>
      </w:hyperlink>
    </w:p>
    <w:p w:rsidR="001B30B5" w:rsidRPr="00BD4F70" w:rsidRDefault="001B30B5" w:rsidP="00BD4F70">
      <w:r w:rsidRPr="00BD4F70">
        <w:t xml:space="preserve">Santos, C., Coelho, A. and Marques, A. (2024) ‘A systematic literature review on greenwashing and its relationship to stakeholders: State of the art and future research agenda’, </w:t>
      </w:r>
      <w:r w:rsidRPr="00BD4F70">
        <w:rPr>
          <w:i/>
          <w:iCs/>
        </w:rPr>
        <w:t>Management Review Quarterly</w:t>
      </w:r>
      <w:r w:rsidRPr="00BD4F70">
        <w:t xml:space="preserve">, 74, pp. 1397–1421. </w:t>
      </w:r>
      <w:hyperlink r:id="rId36" w:tgtFrame="_new" w:history="1">
        <w:r w:rsidRPr="00BD4F70">
          <w:rPr>
            <w:rStyle w:val="Hyperlink"/>
          </w:rPr>
          <w:t>https://doi.org/10.1007/s11301-023-00337-5</w:t>
        </w:r>
      </w:hyperlink>
      <w:r w:rsidRPr="00BD4F70">
        <w:t>.</w:t>
      </w:r>
    </w:p>
    <w:p w:rsidR="001B30B5" w:rsidRPr="000B17B1" w:rsidRDefault="001B30B5" w:rsidP="000B17B1">
      <w:pPr>
        <w:rPr>
          <w:lang w:val="en-US"/>
        </w:rPr>
      </w:pPr>
      <w:r w:rsidRPr="000B17B1">
        <w:rPr>
          <w:lang w:val="en-US"/>
        </w:rPr>
        <w:t xml:space="preserve">Shojaei, A.S., Barbosa, B., Oliveira, Z. and Coelho, A.M.R. (2024) ‘Perceived greenwashing and its impact on eco-friendly product purchase’, </w:t>
      </w:r>
      <w:r w:rsidRPr="000B17B1">
        <w:rPr>
          <w:i/>
          <w:iCs/>
          <w:lang w:val="en-US"/>
        </w:rPr>
        <w:t>Tourism &amp; Management Studies</w:t>
      </w:r>
      <w:r w:rsidRPr="000B17B1">
        <w:rPr>
          <w:lang w:val="en-US"/>
        </w:rPr>
        <w:t xml:space="preserve">, 20(2), pp. 1–12. Available at: </w:t>
      </w:r>
      <w:hyperlink r:id="rId37" w:tgtFrame="_new" w:history="1">
        <w:r w:rsidRPr="000B17B1">
          <w:rPr>
            <w:rStyle w:val="Hyperlink"/>
            <w:lang w:val="en-US"/>
          </w:rPr>
          <w:t>https://doi.org/10.18089/tms.20240201</w:t>
        </w:r>
      </w:hyperlink>
      <w:r w:rsidRPr="000B17B1">
        <w:rPr>
          <w:lang w:val="en-US"/>
        </w:rPr>
        <w:t>.</w:t>
      </w:r>
    </w:p>
    <w:p w:rsidR="001B30B5" w:rsidRPr="00DF198C" w:rsidRDefault="001B30B5" w:rsidP="00DF198C">
      <w:pPr>
        <w:rPr>
          <w:lang w:val="en-US"/>
        </w:rPr>
      </w:pPr>
      <w:proofErr w:type="spellStart"/>
      <w:r w:rsidRPr="00DF198C">
        <w:rPr>
          <w:lang w:val="en-US"/>
        </w:rPr>
        <w:t>Siyal</w:t>
      </w:r>
      <w:proofErr w:type="spellEnd"/>
      <w:r w:rsidRPr="00DF198C">
        <w:rPr>
          <w:lang w:val="en-US"/>
        </w:rPr>
        <w:t xml:space="preserve">, S., Ahmed, M.J., Ahmad, R., Khan, B.S. and Xin, C. (2021) ‘Factors influencing green purchase intention: Moderating role of green brand knowledge’, </w:t>
      </w:r>
      <w:r w:rsidRPr="00DF198C">
        <w:rPr>
          <w:i/>
          <w:iCs/>
          <w:lang w:val="en-US"/>
        </w:rPr>
        <w:t>International Journal of Environmental Research and Public Health</w:t>
      </w:r>
      <w:r w:rsidRPr="00DF198C">
        <w:rPr>
          <w:lang w:val="en-US"/>
        </w:rPr>
        <w:t xml:space="preserve">, 18(20), p. 10762. Available at: </w:t>
      </w:r>
      <w:hyperlink r:id="rId38" w:tgtFrame="_new" w:history="1">
        <w:r w:rsidRPr="00DF198C">
          <w:rPr>
            <w:rStyle w:val="Hyperlink"/>
            <w:lang w:val="en-US"/>
          </w:rPr>
          <w:t>https://doi.org/10.3390/ijerph182010762</w:t>
        </w:r>
      </w:hyperlink>
      <w:r w:rsidRPr="00DF198C">
        <w:rPr>
          <w:lang w:val="en-US"/>
        </w:rPr>
        <w:t>.</w:t>
      </w:r>
    </w:p>
    <w:p w:rsidR="001B30B5" w:rsidRPr="000B17B1" w:rsidRDefault="001B30B5" w:rsidP="00210A51">
      <w:pPr>
        <w:rPr>
          <w:lang w:val="en-US"/>
        </w:rPr>
      </w:pPr>
      <w:proofErr w:type="spellStart"/>
      <w:r w:rsidRPr="000B17B1">
        <w:rPr>
          <w:lang w:val="en-US"/>
        </w:rPr>
        <w:t>Sudirja</w:t>
      </w:r>
      <w:proofErr w:type="spellEnd"/>
      <w:r w:rsidRPr="000B17B1">
        <w:rPr>
          <w:lang w:val="en-US"/>
        </w:rPr>
        <w:t xml:space="preserve">, A.R., </w:t>
      </w:r>
      <w:proofErr w:type="spellStart"/>
      <w:r w:rsidRPr="000B17B1">
        <w:rPr>
          <w:lang w:val="en-US"/>
        </w:rPr>
        <w:t>Sidik</w:t>
      </w:r>
      <w:proofErr w:type="spellEnd"/>
      <w:r w:rsidRPr="000B17B1">
        <w:rPr>
          <w:lang w:val="en-US"/>
        </w:rPr>
        <w:t xml:space="preserve">, B.A. and </w:t>
      </w:r>
      <w:proofErr w:type="spellStart"/>
      <w:r w:rsidRPr="000B17B1">
        <w:rPr>
          <w:lang w:val="en-US"/>
        </w:rPr>
        <w:t>Handoko</w:t>
      </w:r>
      <w:proofErr w:type="spellEnd"/>
      <w:r w:rsidRPr="000B17B1">
        <w:rPr>
          <w:lang w:val="en-US"/>
        </w:rPr>
        <w:t xml:space="preserve">, R. (2023) ‘Indonesian consumers and the green marketing of eco-friendly personal care products’, </w:t>
      </w:r>
      <w:proofErr w:type="spellStart"/>
      <w:r w:rsidRPr="000B17B1">
        <w:rPr>
          <w:i/>
          <w:iCs/>
          <w:lang w:val="en-US"/>
        </w:rPr>
        <w:t>Kajian</w:t>
      </w:r>
      <w:proofErr w:type="spellEnd"/>
      <w:r w:rsidRPr="000B17B1">
        <w:rPr>
          <w:i/>
          <w:iCs/>
          <w:lang w:val="en-US"/>
        </w:rPr>
        <w:t xml:space="preserve"> Branding Indonesia</w:t>
      </w:r>
      <w:r w:rsidRPr="000B17B1">
        <w:rPr>
          <w:lang w:val="en-US"/>
        </w:rPr>
        <w:t xml:space="preserve">, 5(2), pp. 141–166. Available at: </w:t>
      </w:r>
      <w:hyperlink r:id="rId39" w:tgtFrame="_new" w:history="1">
        <w:r w:rsidRPr="000B17B1">
          <w:rPr>
            <w:rStyle w:val="Hyperlink"/>
            <w:lang w:val="en-US"/>
          </w:rPr>
          <w:t>https://doi.org/10.21632/kbi.5.2.141-166</w:t>
        </w:r>
      </w:hyperlink>
      <w:r w:rsidRPr="000B17B1">
        <w:rPr>
          <w:lang w:val="en-US"/>
        </w:rPr>
        <w:t>.</w:t>
      </w:r>
    </w:p>
    <w:p w:rsidR="001B30B5" w:rsidRPr="00DF198C" w:rsidRDefault="001B30B5" w:rsidP="00DF198C">
      <w:pPr>
        <w:rPr>
          <w:lang w:val="en-US"/>
        </w:rPr>
      </w:pPr>
      <w:r w:rsidRPr="00DF198C">
        <w:rPr>
          <w:lang w:val="en-US"/>
        </w:rPr>
        <w:t xml:space="preserve">Sun, H., </w:t>
      </w:r>
      <w:proofErr w:type="spellStart"/>
      <w:r w:rsidRPr="00DF198C">
        <w:rPr>
          <w:lang w:val="en-US"/>
        </w:rPr>
        <w:t>Samad</w:t>
      </w:r>
      <w:proofErr w:type="spellEnd"/>
      <w:r w:rsidRPr="00DF198C">
        <w:rPr>
          <w:lang w:val="en-US"/>
        </w:rPr>
        <w:t xml:space="preserve">, S., Rehman, S.U. and Usman, M. (2022) ‘Clean and green: The relevance of hotels’ website quality and environmental management initiatives for green customer loyalty’, </w:t>
      </w:r>
      <w:r w:rsidRPr="00DF198C">
        <w:rPr>
          <w:i/>
          <w:iCs/>
          <w:lang w:val="en-US"/>
        </w:rPr>
        <w:t>British Food Journal</w:t>
      </w:r>
      <w:r w:rsidRPr="00DF198C">
        <w:rPr>
          <w:lang w:val="en-US"/>
        </w:rPr>
        <w:t xml:space="preserve">, 124(12), pp. 4266–4285. Available at: </w:t>
      </w:r>
      <w:hyperlink r:id="rId40" w:tgtFrame="_new" w:history="1">
        <w:r w:rsidRPr="00DF198C">
          <w:rPr>
            <w:rStyle w:val="Hyperlink"/>
            <w:lang w:val="en-US"/>
          </w:rPr>
          <w:t>https://doi.org/10.1108/BFJ-09-2021-1002</w:t>
        </w:r>
      </w:hyperlink>
      <w:r w:rsidRPr="00DF198C">
        <w:rPr>
          <w:lang w:val="en-US"/>
        </w:rPr>
        <w:t>.</w:t>
      </w:r>
    </w:p>
    <w:p w:rsidR="001B30B5" w:rsidRDefault="001B30B5" w:rsidP="00BD4F70">
      <w:r w:rsidRPr="00BD4F70">
        <w:t xml:space="preserve">Tan, Z., </w:t>
      </w:r>
      <w:proofErr w:type="spellStart"/>
      <w:r w:rsidRPr="00BD4F70">
        <w:t>Sadiq</w:t>
      </w:r>
      <w:proofErr w:type="spellEnd"/>
      <w:r w:rsidRPr="00BD4F70">
        <w:t xml:space="preserve">, B., Bashir, T., Mahmood, H. and </w:t>
      </w:r>
      <w:proofErr w:type="spellStart"/>
      <w:r w:rsidRPr="00BD4F70">
        <w:t>Rasool</w:t>
      </w:r>
      <w:proofErr w:type="spellEnd"/>
      <w:r w:rsidRPr="00BD4F70">
        <w:t xml:space="preserve">, Y. (2022) ‘Investigating the impact of green marketing components on purchase intention: The mediating role of brand image and brand trust’, </w:t>
      </w:r>
      <w:r w:rsidRPr="00BD4F70">
        <w:rPr>
          <w:i/>
          <w:iCs/>
        </w:rPr>
        <w:t>Sustainability</w:t>
      </w:r>
      <w:r w:rsidRPr="00BD4F70">
        <w:t xml:space="preserve">, 14(10), article 5939. </w:t>
      </w:r>
      <w:hyperlink r:id="rId41" w:tgtFrame="_new" w:history="1">
        <w:r w:rsidRPr="00BD4F70">
          <w:rPr>
            <w:rStyle w:val="Hyperlink"/>
          </w:rPr>
          <w:t>https://doi.org/10.3390/su14105939</w:t>
        </w:r>
      </w:hyperlink>
    </w:p>
    <w:p w:rsidR="001B30B5" w:rsidRDefault="001B30B5" w:rsidP="000B17B1">
      <w:r w:rsidRPr="00DF198C">
        <w:t xml:space="preserve">Xiang, P. and Liu, Z. (2024) ‘Is it both sufficient and necessary to disclose environmental information regarding the origin on consumer purchases?’, </w:t>
      </w:r>
      <w:r w:rsidRPr="00DF198C">
        <w:rPr>
          <w:i/>
          <w:iCs/>
        </w:rPr>
        <w:t>Sustainability</w:t>
      </w:r>
      <w:r w:rsidRPr="00DF198C">
        <w:t xml:space="preserve">, 16(12), p. 5017. Available at: </w:t>
      </w:r>
      <w:hyperlink r:id="rId42" w:tgtFrame="_new" w:history="1">
        <w:r w:rsidRPr="00DF198C">
          <w:rPr>
            <w:rStyle w:val="Hyperlink"/>
          </w:rPr>
          <w:t>https://doi.org/10.3390/su16125017</w:t>
        </w:r>
      </w:hyperlink>
      <w:r w:rsidRPr="00DF198C">
        <w:t>.</w:t>
      </w:r>
    </w:p>
    <w:sectPr w:rsidR="001B30B5" w:rsidSect="00345BD5">
      <w:footerReference w:type="default" r:id="rId4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20D35" w:rsidRDefault="00320D35" w:rsidP="00783B42">
      <w:pPr>
        <w:spacing w:after="0" w:line="240" w:lineRule="auto"/>
      </w:pPr>
      <w:r>
        <w:separator/>
      </w:r>
    </w:p>
  </w:endnote>
  <w:endnote w:type="continuationSeparator" w:id="0">
    <w:p w:rsidR="00320D35" w:rsidRDefault="00320D35" w:rsidP="00783B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38698964"/>
      <w:docPartObj>
        <w:docPartGallery w:val="Page Numbers (Bottom of Page)"/>
        <w:docPartUnique/>
      </w:docPartObj>
    </w:sdtPr>
    <w:sdtEndPr>
      <w:rPr>
        <w:noProof/>
      </w:rPr>
    </w:sdtEndPr>
    <w:sdtContent>
      <w:p w:rsidR="00783B42" w:rsidRDefault="00783B42">
        <w:pPr>
          <w:pStyle w:val="Footer"/>
          <w:jc w:val="center"/>
        </w:pPr>
        <w:r>
          <w:fldChar w:fldCharType="begin"/>
        </w:r>
        <w:r>
          <w:instrText xml:space="preserve"> PAGE   \* MERGEFORMAT </w:instrText>
        </w:r>
        <w:r>
          <w:fldChar w:fldCharType="separate"/>
        </w:r>
        <w:r w:rsidR="004A5A70">
          <w:rPr>
            <w:noProof/>
          </w:rPr>
          <w:t>19</w:t>
        </w:r>
        <w:r>
          <w:rPr>
            <w:noProof/>
          </w:rPr>
          <w:fldChar w:fldCharType="end"/>
        </w:r>
      </w:p>
    </w:sdtContent>
  </w:sdt>
  <w:p w:rsidR="00783B42" w:rsidRDefault="00783B4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20D35" w:rsidRDefault="00320D35" w:rsidP="00783B42">
      <w:pPr>
        <w:spacing w:after="0" w:line="240" w:lineRule="auto"/>
      </w:pPr>
      <w:r>
        <w:separator/>
      </w:r>
    </w:p>
  </w:footnote>
  <w:footnote w:type="continuationSeparator" w:id="0">
    <w:p w:rsidR="00320D35" w:rsidRDefault="00320D35" w:rsidP="00783B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DC098E"/>
    <w:multiLevelType w:val="multilevel"/>
    <w:tmpl w:val="89A27C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20C4C1A"/>
    <w:multiLevelType w:val="multilevel"/>
    <w:tmpl w:val="7FF673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771E"/>
    <w:rsid w:val="000258B8"/>
    <w:rsid w:val="00085F89"/>
    <w:rsid w:val="000B17B1"/>
    <w:rsid w:val="00104F7C"/>
    <w:rsid w:val="0016169A"/>
    <w:rsid w:val="001B30B5"/>
    <w:rsid w:val="00210A51"/>
    <w:rsid w:val="00266600"/>
    <w:rsid w:val="00320D35"/>
    <w:rsid w:val="00345BD5"/>
    <w:rsid w:val="00347797"/>
    <w:rsid w:val="003B36D5"/>
    <w:rsid w:val="003D45B4"/>
    <w:rsid w:val="00425347"/>
    <w:rsid w:val="004A5A70"/>
    <w:rsid w:val="004C2934"/>
    <w:rsid w:val="00511463"/>
    <w:rsid w:val="005F1C5F"/>
    <w:rsid w:val="006267AB"/>
    <w:rsid w:val="006774B3"/>
    <w:rsid w:val="006D12BC"/>
    <w:rsid w:val="006E771E"/>
    <w:rsid w:val="00783B42"/>
    <w:rsid w:val="007B25D3"/>
    <w:rsid w:val="00916FB0"/>
    <w:rsid w:val="009E5418"/>
    <w:rsid w:val="00A348E5"/>
    <w:rsid w:val="00AC0473"/>
    <w:rsid w:val="00BD4F70"/>
    <w:rsid w:val="00BE6D5C"/>
    <w:rsid w:val="00BF4E5D"/>
    <w:rsid w:val="00D63FC2"/>
    <w:rsid w:val="00D770A2"/>
    <w:rsid w:val="00DF198C"/>
    <w:rsid w:val="00E46996"/>
    <w:rsid w:val="00F056E2"/>
    <w:rsid w:val="00F64193"/>
    <w:rsid w:val="00F94180"/>
    <w:rsid w:val="00FC38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11082"/>
  <w15:chartTrackingRefBased/>
  <w15:docId w15:val="{24080335-1240-4EAA-8FB4-C518E52B4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169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6169A"/>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BE6D5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169A"/>
    <w:rPr>
      <w:rFonts w:ascii="Times New Roman" w:eastAsiaTheme="majorEastAsia" w:hAnsi="Times New Roman" w:cstheme="majorBidi"/>
      <w:b/>
      <w:color w:val="2E74B5" w:themeColor="accent1" w:themeShade="BF"/>
      <w:sz w:val="32"/>
      <w:szCs w:val="32"/>
    </w:rPr>
  </w:style>
  <w:style w:type="paragraph" w:styleId="Header">
    <w:name w:val="header"/>
    <w:basedOn w:val="Normal"/>
    <w:link w:val="HeaderChar"/>
    <w:uiPriority w:val="99"/>
    <w:unhideWhenUsed/>
    <w:rsid w:val="00783B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3B42"/>
    <w:rPr>
      <w:rFonts w:ascii="Times New Roman" w:hAnsi="Times New Roman"/>
      <w:sz w:val="24"/>
    </w:rPr>
  </w:style>
  <w:style w:type="paragraph" w:styleId="Footer">
    <w:name w:val="footer"/>
    <w:basedOn w:val="Normal"/>
    <w:link w:val="FooterChar"/>
    <w:uiPriority w:val="99"/>
    <w:unhideWhenUsed/>
    <w:rsid w:val="00783B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3B42"/>
    <w:rPr>
      <w:rFonts w:ascii="Times New Roman" w:hAnsi="Times New Roman"/>
      <w:sz w:val="24"/>
    </w:rPr>
  </w:style>
  <w:style w:type="character" w:styleId="Hyperlink">
    <w:name w:val="Hyperlink"/>
    <w:basedOn w:val="DefaultParagraphFont"/>
    <w:uiPriority w:val="99"/>
    <w:unhideWhenUsed/>
    <w:rsid w:val="00210A51"/>
    <w:rPr>
      <w:color w:val="0563C1" w:themeColor="hyperlink"/>
      <w:u w:val="single"/>
    </w:rPr>
  </w:style>
  <w:style w:type="character" w:customStyle="1" w:styleId="Heading2Char">
    <w:name w:val="Heading 2 Char"/>
    <w:basedOn w:val="DefaultParagraphFont"/>
    <w:link w:val="Heading2"/>
    <w:uiPriority w:val="9"/>
    <w:rsid w:val="00BE6D5C"/>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E6D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BE6D5C"/>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HTMLPreformatted">
    <w:name w:val="HTML Preformatted"/>
    <w:basedOn w:val="Normal"/>
    <w:link w:val="HTMLPreformattedChar"/>
    <w:uiPriority w:val="99"/>
    <w:semiHidden/>
    <w:unhideWhenUsed/>
    <w:rsid w:val="000B17B1"/>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0B17B1"/>
    <w:rPr>
      <w:rFonts w:ascii="Consolas" w:hAnsi="Consolas"/>
      <w:sz w:val="20"/>
      <w:szCs w:val="20"/>
    </w:rPr>
  </w:style>
  <w:style w:type="paragraph" w:styleId="TOCHeading">
    <w:name w:val="TOC Heading"/>
    <w:basedOn w:val="Heading1"/>
    <w:next w:val="Normal"/>
    <w:uiPriority w:val="39"/>
    <w:unhideWhenUsed/>
    <w:qFormat/>
    <w:rsid w:val="00511463"/>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511463"/>
    <w:pPr>
      <w:spacing w:after="100"/>
    </w:pPr>
  </w:style>
  <w:style w:type="paragraph" w:styleId="TOC2">
    <w:name w:val="toc 2"/>
    <w:basedOn w:val="Normal"/>
    <w:next w:val="Normal"/>
    <w:autoRedefine/>
    <w:uiPriority w:val="39"/>
    <w:unhideWhenUsed/>
    <w:rsid w:val="00511463"/>
    <w:pPr>
      <w:spacing w:after="100"/>
      <w:ind w:left="240"/>
    </w:pPr>
  </w:style>
  <w:style w:type="character" w:styleId="Strong">
    <w:name w:val="Strong"/>
    <w:basedOn w:val="DefaultParagraphFont"/>
    <w:uiPriority w:val="22"/>
    <w:qFormat/>
    <w:rsid w:val="0051146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440009">
      <w:bodyDiv w:val="1"/>
      <w:marLeft w:val="0"/>
      <w:marRight w:val="0"/>
      <w:marTop w:val="0"/>
      <w:marBottom w:val="0"/>
      <w:divBdr>
        <w:top w:val="none" w:sz="0" w:space="0" w:color="auto"/>
        <w:left w:val="none" w:sz="0" w:space="0" w:color="auto"/>
        <w:bottom w:val="none" w:sz="0" w:space="0" w:color="auto"/>
        <w:right w:val="none" w:sz="0" w:space="0" w:color="auto"/>
      </w:divBdr>
    </w:div>
    <w:div w:id="72630527">
      <w:bodyDiv w:val="1"/>
      <w:marLeft w:val="0"/>
      <w:marRight w:val="0"/>
      <w:marTop w:val="0"/>
      <w:marBottom w:val="0"/>
      <w:divBdr>
        <w:top w:val="none" w:sz="0" w:space="0" w:color="auto"/>
        <w:left w:val="none" w:sz="0" w:space="0" w:color="auto"/>
        <w:bottom w:val="none" w:sz="0" w:space="0" w:color="auto"/>
        <w:right w:val="none" w:sz="0" w:space="0" w:color="auto"/>
      </w:divBdr>
    </w:div>
    <w:div w:id="78646759">
      <w:bodyDiv w:val="1"/>
      <w:marLeft w:val="0"/>
      <w:marRight w:val="0"/>
      <w:marTop w:val="0"/>
      <w:marBottom w:val="0"/>
      <w:divBdr>
        <w:top w:val="none" w:sz="0" w:space="0" w:color="auto"/>
        <w:left w:val="none" w:sz="0" w:space="0" w:color="auto"/>
        <w:bottom w:val="none" w:sz="0" w:space="0" w:color="auto"/>
        <w:right w:val="none" w:sz="0" w:space="0" w:color="auto"/>
      </w:divBdr>
    </w:div>
    <w:div w:id="153568045">
      <w:bodyDiv w:val="1"/>
      <w:marLeft w:val="0"/>
      <w:marRight w:val="0"/>
      <w:marTop w:val="0"/>
      <w:marBottom w:val="0"/>
      <w:divBdr>
        <w:top w:val="none" w:sz="0" w:space="0" w:color="auto"/>
        <w:left w:val="none" w:sz="0" w:space="0" w:color="auto"/>
        <w:bottom w:val="none" w:sz="0" w:space="0" w:color="auto"/>
        <w:right w:val="none" w:sz="0" w:space="0" w:color="auto"/>
      </w:divBdr>
    </w:div>
    <w:div w:id="162357313">
      <w:bodyDiv w:val="1"/>
      <w:marLeft w:val="0"/>
      <w:marRight w:val="0"/>
      <w:marTop w:val="0"/>
      <w:marBottom w:val="0"/>
      <w:divBdr>
        <w:top w:val="none" w:sz="0" w:space="0" w:color="auto"/>
        <w:left w:val="none" w:sz="0" w:space="0" w:color="auto"/>
        <w:bottom w:val="none" w:sz="0" w:space="0" w:color="auto"/>
        <w:right w:val="none" w:sz="0" w:space="0" w:color="auto"/>
      </w:divBdr>
    </w:div>
    <w:div w:id="189954173">
      <w:bodyDiv w:val="1"/>
      <w:marLeft w:val="0"/>
      <w:marRight w:val="0"/>
      <w:marTop w:val="0"/>
      <w:marBottom w:val="0"/>
      <w:divBdr>
        <w:top w:val="none" w:sz="0" w:space="0" w:color="auto"/>
        <w:left w:val="none" w:sz="0" w:space="0" w:color="auto"/>
        <w:bottom w:val="none" w:sz="0" w:space="0" w:color="auto"/>
        <w:right w:val="none" w:sz="0" w:space="0" w:color="auto"/>
      </w:divBdr>
    </w:div>
    <w:div w:id="252399623">
      <w:bodyDiv w:val="1"/>
      <w:marLeft w:val="0"/>
      <w:marRight w:val="0"/>
      <w:marTop w:val="0"/>
      <w:marBottom w:val="0"/>
      <w:divBdr>
        <w:top w:val="none" w:sz="0" w:space="0" w:color="auto"/>
        <w:left w:val="none" w:sz="0" w:space="0" w:color="auto"/>
        <w:bottom w:val="none" w:sz="0" w:space="0" w:color="auto"/>
        <w:right w:val="none" w:sz="0" w:space="0" w:color="auto"/>
      </w:divBdr>
    </w:div>
    <w:div w:id="377318352">
      <w:bodyDiv w:val="1"/>
      <w:marLeft w:val="0"/>
      <w:marRight w:val="0"/>
      <w:marTop w:val="0"/>
      <w:marBottom w:val="0"/>
      <w:divBdr>
        <w:top w:val="none" w:sz="0" w:space="0" w:color="auto"/>
        <w:left w:val="none" w:sz="0" w:space="0" w:color="auto"/>
        <w:bottom w:val="none" w:sz="0" w:space="0" w:color="auto"/>
        <w:right w:val="none" w:sz="0" w:space="0" w:color="auto"/>
      </w:divBdr>
      <w:divsChild>
        <w:div w:id="996763432">
          <w:marLeft w:val="0"/>
          <w:marRight w:val="0"/>
          <w:marTop w:val="0"/>
          <w:marBottom w:val="0"/>
          <w:divBdr>
            <w:top w:val="none" w:sz="0" w:space="0" w:color="auto"/>
            <w:left w:val="none" w:sz="0" w:space="0" w:color="auto"/>
            <w:bottom w:val="none" w:sz="0" w:space="0" w:color="auto"/>
            <w:right w:val="none" w:sz="0" w:space="0" w:color="auto"/>
          </w:divBdr>
          <w:divsChild>
            <w:div w:id="1054738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7184386">
      <w:bodyDiv w:val="1"/>
      <w:marLeft w:val="0"/>
      <w:marRight w:val="0"/>
      <w:marTop w:val="0"/>
      <w:marBottom w:val="0"/>
      <w:divBdr>
        <w:top w:val="none" w:sz="0" w:space="0" w:color="auto"/>
        <w:left w:val="none" w:sz="0" w:space="0" w:color="auto"/>
        <w:bottom w:val="none" w:sz="0" w:space="0" w:color="auto"/>
        <w:right w:val="none" w:sz="0" w:space="0" w:color="auto"/>
      </w:divBdr>
    </w:div>
    <w:div w:id="606276477">
      <w:bodyDiv w:val="1"/>
      <w:marLeft w:val="0"/>
      <w:marRight w:val="0"/>
      <w:marTop w:val="0"/>
      <w:marBottom w:val="0"/>
      <w:divBdr>
        <w:top w:val="none" w:sz="0" w:space="0" w:color="auto"/>
        <w:left w:val="none" w:sz="0" w:space="0" w:color="auto"/>
        <w:bottom w:val="none" w:sz="0" w:space="0" w:color="auto"/>
        <w:right w:val="none" w:sz="0" w:space="0" w:color="auto"/>
      </w:divBdr>
    </w:div>
    <w:div w:id="675571475">
      <w:bodyDiv w:val="1"/>
      <w:marLeft w:val="0"/>
      <w:marRight w:val="0"/>
      <w:marTop w:val="0"/>
      <w:marBottom w:val="0"/>
      <w:divBdr>
        <w:top w:val="none" w:sz="0" w:space="0" w:color="auto"/>
        <w:left w:val="none" w:sz="0" w:space="0" w:color="auto"/>
        <w:bottom w:val="none" w:sz="0" w:space="0" w:color="auto"/>
        <w:right w:val="none" w:sz="0" w:space="0" w:color="auto"/>
      </w:divBdr>
    </w:div>
    <w:div w:id="720133293">
      <w:bodyDiv w:val="1"/>
      <w:marLeft w:val="0"/>
      <w:marRight w:val="0"/>
      <w:marTop w:val="0"/>
      <w:marBottom w:val="0"/>
      <w:divBdr>
        <w:top w:val="none" w:sz="0" w:space="0" w:color="auto"/>
        <w:left w:val="none" w:sz="0" w:space="0" w:color="auto"/>
        <w:bottom w:val="none" w:sz="0" w:space="0" w:color="auto"/>
        <w:right w:val="none" w:sz="0" w:space="0" w:color="auto"/>
      </w:divBdr>
    </w:div>
    <w:div w:id="728069455">
      <w:bodyDiv w:val="1"/>
      <w:marLeft w:val="0"/>
      <w:marRight w:val="0"/>
      <w:marTop w:val="0"/>
      <w:marBottom w:val="0"/>
      <w:divBdr>
        <w:top w:val="none" w:sz="0" w:space="0" w:color="auto"/>
        <w:left w:val="none" w:sz="0" w:space="0" w:color="auto"/>
        <w:bottom w:val="none" w:sz="0" w:space="0" w:color="auto"/>
        <w:right w:val="none" w:sz="0" w:space="0" w:color="auto"/>
      </w:divBdr>
      <w:divsChild>
        <w:div w:id="1638296616">
          <w:marLeft w:val="0"/>
          <w:marRight w:val="0"/>
          <w:marTop w:val="0"/>
          <w:marBottom w:val="0"/>
          <w:divBdr>
            <w:top w:val="none" w:sz="0" w:space="0" w:color="auto"/>
            <w:left w:val="none" w:sz="0" w:space="0" w:color="auto"/>
            <w:bottom w:val="none" w:sz="0" w:space="0" w:color="auto"/>
            <w:right w:val="none" w:sz="0" w:space="0" w:color="auto"/>
          </w:divBdr>
          <w:divsChild>
            <w:div w:id="478770340">
              <w:marLeft w:val="0"/>
              <w:marRight w:val="0"/>
              <w:marTop w:val="0"/>
              <w:marBottom w:val="0"/>
              <w:divBdr>
                <w:top w:val="none" w:sz="0" w:space="0" w:color="auto"/>
                <w:left w:val="none" w:sz="0" w:space="0" w:color="auto"/>
                <w:bottom w:val="none" w:sz="0" w:space="0" w:color="auto"/>
                <w:right w:val="none" w:sz="0" w:space="0" w:color="auto"/>
              </w:divBdr>
            </w:div>
          </w:divsChild>
        </w:div>
        <w:div w:id="1183781370">
          <w:marLeft w:val="0"/>
          <w:marRight w:val="0"/>
          <w:marTop w:val="0"/>
          <w:marBottom w:val="0"/>
          <w:divBdr>
            <w:top w:val="none" w:sz="0" w:space="0" w:color="auto"/>
            <w:left w:val="none" w:sz="0" w:space="0" w:color="auto"/>
            <w:bottom w:val="none" w:sz="0" w:space="0" w:color="auto"/>
            <w:right w:val="none" w:sz="0" w:space="0" w:color="auto"/>
          </w:divBdr>
          <w:divsChild>
            <w:div w:id="324162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876267">
      <w:bodyDiv w:val="1"/>
      <w:marLeft w:val="0"/>
      <w:marRight w:val="0"/>
      <w:marTop w:val="0"/>
      <w:marBottom w:val="0"/>
      <w:divBdr>
        <w:top w:val="none" w:sz="0" w:space="0" w:color="auto"/>
        <w:left w:val="none" w:sz="0" w:space="0" w:color="auto"/>
        <w:bottom w:val="none" w:sz="0" w:space="0" w:color="auto"/>
        <w:right w:val="none" w:sz="0" w:space="0" w:color="auto"/>
      </w:divBdr>
    </w:div>
    <w:div w:id="886137874">
      <w:bodyDiv w:val="1"/>
      <w:marLeft w:val="0"/>
      <w:marRight w:val="0"/>
      <w:marTop w:val="0"/>
      <w:marBottom w:val="0"/>
      <w:divBdr>
        <w:top w:val="none" w:sz="0" w:space="0" w:color="auto"/>
        <w:left w:val="none" w:sz="0" w:space="0" w:color="auto"/>
        <w:bottom w:val="none" w:sz="0" w:space="0" w:color="auto"/>
        <w:right w:val="none" w:sz="0" w:space="0" w:color="auto"/>
      </w:divBdr>
    </w:div>
    <w:div w:id="914054622">
      <w:bodyDiv w:val="1"/>
      <w:marLeft w:val="0"/>
      <w:marRight w:val="0"/>
      <w:marTop w:val="0"/>
      <w:marBottom w:val="0"/>
      <w:divBdr>
        <w:top w:val="none" w:sz="0" w:space="0" w:color="auto"/>
        <w:left w:val="none" w:sz="0" w:space="0" w:color="auto"/>
        <w:bottom w:val="none" w:sz="0" w:space="0" w:color="auto"/>
        <w:right w:val="none" w:sz="0" w:space="0" w:color="auto"/>
      </w:divBdr>
    </w:div>
    <w:div w:id="1059282281">
      <w:bodyDiv w:val="1"/>
      <w:marLeft w:val="0"/>
      <w:marRight w:val="0"/>
      <w:marTop w:val="0"/>
      <w:marBottom w:val="0"/>
      <w:divBdr>
        <w:top w:val="none" w:sz="0" w:space="0" w:color="auto"/>
        <w:left w:val="none" w:sz="0" w:space="0" w:color="auto"/>
        <w:bottom w:val="none" w:sz="0" w:space="0" w:color="auto"/>
        <w:right w:val="none" w:sz="0" w:space="0" w:color="auto"/>
      </w:divBdr>
    </w:div>
    <w:div w:id="1093013943">
      <w:bodyDiv w:val="1"/>
      <w:marLeft w:val="0"/>
      <w:marRight w:val="0"/>
      <w:marTop w:val="0"/>
      <w:marBottom w:val="0"/>
      <w:divBdr>
        <w:top w:val="none" w:sz="0" w:space="0" w:color="auto"/>
        <w:left w:val="none" w:sz="0" w:space="0" w:color="auto"/>
        <w:bottom w:val="none" w:sz="0" w:space="0" w:color="auto"/>
        <w:right w:val="none" w:sz="0" w:space="0" w:color="auto"/>
      </w:divBdr>
    </w:div>
    <w:div w:id="1108428190">
      <w:bodyDiv w:val="1"/>
      <w:marLeft w:val="0"/>
      <w:marRight w:val="0"/>
      <w:marTop w:val="0"/>
      <w:marBottom w:val="0"/>
      <w:divBdr>
        <w:top w:val="none" w:sz="0" w:space="0" w:color="auto"/>
        <w:left w:val="none" w:sz="0" w:space="0" w:color="auto"/>
        <w:bottom w:val="none" w:sz="0" w:space="0" w:color="auto"/>
        <w:right w:val="none" w:sz="0" w:space="0" w:color="auto"/>
      </w:divBdr>
    </w:div>
    <w:div w:id="1236286406">
      <w:bodyDiv w:val="1"/>
      <w:marLeft w:val="0"/>
      <w:marRight w:val="0"/>
      <w:marTop w:val="0"/>
      <w:marBottom w:val="0"/>
      <w:divBdr>
        <w:top w:val="none" w:sz="0" w:space="0" w:color="auto"/>
        <w:left w:val="none" w:sz="0" w:space="0" w:color="auto"/>
        <w:bottom w:val="none" w:sz="0" w:space="0" w:color="auto"/>
        <w:right w:val="none" w:sz="0" w:space="0" w:color="auto"/>
      </w:divBdr>
    </w:div>
    <w:div w:id="1346323796">
      <w:bodyDiv w:val="1"/>
      <w:marLeft w:val="0"/>
      <w:marRight w:val="0"/>
      <w:marTop w:val="0"/>
      <w:marBottom w:val="0"/>
      <w:divBdr>
        <w:top w:val="none" w:sz="0" w:space="0" w:color="auto"/>
        <w:left w:val="none" w:sz="0" w:space="0" w:color="auto"/>
        <w:bottom w:val="none" w:sz="0" w:space="0" w:color="auto"/>
        <w:right w:val="none" w:sz="0" w:space="0" w:color="auto"/>
      </w:divBdr>
    </w:div>
    <w:div w:id="1370227673">
      <w:bodyDiv w:val="1"/>
      <w:marLeft w:val="0"/>
      <w:marRight w:val="0"/>
      <w:marTop w:val="0"/>
      <w:marBottom w:val="0"/>
      <w:divBdr>
        <w:top w:val="none" w:sz="0" w:space="0" w:color="auto"/>
        <w:left w:val="none" w:sz="0" w:space="0" w:color="auto"/>
        <w:bottom w:val="none" w:sz="0" w:space="0" w:color="auto"/>
        <w:right w:val="none" w:sz="0" w:space="0" w:color="auto"/>
      </w:divBdr>
    </w:div>
    <w:div w:id="1481459984">
      <w:bodyDiv w:val="1"/>
      <w:marLeft w:val="0"/>
      <w:marRight w:val="0"/>
      <w:marTop w:val="0"/>
      <w:marBottom w:val="0"/>
      <w:divBdr>
        <w:top w:val="none" w:sz="0" w:space="0" w:color="auto"/>
        <w:left w:val="none" w:sz="0" w:space="0" w:color="auto"/>
        <w:bottom w:val="none" w:sz="0" w:space="0" w:color="auto"/>
        <w:right w:val="none" w:sz="0" w:space="0" w:color="auto"/>
      </w:divBdr>
    </w:div>
    <w:div w:id="1521317102">
      <w:bodyDiv w:val="1"/>
      <w:marLeft w:val="0"/>
      <w:marRight w:val="0"/>
      <w:marTop w:val="0"/>
      <w:marBottom w:val="0"/>
      <w:divBdr>
        <w:top w:val="none" w:sz="0" w:space="0" w:color="auto"/>
        <w:left w:val="none" w:sz="0" w:space="0" w:color="auto"/>
        <w:bottom w:val="none" w:sz="0" w:space="0" w:color="auto"/>
        <w:right w:val="none" w:sz="0" w:space="0" w:color="auto"/>
      </w:divBdr>
    </w:div>
    <w:div w:id="1558667324">
      <w:bodyDiv w:val="1"/>
      <w:marLeft w:val="0"/>
      <w:marRight w:val="0"/>
      <w:marTop w:val="0"/>
      <w:marBottom w:val="0"/>
      <w:divBdr>
        <w:top w:val="none" w:sz="0" w:space="0" w:color="auto"/>
        <w:left w:val="none" w:sz="0" w:space="0" w:color="auto"/>
        <w:bottom w:val="none" w:sz="0" w:space="0" w:color="auto"/>
        <w:right w:val="none" w:sz="0" w:space="0" w:color="auto"/>
      </w:divBdr>
    </w:div>
    <w:div w:id="1606233370">
      <w:bodyDiv w:val="1"/>
      <w:marLeft w:val="0"/>
      <w:marRight w:val="0"/>
      <w:marTop w:val="0"/>
      <w:marBottom w:val="0"/>
      <w:divBdr>
        <w:top w:val="none" w:sz="0" w:space="0" w:color="auto"/>
        <w:left w:val="none" w:sz="0" w:space="0" w:color="auto"/>
        <w:bottom w:val="none" w:sz="0" w:space="0" w:color="auto"/>
        <w:right w:val="none" w:sz="0" w:space="0" w:color="auto"/>
      </w:divBdr>
    </w:div>
    <w:div w:id="1661687858">
      <w:bodyDiv w:val="1"/>
      <w:marLeft w:val="0"/>
      <w:marRight w:val="0"/>
      <w:marTop w:val="0"/>
      <w:marBottom w:val="0"/>
      <w:divBdr>
        <w:top w:val="none" w:sz="0" w:space="0" w:color="auto"/>
        <w:left w:val="none" w:sz="0" w:space="0" w:color="auto"/>
        <w:bottom w:val="none" w:sz="0" w:space="0" w:color="auto"/>
        <w:right w:val="none" w:sz="0" w:space="0" w:color="auto"/>
      </w:divBdr>
    </w:div>
    <w:div w:id="1720518569">
      <w:bodyDiv w:val="1"/>
      <w:marLeft w:val="0"/>
      <w:marRight w:val="0"/>
      <w:marTop w:val="0"/>
      <w:marBottom w:val="0"/>
      <w:divBdr>
        <w:top w:val="none" w:sz="0" w:space="0" w:color="auto"/>
        <w:left w:val="none" w:sz="0" w:space="0" w:color="auto"/>
        <w:bottom w:val="none" w:sz="0" w:space="0" w:color="auto"/>
        <w:right w:val="none" w:sz="0" w:space="0" w:color="auto"/>
      </w:divBdr>
    </w:div>
    <w:div w:id="1753889634">
      <w:bodyDiv w:val="1"/>
      <w:marLeft w:val="0"/>
      <w:marRight w:val="0"/>
      <w:marTop w:val="0"/>
      <w:marBottom w:val="0"/>
      <w:divBdr>
        <w:top w:val="none" w:sz="0" w:space="0" w:color="auto"/>
        <w:left w:val="none" w:sz="0" w:space="0" w:color="auto"/>
        <w:bottom w:val="none" w:sz="0" w:space="0" w:color="auto"/>
        <w:right w:val="none" w:sz="0" w:space="0" w:color="auto"/>
      </w:divBdr>
    </w:div>
    <w:div w:id="1833174541">
      <w:bodyDiv w:val="1"/>
      <w:marLeft w:val="0"/>
      <w:marRight w:val="0"/>
      <w:marTop w:val="0"/>
      <w:marBottom w:val="0"/>
      <w:divBdr>
        <w:top w:val="none" w:sz="0" w:space="0" w:color="auto"/>
        <w:left w:val="none" w:sz="0" w:space="0" w:color="auto"/>
        <w:bottom w:val="none" w:sz="0" w:space="0" w:color="auto"/>
        <w:right w:val="none" w:sz="0" w:space="0" w:color="auto"/>
      </w:divBdr>
    </w:div>
    <w:div w:id="1968658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su16072738" TargetMode="External"/><Relationship Id="rId18" Type="http://schemas.openxmlformats.org/officeDocument/2006/relationships/hyperlink" Target="https://doi.org/10.1186/s12302-020-0300-3" TargetMode="External"/><Relationship Id="rId26" Type="http://schemas.openxmlformats.org/officeDocument/2006/relationships/hyperlink" Target="https://doi.org/10.1016/j.ism.2015.04.001" TargetMode="External"/><Relationship Id="rId39" Type="http://schemas.openxmlformats.org/officeDocument/2006/relationships/hyperlink" Target="https://doi.org/10.21632/kbi.5.2.141-166" TargetMode="External"/><Relationship Id="rId3" Type="http://schemas.openxmlformats.org/officeDocument/2006/relationships/styles" Target="styles.xml"/><Relationship Id="rId21" Type="http://schemas.openxmlformats.org/officeDocument/2006/relationships/hyperlink" Target="https://doi.org/10.2991/assehr.k.211209.414" TargetMode="External"/><Relationship Id="rId34" Type="http://schemas.openxmlformats.org/officeDocument/2006/relationships/hyperlink" Target="https://doi.org/10.1007/s12208-025-00452-x" TargetMode="External"/><Relationship Id="rId42" Type="http://schemas.openxmlformats.org/officeDocument/2006/relationships/hyperlink" Target="https://doi.org/10.3390/su16125017" TargetMode="External"/><Relationship Id="rId7" Type="http://schemas.openxmlformats.org/officeDocument/2006/relationships/endnotes" Target="endnotes.xml"/><Relationship Id="rId12" Type="http://schemas.openxmlformats.org/officeDocument/2006/relationships/hyperlink" Target="https://doi.org/10.3390/su16031050" TargetMode="External"/><Relationship Id="rId17" Type="http://schemas.openxmlformats.org/officeDocument/2006/relationships/hyperlink" Target="https://doi.org/10.55248/gengpi.5.0224.0435" TargetMode="External"/><Relationship Id="rId25" Type="http://schemas.openxmlformats.org/officeDocument/2006/relationships/hyperlink" Target="https://doi.org/10.31497/zrzyxb.20240106" TargetMode="External"/><Relationship Id="rId33" Type="http://schemas.openxmlformats.org/officeDocument/2006/relationships/hyperlink" Target="https://doi.org/10.1016/j.jretconser.2015.11.006" TargetMode="External"/><Relationship Id="rId38" Type="http://schemas.openxmlformats.org/officeDocument/2006/relationships/hyperlink" Target="https://doi.org/10.3390/ijerph182010762" TargetMode="External"/><Relationship Id="rId2" Type="http://schemas.openxmlformats.org/officeDocument/2006/relationships/numbering" Target="numbering.xml"/><Relationship Id="rId16" Type="http://schemas.openxmlformats.org/officeDocument/2006/relationships/hyperlink" Target="https://doi.org/10.1177/0149206310388419" TargetMode="External"/><Relationship Id="rId20" Type="http://schemas.openxmlformats.org/officeDocument/2006/relationships/hyperlink" Target="https://doi.org/10.3389/fenrg.2023.1088297" TargetMode="External"/><Relationship Id="rId29" Type="http://schemas.openxmlformats.org/officeDocument/2006/relationships/hyperlink" Target="https://doi.org/10.1002/bsd2.70274" TargetMode="External"/><Relationship Id="rId41" Type="http://schemas.openxmlformats.org/officeDocument/2006/relationships/hyperlink" Target="https://doi.org/10.3390/su1410593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MIP-04-2023-0179" TargetMode="External"/><Relationship Id="rId24" Type="http://schemas.openxmlformats.org/officeDocument/2006/relationships/hyperlink" Target="https://doi.org/10.62304/ijbm.v1i2.145" TargetMode="External"/><Relationship Id="rId32" Type="http://schemas.openxmlformats.org/officeDocument/2006/relationships/hyperlink" Target="https://doi.org/10.2105/AJPH.2015.302993" TargetMode="External"/><Relationship Id="rId37" Type="http://schemas.openxmlformats.org/officeDocument/2006/relationships/hyperlink" Target="https://doi.org/10.18089/tms.20240201" TargetMode="External"/><Relationship Id="rId40" Type="http://schemas.openxmlformats.org/officeDocument/2006/relationships/hyperlink" Target="https://doi.org/10.1108/BFJ-09-2021-1002"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08/00251741211216250" TargetMode="External"/><Relationship Id="rId23" Type="http://schemas.openxmlformats.org/officeDocument/2006/relationships/hyperlink" Target="https://doi.org/10.18402/resci.2023.04.13" TargetMode="External"/><Relationship Id="rId28" Type="http://schemas.openxmlformats.org/officeDocument/2006/relationships/hyperlink" Target="https://doi.org/10.18402/resci.2023.10.06" TargetMode="External"/><Relationship Id="rId36" Type="http://schemas.openxmlformats.org/officeDocument/2006/relationships/hyperlink" Target="https://doi.org/10.1007/s11301-023-00337-5" TargetMode="External"/><Relationship Id="rId10" Type="http://schemas.openxmlformats.org/officeDocument/2006/relationships/hyperlink" Target="https://doi.org/10.1002/bsd2.378" TargetMode="External"/><Relationship Id="rId19" Type="http://schemas.openxmlformats.org/officeDocument/2006/relationships/hyperlink" Target="https://doi.org/10.1186/s12302-020-0300-3" TargetMode="External"/><Relationship Id="rId31" Type="http://schemas.openxmlformats.org/officeDocument/2006/relationships/hyperlink" Target="https://doi.org/10.3390/su16125108"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53555/kuey.v30i4.2328" TargetMode="External"/><Relationship Id="rId22" Type="http://schemas.openxmlformats.org/officeDocument/2006/relationships/hyperlink" Target="https://doi.org/10.3390/su14148499" TargetMode="External"/><Relationship Id="rId27" Type="http://schemas.openxmlformats.org/officeDocument/2006/relationships/hyperlink" Target="https://doi.org/10.33422/4th.icmrss.2021.07.850" TargetMode="External"/><Relationship Id="rId30" Type="http://schemas.openxmlformats.org/officeDocument/2006/relationships/hyperlink" Target="https://doi.org/10.3390/su141811703" TargetMode="External"/><Relationship Id="rId35" Type="http://schemas.openxmlformats.org/officeDocument/2006/relationships/hyperlink" Target="https://doi.org/10.1037/0021-9010.88.5.879"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B0110F-C8F1-4D65-B6C9-49D40DD435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19</Pages>
  <Words>5944</Words>
  <Characters>33883</Characters>
  <Application>Microsoft Office Word</Application>
  <DocSecurity>0</DocSecurity>
  <Lines>282</Lines>
  <Paragraphs>79</Paragraphs>
  <ScaleCrop>false</ScaleCrop>
  <Company/>
  <LinksUpToDate>false</LinksUpToDate>
  <CharactersWithSpaces>39748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35</cp:revision>
  <dcterms:created xsi:type="dcterms:W3CDTF">2026-07-13T19:16:00Z</dcterms:created>
  <dcterms:modified xsi:type="dcterms:W3CDTF">2026-07-17T09:29:00Z</dcterms:modified>
</cp:coreProperties>
</file>