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182169635"/>
        <w:docPartObj>
          <w:docPartGallery w:val="Cover Pages"/>
          <w:docPartUnique/>
        </w:docPartObj>
      </w:sdtPr>
      <w:sdtEndPr>
        <w:rPr>
          <w:caps/>
          <w:sz w:val="64"/>
          <w:szCs w:val="64"/>
        </w:rPr>
      </w:sdtEndPr>
      <w:sdtContent>
        <w:p w14:paraId="3FA4C102" w14:textId="055B864A" w:rsidR="00336CBA" w:rsidRDefault="00336CBA">
          <w:pPr>
            <w:pStyle w:val="NoSpacing"/>
            <w:spacing w:before="1540" w:after="240"/>
            <w:jc w:val="center"/>
            <w:rPr>
              <w:color w:val="4472C4" w:themeColor="accent1"/>
            </w:rPr>
          </w:pPr>
          <w:r>
            <w:rPr>
              <w:noProof/>
              <w:color w:val="4472C4" w:themeColor="accent1"/>
            </w:rPr>
            <w:drawing>
              <wp:inline distT="0" distB="0" distL="0" distR="0" wp14:anchorId="2F7D3FAB" wp14:editId="73003CD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DDDF047ABA74DA686BD4F0CFC15A5C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E8D358E" w14:textId="4755B161" w:rsidR="00336CBA" w:rsidRDefault="00336CB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written report</w:t>
              </w:r>
            </w:p>
          </w:sdtContent>
        </w:sdt>
        <w:p w14:paraId="7A4C5B87" w14:textId="14CE6334" w:rsidR="00336CBA" w:rsidRDefault="00336CBA" w:rsidP="00336CBA">
          <w:pPr>
            <w:pStyle w:val="NoSpacing"/>
            <w:tabs>
              <w:tab w:val="center" w:pos="4680"/>
              <w:tab w:val="left" w:pos="7704"/>
            </w:tabs>
            <w:rPr>
              <w:color w:val="4472C4" w:themeColor="accent1"/>
              <w:sz w:val="28"/>
              <w:szCs w:val="28"/>
            </w:rPr>
          </w:pPr>
          <w:r>
            <w:rPr>
              <w:color w:val="4472C4" w:themeColor="accent1"/>
              <w:sz w:val="28"/>
              <w:szCs w:val="28"/>
            </w:rPr>
            <w:tab/>
          </w:r>
          <w:sdt>
            <w:sdtPr>
              <w:rPr>
                <w:color w:val="4472C4" w:themeColor="accent1"/>
                <w:sz w:val="28"/>
                <w:szCs w:val="28"/>
              </w:rPr>
              <w:alias w:val="Subtitle"/>
              <w:tag w:val=""/>
              <w:id w:val="328029620"/>
              <w:placeholder>
                <w:docPart w:val="DD22D239B6F145149430CACC9E8518F8"/>
              </w:placeholder>
              <w:dataBinding w:prefixMappings="xmlns:ns0='http://purl.org/dc/elements/1.1/' xmlns:ns1='http://schemas.openxmlformats.org/package/2006/metadata/core-properties' " w:xpath="/ns1:coreProperties[1]/ns0:subject[1]" w:storeItemID="{6C3C8BC8-F283-45AE-878A-BAB7291924A1}"/>
              <w:text/>
            </w:sdtPr>
            <w:sdtEndPr/>
            <w:sdtContent>
              <w:r>
                <w:rPr>
                  <w:color w:val="4472C4" w:themeColor="accent1"/>
                  <w:sz w:val="28"/>
                  <w:szCs w:val="28"/>
                </w:rPr>
                <w:t>STUDENT: MARGARETA ALICE OLTEANU (2017649)</w:t>
              </w:r>
            </w:sdtContent>
          </w:sdt>
          <w:r>
            <w:rPr>
              <w:color w:val="4472C4" w:themeColor="accent1"/>
              <w:sz w:val="28"/>
              <w:szCs w:val="28"/>
            </w:rPr>
            <w:tab/>
          </w:r>
        </w:p>
        <w:p w14:paraId="34D41289" w14:textId="45B37581" w:rsidR="00336CBA" w:rsidRDefault="00336CBA" w:rsidP="00336CBA">
          <w:pPr>
            <w:pStyle w:val="NoSpacing"/>
            <w:tabs>
              <w:tab w:val="center" w:pos="4680"/>
              <w:tab w:val="left" w:pos="7704"/>
            </w:tabs>
            <w:rPr>
              <w:color w:val="4472C4" w:themeColor="accent1"/>
              <w:sz w:val="28"/>
              <w:szCs w:val="28"/>
            </w:rPr>
          </w:pPr>
          <w:r>
            <w:rPr>
              <w:color w:val="4472C4" w:themeColor="accent1"/>
              <w:sz w:val="28"/>
              <w:szCs w:val="28"/>
            </w:rPr>
            <w:t xml:space="preserve">                            </w:t>
          </w:r>
          <w:r w:rsidR="00767BB5">
            <w:rPr>
              <w:color w:val="4472C4" w:themeColor="accent1"/>
              <w:sz w:val="28"/>
              <w:szCs w:val="28"/>
            </w:rPr>
            <w:t>LECTURER: DONNA HOLDER</w:t>
          </w:r>
        </w:p>
        <w:p w14:paraId="3C791AA5" w14:textId="6D380E1A" w:rsidR="00767BB5" w:rsidRDefault="00767BB5" w:rsidP="00767BB5">
          <w:pPr>
            <w:spacing w:before="120" w:after="120"/>
            <w:rPr>
              <w:rFonts w:cstheme="minorHAnsi"/>
              <w:bCs/>
              <w:color w:val="4472C4" w:themeColor="accent1"/>
              <w:sz w:val="28"/>
              <w:szCs w:val="28"/>
            </w:rPr>
          </w:pPr>
          <w:r>
            <w:rPr>
              <w:color w:val="4472C4" w:themeColor="accent1"/>
              <w:sz w:val="28"/>
              <w:szCs w:val="28"/>
            </w:rPr>
            <w:t xml:space="preserve">                            </w:t>
          </w:r>
          <w:r w:rsidRPr="00767BB5">
            <w:rPr>
              <w:rFonts w:cstheme="minorHAnsi"/>
              <w:color w:val="4472C4" w:themeColor="accent1"/>
              <w:sz w:val="28"/>
              <w:szCs w:val="28"/>
            </w:rPr>
            <w:t>MODULE:</w:t>
          </w:r>
          <w:r w:rsidRPr="00767BB5">
            <w:rPr>
              <w:rFonts w:cstheme="minorHAnsi"/>
              <w:b/>
              <w:sz w:val="28"/>
              <w:szCs w:val="28"/>
            </w:rPr>
            <w:t xml:space="preserve"> </w:t>
          </w:r>
          <w:r w:rsidRPr="00767BB5">
            <w:rPr>
              <w:rFonts w:cstheme="minorHAnsi"/>
              <w:bCs/>
              <w:color w:val="4472C4" w:themeColor="accent1"/>
              <w:sz w:val="28"/>
              <w:szCs w:val="28"/>
            </w:rPr>
            <w:t>M</w:t>
          </w:r>
          <w:r>
            <w:rPr>
              <w:rFonts w:cstheme="minorHAnsi"/>
              <w:bCs/>
              <w:color w:val="4472C4" w:themeColor="accent1"/>
              <w:sz w:val="28"/>
              <w:szCs w:val="28"/>
            </w:rPr>
            <w:t>ENTAL DISORDERS</w:t>
          </w:r>
          <w:r w:rsidRPr="00767BB5">
            <w:rPr>
              <w:rFonts w:cstheme="minorHAnsi"/>
              <w:bCs/>
              <w:color w:val="4472C4" w:themeColor="accent1"/>
              <w:sz w:val="28"/>
              <w:szCs w:val="28"/>
            </w:rPr>
            <w:t xml:space="preserve"> </w:t>
          </w:r>
          <w:r>
            <w:rPr>
              <w:rFonts w:cstheme="minorHAnsi"/>
              <w:bCs/>
              <w:color w:val="4472C4" w:themeColor="accent1"/>
              <w:sz w:val="28"/>
              <w:szCs w:val="28"/>
            </w:rPr>
            <w:t>AND PSYCHOPATHOLOGY</w:t>
          </w:r>
        </w:p>
        <w:p w14:paraId="044467A6" w14:textId="46931D0D" w:rsidR="00767BB5" w:rsidRDefault="00767BB5" w:rsidP="00767BB5">
          <w:pPr>
            <w:spacing w:before="120" w:after="120"/>
            <w:rPr>
              <w:color w:val="4472C4" w:themeColor="accent1"/>
              <w:sz w:val="28"/>
              <w:szCs w:val="28"/>
            </w:rPr>
          </w:pPr>
          <w:r>
            <w:rPr>
              <w:rFonts w:cstheme="minorHAnsi"/>
              <w:bCs/>
              <w:color w:val="4472C4" w:themeColor="accent1"/>
              <w:sz w:val="28"/>
              <w:szCs w:val="28"/>
            </w:rPr>
            <w:t xml:space="preserve">                             MODULE CODE: BMHP6006_BIRM</w:t>
          </w:r>
        </w:p>
        <w:p w14:paraId="5E604D2A" w14:textId="45605F32" w:rsidR="00336CBA" w:rsidRDefault="00336CB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B29F284" wp14:editId="4349B50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3F258" w14:textId="57CA7C4A" w:rsidR="00336CBA" w:rsidRPr="00336CBA" w:rsidRDefault="00336CBA" w:rsidP="00336CBA">
                                <w:pPr>
                                  <w:pStyle w:val="NoSpacing"/>
                                  <w:spacing w:after="40"/>
                                  <w:jc w:val="center"/>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29F284"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0EF3F258" w14:textId="57CA7C4A" w:rsidR="00336CBA" w:rsidRPr="00336CBA" w:rsidRDefault="00336CBA" w:rsidP="00336CBA">
                          <w:pPr>
                            <w:pStyle w:val="NoSpacing"/>
                            <w:spacing w:after="40"/>
                            <w:jc w:val="center"/>
                            <w:rPr>
                              <w:caps/>
                              <w:color w:val="4472C4" w:themeColor="accent1"/>
                              <w:sz w:val="28"/>
                              <w:szCs w:val="28"/>
                            </w:rPr>
                          </w:pPr>
                        </w:p>
                      </w:txbxContent>
                    </v:textbox>
                    <w10:wrap anchorx="margin" anchory="page"/>
                  </v:shape>
                </w:pict>
              </mc:Fallback>
            </mc:AlternateContent>
          </w:r>
          <w:r>
            <w:rPr>
              <w:noProof/>
              <w:color w:val="4472C4" w:themeColor="accent1"/>
            </w:rPr>
            <w:drawing>
              <wp:inline distT="0" distB="0" distL="0" distR="0" wp14:anchorId="7DB1B55C" wp14:editId="25878DF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767BB5">
            <w:rPr>
              <w:color w:val="4472C4" w:themeColor="accent1"/>
            </w:rPr>
            <w:t xml:space="preserve">                  </w:t>
          </w:r>
        </w:p>
        <w:p w14:paraId="69D0C2A4" w14:textId="2BF3E361" w:rsidR="00336CBA" w:rsidRDefault="00336CBA">
          <w:pPr>
            <w:rPr>
              <w:caps/>
              <w:color w:val="4472C4" w:themeColor="accent1"/>
              <w:sz w:val="64"/>
              <w:szCs w:val="64"/>
            </w:rPr>
          </w:pPr>
          <w:r>
            <w:rPr>
              <w:caps/>
              <w:color w:val="4472C4" w:themeColor="accent1"/>
              <w:sz w:val="64"/>
              <w:szCs w:val="64"/>
            </w:rPr>
            <w:br w:type="page"/>
          </w:r>
        </w:p>
      </w:sdtContent>
    </w:sdt>
    <w:p w14:paraId="4374CB1D" w14:textId="4666D009" w:rsidR="00A03F78" w:rsidRPr="00EC2A00" w:rsidRDefault="00A03F78" w:rsidP="00EC2A00">
      <w:pPr>
        <w:spacing w:line="360" w:lineRule="auto"/>
        <w:rPr>
          <w:rFonts w:ascii="Arial" w:hAnsi="Arial" w:cs="Arial"/>
          <w:bCs/>
          <w:lang w:val="en-GB"/>
        </w:rPr>
      </w:pPr>
    </w:p>
    <w:sdt>
      <w:sdtPr>
        <w:rPr>
          <w:rFonts w:asciiTheme="minorHAnsi" w:eastAsiaTheme="minorHAnsi" w:hAnsiTheme="minorHAnsi" w:cs="Arial"/>
          <w:b w:val="0"/>
          <w:color w:val="auto"/>
          <w:sz w:val="22"/>
          <w:szCs w:val="22"/>
        </w:rPr>
        <w:id w:val="1712147800"/>
        <w:docPartObj>
          <w:docPartGallery w:val="Table of Contents"/>
          <w:docPartUnique/>
        </w:docPartObj>
      </w:sdtPr>
      <w:sdtEndPr>
        <w:rPr>
          <w:bCs/>
          <w:noProof/>
        </w:rPr>
      </w:sdtEndPr>
      <w:sdtContent>
        <w:p w14:paraId="1FB46F20" w14:textId="0D0DA0A9" w:rsidR="00456A7F" w:rsidRPr="00EC2A00" w:rsidRDefault="00456A7F" w:rsidP="00EC2A00">
          <w:pPr>
            <w:pStyle w:val="TOCHeading"/>
            <w:spacing w:line="360" w:lineRule="auto"/>
            <w:rPr>
              <w:rFonts w:cs="Arial"/>
              <w:b w:val="0"/>
              <w:bCs/>
              <w:color w:val="auto"/>
              <w:sz w:val="22"/>
              <w:szCs w:val="22"/>
            </w:rPr>
          </w:pPr>
          <w:r w:rsidRPr="00EC2A00">
            <w:rPr>
              <w:rFonts w:cs="Arial"/>
              <w:bCs/>
              <w:color w:val="auto"/>
              <w:sz w:val="22"/>
              <w:szCs w:val="22"/>
            </w:rPr>
            <w:t>Table of Contents</w:t>
          </w:r>
        </w:p>
        <w:p w14:paraId="771DD4AB" w14:textId="305C8987" w:rsidR="00DF46D3" w:rsidRPr="00EC2A00" w:rsidRDefault="00456A7F" w:rsidP="00EC2A00">
          <w:pPr>
            <w:pStyle w:val="TOC1"/>
            <w:tabs>
              <w:tab w:val="right" w:leader="dot" w:pos="9350"/>
            </w:tabs>
            <w:spacing w:line="360" w:lineRule="auto"/>
            <w:rPr>
              <w:rFonts w:ascii="Arial" w:eastAsiaTheme="minorEastAsia" w:hAnsi="Arial" w:cs="Arial"/>
              <w:noProof/>
            </w:rPr>
          </w:pPr>
          <w:r w:rsidRPr="00EC2A00">
            <w:rPr>
              <w:rFonts w:ascii="Arial" w:hAnsi="Arial" w:cs="Arial"/>
            </w:rPr>
            <w:fldChar w:fldCharType="begin"/>
          </w:r>
          <w:r w:rsidRPr="00EC2A00">
            <w:rPr>
              <w:rFonts w:ascii="Arial" w:hAnsi="Arial" w:cs="Arial"/>
            </w:rPr>
            <w:instrText xml:space="preserve"> TOC \o "1-3" \h \z \u </w:instrText>
          </w:r>
          <w:r w:rsidRPr="00EC2A00">
            <w:rPr>
              <w:rFonts w:ascii="Arial" w:hAnsi="Arial" w:cs="Arial"/>
            </w:rPr>
            <w:fldChar w:fldCharType="separate"/>
          </w:r>
          <w:hyperlink w:anchor="_Toc140495511" w:history="1">
            <w:r w:rsidR="00DF46D3" w:rsidRPr="00EC2A00">
              <w:rPr>
                <w:rStyle w:val="Hyperlink"/>
                <w:rFonts w:ascii="Arial" w:hAnsi="Arial" w:cs="Arial"/>
                <w:noProof/>
              </w:rPr>
              <w:t>Introduction</w:t>
            </w:r>
            <w:r w:rsidR="00DF46D3" w:rsidRPr="00EC2A00">
              <w:rPr>
                <w:rFonts w:ascii="Arial" w:hAnsi="Arial" w:cs="Arial"/>
                <w:noProof/>
                <w:webHidden/>
              </w:rPr>
              <w:tab/>
            </w:r>
            <w:r w:rsidR="00DF46D3" w:rsidRPr="00EC2A00">
              <w:rPr>
                <w:rFonts w:ascii="Arial" w:hAnsi="Arial" w:cs="Arial"/>
                <w:noProof/>
                <w:webHidden/>
              </w:rPr>
              <w:fldChar w:fldCharType="begin"/>
            </w:r>
            <w:r w:rsidR="00DF46D3" w:rsidRPr="00EC2A00">
              <w:rPr>
                <w:rFonts w:ascii="Arial" w:hAnsi="Arial" w:cs="Arial"/>
                <w:noProof/>
                <w:webHidden/>
              </w:rPr>
              <w:instrText xml:space="preserve"> PAGEREF _Toc140495511 \h </w:instrText>
            </w:r>
            <w:r w:rsidR="00DF46D3" w:rsidRPr="00EC2A00">
              <w:rPr>
                <w:rFonts w:ascii="Arial" w:hAnsi="Arial" w:cs="Arial"/>
                <w:noProof/>
                <w:webHidden/>
              </w:rPr>
            </w:r>
            <w:r w:rsidR="00DF46D3" w:rsidRPr="00EC2A00">
              <w:rPr>
                <w:rFonts w:ascii="Arial" w:hAnsi="Arial" w:cs="Arial"/>
                <w:noProof/>
                <w:webHidden/>
              </w:rPr>
              <w:fldChar w:fldCharType="separate"/>
            </w:r>
            <w:r w:rsidR="00D35189">
              <w:rPr>
                <w:rFonts w:ascii="Arial" w:hAnsi="Arial" w:cs="Arial"/>
                <w:noProof/>
                <w:webHidden/>
              </w:rPr>
              <w:t>2</w:t>
            </w:r>
            <w:r w:rsidR="00DF46D3" w:rsidRPr="00EC2A00">
              <w:rPr>
                <w:rFonts w:ascii="Arial" w:hAnsi="Arial" w:cs="Arial"/>
                <w:noProof/>
                <w:webHidden/>
              </w:rPr>
              <w:fldChar w:fldCharType="end"/>
            </w:r>
          </w:hyperlink>
        </w:p>
        <w:p w14:paraId="4E74A2D4" w14:textId="48159C5E" w:rsidR="00DF46D3" w:rsidRPr="00EC2A00" w:rsidRDefault="00E43B5B" w:rsidP="00EC2A00">
          <w:pPr>
            <w:pStyle w:val="TOC1"/>
            <w:tabs>
              <w:tab w:val="right" w:leader="dot" w:pos="9350"/>
            </w:tabs>
            <w:spacing w:line="360" w:lineRule="auto"/>
            <w:rPr>
              <w:rFonts w:ascii="Arial" w:eastAsiaTheme="minorEastAsia" w:hAnsi="Arial" w:cs="Arial"/>
              <w:noProof/>
            </w:rPr>
          </w:pPr>
          <w:hyperlink w:anchor="_Toc140495512" w:history="1">
            <w:r w:rsidR="00DF46D3" w:rsidRPr="00EC2A00">
              <w:rPr>
                <w:rStyle w:val="Hyperlink"/>
                <w:rFonts w:ascii="Arial" w:hAnsi="Arial" w:cs="Arial"/>
                <w:noProof/>
              </w:rPr>
              <w:t>Definition and Classification</w:t>
            </w:r>
            <w:r w:rsidR="00DF46D3" w:rsidRPr="00EC2A00">
              <w:rPr>
                <w:rFonts w:ascii="Arial" w:hAnsi="Arial" w:cs="Arial"/>
                <w:noProof/>
                <w:webHidden/>
              </w:rPr>
              <w:tab/>
            </w:r>
            <w:r w:rsidR="00DF46D3" w:rsidRPr="00EC2A00">
              <w:rPr>
                <w:rFonts w:ascii="Arial" w:hAnsi="Arial" w:cs="Arial"/>
                <w:noProof/>
                <w:webHidden/>
              </w:rPr>
              <w:fldChar w:fldCharType="begin"/>
            </w:r>
            <w:r w:rsidR="00DF46D3" w:rsidRPr="00EC2A00">
              <w:rPr>
                <w:rFonts w:ascii="Arial" w:hAnsi="Arial" w:cs="Arial"/>
                <w:noProof/>
                <w:webHidden/>
              </w:rPr>
              <w:instrText xml:space="preserve"> PAGEREF _Toc140495512 \h </w:instrText>
            </w:r>
            <w:r w:rsidR="00DF46D3" w:rsidRPr="00EC2A00">
              <w:rPr>
                <w:rFonts w:ascii="Arial" w:hAnsi="Arial" w:cs="Arial"/>
                <w:noProof/>
                <w:webHidden/>
              </w:rPr>
            </w:r>
            <w:r w:rsidR="00DF46D3" w:rsidRPr="00EC2A00">
              <w:rPr>
                <w:rFonts w:ascii="Arial" w:hAnsi="Arial" w:cs="Arial"/>
                <w:noProof/>
                <w:webHidden/>
              </w:rPr>
              <w:fldChar w:fldCharType="separate"/>
            </w:r>
            <w:r w:rsidR="00D35189">
              <w:rPr>
                <w:rFonts w:ascii="Arial" w:hAnsi="Arial" w:cs="Arial"/>
                <w:noProof/>
                <w:webHidden/>
              </w:rPr>
              <w:t>2</w:t>
            </w:r>
            <w:r w:rsidR="00DF46D3" w:rsidRPr="00EC2A00">
              <w:rPr>
                <w:rFonts w:ascii="Arial" w:hAnsi="Arial" w:cs="Arial"/>
                <w:noProof/>
                <w:webHidden/>
              </w:rPr>
              <w:fldChar w:fldCharType="end"/>
            </w:r>
          </w:hyperlink>
        </w:p>
        <w:p w14:paraId="6B976F69" w14:textId="560718B6" w:rsidR="00DF46D3" w:rsidRPr="00EC2A00" w:rsidRDefault="00E43B5B" w:rsidP="00EC2A00">
          <w:pPr>
            <w:pStyle w:val="TOC1"/>
            <w:tabs>
              <w:tab w:val="right" w:leader="dot" w:pos="9350"/>
            </w:tabs>
            <w:spacing w:line="360" w:lineRule="auto"/>
            <w:rPr>
              <w:rFonts w:ascii="Arial" w:eastAsiaTheme="minorEastAsia" w:hAnsi="Arial" w:cs="Arial"/>
              <w:noProof/>
            </w:rPr>
          </w:pPr>
          <w:hyperlink w:anchor="_Toc140495513" w:history="1">
            <w:r w:rsidR="00DF46D3" w:rsidRPr="00EC2A00">
              <w:rPr>
                <w:rStyle w:val="Hyperlink"/>
                <w:rFonts w:ascii="Arial" w:hAnsi="Arial" w:cs="Arial"/>
                <w:noProof/>
              </w:rPr>
              <w:t>Diagnosis</w:t>
            </w:r>
            <w:r w:rsidR="00DF46D3" w:rsidRPr="00EC2A00">
              <w:rPr>
                <w:rFonts w:ascii="Arial" w:hAnsi="Arial" w:cs="Arial"/>
                <w:noProof/>
                <w:webHidden/>
              </w:rPr>
              <w:tab/>
            </w:r>
            <w:r w:rsidR="00DF46D3" w:rsidRPr="00EC2A00">
              <w:rPr>
                <w:rFonts w:ascii="Arial" w:hAnsi="Arial" w:cs="Arial"/>
                <w:noProof/>
                <w:webHidden/>
              </w:rPr>
              <w:fldChar w:fldCharType="begin"/>
            </w:r>
            <w:r w:rsidR="00DF46D3" w:rsidRPr="00EC2A00">
              <w:rPr>
                <w:rFonts w:ascii="Arial" w:hAnsi="Arial" w:cs="Arial"/>
                <w:noProof/>
                <w:webHidden/>
              </w:rPr>
              <w:instrText xml:space="preserve"> PAGEREF _Toc140495513 \h </w:instrText>
            </w:r>
            <w:r w:rsidR="00DF46D3" w:rsidRPr="00EC2A00">
              <w:rPr>
                <w:rFonts w:ascii="Arial" w:hAnsi="Arial" w:cs="Arial"/>
                <w:noProof/>
                <w:webHidden/>
              </w:rPr>
            </w:r>
            <w:r w:rsidR="00DF46D3" w:rsidRPr="00EC2A00">
              <w:rPr>
                <w:rFonts w:ascii="Arial" w:hAnsi="Arial" w:cs="Arial"/>
                <w:noProof/>
                <w:webHidden/>
              </w:rPr>
              <w:fldChar w:fldCharType="separate"/>
            </w:r>
            <w:r w:rsidR="00D35189">
              <w:rPr>
                <w:rFonts w:ascii="Arial" w:hAnsi="Arial" w:cs="Arial"/>
                <w:noProof/>
                <w:webHidden/>
              </w:rPr>
              <w:t>3</w:t>
            </w:r>
            <w:r w:rsidR="00DF46D3" w:rsidRPr="00EC2A00">
              <w:rPr>
                <w:rFonts w:ascii="Arial" w:hAnsi="Arial" w:cs="Arial"/>
                <w:noProof/>
                <w:webHidden/>
              </w:rPr>
              <w:fldChar w:fldCharType="end"/>
            </w:r>
          </w:hyperlink>
        </w:p>
        <w:p w14:paraId="2B9A0B87" w14:textId="0A7919C9" w:rsidR="00DF46D3" w:rsidRPr="00EC2A00" w:rsidRDefault="00E43B5B" w:rsidP="00EC2A00">
          <w:pPr>
            <w:pStyle w:val="TOC1"/>
            <w:tabs>
              <w:tab w:val="right" w:leader="dot" w:pos="9350"/>
            </w:tabs>
            <w:spacing w:line="360" w:lineRule="auto"/>
            <w:rPr>
              <w:rFonts w:ascii="Arial" w:eastAsiaTheme="minorEastAsia" w:hAnsi="Arial" w:cs="Arial"/>
              <w:noProof/>
            </w:rPr>
          </w:pPr>
          <w:hyperlink w:anchor="_Toc140495514" w:history="1">
            <w:r w:rsidR="00DF46D3" w:rsidRPr="00EC2A00">
              <w:rPr>
                <w:rStyle w:val="Hyperlink"/>
                <w:rFonts w:ascii="Arial" w:hAnsi="Arial" w:cs="Arial"/>
                <w:noProof/>
              </w:rPr>
              <w:t>Treatment</w:t>
            </w:r>
            <w:r w:rsidR="00DF46D3" w:rsidRPr="00EC2A00">
              <w:rPr>
                <w:rFonts w:ascii="Arial" w:hAnsi="Arial" w:cs="Arial"/>
                <w:noProof/>
                <w:webHidden/>
              </w:rPr>
              <w:tab/>
            </w:r>
            <w:r w:rsidR="00DF46D3" w:rsidRPr="00EC2A00">
              <w:rPr>
                <w:rFonts w:ascii="Arial" w:hAnsi="Arial" w:cs="Arial"/>
                <w:noProof/>
                <w:webHidden/>
              </w:rPr>
              <w:fldChar w:fldCharType="begin"/>
            </w:r>
            <w:r w:rsidR="00DF46D3" w:rsidRPr="00EC2A00">
              <w:rPr>
                <w:rFonts w:ascii="Arial" w:hAnsi="Arial" w:cs="Arial"/>
                <w:noProof/>
                <w:webHidden/>
              </w:rPr>
              <w:instrText xml:space="preserve"> PAGEREF _Toc140495514 \h </w:instrText>
            </w:r>
            <w:r w:rsidR="00DF46D3" w:rsidRPr="00EC2A00">
              <w:rPr>
                <w:rFonts w:ascii="Arial" w:hAnsi="Arial" w:cs="Arial"/>
                <w:noProof/>
                <w:webHidden/>
              </w:rPr>
            </w:r>
            <w:r w:rsidR="00DF46D3" w:rsidRPr="00EC2A00">
              <w:rPr>
                <w:rFonts w:ascii="Arial" w:hAnsi="Arial" w:cs="Arial"/>
                <w:noProof/>
                <w:webHidden/>
              </w:rPr>
              <w:fldChar w:fldCharType="separate"/>
            </w:r>
            <w:r w:rsidR="00D35189">
              <w:rPr>
                <w:rFonts w:ascii="Arial" w:hAnsi="Arial" w:cs="Arial"/>
                <w:noProof/>
                <w:webHidden/>
              </w:rPr>
              <w:t>5</w:t>
            </w:r>
            <w:r w:rsidR="00DF46D3" w:rsidRPr="00EC2A00">
              <w:rPr>
                <w:rFonts w:ascii="Arial" w:hAnsi="Arial" w:cs="Arial"/>
                <w:noProof/>
                <w:webHidden/>
              </w:rPr>
              <w:fldChar w:fldCharType="end"/>
            </w:r>
          </w:hyperlink>
        </w:p>
        <w:p w14:paraId="4FB90199" w14:textId="70F2C53E" w:rsidR="00DF46D3" w:rsidRPr="00EC2A00" w:rsidRDefault="00E43B5B" w:rsidP="00EC2A00">
          <w:pPr>
            <w:pStyle w:val="TOC2"/>
            <w:tabs>
              <w:tab w:val="right" w:leader="dot" w:pos="9350"/>
            </w:tabs>
            <w:spacing w:line="360" w:lineRule="auto"/>
            <w:rPr>
              <w:rFonts w:ascii="Arial" w:eastAsiaTheme="minorEastAsia" w:hAnsi="Arial" w:cs="Arial"/>
              <w:noProof/>
            </w:rPr>
          </w:pPr>
          <w:hyperlink w:anchor="_Toc140495515" w:history="1">
            <w:r w:rsidR="00DF46D3" w:rsidRPr="00EC2A00">
              <w:rPr>
                <w:rStyle w:val="Hyperlink"/>
                <w:rFonts w:ascii="Arial" w:hAnsi="Arial" w:cs="Arial"/>
                <w:noProof/>
              </w:rPr>
              <w:t>Medical Treatment</w:t>
            </w:r>
            <w:r w:rsidR="00DF46D3" w:rsidRPr="00EC2A00">
              <w:rPr>
                <w:rFonts w:ascii="Arial" w:hAnsi="Arial" w:cs="Arial"/>
                <w:noProof/>
                <w:webHidden/>
              </w:rPr>
              <w:tab/>
            </w:r>
            <w:r w:rsidR="00DF46D3" w:rsidRPr="00EC2A00">
              <w:rPr>
                <w:rFonts w:ascii="Arial" w:hAnsi="Arial" w:cs="Arial"/>
                <w:noProof/>
                <w:webHidden/>
              </w:rPr>
              <w:fldChar w:fldCharType="begin"/>
            </w:r>
            <w:r w:rsidR="00DF46D3" w:rsidRPr="00EC2A00">
              <w:rPr>
                <w:rFonts w:ascii="Arial" w:hAnsi="Arial" w:cs="Arial"/>
                <w:noProof/>
                <w:webHidden/>
              </w:rPr>
              <w:instrText xml:space="preserve"> PAGEREF _Toc140495515 \h </w:instrText>
            </w:r>
            <w:r w:rsidR="00DF46D3" w:rsidRPr="00EC2A00">
              <w:rPr>
                <w:rFonts w:ascii="Arial" w:hAnsi="Arial" w:cs="Arial"/>
                <w:noProof/>
                <w:webHidden/>
              </w:rPr>
            </w:r>
            <w:r w:rsidR="00DF46D3" w:rsidRPr="00EC2A00">
              <w:rPr>
                <w:rFonts w:ascii="Arial" w:hAnsi="Arial" w:cs="Arial"/>
                <w:noProof/>
                <w:webHidden/>
              </w:rPr>
              <w:fldChar w:fldCharType="separate"/>
            </w:r>
            <w:r w:rsidR="00D35189">
              <w:rPr>
                <w:rFonts w:ascii="Arial" w:hAnsi="Arial" w:cs="Arial"/>
                <w:noProof/>
                <w:webHidden/>
              </w:rPr>
              <w:t>5</w:t>
            </w:r>
            <w:r w:rsidR="00DF46D3" w:rsidRPr="00EC2A00">
              <w:rPr>
                <w:rFonts w:ascii="Arial" w:hAnsi="Arial" w:cs="Arial"/>
                <w:noProof/>
                <w:webHidden/>
              </w:rPr>
              <w:fldChar w:fldCharType="end"/>
            </w:r>
          </w:hyperlink>
        </w:p>
        <w:p w14:paraId="077F3655" w14:textId="5C1C4D19" w:rsidR="00DF46D3" w:rsidRPr="00EC2A00" w:rsidRDefault="00E43B5B" w:rsidP="00EC2A00">
          <w:pPr>
            <w:pStyle w:val="TOC2"/>
            <w:tabs>
              <w:tab w:val="right" w:leader="dot" w:pos="9350"/>
            </w:tabs>
            <w:spacing w:line="360" w:lineRule="auto"/>
            <w:rPr>
              <w:rFonts w:ascii="Arial" w:eastAsiaTheme="minorEastAsia" w:hAnsi="Arial" w:cs="Arial"/>
              <w:noProof/>
            </w:rPr>
          </w:pPr>
          <w:hyperlink w:anchor="_Toc140495516" w:history="1">
            <w:r w:rsidR="00DF46D3" w:rsidRPr="00EC2A00">
              <w:rPr>
                <w:rStyle w:val="Hyperlink"/>
                <w:rFonts w:ascii="Arial" w:hAnsi="Arial" w:cs="Arial"/>
                <w:noProof/>
              </w:rPr>
              <w:t>Psychological Interventions</w:t>
            </w:r>
            <w:r w:rsidR="00DF46D3" w:rsidRPr="00EC2A00">
              <w:rPr>
                <w:rFonts w:ascii="Arial" w:hAnsi="Arial" w:cs="Arial"/>
                <w:noProof/>
                <w:webHidden/>
              </w:rPr>
              <w:tab/>
            </w:r>
            <w:r w:rsidR="00DF46D3" w:rsidRPr="00EC2A00">
              <w:rPr>
                <w:rFonts w:ascii="Arial" w:hAnsi="Arial" w:cs="Arial"/>
                <w:noProof/>
                <w:webHidden/>
              </w:rPr>
              <w:fldChar w:fldCharType="begin"/>
            </w:r>
            <w:r w:rsidR="00DF46D3" w:rsidRPr="00EC2A00">
              <w:rPr>
                <w:rFonts w:ascii="Arial" w:hAnsi="Arial" w:cs="Arial"/>
                <w:noProof/>
                <w:webHidden/>
              </w:rPr>
              <w:instrText xml:space="preserve"> PAGEREF _Toc140495516 \h </w:instrText>
            </w:r>
            <w:r w:rsidR="00DF46D3" w:rsidRPr="00EC2A00">
              <w:rPr>
                <w:rFonts w:ascii="Arial" w:hAnsi="Arial" w:cs="Arial"/>
                <w:noProof/>
                <w:webHidden/>
              </w:rPr>
            </w:r>
            <w:r w:rsidR="00DF46D3" w:rsidRPr="00EC2A00">
              <w:rPr>
                <w:rFonts w:ascii="Arial" w:hAnsi="Arial" w:cs="Arial"/>
                <w:noProof/>
                <w:webHidden/>
              </w:rPr>
              <w:fldChar w:fldCharType="separate"/>
            </w:r>
            <w:r w:rsidR="00D35189">
              <w:rPr>
                <w:rFonts w:ascii="Arial" w:hAnsi="Arial" w:cs="Arial"/>
                <w:noProof/>
                <w:webHidden/>
              </w:rPr>
              <w:t>5</w:t>
            </w:r>
            <w:r w:rsidR="00DF46D3" w:rsidRPr="00EC2A00">
              <w:rPr>
                <w:rFonts w:ascii="Arial" w:hAnsi="Arial" w:cs="Arial"/>
                <w:noProof/>
                <w:webHidden/>
              </w:rPr>
              <w:fldChar w:fldCharType="end"/>
            </w:r>
          </w:hyperlink>
        </w:p>
        <w:p w14:paraId="36541600" w14:textId="35B994E6" w:rsidR="00DF46D3" w:rsidRPr="00EC2A00" w:rsidRDefault="00E43B5B" w:rsidP="00EC2A00">
          <w:pPr>
            <w:pStyle w:val="TOC1"/>
            <w:tabs>
              <w:tab w:val="right" w:leader="dot" w:pos="9350"/>
            </w:tabs>
            <w:spacing w:line="360" w:lineRule="auto"/>
            <w:rPr>
              <w:rFonts w:ascii="Arial" w:eastAsiaTheme="minorEastAsia" w:hAnsi="Arial" w:cs="Arial"/>
              <w:noProof/>
            </w:rPr>
          </w:pPr>
          <w:hyperlink w:anchor="_Toc140495517" w:history="1">
            <w:r w:rsidR="00DF46D3" w:rsidRPr="00EC2A00">
              <w:rPr>
                <w:rStyle w:val="Hyperlink"/>
                <w:rFonts w:ascii="Arial" w:hAnsi="Arial" w:cs="Arial"/>
                <w:noProof/>
              </w:rPr>
              <w:t>Measurement of Rehabilitation</w:t>
            </w:r>
            <w:r w:rsidR="00DF46D3" w:rsidRPr="00EC2A00">
              <w:rPr>
                <w:rFonts w:ascii="Arial" w:hAnsi="Arial" w:cs="Arial"/>
                <w:noProof/>
                <w:webHidden/>
              </w:rPr>
              <w:tab/>
            </w:r>
            <w:r w:rsidR="00DF46D3" w:rsidRPr="00EC2A00">
              <w:rPr>
                <w:rFonts w:ascii="Arial" w:hAnsi="Arial" w:cs="Arial"/>
                <w:noProof/>
                <w:webHidden/>
              </w:rPr>
              <w:fldChar w:fldCharType="begin"/>
            </w:r>
            <w:r w:rsidR="00DF46D3" w:rsidRPr="00EC2A00">
              <w:rPr>
                <w:rFonts w:ascii="Arial" w:hAnsi="Arial" w:cs="Arial"/>
                <w:noProof/>
                <w:webHidden/>
              </w:rPr>
              <w:instrText xml:space="preserve"> PAGEREF _Toc140495517 \h </w:instrText>
            </w:r>
            <w:r w:rsidR="00DF46D3" w:rsidRPr="00EC2A00">
              <w:rPr>
                <w:rFonts w:ascii="Arial" w:hAnsi="Arial" w:cs="Arial"/>
                <w:noProof/>
                <w:webHidden/>
              </w:rPr>
            </w:r>
            <w:r w:rsidR="00DF46D3" w:rsidRPr="00EC2A00">
              <w:rPr>
                <w:rFonts w:ascii="Arial" w:hAnsi="Arial" w:cs="Arial"/>
                <w:noProof/>
                <w:webHidden/>
              </w:rPr>
              <w:fldChar w:fldCharType="separate"/>
            </w:r>
            <w:r w:rsidR="00D35189">
              <w:rPr>
                <w:rFonts w:ascii="Arial" w:hAnsi="Arial" w:cs="Arial"/>
                <w:noProof/>
                <w:webHidden/>
              </w:rPr>
              <w:t>7</w:t>
            </w:r>
            <w:r w:rsidR="00DF46D3" w:rsidRPr="00EC2A00">
              <w:rPr>
                <w:rFonts w:ascii="Arial" w:hAnsi="Arial" w:cs="Arial"/>
                <w:noProof/>
                <w:webHidden/>
              </w:rPr>
              <w:fldChar w:fldCharType="end"/>
            </w:r>
          </w:hyperlink>
        </w:p>
        <w:p w14:paraId="52DCBD8A" w14:textId="4252708C" w:rsidR="00DF46D3" w:rsidRPr="00EC2A00" w:rsidRDefault="00E43B5B" w:rsidP="00EC2A00">
          <w:pPr>
            <w:pStyle w:val="TOC1"/>
            <w:tabs>
              <w:tab w:val="right" w:leader="dot" w:pos="9350"/>
            </w:tabs>
            <w:spacing w:line="360" w:lineRule="auto"/>
            <w:rPr>
              <w:rFonts w:ascii="Arial" w:eastAsiaTheme="minorEastAsia" w:hAnsi="Arial" w:cs="Arial"/>
              <w:noProof/>
            </w:rPr>
          </w:pPr>
          <w:hyperlink w:anchor="_Toc140495518" w:history="1">
            <w:r w:rsidR="00DF46D3" w:rsidRPr="00EC2A00">
              <w:rPr>
                <w:rStyle w:val="Hyperlink"/>
                <w:rFonts w:ascii="Arial" w:hAnsi="Arial" w:cs="Arial"/>
                <w:noProof/>
              </w:rPr>
              <w:t>Recommendations for Future Practice</w:t>
            </w:r>
            <w:r w:rsidR="00DF46D3" w:rsidRPr="00EC2A00">
              <w:rPr>
                <w:rFonts w:ascii="Arial" w:hAnsi="Arial" w:cs="Arial"/>
                <w:noProof/>
                <w:webHidden/>
              </w:rPr>
              <w:tab/>
            </w:r>
            <w:r w:rsidR="00DF46D3" w:rsidRPr="00EC2A00">
              <w:rPr>
                <w:rFonts w:ascii="Arial" w:hAnsi="Arial" w:cs="Arial"/>
                <w:noProof/>
                <w:webHidden/>
              </w:rPr>
              <w:fldChar w:fldCharType="begin"/>
            </w:r>
            <w:r w:rsidR="00DF46D3" w:rsidRPr="00EC2A00">
              <w:rPr>
                <w:rFonts w:ascii="Arial" w:hAnsi="Arial" w:cs="Arial"/>
                <w:noProof/>
                <w:webHidden/>
              </w:rPr>
              <w:instrText xml:space="preserve"> PAGEREF _Toc140495518 \h </w:instrText>
            </w:r>
            <w:r w:rsidR="00DF46D3" w:rsidRPr="00EC2A00">
              <w:rPr>
                <w:rFonts w:ascii="Arial" w:hAnsi="Arial" w:cs="Arial"/>
                <w:noProof/>
                <w:webHidden/>
              </w:rPr>
            </w:r>
            <w:r w:rsidR="00DF46D3" w:rsidRPr="00EC2A00">
              <w:rPr>
                <w:rFonts w:ascii="Arial" w:hAnsi="Arial" w:cs="Arial"/>
                <w:noProof/>
                <w:webHidden/>
              </w:rPr>
              <w:fldChar w:fldCharType="separate"/>
            </w:r>
            <w:r w:rsidR="00D35189">
              <w:rPr>
                <w:rFonts w:ascii="Arial" w:hAnsi="Arial" w:cs="Arial"/>
                <w:noProof/>
                <w:webHidden/>
              </w:rPr>
              <w:t>8</w:t>
            </w:r>
            <w:r w:rsidR="00DF46D3" w:rsidRPr="00EC2A00">
              <w:rPr>
                <w:rFonts w:ascii="Arial" w:hAnsi="Arial" w:cs="Arial"/>
                <w:noProof/>
                <w:webHidden/>
              </w:rPr>
              <w:fldChar w:fldCharType="end"/>
            </w:r>
          </w:hyperlink>
        </w:p>
        <w:p w14:paraId="7960322B" w14:textId="5222A417" w:rsidR="00DF46D3" w:rsidRPr="00EC2A00" w:rsidRDefault="00E43B5B" w:rsidP="00EC2A00">
          <w:pPr>
            <w:pStyle w:val="TOC1"/>
            <w:tabs>
              <w:tab w:val="right" w:leader="dot" w:pos="9350"/>
            </w:tabs>
            <w:spacing w:line="360" w:lineRule="auto"/>
            <w:rPr>
              <w:rFonts w:ascii="Arial" w:eastAsiaTheme="minorEastAsia" w:hAnsi="Arial" w:cs="Arial"/>
              <w:noProof/>
            </w:rPr>
          </w:pPr>
          <w:hyperlink w:anchor="_Toc140495519" w:history="1">
            <w:r w:rsidR="00DF46D3" w:rsidRPr="00EC2A00">
              <w:rPr>
                <w:rStyle w:val="Hyperlink"/>
                <w:rFonts w:ascii="Arial" w:hAnsi="Arial" w:cs="Arial"/>
                <w:noProof/>
              </w:rPr>
              <w:t>Conclusion</w:t>
            </w:r>
            <w:r w:rsidR="00DF46D3" w:rsidRPr="00EC2A00">
              <w:rPr>
                <w:rFonts w:ascii="Arial" w:hAnsi="Arial" w:cs="Arial"/>
                <w:noProof/>
                <w:webHidden/>
              </w:rPr>
              <w:tab/>
            </w:r>
            <w:r w:rsidR="00DF46D3" w:rsidRPr="00EC2A00">
              <w:rPr>
                <w:rFonts w:ascii="Arial" w:hAnsi="Arial" w:cs="Arial"/>
                <w:noProof/>
                <w:webHidden/>
              </w:rPr>
              <w:fldChar w:fldCharType="begin"/>
            </w:r>
            <w:r w:rsidR="00DF46D3" w:rsidRPr="00EC2A00">
              <w:rPr>
                <w:rFonts w:ascii="Arial" w:hAnsi="Arial" w:cs="Arial"/>
                <w:noProof/>
                <w:webHidden/>
              </w:rPr>
              <w:instrText xml:space="preserve"> PAGEREF _Toc140495519 \h </w:instrText>
            </w:r>
            <w:r w:rsidR="00DF46D3" w:rsidRPr="00EC2A00">
              <w:rPr>
                <w:rFonts w:ascii="Arial" w:hAnsi="Arial" w:cs="Arial"/>
                <w:noProof/>
                <w:webHidden/>
              </w:rPr>
            </w:r>
            <w:r w:rsidR="00DF46D3" w:rsidRPr="00EC2A00">
              <w:rPr>
                <w:rFonts w:ascii="Arial" w:hAnsi="Arial" w:cs="Arial"/>
                <w:noProof/>
                <w:webHidden/>
              </w:rPr>
              <w:fldChar w:fldCharType="separate"/>
            </w:r>
            <w:r w:rsidR="00D35189">
              <w:rPr>
                <w:rFonts w:ascii="Arial" w:hAnsi="Arial" w:cs="Arial"/>
                <w:noProof/>
                <w:webHidden/>
              </w:rPr>
              <w:t>10</w:t>
            </w:r>
            <w:r w:rsidR="00DF46D3" w:rsidRPr="00EC2A00">
              <w:rPr>
                <w:rFonts w:ascii="Arial" w:hAnsi="Arial" w:cs="Arial"/>
                <w:noProof/>
                <w:webHidden/>
              </w:rPr>
              <w:fldChar w:fldCharType="end"/>
            </w:r>
          </w:hyperlink>
        </w:p>
        <w:p w14:paraId="7A71900E" w14:textId="16A15935" w:rsidR="00DF46D3" w:rsidRPr="00EC2A00" w:rsidRDefault="00E43B5B" w:rsidP="00EC2A00">
          <w:pPr>
            <w:pStyle w:val="TOC1"/>
            <w:tabs>
              <w:tab w:val="right" w:leader="dot" w:pos="9350"/>
            </w:tabs>
            <w:spacing w:line="360" w:lineRule="auto"/>
            <w:rPr>
              <w:rFonts w:ascii="Arial" w:eastAsiaTheme="minorEastAsia" w:hAnsi="Arial" w:cs="Arial"/>
              <w:noProof/>
            </w:rPr>
          </w:pPr>
          <w:hyperlink w:anchor="_Toc140495520" w:history="1">
            <w:r w:rsidR="00DF46D3" w:rsidRPr="00EC2A00">
              <w:rPr>
                <w:rStyle w:val="Hyperlink"/>
                <w:rFonts w:ascii="Arial" w:hAnsi="Arial" w:cs="Arial"/>
                <w:noProof/>
              </w:rPr>
              <w:t>Reference List</w:t>
            </w:r>
            <w:r w:rsidR="00DF46D3" w:rsidRPr="00EC2A00">
              <w:rPr>
                <w:rFonts w:ascii="Arial" w:hAnsi="Arial" w:cs="Arial"/>
                <w:noProof/>
                <w:webHidden/>
              </w:rPr>
              <w:tab/>
            </w:r>
            <w:r w:rsidR="00DF46D3" w:rsidRPr="00EC2A00">
              <w:rPr>
                <w:rFonts w:ascii="Arial" w:hAnsi="Arial" w:cs="Arial"/>
                <w:noProof/>
                <w:webHidden/>
              </w:rPr>
              <w:fldChar w:fldCharType="begin"/>
            </w:r>
            <w:r w:rsidR="00DF46D3" w:rsidRPr="00EC2A00">
              <w:rPr>
                <w:rFonts w:ascii="Arial" w:hAnsi="Arial" w:cs="Arial"/>
                <w:noProof/>
                <w:webHidden/>
              </w:rPr>
              <w:instrText xml:space="preserve"> PAGEREF _Toc140495520 \h </w:instrText>
            </w:r>
            <w:r w:rsidR="00DF46D3" w:rsidRPr="00EC2A00">
              <w:rPr>
                <w:rFonts w:ascii="Arial" w:hAnsi="Arial" w:cs="Arial"/>
                <w:noProof/>
                <w:webHidden/>
              </w:rPr>
            </w:r>
            <w:r w:rsidR="00DF46D3" w:rsidRPr="00EC2A00">
              <w:rPr>
                <w:rFonts w:ascii="Arial" w:hAnsi="Arial" w:cs="Arial"/>
                <w:noProof/>
                <w:webHidden/>
              </w:rPr>
              <w:fldChar w:fldCharType="separate"/>
            </w:r>
            <w:r w:rsidR="00D35189">
              <w:rPr>
                <w:rFonts w:ascii="Arial" w:hAnsi="Arial" w:cs="Arial"/>
                <w:noProof/>
                <w:webHidden/>
              </w:rPr>
              <w:t>11</w:t>
            </w:r>
            <w:r w:rsidR="00DF46D3" w:rsidRPr="00EC2A00">
              <w:rPr>
                <w:rFonts w:ascii="Arial" w:hAnsi="Arial" w:cs="Arial"/>
                <w:noProof/>
                <w:webHidden/>
              </w:rPr>
              <w:fldChar w:fldCharType="end"/>
            </w:r>
          </w:hyperlink>
        </w:p>
        <w:p w14:paraId="6817E8F4" w14:textId="0293B1EF" w:rsidR="00456A7F" w:rsidRPr="00EC2A00" w:rsidRDefault="00456A7F" w:rsidP="00EC2A00">
          <w:pPr>
            <w:spacing w:line="360" w:lineRule="auto"/>
            <w:rPr>
              <w:rFonts w:ascii="Arial" w:hAnsi="Arial" w:cs="Arial"/>
            </w:rPr>
          </w:pPr>
          <w:r w:rsidRPr="00EC2A00">
            <w:rPr>
              <w:rFonts w:ascii="Arial" w:hAnsi="Arial" w:cs="Arial"/>
              <w:b/>
              <w:bCs/>
              <w:noProof/>
            </w:rPr>
            <w:fldChar w:fldCharType="end"/>
          </w:r>
        </w:p>
      </w:sdtContent>
    </w:sdt>
    <w:p w14:paraId="03339AF2" w14:textId="77777777" w:rsidR="00A03F78" w:rsidRPr="00EC2A00" w:rsidRDefault="00A03F78" w:rsidP="00EC2A00">
      <w:pPr>
        <w:spacing w:line="360" w:lineRule="auto"/>
        <w:rPr>
          <w:rFonts w:ascii="Arial" w:hAnsi="Arial" w:cs="Arial"/>
          <w:b/>
          <w:lang w:val="en-GB"/>
        </w:rPr>
      </w:pPr>
    </w:p>
    <w:p w14:paraId="771B6F32" w14:textId="77777777" w:rsidR="00456A7F" w:rsidRPr="00EC2A00" w:rsidRDefault="00456A7F" w:rsidP="00EC2A00">
      <w:pPr>
        <w:spacing w:line="360" w:lineRule="auto"/>
        <w:rPr>
          <w:rFonts w:ascii="Arial" w:eastAsiaTheme="majorEastAsia" w:hAnsi="Arial" w:cs="Arial"/>
          <w:b/>
          <w:bCs/>
        </w:rPr>
      </w:pPr>
      <w:r w:rsidRPr="00EC2A00">
        <w:rPr>
          <w:rFonts w:ascii="Arial" w:hAnsi="Arial" w:cs="Arial"/>
          <w:b/>
          <w:bCs/>
        </w:rPr>
        <w:br w:type="page"/>
      </w:r>
    </w:p>
    <w:p w14:paraId="7C429E57" w14:textId="7BBF5B38" w:rsidR="00CD04BB" w:rsidRPr="00450ABF" w:rsidRDefault="00CD04BB" w:rsidP="00450ABF">
      <w:pPr>
        <w:pStyle w:val="Heading1"/>
        <w:spacing w:line="360" w:lineRule="auto"/>
        <w:jc w:val="both"/>
        <w:rPr>
          <w:rFonts w:cs="Arial"/>
          <w:sz w:val="22"/>
          <w:szCs w:val="22"/>
        </w:rPr>
      </w:pPr>
      <w:bookmarkStart w:id="0" w:name="_Toc140495511"/>
      <w:r w:rsidRPr="00450ABF">
        <w:rPr>
          <w:rFonts w:cs="Arial"/>
          <w:sz w:val="22"/>
          <w:szCs w:val="22"/>
        </w:rPr>
        <w:lastRenderedPageBreak/>
        <w:t>Introduction</w:t>
      </w:r>
      <w:bookmarkEnd w:id="0"/>
    </w:p>
    <w:p w14:paraId="0A49000E" w14:textId="5F64AADF" w:rsidR="00CD04BB" w:rsidRPr="00450ABF" w:rsidRDefault="007D46D0" w:rsidP="00450ABF">
      <w:pPr>
        <w:spacing w:line="360" w:lineRule="auto"/>
        <w:ind w:firstLine="720"/>
        <w:jc w:val="both"/>
        <w:rPr>
          <w:rFonts w:ascii="Arial" w:hAnsi="Arial" w:cs="Arial"/>
        </w:rPr>
      </w:pPr>
      <w:r w:rsidRPr="00450ABF">
        <w:rPr>
          <w:rFonts w:ascii="Arial" w:hAnsi="Arial" w:cs="Arial"/>
        </w:rPr>
        <w:t>This</w:t>
      </w:r>
      <w:r w:rsidR="00CD04BB" w:rsidRPr="00450ABF">
        <w:rPr>
          <w:rFonts w:ascii="Arial" w:hAnsi="Arial" w:cs="Arial"/>
        </w:rPr>
        <w:t xml:space="preserve"> report </w:t>
      </w:r>
      <w:r w:rsidRPr="00450ABF">
        <w:rPr>
          <w:rFonts w:ascii="Arial" w:hAnsi="Arial" w:cs="Arial"/>
        </w:rPr>
        <w:t>seeks</w:t>
      </w:r>
      <w:r w:rsidR="00CD04BB" w:rsidRPr="00450ABF">
        <w:rPr>
          <w:rFonts w:ascii="Arial" w:hAnsi="Arial" w:cs="Arial"/>
        </w:rPr>
        <w:t xml:space="preserve"> to critically evaluate the task of identifying, assessing</w:t>
      </w:r>
      <w:r w:rsidR="0032672B" w:rsidRPr="00450ABF">
        <w:rPr>
          <w:rFonts w:ascii="Arial" w:hAnsi="Arial" w:cs="Arial"/>
        </w:rPr>
        <w:t xml:space="preserve"> and</w:t>
      </w:r>
      <w:r w:rsidR="00CD04BB" w:rsidRPr="00450ABF">
        <w:rPr>
          <w:rFonts w:ascii="Arial" w:hAnsi="Arial" w:cs="Arial"/>
        </w:rPr>
        <w:t xml:space="preserve"> outlining the health and social care needs of an elderly individual with dementia. Dementia is a complex and progressive neurodegenerative disorder that significantly affects cognitive functioning and daily life activities</w:t>
      </w:r>
      <w:r w:rsidR="0044439A" w:rsidRPr="00450ABF">
        <w:rPr>
          <w:rFonts w:ascii="Arial" w:hAnsi="Arial" w:cs="Arial"/>
        </w:rPr>
        <w:t xml:space="preserve"> (</w:t>
      </w:r>
      <w:proofErr w:type="spellStart"/>
      <w:r w:rsidR="0044439A" w:rsidRPr="00450ABF">
        <w:rPr>
          <w:rFonts w:ascii="Arial" w:hAnsi="Arial" w:cs="Arial"/>
        </w:rPr>
        <w:t>Thabtah</w:t>
      </w:r>
      <w:proofErr w:type="spellEnd"/>
      <w:r w:rsidR="0044439A" w:rsidRPr="00450ABF">
        <w:rPr>
          <w:rFonts w:ascii="Arial" w:hAnsi="Arial" w:cs="Arial"/>
        </w:rPr>
        <w:t xml:space="preserve"> et al., 2020)</w:t>
      </w:r>
      <w:r w:rsidR="00CD04BB" w:rsidRPr="00450ABF">
        <w:rPr>
          <w:rFonts w:ascii="Arial" w:hAnsi="Arial" w:cs="Arial"/>
        </w:rPr>
        <w:t>. This report will provide a brief introduction to the context, including the identification of concerns experienced by elderly individuals in terms of health, social</w:t>
      </w:r>
      <w:r w:rsidR="0032672B" w:rsidRPr="00450ABF">
        <w:rPr>
          <w:rFonts w:ascii="Arial" w:hAnsi="Arial" w:cs="Arial"/>
        </w:rPr>
        <w:t xml:space="preserve"> and</w:t>
      </w:r>
      <w:r w:rsidR="00CD04BB" w:rsidRPr="00450ABF">
        <w:rPr>
          <w:rFonts w:ascii="Arial" w:hAnsi="Arial" w:cs="Arial"/>
        </w:rPr>
        <w:t xml:space="preserve"> emotional aspects. Furthermore, possible support and interventions will be proposed to enable successful </w:t>
      </w:r>
      <w:r w:rsidR="00035464" w:rsidRPr="00450ABF">
        <w:rPr>
          <w:rFonts w:ascii="Arial" w:hAnsi="Arial" w:cs="Arial"/>
        </w:rPr>
        <w:t>ageing</w:t>
      </w:r>
      <w:r w:rsidR="00CD04BB" w:rsidRPr="00450ABF">
        <w:rPr>
          <w:rFonts w:ascii="Arial" w:hAnsi="Arial" w:cs="Arial"/>
        </w:rPr>
        <w:t xml:space="preserve"> for individuals with dementia.</w:t>
      </w:r>
      <w:r w:rsidRPr="00450ABF">
        <w:rPr>
          <w:rFonts w:ascii="Arial" w:hAnsi="Arial" w:cs="Arial"/>
        </w:rPr>
        <w:t xml:space="preserve"> </w:t>
      </w:r>
      <w:r w:rsidR="00CD04BB" w:rsidRPr="00450ABF">
        <w:rPr>
          <w:rFonts w:ascii="Arial" w:hAnsi="Arial" w:cs="Arial"/>
        </w:rPr>
        <w:t xml:space="preserve">The term "old age" encompasses a range of definitions that vary across cultures and disciplines. </w:t>
      </w:r>
      <w:r w:rsidR="00700A67" w:rsidRPr="00450ABF">
        <w:rPr>
          <w:rFonts w:ascii="Arial" w:hAnsi="Arial" w:cs="Arial"/>
        </w:rPr>
        <w:t>As stated by Dyer et al. (2018), u</w:t>
      </w:r>
      <w:r w:rsidR="00CD04BB" w:rsidRPr="00450ABF">
        <w:rPr>
          <w:rFonts w:ascii="Arial" w:hAnsi="Arial" w:cs="Arial"/>
        </w:rPr>
        <w:t>nderstanding different definitions and perspectives on old age will help in assessing the unique needs and challenges faced by older individuals.</w:t>
      </w:r>
    </w:p>
    <w:p w14:paraId="78C6D931" w14:textId="210129B7" w:rsidR="00CD04BB" w:rsidRPr="00450ABF" w:rsidRDefault="00CD04BB" w:rsidP="00450ABF">
      <w:pPr>
        <w:spacing w:line="360" w:lineRule="auto"/>
        <w:ind w:firstLine="720"/>
        <w:jc w:val="both"/>
        <w:rPr>
          <w:rFonts w:ascii="Arial" w:hAnsi="Arial" w:cs="Arial"/>
        </w:rPr>
      </w:pPr>
      <w:r w:rsidRPr="00450ABF">
        <w:rPr>
          <w:rFonts w:ascii="Arial" w:hAnsi="Arial" w:cs="Arial"/>
        </w:rPr>
        <w:t>The global population is experiencing a significant increase in the number of older people</w:t>
      </w:r>
      <w:r w:rsidR="0032672B" w:rsidRPr="00450ABF">
        <w:rPr>
          <w:rFonts w:ascii="Arial" w:hAnsi="Arial" w:cs="Arial"/>
        </w:rPr>
        <w:t xml:space="preserve"> and</w:t>
      </w:r>
      <w:r w:rsidRPr="00450ABF">
        <w:rPr>
          <w:rFonts w:ascii="Arial" w:hAnsi="Arial" w:cs="Arial"/>
        </w:rPr>
        <w:t xml:space="preserve"> the United Kingdom is no exception. Various factors contribute to this demographic shift, including advancements in medical care, improved living conditions</w:t>
      </w:r>
      <w:r w:rsidR="0032672B" w:rsidRPr="00450ABF">
        <w:rPr>
          <w:rFonts w:ascii="Arial" w:hAnsi="Arial" w:cs="Arial"/>
        </w:rPr>
        <w:t xml:space="preserve"> and</w:t>
      </w:r>
      <w:r w:rsidRPr="00450ABF">
        <w:rPr>
          <w:rFonts w:ascii="Arial" w:hAnsi="Arial" w:cs="Arial"/>
        </w:rPr>
        <w:t xml:space="preserve"> changes in societal structures. As the number of older people continues to rise, it brings forth a multitude of challenges that impact the health and social care sector</w:t>
      </w:r>
      <w:r w:rsidR="001D1619" w:rsidRPr="00450ABF">
        <w:rPr>
          <w:rFonts w:ascii="Arial" w:hAnsi="Arial" w:cs="Arial"/>
        </w:rPr>
        <w:t xml:space="preserve"> (</w:t>
      </w:r>
      <w:proofErr w:type="spellStart"/>
      <w:r w:rsidR="001D1619" w:rsidRPr="00450ABF">
        <w:rPr>
          <w:rFonts w:ascii="Arial" w:hAnsi="Arial" w:cs="Arial"/>
        </w:rPr>
        <w:t>Moncatar</w:t>
      </w:r>
      <w:proofErr w:type="spellEnd"/>
      <w:r w:rsidR="001D1619" w:rsidRPr="00450ABF">
        <w:rPr>
          <w:rFonts w:ascii="Arial" w:hAnsi="Arial" w:cs="Arial"/>
        </w:rPr>
        <w:t xml:space="preserve"> et al., 2021)</w:t>
      </w:r>
      <w:r w:rsidRPr="00450ABF">
        <w:rPr>
          <w:rFonts w:ascii="Arial" w:hAnsi="Arial" w:cs="Arial"/>
        </w:rPr>
        <w:t xml:space="preserve">. These challenges are further exacerbated by the effects of the recent pandemic, which </w:t>
      </w:r>
      <w:r w:rsidR="00450ABF" w:rsidRPr="00450ABF">
        <w:rPr>
          <w:rFonts w:ascii="Arial" w:hAnsi="Arial" w:cs="Arial"/>
        </w:rPr>
        <w:t>has</w:t>
      </w:r>
      <w:r w:rsidRPr="00450ABF">
        <w:rPr>
          <w:rFonts w:ascii="Arial" w:hAnsi="Arial" w:cs="Arial"/>
        </w:rPr>
        <w:t xml:space="preserve"> put additional strain on an already overburdened system.</w:t>
      </w:r>
      <w:r w:rsidR="007D46D0" w:rsidRPr="00450ABF">
        <w:rPr>
          <w:rFonts w:ascii="Arial" w:hAnsi="Arial" w:cs="Arial"/>
        </w:rPr>
        <w:t xml:space="preserve"> </w:t>
      </w:r>
      <w:r w:rsidRPr="00450ABF">
        <w:rPr>
          <w:rFonts w:ascii="Arial" w:hAnsi="Arial" w:cs="Arial"/>
        </w:rPr>
        <w:t xml:space="preserve">Older individuals face a range of issues that </w:t>
      </w:r>
      <w:r w:rsidR="003E4A83" w:rsidRPr="00450ABF">
        <w:rPr>
          <w:rFonts w:ascii="Arial" w:hAnsi="Arial" w:cs="Arial"/>
        </w:rPr>
        <w:t xml:space="preserve">impact </w:t>
      </w:r>
      <w:r w:rsidRPr="00450ABF">
        <w:rPr>
          <w:rFonts w:ascii="Arial" w:hAnsi="Arial" w:cs="Arial"/>
        </w:rPr>
        <w:t>their overall well-being. Financial constraints, ageism</w:t>
      </w:r>
      <w:r w:rsidR="0032672B" w:rsidRPr="00450ABF">
        <w:rPr>
          <w:rFonts w:ascii="Arial" w:hAnsi="Arial" w:cs="Arial"/>
        </w:rPr>
        <w:t xml:space="preserve"> and</w:t>
      </w:r>
      <w:r w:rsidRPr="00450ABF">
        <w:rPr>
          <w:rFonts w:ascii="Arial" w:hAnsi="Arial" w:cs="Arial"/>
        </w:rPr>
        <w:t xml:space="preserve"> abuse are prevalent concerns that affect their quality of life. Furthermore, </w:t>
      </w:r>
      <w:r w:rsidR="003E4A83" w:rsidRPr="00450ABF">
        <w:rPr>
          <w:rFonts w:ascii="Arial" w:hAnsi="Arial" w:cs="Arial"/>
        </w:rPr>
        <w:t>mental</w:t>
      </w:r>
      <w:r w:rsidRPr="00450ABF">
        <w:rPr>
          <w:rFonts w:ascii="Arial" w:hAnsi="Arial" w:cs="Arial"/>
        </w:rPr>
        <w:t xml:space="preserve"> and physical health issues, including dementia, pose significant challenges. The COVID-19 pandemic has further highlighted the vulnerability of the elderly population, leading to adverse effects on their medical, </w:t>
      </w:r>
      <w:r w:rsidR="00450ABF" w:rsidRPr="00450ABF">
        <w:rPr>
          <w:rFonts w:ascii="Arial" w:hAnsi="Arial" w:cs="Arial"/>
        </w:rPr>
        <w:t>emotional,</w:t>
      </w:r>
      <w:r w:rsidR="0032672B" w:rsidRPr="00450ABF">
        <w:rPr>
          <w:rFonts w:ascii="Arial" w:hAnsi="Arial" w:cs="Arial"/>
        </w:rPr>
        <w:t xml:space="preserve"> and</w:t>
      </w:r>
      <w:r w:rsidRPr="00450ABF">
        <w:rPr>
          <w:rFonts w:ascii="Arial" w:hAnsi="Arial" w:cs="Arial"/>
        </w:rPr>
        <w:t xml:space="preserve"> social well-being</w:t>
      </w:r>
      <w:r w:rsidR="00112FB5" w:rsidRPr="00450ABF">
        <w:rPr>
          <w:rFonts w:ascii="Arial" w:hAnsi="Arial" w:cs="Arial"/>
        </w:rPr>
        <w:t xml:space="preserve"> (</w:t>
      </w:r>
      <w:proofErr w:type="spellStart"/>
      <w:r w:rsidR="00112FB5" w:rsidRPr="00450ABF">
        <w:rPr>
          <w:rFonts w:ascii="Arial" w:hAnsi="Arial" w:cs="Arial"/>
        </w:rPr>
        <w:t>Llorente</w:t>
      </w:r>
      <w:proofErr w:type="spellEnd"/>
      <w:r w:rsidR="00112FB5" w:rsidRPr="00450ABF">
        <w:rPr>
          <w:rFonts w:ascii="Arial" w:hAnsi="Arial" w:cs="Arial"/>
        </w:rPr>
        <w:t>-Barroso et al., 2021)</w:t>
      </w:r>
      <w:r w:rsidRPr="00450ABF">
        <w:rPr>
          <w:rFonts w:ascii="Arial" w:hAnsi="Arial" w:cs="Arial"/>
        </w:rPr>
        <w:t>.</w:t>
      </w:r>
      <w:r w:rsidR="007D46D0" w:rsidRPr="00450ABF">
        <w:rPr>
          <w:rFonts w:ascii="Arial" w:hAnsi="Arial" w:cs="Arial"/>
        </w:rPr>
        <w:t xml:space="preserve"> </w:t>
      </w:r>
      <w:r w:rsidRPr="00450ABF">
        <w:rPr>
          <w:rFonts w:ascii="Arial" w:hAnsi="Arial" w:cs="Arial"/>
        </w:rPr>
        <w:t xml:space="preserve">Throughout this report, relevant theories of </w:t>
      </w:r>
      <w:r w:rsidR="00035464" w:rsidRPr="00450ABF">
        <w:rPr>
          <w:rFonts w:ascii="Arial" w:hAnsi="Arial" w:cs="Arial"/>
        </w:rPr>
        <w:t>ageing</w:t>
      </w:r>
      <w:r w:rsidRPr="00450ABF">
        <w:rPr>
          <w:rFonts w:ascii="Arial" w:hAnsi="Arial" w:cs="Arial"/>
        </w:rPr>
        <w:t xml:space="preserve"> will be incorporated to provide a theoretical framework for understanding the complexities of dementia in older individuals. Additionally, government policies and interventions related to the </w:t>
      </w:r>
      <w:r w:rsidR="00035464" w:rsidRPr="00450ABF">
        <w:rPr>
          <w:rFonts w:ascii="Arial" w:hAnsi="Arial" w:cs="Arial"/>
        </w:rPr>
        <w:t>ageing</w:t>
      </w:r>
      <w:r w:rsidRPr="00450ABF">
        <w:rPr>
          <w:rFonts w:ascii="Arial" w:hAnsi="Arial" w:cs="Arial"/>
        </w:rPr>
        <w:t xml:space="preserve"> population will be analyzed, considering their </w:t>
      </w:r>
      <w:r w:rsidR="00450ABF" w:rsidRPr="00450ABF">
        <w:rPr>
          <w:rFonts w:ascii="Arial" w:hAnsi="Arial" w:cs="Arial"/>
        </w:rPr>
        <w:t>impact.</w:t>
      </w:r>
      <w:r w:rsidRPr="00450ABF">
        <w:rPr>
          <w:rFonts w:ascii="Arial" w:hAnsi="Arial" w:cs="Arial"/>
        </w:rPr>
        <w:t xml:space="preserve"> </w:t>
      </w:r>
    </w:p>
    <w:p w14:paraId="21E92098" w14:textId="695DC5FA" w:rsidR="00F34517" w:rsidRPr="00450ABF" w:rsidRDefault="003261FB" w:rsidP="00450ABF">
      <w:pPr>
        <w:pStyle w:val="Heading1"/>
        <w:spacing w:line="360" w:lineRule="auto"/>
        <w:jc w:val="both"/>
        <w:rPr>
          <w:rFonts w:cs="Arial"/>
          <w:sz w:val="22"/>
          <w:szCs w:val="22"/>
        </w:rPr>
      </w:pPr>
      <w:bookmarkStart w:id="1" w:name="_Toc140495512"/>
      <w:r w:rsidRPr="00450ABF">
        <w:rPr>
          <w:rFonts w:cs="Arial"/>
          <w:sz w:val="22"/>
          <w:szCs w:val="22"/>
        </w:rPr>
        <w:t>Definition and Classification</w:t>
      </w:r>
      <w:bookmarkEnd w:id="1"/>
    </w:p>
    <w:p w14:paraId="56495352" w14:textId="5325DCB7" w:rsidR="0032672B" w:rsidRPr="00450ABF" w:rsidRDefault="00E86E2E" w:rsidP="00450ABF">
      <w:pPr>
        <w:spacing w:line="360" w:lineRule="auto"/>
        <w:ind w:firstLine="720"/>
        <w:jc w:val="both"/>
        <w:rPr>
          <w:rFonts w:ascii="Arial" w:hAnsi="Arial" w:cs="Arial"/>
        </w:rPr>
      </w:pPr>
      <w:r w:rsidRPr="00450ABF">
        <w:rPr>
          <w:rFonts w:ascii="Arial" w:hAnsi="Arial" w:cs="Arial"/>
        </w:rPr>
        <w:t>Dementia is a complex syndrome that involves declining cognitive abilities that impair an individual's ability to carry out daily activities. It is not a specific disease but rather a term that describes a range of symptoms associated with a decline in memory and the ability to perform routine tasks. The most common cause of dementia is Alzheimer's disease accounting for approximately 60-80% of cases (</w:t>
      </w:r>
      <w:proofErr w:type="spellStart"/>
      <w:r w:rsidRPr="00450ABF">
        <w:rPr>
          <w:rFonts w:ascii="Arial" w:hAnsi="Arial" w:cs="Arial"/>
        </w:rPr>
        <w:t>Garre-Olmo</w:t>
      </w:r>
      <w:proofErr w:type="spellEnd"/>
      <w:r w:rsidRPr="00450ABF">
        <w:rPr>
          <w:rFonts w:ascii="Arial" w:hAnsi="Arial" w:cs="Arial"/>
        </w:rPr>
        <w:t>, 2018). Other causes include vascular dementia, Lewy body dementia</w:t>
      </w:r>
      <w:r w:rsidR="00035464" w:rsidRPr="00450ABF">
        <w:rPr>
          <w:rFonts w:ascii="Arial" w:hAnsi="Arial" w:cs="Arial"/>
        </w:rPr>
        <w:t>,</w:t>
      </w:r>
      <w:r w:rsidRPr="00450ABF">
        <w:rPr>
          <w:rFonts w:ascii="Arial" w:hAnsi="Arial" w:cs="Arial"/>
        </w:rPr>
        <w:t xml:space="preserve"> frontotemporal </w:t>
      </w:r>
      <w:r w:rsidR="00450ABF" w:rsidRPr="00450ABF">
        <w:rPr>
          <w:rFonts w:ascii="Arial" w:hAnsi="Arial" w:cs="Arial"/>
        </w:rPr>
        <w:t>dementia,</w:t>
      </w:r>
      <w:r w:rsidR="0032672B" w:rsidRPr="00450ABF">
        <w:rPr>
          <w:rFonts w:ascii="Arial" w:hAnsi="Arial" w:cs="Arial"/>
        </w:rPr>
        <w:t xml:space="preserve"> and</w:t>
      </w:r>
      <w:r w:rsidRPr="00450ABF">
        <w:rPr>
          <w:rFonts w:ascii="Arial" w:hAnsi="Arial" w:cs="Arial"/>
        </w:rPr>
        <w:t xml:space="preserve"> mixed dementia, among others (</w:t>
      </w:r>
      <w:r w:rsidR="00BA4508" w:rsidRPr="00450ABF">
        <w:rPr>
          <w:rFonts w:ascii="Arial" w:hAnsi="Arial" w:cs="Arial"/>
        </w:rPr>
        <w:t>Schneider,</w:t>
      </w:r>
      <w:r w:rsidRPr="00450ABF">
        <w:rPr>
          <w:rFonts w:ascii="Arial" w:hAnsi="Arial" w:cs="Arial"/>
        </w:rPr>
        <w:t xml:space="preserve"> </w:t>
      </w:r>
      <w:r w:rsidRPr="00450ABF">
        <w:rPr>
          <w:rFonts w:ascii="Arial" w:hAnsi="Arial" w:cs="Arial"/>
        </w:rPr>
        <w:lastRenderedPageBreak/>
        <w:t>20</w:t>
      </w:r>
      <w:r w:rsidR="00BA4508" w:rsidRPr="00450ABF">
        <w:rPr>
          <w:rFonts w:ascii="Arial" w:hAnsi="Arial" w:cs="Arial"/>
        </w:rPr>
        <w:t>2</w:t>
      </w:r>
      <w:r w:rsidRPr="00450ABF">
        <w:rPr>
          <w:rFonts w:ascii="Arial" w:hAnsi="Arial" w:cs="Arial"/>
        </w:rPr>
        <w:t>2). The International Classification of Diseases (ICD-11) provides a comprehensive classification system for mental and neurological disorders, including dementia. The ICD-11 classifies dementia due to Alzheimer's disease under category 6D80. The specific classification number and title for dementia in this category with late consent is 6D80.1</w:t>
      </w:r>
      <w:r w:rsidR="00AB28B5" w:rsidRPr="00450ABF">
        <w:rPr>
          <w:rFonts w:ascii="Arial" w:hAnsi="Arial" w:cs="Arial"/>
        </w:rPr>
        <w:t xml:space="preserve"> (W.H.O., 2023)</w:t>
      </w:r>
      <w:r w:rsidRPr="00450ABF">
        <w:rPr>
          <w:rFonts w:ascii="Arial" w:hAnsi="Arial" w:cs="Arial"/>
        </w:rPr>
        <w:t>.</w:t>
      </w:r>
    </w:p>
    <w:p w14:paraId="370749BE" w14:textId="36D60F9A" w:rsidR="0032672B" w:rsidRPr="00450ABF" w:rsidRDefault="00E86E2E" w:rsidP="00450ABF">
      <w:pPr>
        <w:spacing w:line="360" w:lineRule="auto"/>
        <w:ind w:firstLine="720"/>
        <w:jc w:val="both"/>
        <w:rPr>
          <w:rFonts w:ascii="Arial" w:hAnsi="Arial" w:cs="Arial"/>
        </w:rPr>
      </w:pPr>
      <w:r w:rsidRPr="00450ABF">
        <w:rPr>
          <w:rFonts w:ascii="Arial" w:hAnsi="Arial" w:cs="Arial"/>
        </w:rPr>
        <w:t xml:space="preserve">It is important to note that different diagnostic criteria manuals such as the Diagnostic and Statistical Manual of Mental Disorders (DSM-5) from the American Psychiatric Association may have variations in the criteria for diagnosing dementia. These variations can stem from cultural influences, regional </w:t>
      </w:r>
      <w:r w:rsidR="00526316" w:rsidRPr="00450ABF">
        <w:rPr>
          <w:rFonts w:ascii="Arial" w:hAnsi="Arial" w:cs="Arial"/>
        </w:rPr>
        <w:t>practices,</w:t>
      </w:r>
      <w:r w:rsidR="0032672B" w:rsidRPr="00450ABF">
        <w:rPr>
          <w:rFonts w:ascii="Arial" w:hAnsi="Arial" w:cs="Arial"/>
        </w:rPr>
        <w:t xml:space="preserve"> and</w:t>
      </w:r>
      <w:r w:rsidRPr="00450ABF">
        <w:rPr>
          <w:rFonts w:ascii="Arial" w:hAnsi="Arial" w:cs="Arial"/>
        </w:rPr>
        <w:t xml:space="preserve"> evolving research. Comparing and contrasting these diagnostic criteria manuals allows for a comprehensive evaluation of the diagnostic process and potential differences in the classification of dementia. By understanding the specific symptoms, </w:t>
      </w:r>
      <w:r w:rsidR="002679D3">
        <w:rPr>
          <w:rFonts w:ascii="Arial" w:hAnsi="Arial" w:cs="Arial"/>
        </w:rPr>
        <w:t>etiology</w:t>
      </w:r>
      <w:r w:rsidR="0032672B" w:rsidRPr="00450ABF">
        <w:rPr>
          <w:rFonts w:ascii="Arial" w:hAnsi="Arial" w:cs="Arial"/>
        </w:rPr>
        <w:t xml:space="preserve"> and</w:t>
      </w:r>
      <w:r w:rsidRPr="00450ABF">
        <w:rPr>
          <w:rFonts w:ascii="Arial" w:hAnsi="Arial" w:cs="Arial"/>
        </w:rPr>
        <w:t xml:space="preserve"> classification of different types of dementia, healthcare professionals can make accurate diagnoses and develop appropriate treatment plans tailored to the individual's needs (</w:t>
      </w:r>
      <w:proofErr w:type="spellStart"/>
      <w:r w:rsidR="00B20CA5" w:rsidRPr="00450ABF">
        <w:rPr>
          <w:rFonts w:ascii="Arial" w:hAnsi="Arial" w:cs="Arial"/>
        </w:rPr>
        <w:t>Porsteinsson</w:t>
      </w:r>
      <w:proofErr w:type="spellEnd"/>
      <w:r w:rsidR="00B20CA5" w:rsidRPr="00450ABF">
        <w:rPr>
          <w:rFonts w:ascii="Arial" w:hAnsi="Arial" w:cs="Arial"/>
        </w:rPr>
        <w:t xml:space="preserve"> et al., 2022</w:t>
      </w:r>
      <w:r w:rsidRPr="00450ABF">
        <w:rPr>
          <w:rFonts w:ascii="Arial" w:hAnsi="Arial" w:cs="Arial"/>
        </w:rPr>
        <w:t xml:space="preserve">). The diagnostic process typically involves a multidisciplinary approach, including medical professionals, </w:t>
      </w:r>
      <w:r w:rsidR="00450ABF" w:rsidRPr="00450ABF">
        <w:rPr>
          <w:rFonts w:ascii="Arial" w:hAnsi="Arial" w:cs="Arial"/>
        </w:rPr>
        <w:t>neuropsychologists,</w:t>
      </w:r>
      <w:r w:rsidR="0032672B" w:rsidRPr="00450ABF">
        <w:rPr>
          <w:rFonts w:ascii="Arial" w:hAnsi="Arial" w:cs="Arial"/>
        </w:rPr>
        <w:t xml:space="preserve"> and</w:t>
      </w:r>
      <w:r w:rsidRPr="00450ABF">
        <w:rPr>
          <w:rFonts w:ascii="Arial" w:hAnsi="Arial" w:cs="Arial"/>
        </w:rPr>
        <w:t xml:space="preserve"> other specialists. It often includes a thorough medical history review, cognitive assessments, neuroimaging (such as CT scans or MRI)</w:t>
      </w:r>
      <w:r w:rsidR="0032672B" w:rsidRPr="00450ABF">
        <w:rPr>
          <w:rFonts w:ascii="Arial" w:hAnsi="Arial" w:cs="Arial"/>
        </w:rPr>
        <w:t xml:space="preserve"> and</w:t>
      </w:r>
      <w:r w:rsidRPr="00450ABF">
        <w:rPr>
          <w:rFonts w:ascii="Arial" w:hAnsi="Arial" w:cs="Arial"/>
        </w:rPr>
        <w:t xml:space="preserve"> laboratory tests to rule out other potential causes.</w:t>
      </w:r>
    </w:p>
    <w:p w14:paraId="41F431E9" w14:textId="1D2ABEDF" w:rsidR="00E86E2E" w:rsidRPr="00450ABF" w:rsidRDefault="00E86E2E" w:rsidP="00450ABF">
      <w:pPr>
        <w:spacing w:line="360" w:lineRule="auto"/>
        <w:ind w:firstLine="720"/>
        <w:jc w:val="both"/>
        <w:rPr>
          <w:rFonts w:ascii="Arial" w:hAnsi="Arial" w:cs="Arial"/>
        </w:rPr>
      </w:pPr>
      <w:r w:rsidRPr="00450ABF">
        <w:rPr>
          <w:rFonts w:ascii="Arial" w:hAnsi="Arial" w:cs="Arial"/>
        </w:rPr>
        <w:t xml:space="preserve">Formally diagnosing an individual with dementia is crucial as it helps in providing appropriate treatment, </w:t>
      </w:r>
      <w:r w:rsidR="00450ABF" w:rsidRPr="00450ABF">
        <w:rPr>
          <w:rFonts w:ascii="Arial" w:hAnsi="Arial" w:cs="Arial"/>
        </w:rPr>
        <w:t>support,</w:t>
      </w:r>
      <w:r w:rsidR="0032672B" w:rsidRPr="00450ABF">
        <w:rPr>
          <w:rFonts w:ascii="Arial" w:hAnsi="Arial" w:cs="Arial"/>
        </w:rPr>
        <w:t xml:space="preserve"> and</w:t>
      </w:r>
      <w:r w:rsidRPr="00450ABF">
        <w:rPr>
          <w:rFonts w:ascii="Arial" w:hAnsi="Arial" w:cs="Arial"/>
        </w:rPr>
        <w:t xml:space="preserve"> care. A formal diagnosis allows for targeted interventions to manage symptoms, plan for the future</w:t>
      </w:r>
      <w:r w:rsidR="0032672B" w:rsidRPr="00450ABF">
        <w:rPr>
          <w:rFonts w:ascii="Arial" w:hAnsi="Arial" w:cs="Arial"/>
        </w:rPr>
        <w:t xml:space="preserve"> and</w:t>
      </w:r>
      <w:r w:rsidRPr="00450ABF">
        <w:rPr>
          <w:rFonts w:ascii="Arial" w:hAnsi="Arial" w:cs="Arial"/>
        </w:rPr>
        <w:t xml:space="preserve"> offer support to both the individual with dementia and their caregivers (Barton et al., 2014). It provides a framework for understanding the progression of the disorder and assists in accessing necessary resources and services. It is however important to recognize that diagnostic labeling can also have drawbacks and potential problems such as stigma, fear</w:t>
      </w:r>
      <w:r w:rsidR="0032672B" w:rsidRPr="00450ABF">
        <w:rPr>
          <w:rFonts w:ascii="Arial" w:hAnsi="Arial" w:cs="Arial"/>
        </w:rPr>
        <w:t xml:space="preserve"> and</w:t>
      </w:r>
      <w:r w:rsidRPr="00450ABF">
        <w:rPr>
          <w:rFonts w:ascii="Arial" w:hAnsi="Arial" w:cs="Arial"/>
        </w:rPr>
        <w:t xml:space="preserve"> psychological distress for the individual and their family. The diagnostic process should therefore be approached with sensitivity and consideration for the individual's overall well-being.</w:t>
      </w:r>
    </w:p>
    <w:p w14:paraId="65D6711F" w14:textId="6F58EFCB" w:rsidR="003261FB" w:rsidRPr="00450ABF" w:rsidRDefault="003261FB" w:rsidP="00450ABF">
      <w:pPr>
        <w:pStyle w:val="Heading1"/>
        <w:spacing w:line="360" w:lineRule="auto"/>
        <w:jc w:val="both"/>
        <w:rPr>
          <w:rFonts w:cs="Arial"/>
          <w:sz w:val="22"/>
          <w:szCs w:val="22"/>
        </w:rPr>
      </w:pPr>
      <w:bookmarkStart w:id="2" w:name="_Toc140495513"/>
      <w:r w:rsidRPr="00450ABF">
        <w:rPr>
          <w:rFonts w:cs="Arial"/>
          <w:sz w:val="22"/>
          <w:szCs w:val="22"/>
        </w:rPr>
        <w:t>Diagnosis</w:t>
      </w:r>
      <w:bookmarkEnd w:id="2"/>
    </w:p>
    <w:p w14:paraId="3811DA6F" w14:textId="78FFEDF5" w:rsidR="00745D03" w:rsidRPr="00450ABF" w:rsidRDefault="00745D03" w:rsidP="00450ABF">
      <w:pPr>
        <w:spacing w:line="360" w:lineRule="auto"/>
        <w:ind w:firstLine="720"/>
        <w:jc w:val="both"/>
        <w:rPr>
          <w:rFonts w:ascii="Arial" w:hAnsi="Arial" w:cs="Arial"/>
        </w:rPr>
      </w:pPr>
      <w:r w:rsidRPr="00450ABF">
        <w:rPr>
          <w:rFonts w:ascii="Arial" w:hAnsi="Arial" w:cs="Arial"/>
        </w:rPr>
        <w:t>The diagnostic process for dementia entails a thorough evaluation aimed at identifying cognitive deficits and ascertaining the root cause of the observed symptoms. The provision of healthcare services usually necessitates the participation of a diverse range of healthcare professionals and adheres to established guidelines and protocols</w:t>
      </w:r>
      <w:r w:rsidR="00B60BAF" w:rsidRPr="00450ABF">
        <w:rPr>
          <w:rFonts w:ascii="Arial" w:hAnsi="Arial" w:cs="Arial"/>
        </w:rPr>
        <w:t xml:space="preserve"> (</w:t>
      </w:r>
      <w:proofErr w:type="spellStart"/>
      <w:r w:rsidR="00B60BAF" w:rsidRPr="00450ABF">
        <w:rPr>
          <w:rFonts w:ascii="Arial" w:hAnsi="Arial" w:cs="Arial"/>
        </w:rPr>
        <w:t>Porsteinsson</w:t>
      </w:r>
      <w:proofErr w:type="spellEnd"/>
      <w:r w:rsidR="00B60BAF" w:rsidRPr="00450ABF">
        <w:rPr>
          <w:rFonts w:ascii="Arial" w:hAnsi="Arial" w:cs="Arial"/>
        </w:rPr>
        <w:t xml:space="preserve"> et al., 2022)</w:t>
      </w:r>
      <w:r w:rsidRPr="00450ABF">
        <w:rPr>
          <w:rFonts w:ascii="Arial" w:hAnsi="Arial" w:cs="Arial"/>
        </w:rPr>
        <w:t>. This section aims to examine the contemporary procedure for diagnosing dementia, encompassing the principal stakeholders involved, the chronological sequence of events</w:t>
      </w:r>
      <w:r w:rsidR="0032672B" w:rsidRPr="00450ABF">
        <w:rPr>
          <w:rFonts w:ascii="Arial" w:hAnsi="Arial" w:cs="Arial"/>
        </w:rPr>
        <w:t xml:space="preserve"> and</w:t>
      </w:r>
      <w:r w:rsidRPr="00450ABF">
        <w:rPr>
          <w:rFonts w:ascii="Arial" w:hAnsi="Arial" w:cs="Arial"/>
        </w:rPr>
        <w:t xml:space="preserve"> the difficulties associated with the diagnostic process. The initial step in diagnosing dementia involves </w:t>
      </w:r>
      <w:r w:rsidRPr="00450ABF">
        <w:rPr>
          <w:rFonts w:ascii="Arial" w:hAnsi="Arial" w:cs="Arial"/>
        </w:rPr>
        <w:lastRenderedPageBreak/>
        <w:t xml:space="preserve">identifying cognitive decline or alterations in memory, cognition, </w:t>
      </w:r>
      <w:proofErr w:type="spellStart"/>
      <w:r w:rsidR="002679D3">
        <w:rPr>
          <w:rFonts w:ascii="Arial" w:hAnsi="Arial" w:cs="Arial"/>
        </w:rPr>
        <w:t>behaviour</w:t>
      </w:r>
      <w:proofErr w:type="spellEnd"/>
      <w:r w:rsidRPr="00450ABF">
        <w:rPr>
          <w:rFonts w:ascii="Arial" w:hAnsi="Arial" w:cs="Arial"/>
        </w:rPr>
        <w:t>, or functional abilities (</w:t>
      </w:r>
      <w:proofErr w:type="spellStart"/>
      <w:r w:rsidR="00892961" w:rsidRPr="00450ABF">
        <w:rPr>
          <w:rFonts w:ascii="Arial" w:hAnsi="Arial" w:cs="Arial"/>
        </w:rPr>
        <w:t>Calza</w:t>
      </w:r>
      <w:proofErr w:type="spellEnd"/>
      <w:r w:rsidR="00892961" w:rsidRPr="00450ABF">
        <w:rPr>
          <w:rFonts w:ascii="Arial" w:hAnsi="Arial" w:cs="Arial"/>
        </w:rPr>
        <w:t xml:space="preserve"> et al.</w:t>
      </w:r>
      <w:r w:rsidRPr="00450ABF">
        <w:rPr>
          <w:rFonts w:ascii="Arial" w:hAnsi="Arial" w:cs="Arial"/>
        </w:rPr>
        <w:t>, 20</w:t>
      </w:r>
      <w:r w:rsidR="00892961" w:rsidRPr="00450ABF">
        <w:rPr>
          <w:rFonts w:ascii="Arial" w:hAnsi="Arial" w:cs="Arial"/>
        </w:rPr>
        <w:t>21</w:t>
      </w:r>
      <w:r w:rsidRPr="00450ABF">
        <w:rPr>
          <w:rFonts w:ascii="Arial" w:hAnsi="Arial" w:cs="Arial"/>
        </w:rPr>
        <w:t>). In general, individuals or their relatives initially seek medical care from a primary care physician (PCP) upon observing these symptoms. The general practitioner (GP) assumes a pivotal role in the preliminary evaluation by conducting a comprehensive examination of the patient's medical history, encompassing details regarding the commencement and advancement of symptoms, any pre-existing medical ailments</w:t>
      </w:r>
      <w:r w:rsidR="0032672B" w:rsidRPr="00450ABF">
        <w:rPr>
          <w:rFonts w:ascii="Arial" w:hAnsi="Arial" w:cs="Arial"/>
        </w:rPr>
        <w:t xml:space="preserve"> and</w:t>
      </w:r>
      <w:r w:rsidRPr="00450ABF">
        <w:rPr>
          <w:rFonts w:ascii="Arial" w:hAnsi="Arial" w:cs="Arial"/>
        </w:rPr>
        <w:t xml:space="preserve"> familial medical background.</w:t>
      </w:r>
    </w:p>
    <w:p w14:paraId="50C18896" w14:textId="33FC0CEC" w:rsidR="00745D03" w:rsidRPr="00450ABF" w:rsidRDefault="003261FB" w:rsidP="00450ABF">
      <w:pPr>
        <w:spacing w:line="360" w:lineRule="auto"/>
        <w:ind w:firstLine="720"/>
        <w:jc w:val="both"/>
        <w:rPr>
          <w:rFonts w:ascii="Arial" w:hAnsi="Arial" w:cs="Arial"/>
        </w:rPr>
      </w:pPr>
      <w:r w:rsidRPr="00450ABF">
        <w:rPr>
          <w:rFonts w:ascii="Arial" w:hAnsi="Arial" w:cs="Arial"/>
        </w:rPr>
        <w:t xml:space="preserve">Following the initial assessment, if dementia is suspected, the GP may refer the individual to a specialist service, such as a Community Mental Health Team (CMHT) or a memory clinic. These services are often multidisciplinary, involving psychiatrists, neurologists, </w:t>
      </w:r>
      <w:r w:rsidR="00450ABF" w:rsidRPr="00450ABF">
        <w:rPr>
          <w:rFonts w:ascii="Arial" w:hAnsi="Arial" w:cs="Arial"/>
        </w:rPr>
        <w:t>neuropsychologists,</w:t>
      </w:r>
      <w:r w:rsidR="0032672B" w:rsidRPr="00450ABF">
        <w:rPr>
          <w:rFonts w:ascii="Arial" w:hAnsi="Arial" w:cs="Arial"/>
        </w:rPr>
        <w:t xml:space="preserve"> and</w:t>
      </w:r>
      <w:r w:rsidRPr="00450ABF">
        <w:rPr>
          <w:rFonts w:ascii="Arial" w:hAnsi="Arial" w:cs="Arial"/>
        </w:rPr>
        <w:t xml:space="preserve"> specialist nurses, among others</w:t>
      </w:r>
      <w:r w:rsidR="00700A67" w:rsidRPr="00450ABF">
        <w:rPr>
          <w:rFonts w:ascii="Arial" w:hAnsi="Arial" w:cs="Arial"/>
        </w:rPr>
        <w:t xml:space="preserve"> (Dyer et al., 2018)</w:t>
      </w:r>
      <w:r w:rsidRPr="00450ABF">
        <w:rPr>
          <w:rFonts w:ascii="Arial" w:hAnsi="Arial" w:cs="Arial"/>
        </w:rPr>
        <w:t>. The referral may involve additional assessments, including cognitive tests, blood tests</w:t>
      </w:r>
      <w:r w:rsidR="0032672B" w:rsidRPr="00450ABF">
        <w:rPr>
          <w:rFonts w:ascii="Arial" w:hAnsi="Arial" w:cs="Arial"/>
        </w:rPr>
        <w:t xml:space="preserve"> and</w:t>
      </w:r>
      <w:r w:rsidRPr="00450ABF">
        <w:rPr>
          <w:rFonts w:ascii="Arial" w:hAnsi="Arial" w:cs="Arial"/>
        </w:rPr>
        <w:t xml:space="preserve"> neuroimaging (such as CT scans or MRI), to rule out other possible causes of cognitive impairment.</w:t>
      </w:r>
      <w:r w:rsidR="00A02497" w:rsidRPr="00450ABF">
        <w:rPr>
          <w:rFonts w:ascii="Arial" w:hAnsi="Arial" w:cs="Arial"/>
        </w:rPr>
        <w:t xml:space="preserve"> </w:t>
      </w:r>
      <w:r w:rsidR="00745D03" w:rsidRPr="00450ABF">
        <w:rPr>
          <w:rFonts w:ascii="Arial" w:hAnsi="Arial" w:cs="Arial"/>
        </w:rPr>
        <w:t>The diagnostic procedure for dementia is typically characterized by a considerable duration, often spanning multiple months to reach completion (</w:t>
      </w:r>
      <w:r w:rsidR="00322554" w:rsidRPr="00450ABF">
        <w:rPr>
          <w:rFonts w:ascii="Arial" w:hAnsi="Arial" w:cs="Arial"/>
        </w:rPr>
        <w:t>Marson et al., 2021</w:t>
      </w:r>
      <w:r w:rsidR="00745D03" w:rsidRPr="00450ABF">
        <w:rPr>
          <w:rFonts w:ascii="Arial" w:hAnsi="Arial" w:cs="Arial"/>
        </w:rPr>
        <w:t xml:space="preserve">). In certain instances, individuals may encounter urgent or emergent circumstances that necessitate prompt evaluation and intervention. This is particularly relevant in situations involving </w:t>
      </w:r>
      <w:proofErr w:type="spellStart"/>
      <w:r w:rsidR="002679D3">
        <w:rPr>
          <w:rFonts w:ascii="Arial" w:hAnsi="Arial" w:cs="Arial"/>
        </w:rPr>
        <w:t>behavioural</w:t>
      </w:r>
      <w:proofErr w:type="spellEnd"/>
      <w:r w:rsidR="00745D03" w:rsidRPr="00450ABF">
        <w:rPr>
          <w:rFonts w:ascii="Arial" w:hAnsi="Arial" w:cs="Arial"/>
        </w:rPr>
        <w:t xml:space="preserve"> disruptions or abrupt cognitive deterioration, particularly in the context of specific forms of dementia, such as acute onset psychosis in schizophrenia.</w:t>
      </w:r>
    </w:p>
    <w:p w14:paraId="723493CE" w14:textId="0C89E20C" w:rsidR="00745D03" w:rsidRPr="00450ABF" w:rsidRDefault="00745D03" w:rsidP="00450ABF">
      <w:pPr>
        <w:spacing w:line="360" w:lineRule="auto"/>
        <w:ind w:firstLine="720"/>
        <w:jc w:val="both"/>
        <w:rPr>
          <w:rFonts w:ascii="Arial" w:hAnsi="Arial" w:cs="Arial"/>
        </w:rPr>
      </w:pPr>
      <w:r w:rsidRPr="00450ABF">
        <w:rPr>
          <w:rFonts w:ascii="Arial" w:hAnsi="Arial" w:cs="Arial"/>
        </w:rPr>
        <w:t xml:space="preserve">The examination of legislative factors that influence the diagnostic procedure holds significant importance. </w:t>
      </w:r>
      <w:r w:rsidR="00B60BAF" w:rsidRPr="00450ABF">
        <w:rPr>
          <w:rFonts w:ascii="Arial" w:hAnsi="Arial" w:cs="Arial"/>
        </w:rPr>
        <w:t xml:space="preserve">As stated by </w:t>
      </w:r>
      <w:proofErr w:type="spellStart"/>
      <w:r w:rsidR="00B60BAF" w:rsidRPr="00450ABF">
        <w:rPr>
          <w:rFonts w:ascii="Arial" w:hAnsi="Arial" w:cs="Arial"/>
        </w:rPr>
        <w:t>Porsteinsson</w:t>
      </w:r>
      <w:proofErr w:type="spellEnd"/>
      <w:r w:rsidR="00B60BAF" w:rsidRPr="00450ABF">
        <w:rPr>
          <w:rFonts w:ascii="Arial" w:hAnsi="Arial" w:cs="Arial"/>
        </w:rPr>
        <w:t xml:space="preserve"> et al. (2022), t</w:t>
      </w:r>
      <w:r w:rsidRPr="00450ABF">
        <w:rPr>
          <w:rFonts w:ascii="Arial" w:hAnsi="Arial" w:cs="Arial"/>
        </w:rPr>
        <w:t xml:space="preserve">he accessibility and availability of diagnostic services can be influenced by the variation in legal frameworks across different jurisdictions. Legislative measures </w:t>
      </w:r>
      <w:r w:rsidR="002679D3">
        <w:rPr>
          <w:rFonts w:ascii="Arial" w:hAnsi="Arial" w:cs="Arial"/>
        </w:rPr>
        <w:t>about</w:t>
      </w:r>
      <w:r w:rsidRPr="00450ABF">
        <w:rPr>
          <w:rFonts w:ascii="Arial" w:hAnsi="Arial" w:cs="Arial"/>
        </w:rPr>
        <w:t xml:space="preserve"> mental health and capacity assessments can exert influence on the diagnostic procedure, thereby safeguarding the rights of individuals and facilitating the provision of suitable assistance. </w:t>
      </w:r>
    </w:p>
    <w:p w14:paraId="1EBF6AEA" w14:textId="684EE4A8" w:rsidR="000D008B" w:rsidRPr="00450ABF" w:rsidRDefault="003261FB" w:rsidP="00450ABF">
      <w:pPr>
        <w:spacing w:line="360" w:lineRule="auto"/>
        <w:ind w:firstLine="720"/>
        <w:jc w:val="both"/>
        <w:rPr>
          <w:rFonts w:ascii="Arial" w:hAnsi="Arial" w:cs="Arial"/>
        </w:rPr>
      </w:pPr>
      <w:r w:rsidRPr="00450ABF">
        <w:rPr>
          <w:rFonts w:ascii="Arial" w:hAnsi="Arial" w:cs="Arial"/>
        </w:rPr>
        <w:t>The diagnosis of dementia involves ruling out other potential causes of cognitive impairment, such as medication side effects, vitamin deficiencies, or thyroid disorders. It is crucial to differentiate between different types of dementia as the underlying causes and progression may vary. Diagnostic criteria and classification systems, such as the ICD-11 or DSM-5, guide healthcare professionals in reaching a formal diagnosis by considering specific symptom patterns and exclusion criteria.</w:t>
      </w:r>
      <w:r w:rsidR="00A84B60" w:rsidRPr="00450ABF">
        <w:rPr>
          <w:rFonts w:ascii="Arial" w:hAnsi="Arial" w:cs="Arial"/>
        </w:rPr>
        <w:t xml:space="preserve"> As stated by</w:t>
      </w:r>
      <w:r w:rsidR="00EA05D5" w:rsidRPr="00450ABF">
        <w:rPr>
          <w:rFonts w:ascii="Arial" w:hAnsi="Arial" w:cs="Arial"/>
        </w:rPr>
        <w:t xml:space="preserve"> </w:t>
      </w:r>
      <w:proofErr w:type="spellStart"/>
      <w:r w:rsidR="00EA05D5" w:rsidRPr="00450ABF">
        <w:rPr>
          <w:rFonts w:ascii="Arial" w:hAnsi="Arial" w:cs="Arial"/>
        </w:rPr>
        <w:t>Thabtah</w:t>
      </w:r>
      <w:proofErr w:type="spellEnd"/>
      <w:r w:rsidR="00EA05D5" w:rsidRPr="00450ABF">
        <w:rPr>
          <w:rFonts w:ascii="Arial" w:hAnsi="Arial" w:cs="Arial"/>
        </w:rPr>
        <w:t xml:space="preserve"> et al. (2020),</w:t>
      </w:r>
      <w:r w:rsidR="00A84B60" w:rsidRPr="00450ABF">
        <w:rPr>
          <w:rFonts w:ascii="Arial" w:hAnsi="Arial" w:cs="Arial"/>
        </w:rPr>
        <w:t xml:space="preserve"> c</w:t>
      </w:r>
      <w:r w:rsidRPr="00450ABF">
        <w:rPr>
          <w:rFonts w:ascii="Arial" w:hAnsi="Arial" w:cs="Arial"/>
        </w:rPr>
        <w:t xml:space="preserve">ognitive assessments play a significant role in the diagnostic process for dementia. These assessments evaluate different cognitive domains, such as memory, attention, </w:t>
      </w:r>
      <w:r w:rsidR="00526316" w:rsidRPr="00450ABF">
        <w:rPr>
          <w:rFonts w:ascii="Arial" w:hAnsi="Arial" w:cs="Arial"/>
        </w:rPr>
        <w:t>language,</w:t>
      </w:r>
      <w:r w:rsidR="0032672B" w:rsidRPr="00450ABF">
        <w:rPr>
          <w:rFonts w:ascii="Arial" w:hAnsi="Arial" w:cs="Arial"/>
        </w:rPr>
        <w:t xml:space="preserve"> and</w:t>
      </w:r>
      <w:r w:rsidRPr="00450ABF">
        <w:rPr>
          <w:rFonts w:ascii="Arial" w:hAnsi="Arial" w:cs="Arial"/>
        </w:rPr>
        <w:t xml:space="preserve"> executive functions. They help in identifying </w:t>
      </w:r>
      <w:r w:rsidRPr="00450ABF">
        <w:rPr>
          <w:rFonts w:ascii="Arial" w:hAnsi="Arial" w:cs="Arial"/>
        </w:rPr>
        <w:lastRenderedPageBreak/>
        <w:t>the severity and specific areas of cognitive impairment, providing valuable information for diagnosis and treatment planning.</w:t>
      </w:r>
    </w:p>
    <w:p w14:paraId="115D854A" w14:textId="065B6548" w:rsidR="003261FB" w:rsidRPr="00450ABF" w:rsidRDefault="003261FB" w:rsidP="00450ABF">
      <w:pPr>
        <w:spacing w:line="360" w:lineRule="auto"/>
        <w:ind w:firstLine="720"/>
        <w:jc w:val="both"/>
        <w:rPr>
          <w:rFonts w:ascii="Arial" w:hAnsi="Arial" w:cs="Arial"/>
        </w:rPr>
      </w:pPr>
      <w:r w:rsidRPr="00450ABF">
        <w:rPr>
          <w:rFonts w:ascii="Arial" w:hAnsi="Arial" w:cs="Arial"/>
        </w:rPr>
        <w:t>Neuropsychological tests, such as the Mini-Mental State Examination (MMSE) or the Montreal Cognitive Assessment (MoCA), are commonly used to assess cognitive functioning</w:t>
      </w:r>
      <w:r w:rsidR="00800088" w:rsidRPr="00450ABF">
        <w:rPr>
          <w:rFonts w:ascii="Arial" w:hAnsi="Arial" w:cs="Arial"/>
        </w:rPr>
        <w:t xml:space="preserve"> (</w:t>
      </w:r>
      <w:proofErr w:type="spellStart"/>
      <w:r w:rsidR="00800088" w:rsidRPr="00450ABF">
        <w:rPr>
          <w:rFonts w:ascii="Arial" w:hAnsi="Arial" w:cs="Arial"/>
        </w:rPr>
        <w:t>Trzepacz</w:t>
      </w:r>
      <w:proofErr w:type="spellEnd"/>
      <w:r w:rsidR="00800088" w:rsidRPr="00450ABF">
        <w:rPr>
          <w:rFonts w:ascii="Arial" w:hAnsi="Arial" w:cs="Arial"/>
        </w:rPr>
        <w:t xml:space="preserve"> et al., 2015)</w:t>
      </w:r>
      <w:r w:rsidRPr="00450ABF">
        <w:rPr>
          <w:rFonts w:ascii="Arial" w:hAnsi="Arial" w:cs="Arial"/>
        </w:rPr>
        <w:t>.</w:t>
      </w:r>
      <w:r w:rsidR="00A02497" w:rsidRPr="00450ABF">
        <w:rPr>
          <w:rFonts w:ascii="Arial" w:hAnsi="Arial" w:cs="Arial"/>
        </w:rPr>
        <w:t xml:space="preserve"> </w:t>
      </w:r>
      <w:r w:rsidRPr="00450ABF">
        <w:rPr>
          <w:rFonts w:ascii="Arial" w:hAnsi="Arial" w:cs="Arial"/>
        </w:rPr>
        <w:t>Alongside cognitive assessments, functional assessments are also crucial in determining the impact of cognitive impairments on an individual's ability to carry out daily activities</w:t>
      </w:r>
      <w:r w:rsidR="00EF412E" w:rsidRPr="00450ABF">
        <w:rPr>
          <w:rFonts w:ascii="Arial" w:hAnsi="Arial" w:cs="Arial"/>
        </w:rPr>
        <w:t xml:space="preserve"> (</w:t>
      </w:r>
      <w:proofErr w:type="spellStart"/>
      <w:r w:rsidR="00EF412E" w:rsidRPr="00450ABF">
        <w:rPr>
          <w:rFonts w:ascii="Arial" w:hAnsi="Arial" w:cs="Arial"/>
        </w:rPr>
        <w:t>Thabtah</w:t>
      </w:r>
      <w:proofErr w:type="spellEnd"/>
      <w:r w:rsidR="00EF412E" w:rsidRPr="00450ABF">
        <w:rPr>
          <w:rFonts w:ascii="Arial" w:hAnsi="Arial" w:cs="Arial"/>
        </w:rPr>
        <w:t xml:space="preserve"> et al., 2020)</w:t>
      </w:r>
      <w:r w:rsidRPr="00450ABF">
        <w:rPr>
          <w:rFonts w:ascii="Arial" w:hAnsi="Arial" w:cs="Arial"/>
        </w:rPr>
        <w:t>. Assessments of functional status can provide insights into an individual's independence, including their ability to manage personal care, household tasks</w:t>
      </w:r>
      <w:r w:rsidR="0032672B" w:rsidRPr="00450ABF">
        <w:rPr>
          <w:rFonts w:ascii="Arial" w:hAnsi="Arial" w:cs="Arial"/>
        </w:rPr>
        <w:t xml:space="preserve"> and</w:t>
      </w:r>
      <w:r w:rsidRPr="00450ABF">
        <w:rPr>
          <w:rFonts w:ascii="Arial" w:hAnsi="Arial" w:cs="Arial"/>
        </w:rPr>
        <w:t xml:space="preserve"> financial matters</w:t>
      </w:r>
      <w:r w:rsidR="002A6A34" w:rsidRPr="00450ABF">
        <w:rPr>
          <w:rFonts w:ascii="Arial" w:hAnsi="Arial" w:cs="Arial"/>
        </w:rPr>
        <w:t xml:space="preserve"> (Dyer et al., 2018)</w:t>
      </w:r>
      <w:r w:rsidRPr="00450ABF">
        <w:rPr>
          <w:rFonts w:ascii="Arial" w:hAnsi="Arial" w:cs="Arial"/>
        </w:rPr>
        <w:t>. These assessments are typically conducted by healthcare professionals, such as occupational therapists or social workers, as part of a comprehensive evaluation</w:t>
      </w:r>
      <w:r w:rsidR="0032672B" w:rsidRPr="00450ABF">
        <w:rPr>
          <w:rFonts w:ascii="Arial" w:hAnsi="Arial" w:cs="Arial"/>
        </w:rPr>
        <w:t xml:space="preserve"> and</w:t>
      </w:r>
      <w:r w:rsidR="002A6A34" w:rsidRPr="00450ABF">
        <w:rPr>
          <w:rFonts w:ascii="Arial" w:hAnsi="Arial" w:cs="Arial"/>
        </w:rPr>
        <w:t xml:space="preserve"> often have many benefits. </w:t>
      </w:r>
    </w:p>
    <w:p w14:paraId="48D59445" w14:textId="702ED39C" w:rsidR="003261FB" w:rsidRPr="00450ABF" w:rsidRDefault="003D2E2C" w:rsidP="00450ABF">
      <w:pPr>
        <w:pStyle w:val="Heading1"/>
        <w:spacing w:line="360" w:lineRule="auto"/>
        <w:jc w:val="both"/>
        <w:rPr>
          <w:rFonts w:cs="Arial"/>
          <w:sz w:val="22"/>
          <w:szCs w:val="22"/>
        </w:rPr>
      </w:pPr>
      <w:bookmarkStart w:id="3" w:name="_Toc140495514"/>
      <w:r w:rsidRPr="00450ABF">
        <w:rPr>
          <w:rFonts w:cs="Arial"/>
          <w:sz w:val="22"/>
          <w:szCs w:val="22"/>
        </w:rPr>
        <w:t>Treatment</w:t>
      </w:r>
      <w:bookmarkEnd w:id="3"/>
    </w:p>
    <w:p w14:paraId="774E7AA0" w14:textId="45AB1392" w:rsidR="003D2E2C" w:rsidRPr="00450ABF" w:rsidRDefault="003D2E2C" w:rsidP="00450ABF">
      <w:pPr>
        <w:spacing w:line="360" w:lineRule="auto"/>
        <w:ind w:firstLine="720"/>
        <w:jc w:val="both"/>
        <w:rPr>
          <w:rFonts w:ascii="Arial" w:hAnsi="Arial" w:cs="Arial"/>
        </w:rPr>
      </w:pPr>
      <w:r w:rsidRPr="00450ABF">
        <w:rPr>
          <w:rFonts w:ascii="Arial" w:hAnsi="Arial" w:cs="Arial"/>
        </w:rPr>
        <w:t>The treatment of dementia aims to manage symptoms, slow down disease progression, improve quality of life</w:t>
      </w:r>
      <w:r w:rsidR="0032672B" w:rsidRPr="00450ABF">
        <w:rPr>
          <w:rFonts w:ascii="Arial" w:hAnsi="Arial" w:cs="Arial"/>
        </w:rPr>
        <w:t xml:space="preserve"> and</w:t>
      </w:r>
      <w:r w:rsidRPr="00450ABF">
        <w:rPr>
          <w:rFonts w:ascii="Arial" w:hAnsi="Arial" w:cs="Arial"/>
        </w:rPr>
        <w:t xml:space="preserve"> provide support to individuals and their caregivers. As dementia is a complex and progressive condition, a comprehensive approach that combines medical, psychological</w:t>
      </w:r>
      <w:r w:rsidR="0032672B" w:rsidRPr="00450ABF">
        <w:rPr>
          <w:rFonts w:ascii="Arial" w:hAnsi="Arial" w:cs="Arial"/>
        </w:rPr>
        <w:t xml:space="preserve"> and</w:t>
      </w:r>
      <w:r w:rsidRPr="00450ABF">
        <w:rPr>
          <w:rFonts w:ascii="Arial" w:hAnsi="Arial" w:cs="Arial"/>
        </w:rPr>
        <w:t xml:space="preserve"> supportive interventions is typically employed. In this section, we will examine the current treatment provision for dementia, including relevant legislation, different treatment modalities, their practical </w:t>
      </w:r>
      <w:r w:rsidR="00450ABF" w:rsidRPr="00450ABF">
        <w:rPr>
          <w:rFonts w:ascii="Arial" w:hAnsi="Arial" w:cs="Arial"/>
        </w:rPr>
        <w:t>application,</w:t>
      </w:r>
      <w:r w:rsidR="0032672B" w:rsidRPr="00450ABF">
        <w:rPr>
          <w:rFonts w:ascii="Arial" w:hAnsi="Arial" w:cs="Arial"/>
        </w:rPr>
        <w:t xml:space="preserve"> and</w:t>
      </w:r>
      <w:r w:rsidRPr="00450ABF">
        <w:rPr>
          <w:rFonts w:ascii="Arial" w:hAnsi="Arial" w:cs="Arial"/>
        </w:rPr>
        <w:t xml:space="preserve"> their evaluation.</w:t>
      </w:r>
    </w:p>
    <w:p w14:paraId="164288B5" w14:textId="77777777" w:rsidR="00A02497" w:rsidRPr="00450ABF" w:rsidRDefault="003D2E2C" w:rsidP="00450ABF">
      <w:pPr>
        <w:pStyle w:val="Heading2"/>
        <w:spacing w:line="360" w:lineRule="auto"/>
        <w:jc w:val="both"/>
        <w:rPr>
          <w:rFonts w:cs="Arial"/>
          <w:sz w:val="22"/>
          <w:szCs w:val="22"/>
        </w:rPr>
      </w:pPr>
      <w:bookmarkStart w:id="4" w:name="_Toc140495515"/>
      <w:r w:rsidRPr="00450ABF">
        <w:rPr>
          <w:rFonts w:cs="Arial"/>
          <w:sz w:val="22"/>
          <w:szCs w:val="22"/>
        </w:rPr>
        <w:t>Medical Treatment</w:t>
      </w:r>
      <w:bookmarkEnd w:id="4"/>
    </w:p>
    <w:p w14:paraId="18C33840" w14:textId="0762BAD8" w:rsidR="003D2E2C" w:rsidRPr="00450ABF" w:rsidRDefault="003D2E2C" w:rsidP="00450ABF">
      <w:pPr>
        <w:spacing w:line="360" w:lineRule="auto"/>
        <w:ind w:firstLine="720"/>
        <w:jc w:val="both"/>
        <w:rPr>
          <w:rFonts w:ascii="Arial" w:hAnsi="Arial" w:cs="Arial"/>
        </w:rPr>
      </w:pPr>
      <w:r w:rsidRPr="00450ABF">
        <w:rPr>
          <w:rFonts w:ascii="Arial" w:hAnsi="Arial" w:cs="Arial"/>
        </w:rPr>
        <w:t xml:space="preserve">Medical treatment for dementia focuses on managing symptoms and addressing underlying causes when possible. While there is currently no cure for most types of dementia, medications can be prescribed to alleviate symptoms and improve cognitive function. </w:t>
      </w:r>
      <w:r w:rsidR="00B57BFD" w:rsidRPr="00450ABF">
        <w:rPr>
          <w:rFonts w:ascii="Arial" w:hAnsi="Arial" w:cs="Arial"/>
        </w:rPr>
        <w:t>Cholinesterase inhibitors, such as donepezil, rivastigmine and galantamine, are</w:t>
      </w:r>
      <w:r w:rsidRPr="00450ABF">
        <w:rPr>
          <w:rFonts w:ascii="Arial" w:hAnsi="Arial" w:cs="Arial"/>
        </w:rPr>
        <w:t xml:space="preserve"> common in treating mild to moderate Alzheimer's disease</w:t>
      </w:r>
      <w:r w:rsidR="00800088" w:rsidRPr="00450ABF">
        <w:rPr>
          <w:rFonts w:ascii="Arial" w:hAnsi="Arial" w:cs="Arial"/>
        </w:rPr>
        <w:t xml:space="preserve"> (</w:t>
      </w:r>
      <w:proofErr w:type="spellStart"/>
      <w:r w:rsidR="00800088" w:rsidRPr="00450ABF">
        <w:rPr>
          <w:rFonts w:ascii="Arial" w:hAnsi="Arial" w:cs="Arial"/>
        </w:rPr>
        <w:t>Marucci</w:t>
      </w:r>
      <w:proofErr w:type="spellEnd"/>
      <w:r w:rsidR="00800088" w:rsidRPr="00450ABF">
        <w:rPr>
          <w:rFonts w:ascii="Arial" w:hAnsi="Arial" w:cs="Arial"/>
        </w:rPr>
        <w:t xml:space="preserve"> et al., 2021)</w:t>
      </w:r>
      <w:r w:rsidRPr="00450ABF">
        <w:rPr>
          <w:rFonts w:ascii="Arial" w:hAnsi="Arial" w:cs="Arial"/>
        </w:rPr>
        <w:t>. These medications work by increasing the levels of acetylcholine in the brain, a neurotransmitter involved in memory and cognition. Another medication, memantine, is often prescribed for moderate to severe Alzheimer's disease to regulate glutamate levels and protect brain cells from damage.</w:t>
      </w:r>
    </w:p>
    <w:p w14:paraId="2BE9BE74" w14:textId="77777777" w:rsidR="00B90041" w:rsidRPr="00450ABF" w:rsidRDefault="003D2E2C" w:rsidP="00450ABF">
      <w:pPr>
        <w:pStyle w:val="Heading2"/>
        <w:spacing w:line="360" w:lineRule="auto"/>
        <w:jc w:val="both"/>
        <w:rPr>
          <w:rFonts w:cs="Arial"/>
          <w:sz w:val="22"/>
          <w:szCs w:val="22"/>
        </w:rPr>
      </w:pPr>
      <w:bookmarkStart w:id="5" w:name="_Toc140495516"/>
      <w:r w:rsidRPr="00450ABF">
        <w:rPr>
          <w:rFonts w:cs="Arial"/>
          <w:sz w:val="22"/>
          <w:szCs w:val="22"/>
        </w:rPr>
        <w:t>Psychological Interventions</w:t>
      </w:r>
      <w:bookmarkEnd w:id="5"/>
    </w:p>
    <w:p w14:paraId="1451A6ED" w14:textId="58A30A6C" w:rsidR="003D2E2C" w:rsidRPr="00450ABF" w:rsidRDefault="003D2E2C" w:rsidP="00450ABF">
      <w:pPr>
        <w:spacing w:line="360" w:lineRule="auto"/>
        <w:ind w:firstLine="720"/>
        <w:jc w:val="both"/>
        <w:rPr>
          <w:rFonts w:ascii="Arial" w:hAnsi="Arial" w:cs="Arial"/>
        </w:rPr>
      </w:pPr>
      <w:r w:rsidRPr="00450ABF">
        <w:rPr>
          <w:rFonts w:ascii="Arial" w:hAnsi="Arial" w:cs="Arial"/>
        </w:rPr>
        <w:t xml:space="preserve">Psychological interventions play a vital role in managing </w:t>
      </w:r>
      <w:proofErr w:type="spellStart"/>
      <w:r w:rsidR="002679D3">
        <w:rPr>
          <w:rFonts w:ascii="Arial" w:hAnsi="Arial" w:cs="Arial"/>
        </w:rPr>
        <w:t>behavioural</w:t>
      </w:r>
      <w:proofErr w:type="spellEnd"/>
      <w:r w:rsidRPr="00450ABF">
        <w:rPr>
          <w:rFonts w:ascii="Arial" w:hAnsi="Arial" w:cs="Arial"/>
        </w:rPr>
        <w:t xml:space="preserve"> and psychological symptoms of dementia (BPSD) and improving the overall well-being of individuals with dementia. Cognitive stimulation therapy (CST) and reminiscence therapy are widely used to engage individuals in meaningful activities, enhance cognitive function</w:t>
      </w:r>
      <w:r w:rsidR="0032672B" w:rsidRPr="00450ABF">
        <w:rPr>
          <w:rFonts w:ascii="Arial" w:hAnsi="Arial" w:cs="Arial"/>
        </w:rPr>
        <w:t xml:space="preserve"> and</w:t>
      </w:r>
      <w:r w:rsidRPr="00450ABF">
        <w:rPr>
          <w:rFonts w:ascii="Arial" w:hAnsi="Arial" w:cs="Arial"/>
        </w:rPr>
        <w:t xml:space="preserve"> promote social interaction</w:t>
      </w:r>
      <w:r w:rsidR="00EF412E" w:rsidRPr="00450ABF">
        <w:rPr>
          <w:rFonts w:ascii="Arial" w:hAnsi="Arial" w:cs="Arial"/>
        </w:rPr>
        <w:t xml:space="preserve"> </w:t>
      </w:r>
      <w:r w:rsidR="00EF412E" w:rsidRPr="00450ABF">
        <w:rPr>
          <w:rFonts w:ascii="Arial" w:hAnsi="Arial" w:cs="Arial"/>
        </w:rPr>
        <w:lastRenderedPageBreak/>
        <w:t>(</w:t>
      </w:r>
      <w:proofErr w:type="spellStart"/>
      <w:r w:rsidR="00EF412E" w:rsidRPr="00450ABF">
        <w:rPr>
          <w:rFonts w:ascii="Arial" w:hAnsi="Arial" w:cs="Arial"/>
        </w:rPr>
        <w:t>Thabtah</w:t>
      </w:r>
      <w:proofErr w:type="spellEnd"/>
      <w:r w:rsidR="00EF412E" w:rsidRPr="00450ABF">
        <w:rPr>
          <w:rFonts w:ascii="Arial" w:hAnsi="Arial" w:cs="Arial"/>
        </w:rPr>
        <w:t xml:space="preserve"> et al., 2020)</w:t>
      </w:r>
      <w:r w:rsidRPr="00450ABF">
        <w:rPr>
          <w:rFonts w:ascii="Arial" w:hAnsi="Arial" w:cs="Arial"/>
        </w:rPr>
        <w:t>. Individual and group therapy sessions can provide emotional support, help individuals cope with the challenges of dementia</w:t>
      </w:r>
      <w:r w:rsidR="0032672B" w:rsidRPr="00450ABF">
        <w:rPr>
          <w:rFonts w:ascii="Arial" w:hAnsi="Arial" w:cs="Arial"/>
        </w:rPr>
        <w:t xml:space="preserve"> and</w:t>
      </w:r>
      <w:r w:rsidRPr="00450ABF">
        <w:rPr>
          <w:rFonts w:ascii="Arial" w:hAnsi="Arial" w:cs="Arial"/>
        </w:rPr>
        <w:t xml:space="preserve"> address specific psychological symptoms such as depression or anxiety.</w:t>
      </w:r>
    </w:p>
    <w:p w14:paraId="1B7D8401" w14:textId="6233BDAE" w:rsidR="003D2E2C" w:rsidRPr="00450ABF" w:rsidRDefault="003D2E2C" w:rsidP="00450ABF">
      <w:pPr>
        <w:spacing w:line="360" w:lineRule="auto"/>
        <w:ind w:firstLine="720"/>
        <w:jc w:val="both"/>
        <w:rPr>
          <w:rFonts w:ascii="Arial" w:hAnsi="Arial" w:cs="Arial"/>
        </w:rPr>
      </w:pPr>
      <w:r w:rsidRPr="00450ABF">
        <w:rPr>
          <w:rFonts w:ascii="Arial" w:hAnsi="Arial" w:cs="Arial"/>
          <w:i/>
          <w:iCs/>
        </w:rPr>
        <w:t>Non-Pharmacological Approaches:</w:t>
      </w:r>
      <w:r w:rsidRPr="00450ABF">
        <w:rPr>
          <w:rFonts w:ascii="Arial" w:hAnsi="Arial" w:cs="Arial"/>
        </w:rPr>
        <w:t xml:space="preserve"> Non-pharmacological approaches focus on creating supportive environments and providing individualized care. Environmental modifications, such as adapting living spaces to enhance safety and minimize confusion, can greatly improve the quality of life for individuals with dementia</w:t>
      </w:r>
      <w:r w:rsidR="00800088" w:rsidRPr="00450ABF">
        <w:rPr>
          <w:rFonts w:ascii="Arial" w:hAnsi="Arial" w:cs="Arial"/>
        </w:rPr>
        <w:t xml:space="preserve"> (Anonymous, 2000)</w:t>
      </w:r>
      <w:r w:rsidRPr="00450ABF">
        <w:rPr>
          <w:rFonts w:ascii="Arial" w:hAnsi="Arial" w:cs="Arial"/>
        </w:rPr>
        <w:t>. Additionally, caregiver education and training programs are essential in equipping family members and professional caregivers with the knowledge and skills to provide effective care and support.</w:t>
      </w:r>
    </w:p>
    <w:p w14:paraId="393DCCCA" w14:textId="1E82FEDD" w:rsidR="003D2E2C" w:rsidRPr="00450ABF" w:rsidRDefault="003D2E2C" w:rsidP="00450ABF">
      <w:pPr>
        <w:spacing w:line="360" w:lineRule="auto"/>
        <w:ind w:firstLine="720"/>
        <w:jc w:val="both"/>
        <w:rPr>
          <w:rFonts w:ascii="Arial" w:hAnsi="Arial" w:cs="Arial"/>
        </w:rPr>
      </w:pPr>
      <w:r w:rsidRPr="00450ABF">
        <w:rPr>
          <w:rFonts w:ascii="Arial" w:hAnsi="Arial" w:cs="Arial"/>
          <w:i/>
          <w:iCs/>
        </w:rPr>
        <w:t>Lifestyle Modifications:</w:t>
      </w:r>
      <w:r w:rsidRPr="00450ABF">
        <w:rPr>
          <w:rFonts w:ascii="Arial" w:hAnsi="Arial" w:cs="Arial"/>
        </w:rPr>
        <w:t xml:space="preserve"> Lifestyle modifications can contribute to the management of dementia symptoms and overall well-being. Encouraging physical exercise, maintaining a balanced diet</w:t>
      </w:r>
      <w:r w:rsidR="0032672B" w:rsidRPr="00450ABF">
        <w:rPr>
          <w:rFonts w:ascii="Arial" w:hAnsi="Arial" w:cs="Arial"/>
        </w:rPr>
        <w:t xml:space="preserve"> and</w:t>
      </w:r>
      <w:r w:rsidRPr="00450ABF">
        <w:rPr>
          <w:rFonts w:ascii="Arial" w:hAnsi="Arial" w:cs="Arial"/>
        </w:rPr>
        <w:t xml:space="preserve"> managing other health conditions, such as hypertension or diabetes, can have positive effects on cognitive function</w:t>
      </w:r>
      <w:r w:rsidR="00EF412E" w:rsidRPr="00450ABF">
        <w:rPr>
          <w:rFonts w:ascii="Arial" w:hAnsi="Arial" w:cs="Arial"/>
        </w:rPr>
        <w:t xml:space="preserve"> (</w:t>
      </w:r>
      <w:proofErr w:type="spellStart"/>
      <w:r w:rsidR="00EF412E" w:rsidRPr="00450ABF">
        <w:rPr>
          <w:rFonts w:ascii="Arial" w:hAnsi="Arial" w:cs="Arial"/>
        </w:rPr>
        <w:t>Thabtah</w:t>
      </w:r>
      <w:proofErr w:type="spellEnd"/>
      <w:r w:rsidR="00EF412E" w:rsidRPr="00450ABF">
        <w:rPr>
          <w:rFonts w:ascii="Arial" w:hAnsi="Arial" w:cs="Arial"/>
        </w:rPr>
        <w:t xml:space="preserve"> et al., 2020)</w:t>
      </w:r>
      <w:r w:rsidRPr="00450ABF">
        <w:rPr>
          <w:rFonts w:ascii="Arial" w:hAnsi="Arial" w:cs="Arial"/>
        </w:rPr>
        <w:t>. Cognitive training exercises and brain-stimulating activities, such as puzzles, reading</w:t>
      </w:r>
      <w:r w:rsidR="0032672B" w:rsidRPr="00450ABF">
        <w:rPr>
          <w:rFonts w:ascii="Arial" w:hAnsi="Arial" w:cs="Arial"/>
        </w:rPr>
        <w:t xml:space="preserve"> and</w:t>
      </w:r>
      <w:r w:rsidRPr="00450ABF">
        <w:rPr>
          <w:rFonts w:ascii="Arial" w:hAnsi="Arial" w:cs="Arial"/>
        </w:rPr>
        <w:t xml:space="preserve"> learning new skills, may help </w:t>
      </w:r>
      <w:r w:rsidR="00B57BFD" w:rsidRPr="00450ABF">
        <w:rPr>
          <w:rFonts w:ascii="Arial" w:hAnsi="Arial" w:cs="Arial"/>
        </w:rPr>
        <w:t>preserve cognitive abilities and slow</w:t>
      </w:r>
      <w:r w:rsidRPr="00450ABF">
        <w:rPr>
          <w:rFonts w:ascii="Arial" w:hAnsi="Arial" w:cs="Arial"/>
        </w:rPr>
        <w:t xml:space="preserve"> down cognitive decline.</w:t>
      </w:r>
    </w:p>
    <w:p w14:paraId="12E64497" w14:textId="346D1A80" w:rsidR="003D2E2C" w:rsidRPr="00450ABF" w:rsidRDefault="003D2E2C" w:rsidP="00450ABF">
      <w:pPr>
        <w:spacing w:line="360" w:lineRule="auto"/>
        <w:ind w:firstLine="720"/>
        <w:jc w:val="both"/>
        <w:rPr>
          <w:rFonts w:ascii="Arial" w:hAnsi="Arial" w:cs="Arial"/>
        </w:rPr>
      </w:pPr>
      <w:r w:rsidRPr="00450ABF">
        <w:rPr>
          <w:rFonts w:ascii="Arial" w:hAnsi="Arial" w:cs="Arial"/>
          <w:i/>
          <w:iCs/>
        </w:rPr>
        <w:t>Evaluation and Critique of Treatment:</w:t>
      </w:r>
      <w:r w:rsidRPr="00450ABF">
        <w:rPr>
          <w:rFonts w:ascii="Arial" w:hAnsi="Arial" w:cs="Arial"/>
        </w:rPr>
        <w:t xml:space="preserve"> Evaluating the effectiveness of treatments for dementia can be complex due to the progressive nature of the disease and the heterogeneity of individuals affected. However, research suggests that medication treatment, particularly cholinesterase inhibitors, can have modest benefits in managing cognitive symptoms, though the effects may vary among individuals</w:t>
      </w:r>
      <w:r w:rsidR="0035731C" w:rsidRPr="00450ABF">
        <w:rPr>
          <w:rFonts w:ascii="Arial" w:hAnsi="Arial" w:cs="Arial"/>
        </w:rPr>
        <w:t xml:space="preserve"> (Joe and </w:t>
      </w:r>
      <w:proofErr w:type="spellStart"/>
      <w:r w:rsidR="0035731C" w:rsidRPr="00450ABF">
        <w:rPr>
          <w:rFonts w:ascii="Arial" w:hAnsi="Arial" w:cs="Arial"/>
        </w:rPr>
        <w:t>Ringman</w:t>
      </w:r>
      <w:proofErr w:type="spellEnd"/>
      <w:r w:rsidR="0035731C" w:rsidRPr="00450ABF">
        <w:rPr>
          <w:rFonts w:ascii="Arial" w:hAnsi="Arial" w:cs="Arial"/>
        </w:rPr>
        <w:t>, 2019)</w:t>
      </w:r>
      <w:r w:rsidRPr="00450ABF">
        <w:rPr>
          <w:rFonts w:ascii="Arial" w:hAnsi="Arial" w:cs="Arial"/>
        </w:rPr>
        <w:t xml:space="preserve">. Non-pharmacological interventions, such as psychosocial support and environmental modifications, have shown promising results in improving quality of life and reducing </w:t>
      </w:r>
      <w:proofErr w:type="spellStart"/>
      <w:r w:rsidR="002679D3">
        <w:rPr>
          <w:rFonts w:ascii="Arial" w:hAnsi="Arial" w:cs="Arial"/>
        </w:rPr>
        <w:t>behavioural</w:t>
      </w:r>
      <w:proofErr w:type="spellEnd"/>
      <w:r w:rsidRPr="00450ABF">
        <w:rPr>
          <w:rFonts w:ascii="Arial" w:hAnsi="Arial" w:cs="Arial"/>
        </w:rPr>
        <w:t xml:space="preserve"> symptoms.</w:t>
      </w:r>
    </w:p>
    <w:p w14:paraId="4B3AD5F6" w14:textId="7AB2612E" w:rsidR="003D2E2C" w:rsidRPr="00450ABF" w:rsidRDefault="003D2E2C" w:rsidP="00450ABF">
      <w:pPr>
        <w:spacing w:line="360" w:lineRule="auto"/>
        <w:ind w:firstLine="720"/>
        <w:jc w:val="both"/>
        <w:rPr>
          <w:rFonts w:ascii="Arial" w:hAnsi="Arial" w:cs="Arial"/>
        </w:rPr>
      </w:pPr>
      <w:r w:rsidRPr="00450ABF">
        <w:rPr>
          <w:rFonts w:ascii="Arial" w:hAnsi="Arial" w:cs="Arial"/>
        </w:rPr>
        <w:t>However, it is important to recognize that current treatment provision for dementia still faces challenges. Access to specialized services, including memory clinics and dementia care units, may be limited in certain regions. The cost of medications and support services can pose financial burdens on individuals and families</w:t>
      </w:r>
      <w:r w:rsidR="00B90041" w:rsidRPr="00450ABF">
        <w:rPr>
          <w:rFonts w:ascii="Arial" w:hAnsi="Arial" w:cs="Arial"/>
        </w:rPr>
        <w:t xml:space="preserve">. </w:t>
      </w:r>
      <w:r w:rsidRPr="00450ABF">
        <w:rPr>
          <w:rFonts w:ascii="Arial" w:hAnsi="Arial" w:cs="Arial"/>
        </w:rPr>
        <w:t>Ethical considerations also come into play in dementia treatment. Decision-making capacity and the autonomy of individuals with dementia must be respected</w:t>
      </w:r>
      <w:r w:rsidR="0032672B" w:rsidRPr="00450ABF">
        <w:rPr>
          <w:rFonts w:ascii="Arial" w:hAnsi="Arial" w:cs="Arial"/>
        </w:rPr>
        <w:t xml:space="preserve"> and</w:t>
      </w:r>
      <w:r w:rsidRPr="00450ABF">
        <w:rPr>
          <w:rFonts w:ascii="Arial" w:hAnsi="Arial" w:cs="Arial"/>
        </w:rPr>
        <w:t xml:space="preserve"> care should be provided in a </w:t>
      </w:r>
      <w:r w:rsidR="002679D3">
        <w:rPr>
          <w:rFonts w:ascii="Arial" w:hAnsi="Arial" w:cs="Arial"/>
        </w:rPr>
        <w:t>person-</w:t>
      </w:r>
      <w:proofErr w:type="spellStart"/>
      <w:r w:rsidR="002679D3">
        <w:rPr>
          <w:rFonts w:ascii="Arial" w:hAnsi="Arial" w:cs="Arial"/>
        </w:rPr>
        <w:t>centred</w:t>
      </w:r>
      <w:proofErr w:type="spellEnd"/>
      <w:r w:rsidRPr="00450ABF">
        <w:rPr>
          <w:rFonts w:ascii="Arial" w:hAnsi="Arial" w:cs="Arial"/>
        </w:rPr>
        <w:t xml:space="preserve"> manner, </w:t>
      </w:r>
      <w:r w:rsidR="00450ABF" w:rsidRPr="00450ABF">
        <w:rPr>
          <w:rFonts w:ascii="Arial" w:hAnsi="Arial" w:cs="Arial"/>
        </w:rPr>
        <w:t>considering</w:t>
      </w:r>
      <w:r w:rsidRPr="00450ABF">
        <w:rPr>
          <w:rFonts w:ascii="Arial" w:hAnsi="Arial" w:cs="Arial"/>
        </w:rPr>
        <w:t xml:space="preserve"> individual preferences, </w:t>
      </w:r>
      <w:r w:rsidR="003E4A83" w:rsidRPr="00450ABF">
        <w:rPr>
          <w:rFonts w:ascii="Arial" w:hAnsi="Arial" w:cs="Arial"/>
        </w:rPr>
        <w:t>values,</w:t>
      </w:r>
      <w:r w:rsidR="0032672B" w:rsidRPr="00450ABF">
        <w:rPr>
          <w:rFonts w:ascii="Arial" w:hAnsi="Arial" w:cs="Arial"/>
        </w:rPr>
        <w:t xml:space="preserve"> and</w:t>
      </w:r>
      <w:r w:rsidRPr="00450ABF">
        <w:rPr>
          <w:rFonts w:ascii="Arial" w:hAnsi="Arial" w:cs="Arial"/>
        </w:rPr>
        <w:t xml:space="preserve"> cultural backgrounds. In cases where individuals lack decision-making capacity, appropriate legal frameworks and ethical guidelines should be followed to ensure their best interests are upheld.</w:t>
      </w:r>
    </w:p>
    <w:p w14:paraId="7107AFEE" w14:textId="2C17C81A" w:rsidR="003D2E2C" w:rsidRPr="00450ABF" w:rsidRDefault="00C74928" w:rsidP="00450ABF">
      <w:pPr>
        <w:pStyle w:val="Heading1"/>
        <w:spacing w:line="360" w:lineRule="auto"/>
        <w:jc w:val="both"/>
        <w:rPr>
          <w:rFonts w:cs="Arial"/>
          <w:sz w:val="22"/>
          <w:szCs w:val="22"/>
        </w:rPr>
      </w:pPr>
      <w:bookmarkStart w:id="6" w:name="_Toc140495517"/>
      <w:r w:rsidRPr="00450ABF">
        <w:rPr>
          <w:rFonts w:cs="Arial"/>
          <w:sz w:val="22"/>
          <w:szCs w:val="22"/>
        </w:rPr>
        <w:lastRenderedPageBreak/>
        <w:t>Measurement of Rehabilitation</w:t>
      </w:r>
      <w:bookmarkEnd w:id="6"/>
    </w:p>
    <w:p w14:paraId="17FECEF6" w14:textId="76CBA4A7" w:rsidR="00C74928" w:rsidRPr="00450ABF" w:rsidRDefault="00C74928" w:rsidP="00450ABF">
      <w:pPr>
        <w:spacing w:line="360" w:lineRule="auto"/>
        <w:ind w:firstLine="720"/>
        <w:jc w:val="both"/>
        <w:rPr>
          <w:rFonts w:ascii="Arial" w:hAnsi="Arial" w:cs="Arial"/>
        </w:rPr>
      </w:pPr>
      <w:r w:rsidRPr="00450ABF">
        <w:rPr>
          <w:rFonts w:ascii="Arial" w:hAnsi="Arial" w:cs="Arial"/>
        </w:rPr>
        <w:t xml:space="preserve">Measuring the effectiveness of rehabilitation for individuals with dementia is crucial to assess the impact of interventions and ensure the provision of high-quality care. However, measuring rehabilitation outcomes in dementia can be challenging due to the progressive nature of the disease and the complexity of assessing cognitive, </w:t>
      </w:r>
      <w:r w:rsidR="00450ABF" w:rsidRPr="00450ABF">
        <w:rPr>
          <w:rFonts w:ascii="Arial" w:hAnsi="Arial" w:cs="Arial"/>
        </w:rPr>
        <w:t>functional,</w:t>
      </w:r>
      <w:r w:rsidR="0032672B" w:rsidRPr="00450ABF">
        <w:rPr>
          <w:rFonts w:ascii="Arial" w:hAnsi="Arial" w:cs="Arial"/>
        </w:rPr>
        <w:t xml:space="preserve"> and</w:t>
      </w:r>
      <w:r w:rsidRPr="00450ABF">
        <w:rPr>
          <w:rFonts w:ascii="Arial" w:hAnsi="Arial" w:cs="Arial"/>
        </w:rPr>
        <w:t xml:space="preserve"> psychosocial changes. </w:t>
      </w:r>
    </w:p>
    <w:p w14:paraId="25566353" w14:textId="514FCC8D" w:rsidR="00C74928" w:rsidRPr="00450ABF" w:rsidRDefault="00C74928" w:rsidP="00450ABF">
      <w:pPr>
        <w:spacing w:line="360" w:lineRule="auto"/>
        <w:ind w:firstLine="720"/>
        <w:jc w:val="both"/>
        <w:rPr>
          <w:rFonts w:ascii="Arial" w:hAnsi="Arial" w:cs="Arial"/>
        </w:rPr>
      </w:pPr>
      <w:r w:rsidRPr="00450ABF">
        <w:rPr>
          <w:rFonts w:ascii="Arial" w:hAnsi="Arial" w:cs="Arial"/>
          <w:i/>
          <w:iCs/>
        </w:rPr>
        <w:t>Cognitive Assessment:</w:t>
      </w:r>
      <w:r w:rsidRPr="00450ABF">
        <w:rPr>
          <w:rFonts w:ascii="Arial" w:hAnsi="Arial" w:cs="Arial"/>
        </w:rPr>
        <w:t xml:space="preserve"> Cognitive assessment tools play a significant role in measuring the impact of rehabilitation on cognitive functioning</w:t>
      </w:r>
      <w:r w:rsidR="00EF412E" w:rsidRPr="00450ABF">
        <w:rPr>
          <w:rFonts w:ascii="Arial" w:hAnsi="Arial" w:cs="Arial"/>
        </w:rPr>
        <w:t xml:space="preserve"> (</w:t>
      </w:r>
      <w:proofErr w:type="spellStart"/>
      <w:r w:rsidR="00EF412E" w:rsidRPr="00450ABF">
        <w:rPr>
          <w:rFonts w:ascii="Arial" w:hAnsi="Arial" w:cs="Arial"/>
        </w:rPr>
        <w:t>Thabtah</w:t>
      </w:r>
      <w:proofErr w:type="spellEnd"/>
      <w:r w:rsidR="00EF412E" w:rsidRPr="00450ABF">
        <w:rPr>
          <w:rFonts w:ascii="Arial" w:hAnsi="Arial" w:cs="Arial"/>
        </w:rPr>
        <w:t xml:space="preserve"> et al., 2020)</w:t>
      </w:r>
      <w:r w:rsidRPr="00450ABF">
        <w:rPr>
          <w:rFonts w:ascii="Arial" w:hAnsi="Arial" w:cs="Arial"/>
        </w:rPr>
        <w:t>. Tests such as the Mini-Mental State Examination (MMSE) or the Alzheimer's Disease Assessment Scale-Cognitive (ADAS-Cog) are commonly used to assess cognition</w:t>
      </w:r>
      <w:r w:rsidR="002054E5" w:rsidRPr="00450ABF">
        <w:rPr>
          <w:rFonts w:ascii="Arial" w:hAnsi="Arial" w:cs="Arial"/>
        </w:rPr>
        <w:t xml:space="preserve"> (Wei et al., 2022)</w:t>
      </w:r>
      <w:r w:rsidRPr="00450ABF">
        <w:rPr>
          <w:rFonts w:ascii="Arial" w:hAnsi="Arial" w:cs="Arial"/>
        </w:rPr>
        <w:t xml:space="preserve">. These assessments provide valuable information about changes in memory, attention, </w:t>
      </w:r>
      <w:r w:rsidR="00450ABF" w:rsidRPr="00450ABF">
        <w:rPr>
          <w:rFonts w:ascii="Arial" w:hAnsi="Arial" w:cs="Arial"/>
        </w:rPr>
        <w:t>language,</w:t>
      </w:r>
      <w:r w:rsidR="0032672B" w:rsidRPr="00450ABF">
        <w:rPr>
          <w:rFonts w:ascii="Arial" w:hAnsi="Arial" w:cs="Arial"/>
        </w:rPr>
        <w:t xml:space="preserve"> and</w:t>
      </w:r>
      <w:r w:rsidRPr="00450ABF">
        <w:rPr>
          <w:rFonts w:ascii="Arial" w:hAnsi="Arial" w:cs="Arial"/>
        </w:rPr>
        <w:t xml:space="preserve"> other cognitive domains. However, they may have limitations in capturing the full range of cognitive abilities affected by dementia, as well as the individualized nature of cognitive changes.</w:t>
      </w:r>
    </w:p>
    <w:p w14:paraId="7E2D2437" w14:textId="172CB483" w:rsidR="00C74928" w:rsidRPr="00450ABF" w:rsidRDefault="00C74928" w:rsidP="00450ABF">
      <w:pPr>
        <w:spacing w:line="360" w:lineRule="auto"/>
        <w:ind w:firstLine="720"/>
        <w:jc w:val="both"/>
        <w:rPr>
          <w:rFonts w:ascii="Arial" w:hAnsi="Arial" w:cs="Arial"/>
        </w:rPr>
      </w:pPr>
      <w:r w:rsidRPr="00450ABF">
        <w:rPr>
          <w:rFonts w:ascii="Arial" w:hAnsi="Arial" w:cs="Arial"/>
          <w:i/>
          <w:iCs/>
        </w:rPr>
        <w:t>Functional Assessment:</w:t>
      </w:r>
      <w:r w:rsidRPr="00450ABF">
        <w:rPr>
          <w:rFonts w:ascii="Arial" w:hAnsi="Arial" w:cs="Arial"/>
        </w:rPr>
        <w:t xml:space="preserve"> Functional assessment evaluates an individual's ability to perform activities of daily living (ADLs) and instrumental activities of daily living (IADLs). Tools such as the Activities of Daily Living (ADL) Scale or the Bristol Activities of Daily Living Scale (BADLS) assess functional abilities, including self-care, </w:t>
      </w:r>
      <w:r w:rsidR="00450ABF" w:rsidRPr="00450ABF">
        <w:rPr>
          <w:rFonts w:ascii="Arial" w:hAnsi="Arial" w:cs="Arial"/>
        </w:rPr>
        <w:t>mobility,</w:t>
      </w:r>
      <w:r w:rsidR="0032672B" w:rsidRPr="00450ABF">
        <w:rPr>
          <w:rFonts w:ascii="Arial" w:hAnsi="Arial" w:cs="Arial"/>
        </w:rPr>
        <w:t xml:space="preserve"> and</w:t>
      </w:r>
      <w:r w:rsidRPr="00450ABF">
        <w:rPr>
          <w:rFonts w:ascii="Arial" w:hAnsi="Arial" w:cs="Arial"/>
        </w:rPr>
        <w:t xml:space="preserve"> household tasks</w:t>
      </w:r>
      <w:r w:rsidR="00E11770" w:rsidRPr="00450ABF">
        <w:rPr>
          <w:rFonts w:ascii="Arial" w:hAnsi="Arial" w:cs="Arial"/>
        </w:rPr>
        <w:t xml:space="preserve"> (</w:t>
      </w:r>
      <w:r w:rsidR="00BA4508" w:rsidRPr="00450ABF">
        <w:rPr>
          <w:rFonts w:ascii="Arial" w:hAnsi="Arial" w:cs="Arial"/>
        </w:rPr>
        <w:t>Ryan and Brady, 2023</w:t>
      </w:r>
      <w:r w:rsidR="00E11770" w:rsidRPr="00450ABF">
        <w:rPr>
          <w:rFonts w:ascii="Arial" w:hAnsi="Arial" w:cs="Arial"/>
        </w:rPr>
        <w:t>)</w:t>
      </w:r>
      <w:r w:rsidRPr="00450ABF">
        <w:rPr>
          <w:rFonts w:ascii="Arial" w:hAnsi="Arial" w:cs="Arial"/>
        </w:rPr>
        <w:t xml:space="preserve">. These assessments help measure the impact of rehabilitation on an individual's independence and ability to carry out everyday tasks. However, it is important to consider that functional changes in dementia can be influenced by multiple factors, including physical health, environmental </w:t>
      </w:r>
      <w:r w:rsidR="00450ABF" w:rsidRPr="00450ABF">
        <w:rPr>
          <w:rFonts w:ascii="Arial" w:hAnsi="Arial" w:cs="Arial"/>
        </w:rPr>
        <w:t>modifications,</w:t>
      </w:r>
      <w:r w:rsidR="0032672B" w:rsidRPr="00450ABF">
        <w:rPr>
          <w:rFonts w:ascii="Arial" w:hAnsi="Arial" w:cs="Arial"/>
        </w:rPr>
        <w:t xml:space="preserve"> and</w:t>
      </w:r>
      <w:r w:rsidRPr="00450ABF">
        <w:rPr>
          <w:rFonts w:ascii="Arial" w:hAnsi="Arial" w:cs="Arial"/>
        </w:rPr>
        <w:t xml:space="preserve"> caregiver support.</w:t>
      </w:r>
    </w:p>
    <w:p w14:paraId="24D3539C" w14:textId="480498A7" w:rsidR="00C74928" w:rsidRPr="00450ABF" w:rsidRDefault="00C74928" w:rsidP="00450ABF">
      <w:pPr>
        <w:spacing w:line="360" w:lineRule="auto"/>
        <w:ind w:firstLine="720"/>
        <w:jc w:val="both"/>
        <w:rPr>
          <w:rFonts w:ascii="Arial" w:hAnsi="Arial" w:cs="Arial"/>
        </w:rPr>
      </w:pPr>
      <w:r w:rsidRPr="00450ABF">
        <w:rPr>
          <w:rFonts w:ascii="Arial" w:hAnsi="Arial" w:cs="Arial"/>
          <w:i/>
          <w:iCs/>
        </w:rPr>
        <w:t>Quality of Life Measures:</w:t>
      </w:r>
      <w:r w:rsidRPr="00450ABF">
        <w:rPr>
          <w:rFonts w:ascii="Arial" w:hAnsi="Arial" w:cs="Arial"/>
        </w:rPr>
        <w:t xml:space="preserve"> Assessing the quality of life of individuals with dementia is essential to capture the broader impact of rehabilitation interventions. Tools like the Quality of Life in Alzheimer's Disease (QoL-AD) scale or the Dementia Quality of Life (DEMQOL) questionnaire can provide insights into domains such as physical health, psychological well-being, social interactions</w:t>
      </w:r>
      <w:r w:rsidR="0032672B" w:rsidRPr="00450ABF">
        <w:rPr>
          <w:rFonts w:ascii="Arial" w:hAnsi="Arial" w:cs="Arial"/>
        </w:rPr>
        <w:t xml:space="preserve"> and</w:t>
      </w:r>
      <w:r w:rsidRPr="00450ABF">
        <w:rPr>
          <w:rFonts w:ascii="Arial" w:hAnsi="Arial" w:cs="Arial"/>
        </w:rPr>
        <w:t xml:space="preserve"> environmental satisfaction</w:t>
      </w:r>
      <w:r w:rsidR="00E901AF" w:rsidRPr="00450ABF">
        <w:rPr>
          <w:rFonts w:ascii="Arial" w:hAnsi="Arial" w:cs="Arial"/>
        </w:rPr>
        <w:t xml:space="preserve"> (Yang et al., 2018)</w:t>
      </w:r>
      <w:r w:rsidRPr="00450ABF">
        <w:rPr>
          <w:rFonts w:ascii="Arial" w:hAnsi="Arial" w:cs="Arial"/>
        </w:rPr>
        <w:t>. These measures help evaluate the effectiveness of rehabilitation in enhancing the overall quality of life for individuals with dementia. However, it is important to recognize the challenges in capturing subjective experiences and the potential influence of cognitive impairments on self-report measures.</w:t>
      </w:r>
    </w:p>
    <w:p w14:paraId="5A3B4470" w14:textId="6C8640F6" w:rsidR="00C74928" w:rsidRPr="00450ABF" w:rsidRDefault="00C74928" w:rsidP="00450ABF">
      <w:pPr>
        <w:spacing w:line="360" w:lineRule="auto"/>
        <w:ind w:firstLine="720"/>
        <w:jc w:val="both"/>
        <w:rPr>
          <w:rFonts w:ascii="Arial" w:hAnsi="Arial" w:cs="Arial"/>
        </w:rPr>
      </w:pPr>
      <w:r w:rsidRPr="00450ABF">
        <w:rPr>
          <w:rFonts w:ascii="Arial" w:hAnsi="Arial" w:cs="Arial"/>
          <w:i/>
          <w:iCs/>
        </w:rPr>
        <w:t>Caregiver Reports:</w:t>
      </w:r>
      <w:r w:rsidRPr="00450ABF">
        <w:rPr>
          <w:rFonts w:ascii="Arial" w:hAnsi="Arial" w:cs="Arial"/>
        </w:rPr>
        <w:t xml:space="preserve"> Involving caregivers in the measurement of rehabilitation outcomes is crucial as they play a vital role in supporting individuals with dementia. Caregiver reports, such as the </w:t>
      </w:r>
      <w:proofErr w:type="spellStart"/>
      <w:r w:rsidRPr="00450ABF">
        <w:rPr>
          <w:rFonts w:ascii="Arial" w:hAnsi="Arial" w:cs="Arial"/>
        </w:rPr>
        <w:t>Zarit</w:t>
      </w:r>
      <w:proofErr w:type="spellEnd"/>
      <w:r w:rsidRPr="00450ABF">
        <w:rPr>
          <w:rFonts w:ascii="Arial" w:hAnsi="Arial" w:cs="Arial"/>
        </w:rPr>
        <w:t xml:space="preserve"> Burden Interview (ZBI) or the Caregiver Quality of Life Index (CQLI), can provide valuable information about the impact of rehabilitation on caregiver burden, stress levels</w:t>
      </w:r>
      <w:r w:rsidR="0032672B" w:rsidRPr="00450ABF">
        <w:rPr>
          <w:rFonts w:ascii="Arial" w:hAnsi="Arial" w:cs="Arial"/>
        </w:rPr>
        <w:t xml:space="preserve"> and</w:t>
      </w:r>
      <w:r w:rsidRPr="00450ABF">
        <w:rPr>
          <w:rFonts w:ascii="Arial" w:hAnsi="Arial" w:cs="Arial"/>
        </w:rPr>
        <w:t xml:space="preserve"> </w:t>
      </w:r>
      <w:r w:rsidRPr="00450ABF">
        <w:rPr>
          <w:rFonts w:ascii="Arial" w:hAnsi="Arial" w:cs="Arial"/>
        </w:rPr>
        <w:lastRenderedPageBreak/>
        <w:t>overall well-being</w:t>
      </w:r>
      <w:r w:rsidR="00F937D3" w:rsidRPr="00450ABF">
        <w:rPr>
          <w:rFonts w:ascii="Arial" w:hAnsi="Arial" w:cs="Arial"/>
        </w:rPr>
        <w:t xml:space="preserve"> (</w:t>
      </w:r>
      <w:proofErr w:type="spellStart"/>
      <w:r w:rsidR="00F937D3" w:rsidRPr="00450ABF">
        <w:rPr>
          <w:rFonts w:ascii="Arial" w:hAnsi="Arial" w:cs="Arial"/>
        </w:rPr>
        <w:t>Kayadjanian</w:t>
      </w:r>
      <w:proofErr w:type="spellEnd"/>
      <w:r w:rsidR="00F937D3" w:rsidRPr="00450ABF">
        <w:rPr>
          <w:rFonts w:ascii="Arial" w:hAnsi="Arial" w:cs="Arial"/>
        </w:rPr>
        <w:t xml:space="preserve"> et al., 2018)</w:t>
      </w:r>
      <w:r w:rsidRPr="00450ABF">
        <w:rPr>
          <w:rFonts w:ascii="Arial" w:hAnsi="Arial" w:cs="Arial"/>
        </w:rPr>
        <w:t>. These measures help assess the indirect benefits of rehabilitation interventions on caregivers and can guide interventions that support both individuals with dementia and their caregivers.</w:t>
      </w:r>
    </w:p>
    <w:p w14:paraId="32765627" w14:textId="31C47E6E" w:rsidR="00C74928" w:rsidRPr="00450ABF" w:rsidRDefault="00C74928" w:rsidP="00450ABF">
      <w:pPr>
        <w:spacing w:line="360" w:lineRule="auto"/>
        <w:ind w:firstLine="720"/>
        <w:jc w:val="both"/>
        <w:rPr>
          <w:rFonts w:ascii="Arial" w:hAnsi="Arial" w:cs="Arial"/>
        </w:rPr>
      </w:pPr>
      <w:r w:rsidRPr="00450ABF">
        <w:rPr>
          <w:rFonts w:ascii="Arial" w:hAnsi="Arial" w:cs="Arial"/>
        </w:rPr>
        <w:t>However, a potential limitation of measuring rehabilitation outcomes in dementia is the reliance on a restricted number of outcomes. Dementia is a complex condition that affects individuals in various ways</w:t>
      </w:r>
      <w:r w:rsidR="0032672B" w:rsidRPr="00450ABF">
        <w:rPr>
          <w:rFonts w:ascii="Arial" w:hAnsi="Arial" w:cs="Arial"/>
        </w:rPr>
        <w:t xml:space="preserve"> and</w:t>
      </w:r>
      <w:r w:rsidRPr="00450ABF">
        <w:rPr>
          <w:rFonts w:ascii="Arial" w:hAnsi="Arial" w:cs="Arial"/>
        </w:rPr>
        <w:t xml:space="preserve"> using a limited set of measures may not capture the full spectrum of changes and improvements. To address this limitation, comprehensive and multidimensional assessments that incorporate diverse outcome measures, including cognitive, functional, </w:t>
      </w:r>
      <w:r w:rsidR="00450ABF" w:rsidRPr="00450ABF">
        <w:rPr>
          <w:rFonts w:ascii="Arial" w:hAnsi="Arial" w:cs="Arial"/>
        </w:rPr>
        <w:t>psychosocial,</w:t>
      </w:r>
      <w:r w:rsidR="0032672B" w:rsidRPr="00450ABF">
        <w:rPr>
          <w:rFonts w:ascii="Arial" w:hAnsi="Arial" w:cs="Arial"/>
        </w:rPr>
        <w:t xml:space="preserve"> and</w:t>
      </w:r>
      <w:r w:rsidRPr="00450ABF">
        <w:rPr>
          <w:rFonts w:ascii="Arial" w:hAnsi="Arial" w:cs="Arial"/>
        </w:rPr>
        <w:t xml:space="preserve"> </w:t>
      </w:r>
      <w:proofErr w:type="spellStart"/>
      <w:r w:rsidR="003E4A83">
        <w:rPr>
          <w:rFonts w:ascii="Arial" w:hAnsi="Arial" w:cs="Arial"/>
        </w:rPr>
        <w:t>behavioural</w:t>
      </w:r>
      <w:proofErr w:type="spellEnd"/>
      <w:r w:rsidRPr="00450ABF">
        <w:rPr>
          <w:rFonts w:ascii="Arial" w:hAnsi="Arial" w:cs="Arial"/>
        </w:rPr>
        <w:t xml:space="preserve"> aspects, should be considered</w:t>
      </w:r>
      <w:r w:rsidR="00EF412E" w:rsidRPr="00450ABF">
        <w:rPr>
          <w:rFonts w:ascii="Arial" w:hAnsi="Arial" w:cs="Arial"/>
        </w:rPr>
        <w:t xml:space="preserve"> (Dyer et al., 2018)</w:t>
      </w:r>
      <w:r w:rsidRPr="00450ABF">
        <w:rPr>
          <w:rFonts w:ascii="Arial" w:hAnsi="Arial" w:cs="Arial"/>
        </w:rPr>
        <w:t>.</w:t>
      </w:r>
      <w:r w:rsidR="00B570EF" w:rsidRPr="00450ABF">
        <w:rPr>
          <w:rFonts w:ascii="Arial" w:hAnsi="Arial" w:cs="Arial"/>
        </w:rPr>
        <w:t xml:space="preserve"> </w:t>
      </w:r>
      <w:r w:rsidRPr="00450ABF">
        <w:rPr>
          <w:rFonts w:ascii="Arial" w:hAnsi="Arial" w:cs="Arial"/>
        </w:rPr>
        <w:t xml:space="preserve">Furthermore, the assessment of rehabilitation outcomes should be sensitive to individual differences and incorporate </w:t>
      </w:r>
      <w:r w:rsidR="002679D3">
        <w:rPr>
          <w:rFonts w:ascii="Arial" w:hAnsi="Arial" w:cs="Arial"/>
        </w:rPr>
        <w:t>person-</w:t>
      </w:r>
      <w:proofErr w:type="spellStart"/>
      <w:r w:rsidR="002679D3">
        <w:rPr>
          <w:rFonts w:ascii="Arial" w:hAnsi="Arial" w:cs="Arial"/>
        </w:rPr>
        <w:t>centred</w:t>
      </w:r>
      <w:proofErr w:type="spellEnd"/>
      <w:r w:rsidRPr="00450ABF">
        <w:rPr>
          <w:rFonts w:ascii="Arial" w:hAnsi="Arial" w:cs="Arial"/>
        </w:rPr>
        <w:t xml:space="preserve"> approaches. Recognizing the heterogeneity of dementia and the unique needs and preferences of individuals is essential in capturing meaningful and relevant outcomes.</w:t>
      </w:r>
    </w:p>
    <w:p w14:paraId="2DB73D76" w14:textId="6B816755" w:rsidR="00C74928" w:rsidRPr="00450ABF" w:rsidRDefault="00C74928" w:rsidP="00450ABF">
      <w:pPr>
        <w:pStyle w:val="Heading1"/>
        <w:spacing w:line="360" w:lineRule="auto"/>
        <w:jc w:val="both"/>
        <w:rPr>
          <w:rFonts w:cs="Arial"/>
          <w:sz w:val="22"/>
          <w:szCs w:val="22"/>
        </w:rPr>
      </w:pPr>
      <w:bookmarkStart w:id="7" w:name="_Toc140495518"/>
      <w:r w:rsidRPr="00450ABF">
        <w:rPr>
          <w:rFonts w:cs="Arial"/>
          <w:sz w:val="22"/>
          <w:szCs w:val="22"/>
        </w:rPr>
        <w:t>Recommendations for Future Practice</w:t>
      </w:r>
      <w:bookmarkEnd w:id="7"/>
    </w:p>
    <w:p w14:paraId="71B3502D" w14:textId="4572405B" w:rsidR="00143F8F" w:rsidRPr="00450ABF" w:rsidRDefault="00143F8F" w:rsidP="00450ABF">
      <w:pPr>
        <w:spacing w:line="360" w:lineRule="auto"/>
        <w:ind w:firstLine="720"/>
        <w:jc w:val="both"/>
        <w:rPr>
          <w:rFonts w:ascii="Arial" w:hAnsi="Arial" w:cs="Arial"/>
        </w:rPr>
      </w:pPr>
      <w:r w:rsidRPr="00450ABF">
        <w:rPr>
          <w:rFonts w:ascii="Arial" w:hAnsi="Arial" w:cs="Arial"/>
        </w:rPr>
        <w:t xml:space="preserve">To improve the quality of life and outcomes for individuals with dementia, as well as address the challenges posed by an </w:t>
      </w:r>
      <w:r w:rsidR="00B57BFD" w:rsidRPr="00450ABF">
        <w:rPr>
          <w:rFonts w:ascii="Arial" w:hAnsi="Arial" w:cs="Arial"/>
        </w:rPr>
        <w:t>ageing</w:t>
      </w:r>
      <w:r w:rsidRPr="00450ABF">
        <w:rPr>
          <w:rFonts w:ascii="Arial" w:hAnsi="Arial" w:cs="Arial"/>
        </w:rPr>
        <w:t xml:space="preserve"> population, it is essential to consider future developments and advancements in the diagnosis, </w:t>
      </w:r>
      <w:r w:rsidR="00450ABF" w:rsidRPr="00450ABF">
        <w:rPr>
          <w:rFonts w:ascii="Arial" w:hAnsi="Arial" w:cs="Arial"/>
        </w:rPr>
        <w:t>treatment,</w:t>
      </w:r>
      <w:r w:rsidR="0032672B" w:rsidRPr="00450ABF">
        <w:rPr>
          <w:rFonts w:ascii="Arial" w:hAnsi="Arial" w:cs="Arial"/>
        </w:rPr>
        <w:t xml:space="preserve"> and</w:t>
      </w:r>
      <w:r w:rsidRPr="00450ABF">
        <w:rPr>
          <w:rFonts w:ascii="Arial" w:hAnsi="Arial" w:cs="Arial"/>
        </w:rPr>
        <w:t xml:space="preserve"> overall management of dementia</w:t>
      </w:r>
      <w:r w:rsidR="00E30194" w:rsidRPr="00450ABF">
        <w:rPr>
          <w:rFonts w:ascii="Arial" w:hAnsi="Arial" w:cs="Arial"/>
        </w:rPr>
        <w:t xml:space="preserve"> (</w:t>
      </w:r>
      <w:proofErr w:type="spellStart"/>
      <w:r w:rsidR="00E30194" w:rsidRPr="00450ABF">
        <w:rPr>
          <w:rFonts w:ascii="Arial" w:hAnsi="Arial" w:cs="Arial"/>
        </w:rPr>
        <w:t>Porsteinsson</w:t>
      </w:r>
      <w:proofErr w:type="spellEnd"/>
      <w:r w:rsidR="00E30194" w:rsidRPr="00450ABF">
        <w:rPr>
          <w:rFonts w:ascii="Arial" w:hAnsi="Arial" w:cs="Arial"/>
        </w:rPr>
        <w:t xml:space="preserve"> et al., 2022)</w:t>
      </w:r>
      <w:r w:rsidRPr="00450ABF">
        <w:rPr>
          <w:rFonts w:ascii="Arial" w:hAnsi="Arial" w:cs="Arial"/>
        </w:rPr>
        <w:t>. The following recommendations outline potential areas for improvement and innovation in practice:</w:t>
      </w:r>
    </w:p>
    <w:p w14:paraId="0717D4BC" w14:textId="65E58761" w:rsidR="00143F8F" w:rsidRPr="00450ABF" w:rsidRDefault="00143F8F" w:rsidP="00450ABF">
      <w:pPr>
        <w:spacing w:line="360" w:lineRule="auto"/>
        <w:ind w:firstLine="720"/>
        <w:jc w:val="both"/>
        <w:rPr>
          <w:rFonts w:ascii="Arial" w:hAnsi="Arial" w:cs="Arial"/>
        </w:rPr>
      </w:pPr>
      <w:r w:rsidRPr="00450ABF">
        <w:rPr>
          <w:rFonts w:ascii="Arial" w:hAnsi="Arial" w:cs="Arial"/>
          <w:i/>
          <w:iCs/>
        </w:rPr>
        <w:t>Enhanced Early Detection and Diagnosis:</w:t>
      </w:r>
      <w:r w:rsidRPr="00450ABF">
        <w:rPr>
          <w:rFonts w:ascii="Arial" w:hAnsi="Arial" w:cs="Arial"/>
        </w:rPr>
        <w:t xml:space="preserve"> Early detection and diagnosis of dementia can lead to timely interventions and support</w:t>
      </w:r>
      <w:r w:rsidR="00912F7E" w:rsidRPr="00450ABF">
        <w:rPr>
          <w:rFonts w:ascii="Arial" w:hAnsi="Arial" w:cs="Arial"/>
        </w:rPr>
        <w:t xml:space="preserve"> (Van </w:t>
      </w:r>
      <w:proofErr w:type="spellStart"/>
      <w:r w:rsidR="00912F7E" w:rsidRPr="00450ABF">
        <w:rPr>
          <w:rFonts w:ascii="Arial" w:hAnsi="Arial" w:cs="Arial"/>
        </w:rPr>
        <w:t>Asbroeck</w:t>
      </w:r>
      <w:proofErr w:type="spellEnd"/>
      <w:r w:rsidR="00912F7E" w:rsidRPr="00450ABF">
        <w:rPr>
          <w:rFonts w:ascii="Arial" w:hAnsi="Arial" w:cs="Arial"/>
        </w:rPr>
        <w:t xml:space="preserve"> et al., 2021)</w:t>
      </w:r>
      <w:r w:rsidRPr="00450ABF">
        <w:rPr>
          <w:rFonts w:ascii="Arial" w:hAnsi="Arial" w:cs="Arial"/>
        </w:rPr>
        <w:t xml:space="preserve">. It is crucial to invest in research and practice that promotes early identification of cognitive decline and implements effective screening measures in primary care settings. This includes raising awareness among healthcare professionals, developing reliable and accessible screening </w:t>
      </w:r>
      <w:r w:rsidR="00450ABF" w:rsidRPr="00450ABF">
        <w:rPr>
          <w:rFonts w:ascii="Arial" w:hAnsi="Arial" w:cs="Arial"/>
        </w:rPr>
        <w:t>tools,</w:t>
      </w:r>
      <w:r w:rsidR="0032672B" w:rsidRPr="00450ABF">
        <w:rPr>
          <w:rFonts w:ascii="Arial" w:hAnsi="Arial" w:cs="Arial"/>
        </w:rPr>
        <w:t xml:space="preserve"> and</w:t>
      </w:r>
      <w:r w:rsidRPr="00450ABF">
        <w:rPr>
          <w:rFonts w:ascii="Arial" w:hAnsi="Arial" w:cs="Arial"/>
        </w:rPr>
        <w:t xml:space="preserve"> ensuring that individuals receive appropriate follow-up assessments and referrals to specialist services.</w:t>
      </w:r>
    </w:p>
    <w:p w14:paraId="3848EE43" w14:textId="5B59274C" w:rsidR="00143F8F" w:rsidRPr="00450ABF" w:rsidRDefault="002679D3" w:rsidP="00450ABF">
      <w:pPr>
        <w:spacing w:line="360" w:lineRule="auto"/>
        <w:ind w:firstLine="720"/>
        <w:jc w:val="both"/>
        <w:rPr>
          <w:rFonts w:ascii="Arial" w:hAnsi="Arial" w:cs="Arial"/>
        </w:rPr>
      </w:pPr>
      <w:r>
        <w:rPr>
          <w:rFonts w:ascii="Arial" w:hAnsi="Arial" w:cs="Arial"/>
          <w:i/>
          <w:iCs/>
        </w:rPr>
        <w:t>Person-</w:t>
      </w:r>
      <w:proofErr w:type="spellStart"/>
      <w:r>
        <w:rPr>
          <w:rFonts w:ascii="Arial" w:hAnsi="Arial" w:cs="Arial"/>
          <w:i/>
          <w:iCs/>
        </w:rPr>
        <w:t>Centred</w:t>
      </w:r>
      <w:proofErr w:type="spellEnd"/>
      <w:r w:rsidR="00143F8F" w:rsidRPr="00450ABF">
        <w:rPr>
          <w:rFonts w:ascii="Arial" w:hAnsi="Arial" w:cs="Arial"/>
          <w:i/>
          <w:iCs/>
        </w:rPr>
        <w:t xml:space="preserve"> Care:</w:t>
      </w:r>
      <w:r w:rsidR="00143F8F" w:rsidRPr="00450ABF">
        <w:rPr>
          <w:rFonts w:ascii="Arial" w:hAnsi="Arial" w:cs="Arial"/>
        </w:rPr>
        <w:t xml:space="preserve"> Person-centered care should be at the forefront of dementia management. It is crucial to tailor interventions and </w:t>
      </w:r>
      <w:r w:rsidR="00450ABF" w:rsidRPr="00450ABF">
        <w:rPr>
          <w:rFonts w:ascii="Arial" w:hAnsi="Arial" w:cs="Arial"/>
        </w:rPr>
        <w:t>support</w:t>
      </w:r>
      <w:r w:rsidR="00143F8F" w:rsidRPr="00450ABF">
        <w:rPr>
          <w:rFonts w:ascii="Arial" w:hAnsi="Arial" w:cs="Arial"/>
        </w:rPr>
        <w:t xml:space="preserve"> the individual's unique needs, </w:t>
      </w:r>
      <w:r w:rsidR="00526316" w:rsidRPr="00450ABF">
        <w:rPr>
          <w:rFonts w:ascii="Arial" w:hAnsi="Arial" w:cs="Arial"/>
        </w:rPr>
        <w:t>preferences,</w:t>
      </w:r>
      <w:r w:rsidR="0032672B" w:rsidRPr="00450ABF">
        <w:rPr>
          <w:rFonts w:ascii="Arial" w:hAnsi="Arial" w:cs="Arial"/>
        </w:rPr>
        <w:t xml:space="preserve"> and</w:t>
      </w:r>
      <w:r w:rsidR="00143F8F" w:rsidRPr="00450ABF">
        <w:rPr>
          <w:rFonts w:ascii="Arial" w:hAnsi="Arial" w:cs="Arial"/>
        </w:rPr>
        <w:t xml:space="preserve"> cultural background. Future practice should prioritize involving individuals with dementia in care planning, promoting autonomy and decision-making to the extent possible</w:t>
      </w:r>
      <w:r w:rsidR="0032672B" w:rsidRPr="00450ABF">
        <w:rPr>
          <w:rFonts w:ascii="Arial" w:hAnsi="Arial" w:cs="Arial"/>
        </w:rPr>
        <w:t xml:space="preserve"> and</w:t>
      </w:r>
      <w:r w:rsidR="00143F8F" w:rsidRPr="00450ABF">
        <w:rPr>
          <w:rFonts w:ascii="Arial" w:hAnsi="Arial" w:cs="Arial"/>
        </w:rPr>
        <w:t xml:space="preserve"> considering their quality of life as a primary outcome measure</w:t>
      </w:r>
      <w:r w:rsidR="00E813E9" w:rsidRPr="00450ABF">
        <w:rPr>
          <w:rFonts w:ascii="Arial" w:hAnsi="Arial" w:cs="Arial"/>
        </w:rPr>
        <w:t xml:space="preserve"> (Fazio et al., 2018)</w:t>
      </w:r>
      <w:r w:rsidR="00143F8F" w:rsidRPr="00450ABF">
        <w:rPr>
          <w:rFonts w:ascii="Arial" w:hAnsi="Arial" w:cs="Arial"/>
        </w:rPr>
        <w:t>. This can be achieved through training programs for healthcare professionals, establishing care environments that foster dignity and respect</w:t>
      </w:r>
      <w:r w:rsidR="0032672B" w:rsidRPr="00450ABF">
        <w:rPr>
          <w:rFonts w:ascii="Arial" w:hAnsi="Arial" w:cs="Arial"/>
        </w:rPr>
        <w:t xml:space="preserve"> and</w:t>
      </w:r>
      <w:r w:rsidR="00143F8F" w:rsidRPr="00450ABF">
        <w:rPr>
          <w:rFonts w:ascii="Arial" w:hAnsi="Arial" w:cs="Arial"/>
        </w:rPr>
        <w:t xml:space="preserve"> involving family caregivers as partners in the care process.</w:t>
      </w:r>
    </w:p>
    <w:p w14:paraId="60E9627F" w14:textId="622FAA22" w:rsidR="00143F8F" w:rsidRPr="00450ABF" w:rsidRDefault="00143F8F" w:rsidP="00450ABF">
      <w:pPr>
        <w:spacing w:line="360" w:lineRule="auto"/>
        <w:ind w:firstLine="720"/>
        <w:jc w:val="both"/>
        <w:rPr>
          <w:rFonts w:ascii="Arial" w:hAnsi="Arial" w:cs="Arial"/>
        </w:rPr>
      </w:pPr>
      <w:r w:rsidRPr="00450ABF">
        <w:rPr>
          <w:rFonts w:ascii="Arial" w:hAnsi="Arial" w:cs="Arial"/>
          <w:i/>
          <w:iCs/>
        </w:rPr>
        <w:lastRenderedPageBreak/>
        <w:t>Integration of Technology:</w:t>
      </w:r>
      <w:r w:rsidRPr="00450ABF">
        <w:rPr>
          <w:rFonts w:ascii="Arial" w:hAnsi="Arial" w:cs="Arial"/>
        </w:rPr>
        <w:t xml:space="preserve"> Advancements in technology have the potential to revolutionize dementia care. The use of assistive technologies, such as smart home systems, wearable </w:t>
      </w:r>
      <w:r w:rsidR="00450ABF" w:rsidRPr="00450ABF">
        <w:rPr>
          <w:rFonts w:ascii="Arial" w:hAnsi="Arial" w:cs="Arial"/>
        </w:rPr>
        <w:t>devices,</w:t>
      </w:r>
      <w:r w:rsidR="0032672B" w:rsidRPr="00450ABF">
        <w:rPr>
          <w:rFonts w:ascii="Arial" w:hAnsi="Arial" w:cs="Arial"/>
        </w:rPr>
        <w:t xml:space="preserve"> and</w:t>
      </w:r>
      <w:r w:rsidRPr="00450ABF">
        <w:rPr>
          <w:rFonts w:ascii="Arial" w:hAnsi="Arial" w:cs="Arial"/>
        </w:rPr>
        <w:t xml:space="preserve"> remote monitoring, can support individuals with dementia in managing daily activities, enhancing safety</w:t>
      </w:r>
      <w:r w:rsidR="0032672B" w:rsidRPr="00450ABF">
        <w:rPr>
          <w:rFonts w:ascii="Arial" w:hAnsi="Arial" w:cs="Arial"/>
        </w:rPr>
        <w:t xml:space="preserve"> and</w:t>
      </w:r>
      <w:r w:rsidRPr="00450ABF">
        <w:rPr>
          <w:rFonts w:ascii="Arial" w:hAnsi="Arial" w:cs="Arial"/>
        </w:rPr>
        <w:t xml:space="preserve"> providing real-time feedback to caregivers and healthcare professionals. Additionally, telehealth and telemedicine services can improve accessibility to specialized care, particularly for individuals in rural or underserved areas.</w:t>
      </w:r>
    </w:p>
    <w:p w14:paraId="74747A06" w14:textId="17423674" w:rsidR="00143F8F" w:rsidRPr="00450ABF" w:rsidRDefault="00143F8F" w:rsidP="00450ABF">
      <w:pPr>
        <w:spacing w:line="360" w:lineRule="auto"/>
        <w:ind w:firstLine="720"/>
        <w:jc w:val="both"/>
        <w:rPr>
          <w:rFonts w:ascii="Arial" w:hAnsi="Arial" w:cs="Arial"/>
        </w:rPr>
      </w:pPr>
      <w:r w:rsidRPr="00450ABF">
        <w:rPr>
          <w:rFonts w:ascii="Arial" w:hAnsi="Arial" w:cs="Arial"/>
          <w:i/>
          <w:iCs/>
        </w:rPr>
        <w:t>Comprehensive Support for Caregivers:</w:t>
      </w:r>
      <w:r w:rsidRPr="00450ABF">
        <w:rPr>
          <w:rFonts w:ascii="Arial" w:hAnsi="Arial" w:cs="Arial"/>
        </w:rPr>
        <w:t xml:space="preserve"> Recognizing the vital role of caregivers in dementia care, it is essential to provide comprehensive support and resources. This includes caregiver training programs, respite care services to alleviate caregiver burden</w:t>
      </w:r>
      <w:r w:rsidR="0032672B" w:rsidRPr="00450ABF">
        <w:rPr>
          <w:rFonts w:ascii="Arial" w:hAnsi="Arial" w:cs="Arial"/>
        </w:rPr>
        <w:t xml:space="preserve"> and</w:t>
      </w:r>
      <w:r w:rsidRPr="00450ABF">
        <w:rPr>
          <w:rFonts w:ascii="Arial" w:hAnsi="Arial" w:cs="Arial"/>
        </w:rPr>
        <w:t xml:space="preserve"> access to emotional and psychological support</w:t>
      </w:r>
      <w:r w:rsidR="00B61A9D" w:rsidRPr="00450ABF">
        <w:rPr>
          <w:rFonts w:ascii="Arial" w:hAnsi="Arial" w:cs="Arial"/>
        </w:rPr>
        <w:t xml:space="preserve"> (</w:t>
      </w:r>
      <w:r w:rsidR="00B4646D" w:rsidRPr="00450ABF">
        <w:rPr>
          <w:rFonts w:ascii="Arial" w:hAnsi="Arial" w:cs="Arial"/>
        </w:rPr>
        <w:t>Dudley e al., 2019</w:t>
      </w:r>
      <w:r w:rsidR="00B61A9D" w:rsidRPr="00450ABF">
        <w:rPr>
          <w:rFonts w:ascii="Arial" w:hAnsi="Arial" w:cs="Arial"/>
        </w:rPr>
        <w:t>)</w:t>
      </w:r>
      <w:r w:rsidRPr="00450ABF">
        <w:rPr>
          <w:rFonts w:ascii="Arial" w:hAnsi="Arial" w:cs="Arial"/>
        </w:rPr>
        <w:t>. Governments and healthcare systems should prioritize the development of caregiver support networks and establish policies that enable flexibility in employment and caregiving responsibilities.</w:t>
      </w:r>
    </w:p>
    <w:p w14:paraId="337A3ADB" w14:textId="17E071EA" w:rsidR="00143F8F" w:rsidRPr="00450ABF" w:rsidRDefault="00143F8F" w:rsidP="00450ABF">
      <w:pPr>
        <w:spacing w:line="360" w:lineRule="auto"/>
        <w:ind w:firstLine="720"/>
        <w:jc w:val="both"/>
        <w:rPr>
          <w:rFonts w:ascii="Arial" w:hAnsi="Arial" w:cs="Arial"/>
        </w:rPr>
      </w:pPr>
      <w:r w:rsidRPr="00450ABF">
        <w:rPr>
          <w:rFonts w:ascii="Arial" w:hAnsi="Arial" w:cs="Arial"/>
          <w:i/>
          <w:iCs/>
        </w:rPr>
        <w:t>Research and Innovation:</w:t>
      </w:r>
      <w:r w:rsidRPr="00450ABF">
        <w:rPr>
          <w:rFonts w:ascii="Arial" w:hAnsi="Arial" w:cs="Arial"/>
        </w:rPr>
        <w:t xml:space="preserve"> Continued investment in research is crucial to advance our understanding of dementia and develop new interventions</w:t>
      </w:r>
      <w:r w:rsidR="005F66B9" w:rsidRPr="00450ABF">
        <w:rPr>
          <w:rFonts w:ascii="Arial" w:hAnsi="Arial" w:cs="Arial"/>
        </w:rPr>
        <w:t xml:space="preserve"> (Khachaturian and Khachaturian, 2015)</w:t>
      </w:r>
      <w:r w:rsidRPr="00450ABF">
        <w:rPr>
          <w:rFonts w:ascii="Arial" w:hAnsi="Arial" w:cs="Arial"/>
        </w:rPr>
        <w:t>. Future practice should encourage collaboration between researchers, healthcare professionals</w:t>
      </w:r>
      <w:r w:rsidR="0032672B" w:rsidRPr="00450ABF">
        <w:rPr>
          <w:rFonts w:ascii="Arial" w:hAnsi="Arial" w:cs="Arial"/>
        </w:rPr>
        <w:t xml:space="preserve"> and</w:t>
      </w:r>
      <w:r w:rsidRPr="00450ABF">
        <w:rPr>
          <w:rFonts w:ascii="Arial" w:hAnsi="Arial" w:cs="Arial"/>
        </w:rPr>
        <w:t xml:space="preserve"> policymakers to identify novel approaches for prevention, early </w:t>
      </w:r>
      <w:r w:rsidR="00450ABF" w:rsidRPr="00450ABF">
        <w:rPr>
          <w:rFonts w:ascii="Arial" w:hAnsi="Arial" w:cs="Arial"/>
        </w:rPr>
        <w:t>intervention,</w:t>
      </w:r>
      <w:r w:rsidR="0032672B" w:rsidRPr="00450ABF">
        <w:rPr>
          <w:rFonts w:ascii="Arial" w:hAnsi="Arial" w:cs="Arial"/>
        </w:rPr>
        <w:t xml:space="preserve"> and</w:t>
      </w:r>
      <w:r w:rsidRPr="00450ABF">
        <w:rPr>
          <w:rFonts w:ascii="Arial" w:hAnsi="Arial" w:cs="Arial"/>
        </w:rPr>
        <w:t xml:space="preserve"> treatment. This includes exploring pharmacological and non-pharmacological interventions, such as targeted therapies, personalized medicine, lifestyle interventions</w:t>
      </w:r>
      <w:r w:rsidR="0032672B" w:rsidRPr="00450ABF">
        <w:rPr>
          <w:rFonts w:ascii="Arial" w:hAnsi="Arial" w:cs="Arial"/>
        </w:rPr>
        <w:t xml:space="preserve"> and</w:t>
      </w:r>
      <w:r w:rsidRPr="00450ABF">
        <w:rPr>
          <w:rFonts w:ascii="Arial" w:hAnsi="Arial" w:cs="Arial"/>
        </w:rPr>
        <w:t xml:space="preserve"> interventions focused on modifiable risk factors.</w:t>
      </w:r>
    </w:p>
    <w:p w14:paraId="7330B501" w14:textId="14E089ED" w:rsidR="00143F8F" w:rsidRPr="00450ABF" w:rsidRDefault="00143F8F" w:rsidP="00450ABF">
      <w:pPr>
        <w:spacing w:line="360" w:lineRule="auto"/>
        <w:ind w:firstLine="720"/>
        <w:jc w:val="both"/>
        <w:rPr>
          <w:rFonts w:ascii="Arial" w:hAnsi="Arial" w:cs="Arial"/>
        </w:rPr>
      </w:pPr>
      <w:r w:rsidRPr="00450ABF">
        <w:rPr>
          <w:rFonts w:ascii="Arial" w:hAnsi="Arial" w:cs="Arial"/>
          <w:i/>
          <w:iCs/>
        </w:rPr>
        <w:t>Integrated and Holistic Care:</w:t>
      </w:r>
      <w:r w:rsidRPr="00450ABF">
        <w:rPr>
          <w:rFonts w:ascii="Arial" w:hAnsi="Arial" w:cs="Arial"/>
        </w:rPr>
        <w:t xml:space="preserve"> Dementia care should be provided through an integrated and holistic approach that encompasses medical, psychological, </w:t>
      </w:r>
      <w:r w:rsidR="00450ABF" w:rsidRPr="00450ABF">
        <w:rPr>
          <w:rFonts w:ascii="Arial" w:hAnsi="Arial" w:cs="Arial"/>
        </w:rPr>
        <w:t>social,</w:t>
      </w:r>
      <w:r w:rsidR="0032672B" w:rsidRPr="00450ABF">
        <w:rPr>
          <w:rFonts w:ascii="Arial" w:hAnsi="Arial" w:cs="Arial"/>
        </w:rPr>
        <w:t xml:space="preserve"> and</w:t>
      </w:r>
      <w:r w:rsidRPr="00450ABF">
        <w:rPr>
          <w:rFonts w:ascii="Arial" w:hAnsi="Arial" w:cs="Arial"/>
        </w:rPr>
        <w:t xml:space="preserve"> environmental factors. This involves strengthening collaboration between different healthcare disciplines, community organizations</w:t>
      </w:r>
      <w:r w:rsidR="0032672B" w:rsidRPr="00450ABF">
        <w:rPr>
          <w:rFonts w:ascii="Arial" w:hAnsi="Arial" w:cs="Arial"/>
        </w:rPr>
        <w:t xml:space="preserve"> and</w:t>
      </w:r>
      <w:r w:rsidRPr="00450ABF">
        <w:rPr>
          <w:rFonts w:ascii="Arial" w:hAnsi="Arial" w:cs="Arial"/>
        </w:rPr>
        <w:t xml:space="preserve"> social care services. Integrated care pathways and care coordination mechanisms should be developed to ensure seamless transitions between different care settings and improve continuity of care.</w:t>
      </w:r>
    </w:p>
    <w:p w14:paraId="2E9CD236" w14:textId="7F943481" w:rsidR="00143F8F" w:rsidRPr="00450ABF" w:rsidRDefault="00143F8F" w:rsidP="00450ABF">
      <w:pPr>
        <w:spacing w:line="360" w:lineRule="auto"/>
        <w:ind w:firstLine="720"/>
        <w:jc w:val="both"/>
        <w:rPr>
          <w:rFonts w:ascii="Arial" w:hAnsi="Arial" w:cs="Arial"/>
        </w:rPr>
      </w:pPr>
      <w:r w:rsidRPr="00450ABF">
        <w:rPr>
          <w:rFonts w:ascii="Arial" w:hAnsi="Arial" w:cs="Arial"/>
          <w:i/>
          <w:iCs/>
        </w:rPr>
        <w:t>Public Awareness and Education:</w:t>
      </w:r>
      <w:r w:rsidRPr="00450ABF">
        <w:rPr>
          <w:rFonts w:ascii="Arial" w:hAnsi="Arial" w:cs="Arial"/>
        </w:rPr>
        <w:t xml:space="preserve"> Raising public awareness about dementia, its impact</w:t>
      </w:r>
      <w:r w:rsidR="0032672B" w:rsidRPr="00450ABF">
        <w:rPr>
          <w:rFonts w:ascii="Arial" w:hAnsi="Arial" w:cs="Arial"/>
        </w:rPr>
        <w:t xml:space="preserve"> and</w:t>
      </w:r>
      <w:r w:rsidRPr="00450ABF">
        <w:rPr>
          <w:rFonts w:ascii="Arial" w:hAnsi="Arial" w:cs="Arial"/>
        </w:rPr>
        <w:t xml:space="preserve"> available support services is crucial to reduce stigma and </w:t>
      </w:r>
      <w:r w:rsidR="00450ABF">
        <w:rPr>
          <w:rFonts w:ascii="Arial" w:hAnsi="Arial" w:cs="Arial"/>
        </w:rPr>
        <w:t>promoting</w:t>
      </w:r>
      <w:r w:rsidRPr="00450ABF">
        <w:rPr>
          <w:rFonts w:ascii="Arial" w:hAnsi="Arial" w:cs="Arial"/>
        </w:rPr>
        <w:t xml:space="preserve"> early help-seeking </w:t>
      </w:r>
      <w:proofErr w:type="spellStart"/>
      <w:r w:rsidR="003E4A83">
        <w:rPr>
          <w:rFonts w:ascii="Arial" w:hAnsi="Arial" w:cs="Arial"/>
        </w:rPr>
        <w:t>behaviours</w:t>
      </w:r>
      <w:proofErr w:type="spellEnd"/>
      <w:r w:rsidRPr="00450ABF">
        <w:rPr>
          <w:rFonts w:ascii="Arial" w:hAnsi="Arial" w:cs="Arial"/>
        </w:rPr>
        <w:t>. Public education campaigns should emphasize the importance of brain health, risk reduction strategies</w:t>
      </w:r>
      <w:r w:rsidR="00450ABF" w:rsidRPr="00450ABF">
        <w:rPr>
          <w:rFonts w:ascii="Arial" w:hAnsi="Arial" w:cs="Arial"/>
        </w:rPr>
        <w:t>, and</w:t>
      </w:r>
      <w:r w:rsidRPr="00450ABF">
        <w:rPr>
          <w:rFonts w:ascii="Arial" w:hAnsi="Arial" w:cs="Arial"/>
        </w:rPr>
        <w:t xml:space="preserve"> timely diagnosis and support</w:t>
      </w:r>
      <w:r w:rsidR="00CB1C98" w:rsidRPr="00450ABF">
        <w:rPr>
          <w:rFonts w:ascii="Arial" w:hAnsi="Arial" w:cs="Arial"/>
        </w:rPr>
        <w:t xml:space="preserve"> (Van </w:t>
      </w:r>
      <w:proofErr w:type="spellStart"/>
      <w:r w:rsidR="00CB1C98" w:rsidRPr="00450ABF">
        <w:rPr>
          <w:rFonts w:ascii="Arial" w:hAnsi="Arial" w:cs="Arial"/>
        </w:rPr>
        <w:t>Asbroeck</w:t>
      </w:r>
      <w:proofErr w:type="spellEnd"/>
      <w:r w:rsidR="00CB1C98" w:rsidRPr="00450ABF">
        <w:rPr>
          <w:rFonts w:ascii="Arial" w:hAnsi="Arial" w:cs="Arial"/>
        </w:rPr>
        <w:t xml:space="preserve"> et al., 2021)</w:t>
      </w:r>
      <w:r w:rsidRPr="00450ABF">
        <w:rPr>
          <w:rFonts w:ascii="Arial" w:hAnsi="Arial" w:cs="Arial"/>
        </w:rPr>
        <w:t xml:space="preserve">. This includes providing educational resources for schools, </w:t>
      </w:r>
      <w:r w:rsidR="00450ABF" w:rsidRPr="00450ABF">
        <w:rPr>
          <w:rFonts w:ascii="Arial" w:hAnsi="Arial" w:cs="Arial"/>
        </w:rPr>
        <w:t>workplaces,</w:t>
      </w:r>
      <w:r w:rsidR="0032672B" w:rsidRPr="00450ABF">
        <w:rPr>
          <w:rFonts w:ascii="Arial" w:hAnsi="Arial" w:cs="Arial"/>
        </w:rPr>
        <w:t xml:space="preserve"> and</w:t>
      </w:r>
      <w:r w:rsidRPr="00450ABF">
        <w:rPr>
          <w:rFonts w:ascii="Arial" w:hAnsi="Arial" w:cs="Arial"/>
        </w:rPr>
        <w:t xml:space="preserve"> community organizations to foster dementia-friendly environments and enhance societal understanding and empathy towards individuals with dementia.</w:t>
      </w:r>
    </w:p>
    <w:p w14:paraId="4908A3D1" w14:textId="0E9F9FD0" w:rsidR="00C74928" w:rsidRPr="00450ABF" w:rsidRDefault="00717870" w:rsidP="00450ABF">
      <w:pPr>
        <w:pStyle w:val="Heading1"/>
        <w:spacing w:line="360" w:lineRule="auto"/>
        <w:jc w:val="both"/>
        <w:rPr>
          <w:rFonts w:cs="Arial"/>
          <w:sz w:val="22"/>
          <w:szCs w:val="22"/>
        </w:rPr>
      </w:pPr>
      <w:bookmarkStart w:id="8" w:name="_Toc140495519"/>
      <w:r w:rsidRPr="00450ABF">
        <w:rPr>
          <w:rFonts w:cs="Arial"/>
          <w:sz w:val="22"/>
          <w:szCs w:val="22"/>
        </w:rPr>
        <w:lastRenderedPageBreak/>
        <w:t>Conclusion</w:t>
      </w:r>
      <w:bookmarkEnd w:id="8"/>
    </w:p>
    <w:p w14:paraId="394DF100" w14:textId="367F8FD9" w:rsidR="00717870" w:rsidRPr="00450ABF" w:rsidRDefault="00C728B4" w:rsidP="00450ABF">
      <w:pPr>
        <w:spacing w:line="360" w:lineRule="auto"/>
        <w:ind w:firstLine="720"/>
        <w:jc w:val="both"/>
        <w:rPr>
          <w:rFonts w:ascii="Arial" w:hAnsi="Arial" w:cs="Arial"/>
        </w:rPr>
      </w:pPr>
      <w:r w:rsidRPr="00450ABF">
        <w:rPr>
          <w:rFonts w:ascii="Arial" w:hAnsi="Arial" w:cs="Arial"/>
        </w:rPr>
        <w:t>T</w:t>
      </w:r>
      <w:r w:rsidR="00717870" w:rsidRPr="00450ABF">
        <w:rPr>
          <w:rFonts w:ascii="Arial" w:hAnsi="Arial" w:cs="Arial"/>
        </w:rPr>
        <w:t>he growing elderly population, coupled with the increasing prevalence of dementia, presents significant challenges for the healthcare and social care sectors. This report has critically evaluated the identification, assessment</w:t>
      </w:r>
      <w:r w:rsidR="0032672B" w:rsidRPr="00450ABF">
        <w:rPr>
          <w:rFonts w:ascii="Arial" w:hAnsi="Arial" w:cs="Arial"/>
        </w:rPr>
        <w:t xml:space="preserve"> and</w:t>
      </w:r>
      <w:r w:rsidR="00717870" w:rsidRPr="00450ABF">
        <w:rPr>
          <w:rFonts w:ascii="Arial" w:hAnsi="Arial" w:cs="Arial"/>
        </w:rPr>
        <w:t xml:space="preserve"> outlining of the health and social care needs of elderly individuals with dementia. By examining the definition of old age, the impact of an </w:t>
      </w:r>
      <w:r w:rsidR="00450ABF" w:rsidRPr="00450ABF">
        <w:rPr>
          <w:rFonts w:ascii="Arial" w:hAnsi="Arial" w:cs="Arial"/>
        </w:rPr>
        <w:t>ageing</w:t>
      </w:r>
      <w:r w:rsidR="00717870" w:rsidRPr="00450ABF">
        <w:rPr>
          <w:rFonts w:ascii="Arial" w:hAnsi="Arial" w:cs="Arial"/>
        </w:rPr>
        <w:t xml:space="preserve"> population, the issues faced by older people</w:t>
      </w:r>
      <w:r w:rsidR="0032672B" w:rsidRPr="00450ABF">
        <w:rPr>
          <w:rFonts w:ascii="Arial" w:hAnsi="Arial" w:cs="Arial"/>
        </w:rPr>
        <w:t xml:space="preserve"> and</w:t>
      </w:r>
      <w:r w:rsidR="00717870" w:rsidRPr="00450ABF">
        <w:rPr>
          <w:rFonts w:ascii="Arial" w:hAnsi="Arial" w:cs="Arial"/>
        </w:rPr>
        <w:t xml:space="preserve"> the current provision of health and social care, we have gained insights into the complexities surrounding dementia care.</w:t>
      </w:r>
      <w:r w:rsidR="000776CD" w:rsidRPr="00450ABF">
        <w:rPr>
          <w:rFonts w:ascii="Arial" w:hAnsi="Arial" w:cs="Arial"/>
        </w:rPr>
        <w:t xml:space="preserve"> </w:t>
      </w:r>
      <w:r w:rsidR="00717870" w:rsidRPr="00450ABF">
        <w:rPr>
          <w:rFonts w:ascii="Arial" w:hAnsi="Arial" w:cs="Arial"/>
        </w:rPr>
        <w:t xml:space="preserve">The process of diagnosing dementia involves a multidisciplinary approach and is crucial for providing appropriate support and interventions. While formal diagnosis offers numerous benefits, including targeted treatment and planning, it also requires sensitivity to the potential drawbacks of diagnostic </w:t>
      </w:r>
      <w:r w:rsidR="00450ABF" w:rsidRPr="00450ABF">
        <w:rPr>
          <w:rFonts w:ascii="Arial" w:hAnsi="Arial" w:cs="Arial"/>
        </w:rPr>
        <w:t>labelling</w:t>
      </w:r>
      <w:r w:rsidR="00717870" w:rsidRPr="00450ABF">
        <w:rPr>
          <w:rFonts w:ascii="Arial" w:hAnsi="Arial" w:cs="Arial"/>
        </w:rPr>
        <w:t>.</w:t>
      </w:r>
      <w:r w:rsidR="000776CD" w:rsidRPr="00450ABF">
        <w:rPr>
          <w:rFonts w:ascii="Arial" w:hAnsi="Arial" w:cs="Arial"/>
        </w:rPr>
        <w:t xml:space="preserve"> </w:t>
      </w:r>
      <w:r w:rsidR="00717870" w:rsidRPr="00450ABF">
        <w:rPr>
          <w:rFonts w:ascii="Arial" w:hAnsi="Arial" w:cs="Arial"/>
        </w:rPr>
        <w:t xml:space="preserve">Treatment provision for dementia encompasses medical, </w:t>
      </w:r>
      <w:r w:rsidR="00450ABF" w:rsidRPr="00450ABF">
        <w:rPr>
          <w:rFonts w:ascii="Arial" w:hAnsi="Arial" w:cs="Arial"/>
        </w:rPr>
        <w:t>psychological,</w:t>
      </w:r>
      <w:r w:rsidR="0032672B" w:rsidRPr="00450ABF">
        <w:rPr>
          <w:rFonts w:ascii="Arial" w:hAnsi="Arial" w:cs="Arial"/>
        </w:rPr>
        <w:t xml:space="preserve"> and</w:t>
      </w:r>
      <w:r w:rsidR="00717870" w:rsidRPr="00450ABF">
        <w:rPr>
          <w:rFonts w:ascii="Arial" w:hAnsi="Arial" w:cs="Arial"/>
        </w:rPr>
        <w:t xml:space="preserve"> supportive interventions. While medication and psychological therapies play essential roles in managing symptoms and improving well-being, non-pharmacological approaches, lifestyle modifications</w:t>
      </w:r>
      <w:r w:rsidR="0032672B" w:rsidRPr="00450ABF">
        <w:rPr>
          <w:rFonts w:ascii="Arial" w:hAnsi="Arial" w:cs="Arial"/>
        </w:rPr>
        <w:t xml:space="preserve"> and</w:t>
      </w:r>
      <w:r w:rsidR="00717870" w:rsidRPr="00450ABF">
        <w:rPr>
          <w:rFonts w:ascii="Arial" w:hAnsi="Arial" w:cs="Arial"/>
        </w:rPr>
        <w:t xml:space="preserve"> caregiver support are equally important. The measurement of rehabilitation outcomes in dementia poses challenges due to the progressive nature of the disease and </w:t>
      </w:r>
      <w:r w:rsidR="00450ABF" w:rsidRPr="00450ABF">
        <w:rPr>
          <w:rFonts w:ascii="Arial" w:hAnsi="Arial" w:cs="Arial"/>
        </w:rPr>
        <w:t>its</w:t>
      </w:r>
      <w:r w:rsidR="00717870" w:rsidRPr="00450ABF">
        <w:rPr>
          <w:rFonts w:ascii="Arial" w:hAnsi="Arial" w:cs="Arial"/>
        </w:rPr>
        <w:t xml:space="preserve"> multifaceted impacts on individuals. Future practice should strive for comprehensive and </w:t>
      </w:r>
      <w:r w:rsidR="002679D3">
        <w:rPr>
          <w:rFonts w:ascii="Arial" w:hAnsi="Arial" w:cs="Arial"/>
        </w:rPr>
        <w:t>person-</w:t>
      </w:r>
      <w:proofErr w:type="spellStart"/>
      <w:r w:rsidR="002679D3">
        <w:rPr>
          <w:rFonts w:ascii="Arial" w:hAnsi="Arial" w:cs="Arial"/>
        </w:rPr>
        <w:t>centred</w:t>
      </w:r>
      <w:proofErr w:type="spellEnd"/>
      <w:r w:rsidR="00717870" w:rsidRPr="00450ABF">
        <w:rPr>
          <w:rFonts w:ascii="Arial" w:hAnsi="Arial" w:cs="Arial"/>
        </w:rPr>
        <w:t xml:space="preserve"> assessments that incorporate cognitive, functional, </w:t>
      </w:r>
      <w:r w:rsidR="00450ABF" w:rsidRPr="00450ABF">
        <w:rPr>
          <w:rFonts w:ascii="Arial" w:hAnsi="Arial" w:cs="Arial"/>
        </w:rPr>
        <w:t>psychosocial,</w:t>
      </w:r>
      <w:r w:rsidR="0032672B" w:rsidRPr="00450ABF">
        <w:rPr>
          <w:rFonts w:ascii="Arial" w:hAnsi="Arial" w:cs="Arial"/>
        </w:rPr>
        <w:t xml:space="preserve"> and</w:t>
      </w:r>
      <w:r w:rsidR="00717870" w:rsidRPr="00450ABF">
        <w:rPr>
          <w:rFonts w:ascii="Arial" w:hAnsi="Arial" w:cs="Arial"/>
        </w:rPr>
        <w:t xml:space="preserve"> caregiver-related outcomes.</w:t>
      </w:r>
    </w:p>
    <w:p w14:paraId="2E66C0B4" w14:textId="18D361A7" w:rsidR="00717870" w:rsidRPr="00450ABF" w:rsidRDefault="00717870" w:rsidP="00450ABF">
      <w:pPr>
        <w:spacing w:line="360" w:lineRule="auto"/>
        <w:ind w:firstLine="720"/>
        <w:jc w:val="both"/>
        <w:rPr>
          <w:rFonts w:ascii="Arial" w:hAnsi="Arial" w:cs="Arial"/>
        </w:rPr>
      </w:pPr>
      <w:r w:rsidRPr="00450ABF">
        <w:rPr>
          <w:rFonts w:ascii="Arial" w:hAnsi="Arial" w:cs="Arial"/>
        </w:rPr>
        <w:t xml:space="preserve">To enhance the quality of dementia care, it is recommended to focus on early detection and diagnosis, </w:t>
      </w:r>
      <w:r w:rsidR="002679D3">
        <w:rPr>
          <w:rFonts w:ascii="Arial" w:hAnsi="Arial" w:cs="Arial"/>
        </w:rPr>
        <w:t>person-</w:t>
      </w:r>
      <w:proofErr w:type="spellStart"/>
      <w:r w:rsidR="002679D3">
        <w:rPr>
          <w:rFonts w:ascii="Arial" w:hAnsi="Arial" w:cs="Arial"/>
        </w:rPr>
        <w:t>centred</w:t>
      </w:r>
      <w:proofErr w:type="spellEnd"/>
      <w:r w:rsidRPr="00450ABF">
        <w:rPr>
          <w:rFonts w:ascii="Arial" w:hAnsi="Arial" w:cs="Arial"/>
        </w:rPr>
        <w:t xml:space="preserve"> care, the integration of technology, comprehensive support for caregivers, </w:t>
      </w:r>
      <w:r w:rsidR="00450ABF" w:rsidRPr="00450ABF">
        <w:rPr>
          <w:rFonts w:ascii="Arial" w:hAnsi="Arial" w:cs="Arial"/>
        </w:rPr>
        <w:t>research,</w:t>
      </w:r>
      <w:r w:rsidRPr="00450ABF">
        <w:rPr>
          <w:rFonts w:ascii="Arial" w:hAnsi="Arial" w:cs="Arial"/>
        </w:rPr>
        <w:t xml:space="preserve"> and innovation, integrated and holistic care</w:t>
      </w:r>
      <w:r w:rsidR="0032672B" w:rsidRPr="00450ABF">
        <w:rPr>
          <w:rFonts w:ascii="Arial" w:hAnsi="Arial" w:cs="Arial"/>
        </w:rPr>
        <w:t xml:space="preserve"> and</w:t>
      </w:r>
      <w:r w:rsidRPr="00450ABF">
        <w:rPr>
          <w:rFonts w:ascii="Arial" w:hAnsi="Arial" w:cs="Arial"/>
        </w:rPr>
        <w:t xml:space="preserve"> public awareness and education.</w:t>
      </w:r>
      <w:r w:rsidR="000776CD" w:rsidRPr="00450ABF">
        <w:rPr>
          <w:rFonts w:ascii="Arial" w:hAnsi="Arial" w:cs="Arial"/>
        </w:rPr>
        <w:t xml:space="preserve"> </w:t>
      </w:r>
      <w:r w:rsidRPr="00450ABF">
        <w:rPr>
          <w:rFonts w:ascii="Arial" w:hAnsi="Arial" w:cs="Arial"/>
        </w:rPr>
        <w:t xml:space="preserve">By implementing these recommendations, healthcare systems can adapt to the needs of an </w:t>
      </w:r>
      <w:r w:rsidR="00450ABF" w:rsidRPr="00450ABF">
        <w:rPr>
          <w:rFonts w:ascii="Arial" w:hAnsi="Arial" w:cs="Arial"/>
        </w:rPr>
        <w:t>ageing</w:t>
      </w:r>
      <w:r w:rsidRPr="00450ABF">
        <w:rPr>
          <w:rFonts w:ascii="Arial" w:hAnsi="Arial" w:cs="Arial"/>
        </w:rPr>
        <w:t xml:space="preserve"> population and ensure the provision of effective and compassionate care for individuals with dementia. Addressing the challenges and complexities of dementia requires a collaborative effort from policymakers, healthcare professionals, researchers, </w:t>
      </w:r>
      <w:r w:rsidR="00526316" w:rsidRPr="00450ABF">
        <w:rPr>
          <w:rFonts w:ascii="Arial" w:hAnsi="Arial" w:cs="Arial"/>
        </w:rPr>
        <w:t>caregivers,</w:t>
      </w:r>
      <w:r w:rsidR="0032672B" w:rsidRPr="00450ABF">
        <w:rPr>
          <w:rFonts w:ascii="Arial" w:hAnsi="Arial" w:cs="Arial"/>
        </w:rPr>
        <w:t xml:space="preserve"> and</w:t>
      </w:r>
      <w:r w:rsidRPr="00450ABF">
        <w:rPr>
          <w:rFonts w:ascii="Arial" w:hAnsi="Arial" w:cs="Arial"/>
        </w:rPr>
        <w:t xml:space="preserve"> </w:t>
      </w:r>
      <w:r w:rsidR="003E4A83" w:rsidRPr="00450ABF">
        <w:rPr>
          <w:rFonts w:ascii="Arial" w:hAnsi="Arial" w:cs="Arial"/>
        </w:rPr>
        <w:t>society</w:t>
      </w:r>
      <w:r w:rsidRPr="00450ABF">
        <w:rPr>
          <w:rFonts w:ascii="Arial" w:hAnsi="Arial" w:cs="Arial"/>
        </w:rPr>
        <w:t xml:space="preserve">. With a concerted effort and a </w:t>
      </w:r>
      <w:r w:rsidR="002679D3">
        <w:rPr>
          <w:rFonts w:ascii="Arial" w:hAnsi="Arial" w:cs="Arial"/>
        </w:rPr>
        <w:t>person-</w:t>
      </w:r>
      <w:proofErr w:type="spellStart"/>
      <w:r w:rsidR="002679D3">
        <w:rPr>
          <w:rFonts w:ascii="Arial" w:hAnsi="Arial" w:cs="Arial"/>
        </w:rPr>
        <w:t>centred</w:t>
      </w:r>
      <w:proofErr w:type="spellEnd"/>
      <w:r w:rsidRPr="00450ABF">
        <w:rPr>
          <w:rFonts w:ascii="Arial" w:hAnsi="Arial" w:cs="Arial"/>
        </w:rPr>
        <w:t xml:space="preserve"> approach, we can work towards improving the well-being and outcomes of individuals with dementia and supporting their journey towards successful </w:t>
      </w:r>
      <w:r w:rsidR="00450ABF" w:rsidRPr="00450ABF">
        <w:rPr>
          <w:rFonts w:ascii="Arial" w:hAnsi="Arial" w:cs="Arial"/>
        </w:rPr>
        <w:t>ageing</w:t>
      </w:r>
      <w:r w:rsidRPr="00450ABF">
        <w:rPr>
          <w:rFonts w:ascii="Arial" w:hAnsi="Arial" w:cs="Arial"/>
        </w:rPr>
        <w:t>.</w:t>
      </w:r>
    </w:p>
    <w:p w14:paraId="4A1BCAD0" w14:textId="77777777" w:rsidR="00E407DD" w:rsidRPr="00450ABF" w:rsidRDefault="00E407DD" w:rsidP="00450ABF">
      <w:pPr>
        <w:spacing w:line="360" w:lineRule="auto"/>
        <w:jc w:val="both"/>
        <w:rPr>
          <w:rFonts w:ascii="Arial" w:hAnsi="Arial" w:cs="Arial"/>
          <w:b/>
          <w:bCs/>
        </w:rPr>
      </w:pPr>
      <w:r w:rsidRPr="00450ABF">
        <w:rPr>
          <w:rFonts w:ascii="Arial" w:hAnsi="Arial" w:cs="Arial"/>
          <w:b/>
          <w:bCs/>
        </w:rPr>
        <w:br w:type="page"/>
      </w:r>
    </w:p>
    <w:p w14:paraId="7230E6E8" w14:textId="42477337" w:rsidR="00717870" w:rsidRPr="00450ABF" w:rsidRDefault="00603645" w:rsidP="00450ABF">
      <w:pPr>
        <w:pStyle w:val="Heading1"/>
        <w:spacing w:line="360" w:lineRule="auto"/>
        <w:jc w:val="both"/>
        <w:rPr>
          <w:rFonts w:cs="Arial"/>
          <w:sz w:val="22"/>
          <w:szCs w:val="22"/>
        </w:rPr>
      </w:pPr>
      <w:bookmarkStart w:id="9" w:name="_Toc140495520"/>
      <w:r w:rsidRPr="00450ABF">
        <w:rPr>
          <w:rFonts w:cs="Arial"/>
          <w:sz w:val="22"/>
          <w:szCs w:val="22"/>
        </w:rPr>
        <w:lastRenderedPageBreak/>
        <w:t>Reference List</w:t>
      </w:r>
      <w:bookmarkEnd w:id="9"/>
    </w:p>
    <w:p w14:paraId="78415ED0" w14:textId="013907D6" w:rsidR="00E407DD"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1.</w:t>
      </w:r>
      <w:r w:rsidR="00E407DD" w:rsidRPr="00450ABF">
        <w:rPr>
          <w:rFonts w:ascii="Arial" w:hAnsi="Arial" w:cs="Arial"/>
          <w:color w:val="222222"/>
          <w:shd w:val="clear" w:color="auto" w:fill="FFFFFF"/>
        </w:rPr>
        <w:t xml:space="preserve">Anonymous, 2000. Environmental Modifications for Individuals </w:t>
      </w:r>
      <w:proofErr w:type="gramStart"/>
      <w:r w:rsidR="00E407DD" w:rsidRPr="00450ABF">
        <w:rPr>
          <w:rFonts w:ascii="Arial" w:hAnsi="Arial" w:cs="Arial"/>
          <w:color w:val="222222"/>
          <w:shd w:val="clear" w:color="auto" w:fill="FFFFFF"/>
        </w:rPr>
        <w:t>With</w:t>
      </w:r>
      <w:proofErr w:type="gramEnd"/>
      <w:r w:rsidR="00E407DD" w:rsidRPr="00450ABF">
        <w:rPr>
          <w:rFonts w:ascii="Arial" w:hAnsi="Arial" w:cs="Arial"/>
          <w:color w:val="222222"/>
          <w:shd w:val="clear" w:color="auto" w:fill="FFFFFF"/>
        </w:rPr>
        <w:t xml:space="preserve"> Dementia. </w:t>
      </w:r>
      <w:r w:rsidR="00E407DD" w:rsidRPr="00450ABF">
        <w:rPr>
          <w:rFonts w:ascii="Arial" w:hAnsi="Arial" w:cs="Arial"/>
          <w:i/>
          <w:iCs/>
          <w:color w:val="222222"/>
          <w:shd w:val="clear" w:color="auto" w:fill="FFFFFF"/>
        </w:rPr>
        <w:t>Journal of Gerontological Nursing</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26</w:t>
      </w:r>
      <w:r w:rsidR="00E407DD" w:rsidRPr="00450ABF">
        <w:rPr>
          <w:rFonts w:ascii="Arial" w:hAnsi="Arial" w:cs="Arial"/>
          <w:color w:val="222222"/>
          <w:shd w:val="clear" w:color="auto" w:fill="FFFFFF"/>
        </w:rPr>
        <w:t>(2), pp.12-12.</w:t>
      </w:r>
      <w:r w:rsidR="00DD51B7" w:rsidRPr="00450ABF">
        <w:rPr>
          <w:rFonts w:ascii="Arial" w:hAnsi="Arial" w:cs="Arial"/>
          <w:color w:val="222222"/>
          <w:shd w:val="clear" w:color="auto" w:fill="FFFFFF"/>
        </w:rPr>
        <w:t xml:space="preserve"> </w:t>
      </w:r>
      <w:hyperlink r:id="rId10" w:history="1">
        <w:r w:rsidR="00DD51B7" w:rsidRPr="00450ABF">
          <w:rPr>
            <w:rStyle w:val="Hyperlink"/>
            <w:rFonts w:ascii="Arial" w:hAnsi="Arial" w:cs="Arial"/>
            <w:shd w:val="clear" w:color="auto" w:fill="FFFFFF"/>
          </w:rPr>
          <w:t>https://doi.org/10.3928/0098-9134-20000201-07</w:t>
        </w:r>
      </w:hyperlink>
      <w:r w:rsidR="00DD51B7" w:rsidRPr="00450ABF">
        <w:rPr>
          <w:rFonts w:ascii="Arial" w:hAnsi="Arial" w:cs="Arial"/>
          <w:color w:val="222222"/>
          <w:shd w:val="clear" w:color="auto" w:fill="FFFFFF"/>
        </w:rPr>
        <w:t xml:space="preserve"> </w:t>
      </w:r>
    </w:p>
    <w:p w14:paraId="57CC63E6" w14:textId="682C4A27" w:rsidR="00E407DD"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2.</w:t>
      </w:r>
      <w:r w:rsidR="00E407DD" w:rsidRPr="00450ABF">
        <w:rPr>
          <w:rFonts w:ascii="Arial" w:hAnsi="Arial" w:cs="Arial"/>
          <w:color w:val="222222"/>
          <w:shd w:val="clear" w:color="auto" w:fill="FFFFFF"/>
        </w:rPr>
        <w:t xml:space="preserve">Barton, C., </w:t>
      </w:r>
      <w:proofErr w:type="spellStart"/>
      <w:r w:rsidR="00E407DD" w:rsidRPr="00450ABF">
        <w:rPr>
          <w:rFonts w:ascii="Arial" w:hAnsi="Arial" w:cs="Arial"/>
          <w:color w:val="222222"/>
          <w:shd w:val="clear" w:color="auto" w:fill="FFFFFF"/>
        </w:rPr>
        <w:t>Merrilees</w:t>
      </w:r>
      <w:proofErr w:type="spellEnd"/>
      <w:r w:rsidR="00E407DD" w:rsidRPr="00450ABF">
        <w:rPr>
          <w:rFonts w:ascii="Arial" w:hAnsi="Arial" w:cs="Arial"/>
          <w:color w:val="222222"/>
          <w:shd w:val="clear" w:color="auto" w:fill="FFFFFF"/>
        </w:rPr>
        <w:t xml:space="preserve">, J., </w:t>
      </w:r>
      <w:proofErr w:type="spellStart"/>
      <w:r w:rsidR="00E407DD" w:rsidRPr="00450ABF">
        <w:rPr>
          <w:rFonts w:ascii="Arial" w:hAnsi="Arial" w:cs="Arial"/>
          <w:color w:val="222222"/>
          <w:shd w:val="clear" w:color="auto" w:fill="FFFFFF"/>
        </w:rPr>
        <w:t>Ketelle</w:t>
      </w:r>
      <w:proofErr w:type="spellEnd"/>
      <w:r w:rsidR="00E407DD" w:rsidRPr="00450ABF">
        <w:rPr>
          <w:rFonts w:ascii="Arial" w:hAnsi="Arial" w:cs="Arial"/>
          <w:color w:val="222222"/>
          <w:shd w:val="clear" w:color="auto" w:fill="FFFFFF"/>
        </w:rPr>
        <w:t xml:space="preserve">, R., Wilkins, S. and Miller, B., 2014. Implementation of advanced practice nurse clinic for management of </w:t>
      </w:r>
      <w:proofErr w:type="spellStart"/>
      <w:r>
        <w:rPr>
          <w:rFonts w:ascii="Arial" w:hAnsi="Arial" w:cs="Arial"/>
          <w:color w:val="222222"/>
          <w:shd w:val="clear" w:color="auto" w:fill="FFFFFF"/>
        </w:rPr>
        <w:t>behavioural</w:t>
      </w:r>
      <w:proofErr w:type="spellEnd"/>
      <w:r w:rsidR="00E407DD" w:rsidRPr="00450ABF">
        <w:rPr>
          <w:rFonts w:ascii="Arial" w:hAnsi="Arial" w:cs="Arial"/>
          <w:color w:val="222222"/>
          <w:shd w:val="clear" w:color="auto" w:fill="FFFFFF"/>
        </w:rPr>
        <w:t xml:space="preserve"> symptoms in dementia: a dyadic intervention (innovative practice). </w:t>
      </w:r>
      <w:r w:rsidR="00E407DD" w:rsidRPr="00450ABF">
        <w:rPr>
          <w:rFonts w:ascii="Arial" w:hAnsi="Arial" w:cs="Arial"/>
          <w:i/>
          <w:iCs/>
          <w:color w:val="222222"/>
          <w:shd w:val="clear" w:color="auto" w:fill="FFFFFF"/>
        </w:rPr>
        <w:t>Dementia</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13</w:t>
      </w:r>
      <w:r w:rsidR="00E407DD" w:rsidRPr="00450ABF">
        <w:rPr>
          <w:rFonts w:ascii="Arial" w:hAnsi="Arial" w:cs="Arial"/>
          <w:color w:val="222222"/>
          <w:shd w:val="clear" w:color="auto" w:fill="FFFFFF"/>
        </w:rPr>
        <w:t>(5), pp.686-696.</w:t>
      </w:r>
      <w:r w:rsidR="00BD0C3F" w:rsidRPr="00450ABF">
        <w:rPr>
          <w:rFonts w:ascii="Arial" w:hAnsi="Arial" w:cs="Arial"/>
          <w:color w:val="222222"/>
          <w:shd w:val="clear" w:color="auto" w:fill="FFFFFF"/>
        </w:rPr>
        <w:t xml:space="preserve"> </w:t>
      </w:r>
      <w:hyperlink r:id="rId11" w:history="1">
        <w:r w:rsidR="00BD0C3F" w:rsidRPr="00450ABF">
          <w:rPr>
            <w:rStyle w:val="Hyperlink"/>
            <w:rFonts w:ascii="Arial" w:hAnsi="Arial" w:cs="Arial"/>
            <w:shd w:val="clear" w:color="auto" w:fill="FFFFFF"/>
          </w:rPr>
          <w:t>https://doi.org/10.1177/1471301213519895</w:t>
        </w:r>
      </w:hyperlink>
      <w:r w:rsidR="00BD0C3F" w:rsidRPr="00450ABF">
        <w:rPr>
          <w:rFonts w:ascii="Arial" w:hAnsi="Arial" w:cs="Arial"/>
          <w:color w:val="222222"/>
          <w:shd w:val="clear" w:color="auto" w:fill="FFFFFF"/>
        </w:rPr>
        <w:t xml:space="preserve"> </w:t>
      </w:r>
    </w:p>
    <w:p w14:paraId="66D81824" w14:textId="6ED79462" w:rsidR="001E1468"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3.</w:t>
      </w:r>
      <w:r w:rsidR="001E1468" w:rsidRPr="00450ABF">
        <w:rPr>
          <w:rFonts w:ascii="Arial" w:hAnsi="Arial" w:cs="Arial"/>
          <w:color w:val="222222"/>
          <w:shd w:val="clear" w:color="auto" w:fill="FFFFFF"/>
        </w:rPr>
        <w:t xml:space="preserve">Calzà, L., Gagliardi, G., </w:t>
      </w:r>
      <w:proofErr w:type="spellStart"/>
      <w:r w:rsidR="001E1468" w:rsidRPr="00450ABF">
        <w:rPr>
          <w:rFonts w:ascii="Arial" w:hAnsi="Arial" w:cs="Arial"/>
          <w:color w:val="222222"/>
          <w:shd w:val="clear" w:color="auto" w:fill="FFFFFF"/>
        </w:rPr>
        <w:t>Favretti</w:t>
      </w:r>
      <w:proofErr w:type="spellEnd"/>
      <w:r w:rsidR="001E1468" w:rsidRPr="00450ABF">
        <w:rPr>
          <w:rFonts w:ascii="Arial" w:hAnsi="Arial" w:cs="Arial"/>
          <w:color w:val="222222"/>
          <w:shd w:val="clear" w:color="auto" w:fill="FFFFFF"/>
        </w:rPr>
        <w:t xml:space="preserve">, R.R. and </w:t>
      </w:r>
      <w:proofErr w:type="spellStart"/>
      <w:r w:rsidR="001E1468" w:rsidRPr="00450ABF">
        <w:rPr>
          <w:rFonts w:ascii="Arial" w:hAnsi="Arial" w:cs="Arial"/>
          <w:color w:val="222222"/>
          <w:shd w:val="clear" w:color="auto" w:fill="FFFFFF"/>
        </w:rPr>
        <w:t>Tamburini</w:t>
      </w:r>
      <w:proofErr w:type="spellEnd"/>
      <w:r w:rsidR="001E1468" w:rsidRPr="00450ABF">
        <w:rPr>
          <w:rFonts w:ascii="Arial" w:hAnsi="Arial" w:cs="Arial"/>
          <w:color w:val="222222"/>
          <w:shd w:val="clear" w:color="auto" w:fill="FFFFFF"/>
        </w:rPr>
        <w:t>, F., 2021. Linguistic features and automatic classifiers for identifying mild cognitive impairment and dementia. </w:t>
      </w:r>
      <w:r w:rsidR="001E1468" w:rsidRPr="00450ABF">
        <w:rPr>
          <w:rFonts w:ascii="Arial" w:hAnsi="Arial" w:cs="Arial"/>
          <w:i/>
          <w:iCs/>
          <w:color w:val="222222"/>
          <w:shd w:val="clear" w:color="auto" w:fill="FFFFFF"/>
        </w:rPr>
        <w:t>Computer Speech &amp; Language</w:t>
      </w:r>
      <w:r w:rsidR="001E1468" w:rsidRPr="00450ABF">
        <w:rPr>
          <w:rFonts w:ascii="Arial" w:hAnsi="Arial" w:cs="Arial"/>
          <w:color w:val="222222"/>
          <w:shd w:val="clear" w:color="auto" w:fill="FFFFFF"/>
        </w:rPr>
        <w:t>, </w:t>
      </w:r>
      <w:r w:rsidR="001E1468" w:rsidRPr="00450ABF">
        <w:rPr>
          <w:rFonts w:ascii="Arial" w:hAnsi="Arial" w:cs="Arial"/>
          <w:i/>
          <w:iCs/>
          <w:color w:val="222222"/>
          <w:shd w:val="clear" w:color="auto" w:fill="FFFFFF"/>
        </w:rPr>
        <w:t>65</w:t>
      </w:r>
      <w:r w:rsidR="001E1468" w:rsidRPr="00450ABF">
        <w:rPr>
          <w:rFonts w:ascii="Arial" w:hAnsi="Arial" w:cs="Arial"/>
          <w:color w:val="222222"/>
          <w:shd w:val="clear" w:color="auto" w:fill="FFFFFF"/>
        </w:rPr>
        <w:t xml:space="preserve">, p.101113. </w:t>
      </w:r>
      <w:hyperlink r:id="rId12" w:history="1">
        <w:r w:rsidR="008D4F48" w:rsidRPr="00450ABF">
          <w:rPr>
            <w:rStyle w:val="Hyperlink"/>
            <w:rFonts w:ascii="Arial" w:hAnsi="Arial" w:cs="Arial"/>
            <w:shd w:val="clear" w:color="auto" w:fill="FFFFFF"/>
          </w:rPr>
          <w:t>https://doi.org/10.1016/j.csl.2020.101113</w:t>
        </w:r>
      </w:hyperlink>
      <w:r w:rsidR="008D4F48" w:rsidRPr="00450ABF">
        <w:rPr>
          <w:rFonts w:ascii="Arial" w:hAnsi="Arial" w:cs="Arial"/>
          <w:color w:val="222222"/>
          <w:shd w:val="clear" w:color="auto" w:fill="FFFFFF"/>
        </w:rPr>
        <w:t xml:space="preserve"> </w:t>
      </w:r>
    </w:p>
    <w:p w14:paraId="3389D4DD" w14:textId="29B04F1F" w:rsidR="00E407DD"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4.</w:t>
      </w:r>
      <w:r w:rsidR="00E407DD" w:rsidRPr="00450ABF">
        <w:rPr>
          <w:rFonts w:ascii="Arial" w:hAnsi="Arial" w:cs="Arial"/>
          <w:color w:val="222222"/>
          <w:shd w:val="clear" w:color="auto" w:fill="FFFFFF"/>
        </w:rPr>
        <w:t xml:space="preserve">Dyer, S.M., </w:t>
      </w:r>
      <w:proofErr w:type="spellStart"/>
      <w:r w:rsidR="00E407DD" w:rsidRPr="00450ABF">
        <w:rPr>
          <w:rFonts w:ascii="Arial" w:hAnsi="Arial" w:cs="Arial"/>
          <w:color w:val="222222"/>
          <w:shd w:val="clear" w:color="auto" w:fill="FFFFFF"/>
        </w:rPr>
        <w:t>Gnanamanickam</w:t>
      </w:r>
      <w:proofErr w:type="spellEnd"/>
      <w:r w:rsidR="00E407DD" w:rsidRPr="00450ABF">
        <w:rPr>
          <w:rFonts w:ascii="Arial" w:hAnsi="Arial" w:cs="Arial"/>
          <w:color w:val="222222"/>
          <w:shd w:val="clear" w:color="auto" w:fill="FFFFFF"/>
        </w:rPr>
        <w:t>, E.S., Liu, E., Whitehead, C. and Crotty, M., 2018. Diagnosis of dementia in residential aged care settings in Australia: An opportunity for improvements in quality of care</w:t>
      </w:r>
      <w:r>
        <w:rPr>
          <w:rFonts w:ascii="Arial" w:hAnsi="Arial" w:cs="Arial"/>
          <w:color w:val="222222"/>
          <w:shd w:val="clear" w:color="auto" w:fill="FFFFFF"/>
        </w:rPr>
        <w:t>?</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 xml:space="preserve">Australasian </w:t>
      </w:r>
      <w:r>
        <w:rPr>
          <w:rFonts w:ascii="Arial" w:hAnsi="Arial" w:cs="Arial"/>
          <w:i/>
          <w:iCs/>
          <w:color w:val="222222"/>
          <w:shd w:val="clear" w:color="auto" w:fill="FFFFFF"/>
        </w:rPr>
        <w:t>Journal</w:t>
      </w:r>
      <w:r w:rsidR="00E407DD" w:rsidRPr="00450ABF">
        <w:rPr>
          <w:rFonts w:ascii="Arial" w:hAnsi="Arial" w:cs="Arial"/>
          <w:i/>
          <w:iCs/>
          <w:color w:val="222222"/>
          <w:shd w:val="clear" w:color="auto" w:fill="FFFFFF"/>
        </w:rPr>
        <w:t xml:space="preserve"> on ageing</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37</w:t>
      </w:r>
      <w:r w:rsidR="00E407DD" w:rsidRPr="00450ABF">
        <w:rPr>
          <w:rFonts w:ascii="Arial" w:hAnsi="Arial" w:cs="Arial"/>
          <w:color w:val="222222"/>
          <w:shd w:val="clear" w:color="auto" w:fill="FFFFFF"/>
        </w:rPr>
        <w:t xml:space="preserve">(4), </w:t>
      </w:r>
      <w:proofErr w:type="gramStart"/>
      <w:r w:rsidR="00E407DD" w:rsidRPr="00450ABF">
        <w:rPr>
          <w:rFonts w:ascii="Arial" w:hAnsi="Arial" w:cs="Arial"/>
          <w:color w:val="222222"/>
          <w:shd w:val="clear" w:color="auto" w:fill="FFFFFF"/>
        </w:rPr>
        <w:t>pp.E</w:t>
      </w:r>
      <w:proofErr w:type="gramEnd"/>
      <w:r w:rsidR="00E407DD" w:rsidRPr="00450ABF">
        <w:rPr>
          <w:rFonts w:ascii="Arial" w:hAnsi="Arial" w:cs="Arial"/>
          <w:color w:val="222222"/>
          <w:shd w:val="clear" w:color="auto" w:fill="FFFFFF"/>
        </w:rPr>
        <w:t>155-E158.</w:t>
      </w:r>
    </w:p>
    <w:p w14:paraId="49B7F2D5" w14:textId="5E6BD39C" w:rsidR="00E407DD"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5.</w:t>
      </w:r>
      <w:r w:rsidR="00E407DD" w:rsidRPr="00450ABF">
        <w:rPr>
          <w:rFonts w:ascii="Arial" w:hAnsi="Arial" w:cs="Arial"/>
          <w:color w:val="222222"/>
          <w:shd w:val="clear" w:color="auto" w:fill="FFFFFF"/>
        </w:rPr>
        <w:t xml:space="preserve">Fazio, S., Pace, D., </w:t>
      </w:r>
      <w:proofErr w:type="spellStart"/>
      <w:r w:rsidR="00E407DD" w:rsidRPr="00450ABF">
        <w:rPr>
          <w:rFonts w:ascii="Arial" w:hAnsi="Arial" w:cs="Arial"/>
          <w:color w:val="222222"/>
          <w:shd w:val="clear" w:color="auto" w:fill="FFFFFF"/>
        </w:rPr>
        <w:t>Flinner</w:t>
      </w:r>
      <w:proofErr w:type="spellEnd"/>
      <w:r w:rsidR="00E407DD" w:rsidRPr="00450ABF">
        <w:rPr>
          <w:rFonts w:ascii="Arial" w:hAnsi="Arial" w:cs="Arial"/>
          <w:color w:val="222222"/>
          <w:shd w:val="clear" w:color="auto" w:fill="FFFFFF"/>
        </w:rPr>
        <w:t xml:space="preserve">, J. and </w:t>
      </w:r>
      <w:proofErr w:type="spellStart"/>
      <w:r w:rsidR="00E407DD" w:rsidRPr="00450ABF">
        <w:rPr>
          <w:rFonts w:ascii="Arial" w:hAnsi="Arial" w:cs="Arial"/>
          <w:color w:val="222222"/>
          <w:shd w:val="clear" w:color="auto" w:fill="FFFFFF"/>
        </w:rPr>
        <w:t>Kallmyer</w:t>
      </w:r>
      <w:proofErr w:type="spellEnd"/>
      <w:r w:rsidR="00E407DD" w:rsidRPr="00450ABF">
        <w:rPr>
          <w:rFonts w:ascii="Arial" w:hAnsi="Arial" w:cs="Arial"/>
          <w:color w:val="222222"/>
          <w:shd w:val="clear" w:color="auto" w:fill="FFFFFF"/>
        </w:rPr>
        <w:t xml:space="preserve">, B., 2018. The fundamentals of </w:t>
      </w:r>
      <w:r>
        <w:rPr>
          <w:rFonts w:ascii="Arial" w:hAnsi="Arial" w:cs="Arial"/>
          <w:color w:val="222222"/>
          <w:shd w:val="clear" w:color="auto" w:fill="FFFFFF"/>
        </w:rPr>
        <w:t>person-</w:t>
      </w:r>
      <w:proofErr w:type="spellStart"/>
      <w:r>
        <w:rPr>
          <w:rFonts w:ascii="Arial" w:hAnsi="Arial" w:cs="Arial"/>
          <w:color w:val="222222"/>
          <w:shd w:val="clear" w:color="auto" w:fill="FFFFFF"/>
        </w:rPr>
        <w:t>centred</w:t>
      </w:r>
      <w:proofErr w:type="spellEnd"/>
      <w:r w:rsidR="00E407DD" w:rsidRPr="00450ABF">
        <w:rPr>
          <w:rFonts w:ascii="Arial" w:hAnsi="Arial" w:cs="Arial"/>
          <w:color w:val="222222"/>
          <w:shd w:val="clear" w:color="auto" w:fill="FFFFFF"/>
        </w:rPr>
        <w:t xml:space="preserve"> care for individuals with dementia. </w:t>
      </w:r>
      <w:r w:rsidR="00E407DD" w:rsidRPr="00450ABF">
        <w:rPr>
          <w:rFonts w:ascii="Arial" w:hAnsi="Arial" w:cs="Arial"/>
          <w:i/>
          <w:iCs/>
          <w:color w:val="222222"/>
          <w:shd w:val="clear" w:color="auto" w:fill="FFFFFF"/>
        </w:rPr>
        <w:t>The Gerontologist</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58</w:t>
      </w:r>
      <w:r w:rsidR="00E407DD" w:rsidRPr="00450ABF">
        <w:rPr>
          <w:rFonts w:ascii="Arial" w:hAnsi="Arial" w:cs="Arial"/>
          <w:color w:val="222222"/>
          <w:shd w:val="clear" w:color="auto" w:fill="FFFFFF"/>
        </w:rPr>
        <w:t xml:space="preserve">(suppl_1), </w:t>
      </w:r>
      <w:proofErr w:type="gramStart"/>
      <w:r w:rsidR="00E407DD" w:rsidRPr="00450ABF">
        <w:rPr>
          <w:rFonts w:ascii="Arial" w:hAnsi="Arial" w:cs="Arial"/>
          <w:color w:val="222222"/>
          <w:shd w:val="clear" w:color="auto" w:fill="FFFFFF"/>
        </w:rPr>
        <w:t>pp.S</w:t>
      </w:r>
      <w:proofErr w:type="gramEnd"/>
      <w:r w:rsidR="00E407DD" w:rsidRPr="00450ABF">
        <w:rPr>
          <w:rFonts w:ascii="Arial" w:hAnsi="Arial" w:cs="Arial"/>
          <w:color w:val="222222"/>
          <w:shd w:val="clear" w:color="auto" w:fill="FFFFFF"/>
        </w:rPr>
        <w:t>10-S19.</w:t>
      </w:r>
      <w:r w:rsidR="009B5526" w:rsidRPr="00450ABF">
        <w:rPr>
          <w:rFonts w:ascii="Arial" w:hAnsi="Arial" w:cs="Arial"/>
          <w:color w:val="222222"/>
          <w:shd w:val="clear" w:color="auto" w:fill="FFFFFF"/>
        </w:rPr>
        <w:t xml:space="preserve"> </w:t>
      </w:r>
      <w:hyperlink r:id="rId13" w:history="1">
        <w:r w:rsidR="009B5526" w:rsidRPr="00450ABF">
          <w:rPr>
            <w:rStyle w:val="Hyperlink"/>
            <w:rFonts w:ascii="Arial" w:hAnsi="Arial" w:cs="Arial"/>
            <w:shd w:val="clear" w:color="auto" w:fill="FFFFFF"/>
          </w:rPr>
          <w:t>https://doi.org/10.1093/geront/gnx122</w:t>
        </w:r>
      </w:hyperlink>
      <w:r w:rsidR="009B5526" w:rsidRPr="00450ABF">
        <w:rPr>
          <w:rFonts w:ascii="Arial" w:hAnsi="Arial" w:cs="Arial"/>
          <w:color w:val="222222"/>
          <w:shd w:val="clear" w:color="auto" w:fill="FFFFFF"/>
        </w:rPr>
        <w:t xml:space="preserve"> </w:t>
      </w:r>
    </w:p>
    <w:p w14:paraId="30EBB956" w14:textId="045A98FD" w:rsidR="00E407DD"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6.</w:t>
      </w:r>
      <w:r w:rsidR="00E407DD" w:rsidRPr="00450ABF">
        <w:rPr>
          <w:rFonts w:ascii="Arial" w:hAnsi="Arial" w:cs="Arial"/>
          <w:color w:val="222222"/>
          <w:shd w:val="clear" w:color="auto" w:fill="FFFFFF"/>
        </w:rPr>
        <w:t>Garre-Olmo, J., 2018. Epidemiology of Alzheimer's disease and other dementias. </w:t>
      </w:r>
      <w:proofErr w:type="spellStart"/>
      <w:r w:rsidR="00E407DD" w:rsidRPr="00450ABF">
        <w:rPr>
          <w:rFonts w:ascii="Arial" w:hAnsi="Arial" w:cs="Arial"/>
          <w:i/>
          <w:iCs/>
          <w:color w:val="222222"/>
          <w:shd w:val="clear" w:color="auto" w:fill="FFFFFF"/>
        </w:rPr>
        <w:t>Revista</w:t>
      </w:r>
      <w:proofErr w:type="spellEnd"/>
      <w:r w:rsidR="00E407DD" w:rsidRPr="00450ABF">
        <w:rPr>
          <w:rFonts w:ascii="Arial" w:hAnsi="Arial" w:cs="Arial"/>
          <w:i/>
          <w:iCs/>
          <w:color w:val="222222"/>
          <w:shd w:val="clear" w:color="auto" w:fill="FFFFFF"/>
        </w:rPr>
        <w:t xml:space="preserve"> de </w:t>
      </w:r>
      <w:proofErr w:type="spellStart"/>
      <w:r w:rsidR="00E407DD" w:rsidRPr="00450ABF">
        <w:rPr>
          <w:rFonts w:ascii="Arial" w:hAnsi="Arial" w:cs="Arial"/>
          <w:i/>
          <w:iCs/>
          <w:color w:val="222222"/>
          <w:shd w:val="clear" w:color="auto" w:fill="FFFFFF"/>
        </w:rPr>
        <w:t>neurologia</w:t>
      </w:r>
      <w:proofErr w:type="spellEnd"/>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66</w:t>
      </w:r>
      <w:r w:rsidR="00E407DD" w:rsidRPr="00450ABF">
        <w:rPr>
          <w:rFonts w:ascii="Arial" w:hAnsi="Arial" w:cs="Arial"/>
          <w:color w:val="222222"/>
          <w:shd w:val="clear" w:color="auto" w:fill="FFFFFF"/>
        </w:rPr>
        <w:t>(11), pp.377-386.</w:t>
      </w:r>
    </w:p>
    <w:p w14:paraId="39274F15" w14:textId="33265FA8" w:rsidR="00E407DD"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7.</w:t>
      </w:r>
      <w:r w:rsidR="00E407DD" w:rsidRPr="00450ABF">
        <w:rPr>
          <w:rFonts w:ascii="Arial" w:hAnsi="Arial" w:cs="Arial"/>
          <w:color w:val="222222"/>
          <w:shd w:val="clear" w:color="auto" w:fill="FFFFFF"/>
        </w:rPr>
        <w:t xml:space="preserve">Joe, E. and </w:t>
      </w:r>
      <w:proofErr w:type="spellStart"/>
      <w:r w:rsidR="00E407DD" w:rsidRPr="00450ABF">
        <w:rPr>
          <w:rFonts w:ascii="Arial" w:hAnsi="Arial" w:cs="Arial"/>
          <w:color w:val="222222"/>
          <w:shd w:val="clear" w:color="auto" w:fill="FFFFFF"/>
        </w:rPr>
        <w:t>Ringman</w:t>
      </w:r>
      <w:proofErr w:type="spellEnd"/>
      <w:r w:rsidR="00E407DD" w:rsidRPr="00450ABF">
        <w:rPr>
          <w:rFonts w:ascii="Arial" w:hAnsi="Arial" w:cs="Arial"/>
          <w:color w:val="222222"/>
          <w:shd w:val="clear" w:color="auto" w:fill="FFFFFF"/>
        </w:rPr>
        <w:t>, J.M., 2019. Cognitive symptoms of Alzheimer’s disease: clinical management and prevention. </w:t>
      </w:r>
      <w:r>
        <w:rPr>
          <w:rFonts w:ascii="Arial" w:hAnsi="Arial" w:cs="Arial"/>
          <w:i/>
          <w:iCs/>
          <w:color w:val="222222"/>
          <w:shd w:val="clear" w:color="auto" w:fill="FFFFFF"/>
        </w:rPr>
        <w:t>BMJ</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367</w:t>
      </w:r>
      <w:r w:rsidR="00E407DD" w:rsidRPr="00450ABF">
        <w:rPr>
          <w:rFonts w:ascii="Arial" w:hAnsi="Arial" w:cs="Arial"/>
          <w:color w:val="222222"/>
          <w:shd w:val="clear" w:color="auto" w:fill="FFFFFF"/>
        </w:rPr>
        <w:t>.</w:t>
      </w:r>
    </w:p>
    <w:p w14:paraId="3411B312" w14:textId="7BC6FA70" w:rsidR="00E407DD" w:rsidRPr="00450ABF" w:rsidRDefault="002679D3" w:rsidP="00450ABF">
      <w:pPr>
        <w:spacing w:line="360" w:lineRule="auto"/>
        <w:ind w:left="720" w:hanging="720"/>
        <w:contextualSpacing/>
        <w:jc w:val="both"/>
        <w:rPr>
          <w:rFonts w:ascii="Arial" w:hAnsi="Arial" w:cs="Arial"/>
        </w:rPr>
      </w:pPr>
      <w:r>
        <w:rPr>
          <w:rFonts w:ascii="Arial" w:hAnsi="Arial" w:cs="Arial"/>
          <w:color w:val="222222"/>
          <w:shd w:val="clear" w:color="auto" w:fill="FFFFFF"/>
        </w:rPr>
        <w:t>8.</w:t>
      </w:r>
      <w:r w:rsidR="00E407DD" w:rsidRPr="00450ABF">
        <w:rPr>
          <w:rFonts w:ascii="Arial" w:hAnsi="Arial" w:cs="Arial"/>
          <w:color w:val="222222"/>
          <w:shd w:val="clear" w:color="auto" w:fill="FFFFFF"/>
        </w:rPr>
        <w:t xml:space="preserve">Kayadjanian, N., Schwartz, L., Farrar, E., </w:t>
      </w:r>
      <w:proofErr w:type="spellStart"/>
      <w:r w:rsidR="00E407DD" w:rsidRPr="00450ABF">
        <w:rPr>
          <w:rFonts w:ascii="Arial" w:hAnsi="Arial" w:cs="Arial"/>
          <w:color w:val="222222"/>
          <w:shd w:val="clear" w:color="auto" w:fill="FFFFFF"/>
        </w:rPr>
        <w:t>Comtois</w:t>
      </w:r>
      <w:proofErr w:type="spellEnd"/>
      <w:r w:rsidR="00E407DD" w:rsidRPr="00450ABF">
        <w:rPr>
          <w:rFonts w:ascii="Arial" w:hAnsi="Arial" w:cs="Arial"/>
          <w:color w:val="222222"/>
          <w:shd w:val="clear" w:color="auto" w:fill="FFFFFF"/>
        </w:rPr>
        <w:t>, K.A. and Strong, T.V., 2018. High levels of caregiver burden in Prader-Willi syndrome. </w:t>
      </w:r>
      <w:proofErr w:type="spellStart"/>
      <w:r w:rsidR="00E407DD" w:rsidRPr="00450ABF">
        <w:rPr>
          <w:rFonts w:ascii="Arial" w:hAnsi="Arial" w:cs="Arial"/>
          <w:i/>
          <w:iCs/>
          <w:color w:val="222222"/>
          <w:shd w:val="clear" w:color="auto" w:fill="FFFFFF"/>
        </w:rPr>
        <w:t>PloS</w:t>
      </w:r>
      <w:proofErr w:type="spellEnd"/>
      <w:r w:rsidR="00E407DD" w:rsidRPr="00450ABF">
        <w:rPr>
          <w:rFonts w:ascii="Arial" w:hAnsi="Arial" w:cs="Arial"/>
          <w:i/>
          <w:iCs/>
          <w:color w:val="222222"/>
          <w:shd w:val="clear" w:color="auto" w:fill="FFFFFF"/>
        </w:rPr>
        <w:t xml:space="preserve"> one</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13</w:t>
      </w:r>
      <w:r w:rsidR="00E407DD" w:rsidRPr="00450ABF">
        <w:rPr>
          <w:rFonts w:ascii="Arial" w:hAnsi="Arial" w:cs="Arial"/>
          <w:color w:val="222222"/>
          <w:shd w:val="clear" w:color="auto" w:fill="FFFFFF"/>
        </w:rPr>
        <w:t>(3), p.e0194655.</w:t>
      </w:r>
      <w:r w:rsidR="00B11D52" w:rsidRPr="00450ABF">
        <w:rPr>
          <w:rFonts w:ascii="Arial" w:hAnsi="Arial" w:cs="Arial"/>
          <w:color w:val="222222"/>
          <w:shd w:val="clear" w:color="auto" w:fill="FFFFFF"/>
        </w:rPr>
        <w:t xml:space="preserve"> </w:t>
      </w:r>
      <w:hyperlink r:id="rId14" w:history="1">
        <w:r w:rsidR="00B11D52" w:rsidRPr="00450ABF">
          <w:rPr>
            <w:rStyle w:val="Hyperlink"/>
            <w:rFonts w:ascii="Arial" w:hAnsi="Arial" w:cs="Arial"/>
            <w:shd w:val="clear" w:color="auto" w:fill="FFFFFF"/>
          </w:rPr>
          <w:t>https://doi.org/10.1371/journal.pone.0194655</w:t>
        </w:r>
      </w:hyperlink>
      <w:r w:rsidR="00B11D52" w:rsidRPr="00450ABF">
        <w:rPr>
          <w:rFonts w:ascii="Arial" w:hAnsi="Arial" w:cs="Arial"/>
        </w:rPr>
        <w:t xml:space="preserve"> </w:t>
      </w:r>
    </w:p>
    <w:p w14:paraId="260F763C" w14:textId="7C54B062" w:rsidR="00E407DD" w:rsidRPr="00450ABF" w:rsidRDefault="002679D3" w:rsidP="00450ABF">
      <w:pPr>
        <w:spacing w:line="360" w:lineRule="auto"/>
        <w:ind w:left="720" w:hanging="720"/>
        <w:contextualSpacing/>
        <w:jc w:val="both"/>
        <w:rPr>
          <w:rFonts w:ascii="Arial" w:hAnsi="Arial" w:cs="Arial"/>
        </w:rPr>
      </w:pPr>
      <w:r>
        <w:rPr>
          <w:rFonts w:ascii="Arial" w:hAnsi="Arial" w:cs="Arial"/>
          <w:color w:val="222222"/>
          <w:shd w:val="clear" w:color="auto" w:fill="FFFFFF"/>
        </w:rPr>
        <w:t>9.</w:t>
      </w:r>
      <w:r w:rsidR="00E407DD" w:rsidRPr="00450ABF">
        <w:rPr>
          <w:rFonts w:ascii="Arial" w:hAnsi="Arial" w:cs="Arial"/>
          <w:color w:val="222222"/>
          <w:shd w:val="clear" w:color="auto" w:fill="FFFFFF"/>
        </w:rPr>
        <w:t>Khachaturian, Z.S. and Khachaturian, A.S., 2015. Politics of science: Progress toward prevention of dementia–Alzheimer's syndrome. </w:t>
      </w:r>
      <w:r w:rsidR="00E407DD" w:rsidRPr="00450ABF">
        <w:rPr>
          <w:rFonts w:ascii="Arial" w:hAnsi="Arial" w:cs="Arial"/>
          <w:i/>
          <w:iCs/>
          <w:color w:val="222222"/>
          <w:shd w:val="clear" w:color="auto" w:fill="FFFFFF"/>
        </w:rPr>
        <w:t>Molecular Aspects of Medicine</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43</w:t>
      </w:r>
      <w:r w:rsidR="00E407DD" w:rsidRPr="00450ABF">
        <w:rPr>
          <w:rFonts w:ascii="Arial" w:hAnsi="Arial" w:cs="Arial"/>
          <w:color w:val="222222"/>
          <w:shd w:val="clear" w:color="auto" w:fill="FFFFFF"/>
        </w:rPr>
        <w:t>, pp.3-15.</w:t>
      </w:r>
      <w:r w:rsidR="00B11D52" w:rsidRPr="00450ABF">
        <w:rPr>
          <w:rFonts w:ascii="Arial" w:hAnsi="Arial" w:cs="Arial"/>
          <w:color w:val="222222"/>
          <w:shd w:val="clear" w:color="auto" w:fill="FFFFFF"/>
        </w:rPr>
        <w:t xml:space="preserve"> </w:t>
      </w:r>
      <w:hyperlink r:id="rId15" w:history="1">
        <w:r w:rsidR="00B11D52" w:rsidRPr="00450ABF">
          <w:rPr>
            <w:rStyle w:val="Hyperlink"/>
            <w:rFonts w:ascii="Arial" w:hAnsi="Arial" w:cs="Arial"/>
            <w:shd w:val="clear" w:color="auto" w:fill="FFFFFF"/>
          </w:rPr>
          <w:t>https://doi.org/10.1016/j.mam.2015.06.001</w:t>
        </w:r>
      </w:hyperlink>
      <w:r w:rsidR="00B11D52" w:rsidRPr="00450ABF">
        <w:rPr>
          <w:rFonts w:ascii="Arial" w:hAnsi="Arial" w:cs="Arial"/>
        </w:rPr>
        <w:t xml:space="preserve"> </w:t>
      </w:r>
    </w:p>
    <w:p w14:paraId="3A379438" w14:textId="774707DF" w:rsidR="00E407DD"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10.</w:t>
      </w:r>
      <w:r w:rsidR="00E407DD" w:rsidRPr="00450ABF">
        <w:rPr>
          <w:rFonts w:ascii="Arial" w:hAnsi="Arial" w:cs="Arial"/>
          <w:color w:val="222222"/>
          <w:shd w:val="clear" w:color="auto" w:fill="FFFFFF"/>
        </w:rPr>
        <w:t xml:space="preserve">Llorente-Barroso, C., </w:t>
      </w:r>
      <w:proofErr w:type="spellStart"/>
      <w:r w:rsidR="00E407DD" w:rsidRPr="00450ABF">
        <w:rPr>
          <w:rFonts w:ascii="Arial" w:hAnsi="Arial" w:cs="Arial"/>
          <w:color w:val="222222"/>
          <w:shd w:val="clear" w:color="auto" w:fill="FFFFFF"/>
        </w:rPr>
        <w:t>Kolotouchkina</w:t>
      </w:r>
      <w:proofErr w:type="spellEnd"/>
      <w:r w:rsidR="00E407DD" w:rsidRPr="00450ABF">
        <w:rPr>
          <w:rFonts w:ascii="Arial" w:hAnsi="Arial" w:cs="Arial"/>
          <w:color w:val="222222"/>
          <w:shd w:val="clear" w:color="auto" w:fill="FFFFFF"/>
        </w:rPr>
        <w:t xml:space="preserve">, O. and </w:t>
      </w:r>
      <w:proofErr w:type="spellStart"/>
      <w:r w:rsidR="00E407DD" w:rsidRPr="00450ABF">
        <w:rPr>
          <w:rFonts w:ascii="Arial" w:hAnsi="Arial" w:cs="Arial"/>
          <w:color w:val="222222"/>
          <w:shd w:val="clear" w:color="auto" w:fill="FFFFFF"/>
        </w:rPr>
        <w:t>Mañas-Viniegra</w:t>
      </w:r>
      <w:proofErr w:type="spellEnd"/>
      <w:r w:rsidR="00E407DD" w:rsidRPr="00450ABF">
        <w:rPr>
          <w:rFonts w:ascii="Arial" w:hAnsi="Arial" w:cs="Arial"/>
          <w:color w:val="222222"/>
          <w:shd w:val="clear" w:color="auto" w:fill="FFFFFF"/>
        </w:rPr>
        <w:t xml:space="preserve">, L., 2021. The enabling role of ICT to mitigate the negative effects of emotional and social loneliness of the elderly during </w:t>
      </w:r>
      <w:r>
        <w:rPr>
          <w:rFonts w:ascii="Arial" w:hAnsi="Arial" w:cs="Arial"/>
          <w:color w:val="222222"/>
          <w:shd w:val="clear" w:color="auto" w:fill="FFFFFF"/>
        </w:rPr>
        <w:t xml:space="preserve">the </w:t>
      </w:r>
      <w:r w:rsidR="00E407DD" w:rsidRPr="00450ABF">
        <w:rPr>
          <w:rFonts w:ascii="Arial" w:hAnsi="Arial" w:cs="Arial"/>
          <w:color w:val="222222"/>
          <w:shd w:val="clear" w:color="auto" w:fill="FFFFFF"/>
        </w:rPr>
        <w:t>COVID-19 pandemic. </w:t>
      </w:r>
      <w:r w:rsidR="00E407DD" w:rsidRPr="00450ABF">
        <w:rPr>
          <w:rFonts w:ascii="Arial" w:hAnsi="Arial" w:cs="Arial"/>
          <w:i/>
          <w:iCs/>
          <w:color w:val="222222"/>
          <w:shd w:val="clear" w:color="auto" w:fill="FFFFFF"/>
        </w:rPr>
        <w:t>International Journal of Environmental Research and Public Health</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18</w:t>
      </w:r>
      <w:r w:rsidR="00E407DD" w:rsidRPr="00450ABF">
        <w:rPr>
          <w:rFonts w:ascii="Arial" w:hAnsi="Arial" w:cs="Arial"/>
          <w:color w:val="222222"/>
          <w:shd w:val="clear" w:color="auto" w:fill="FFFFFF"/>
        </w:rPr>
        <w:t xml:space="preserve">(8), p.3923. </w:t>
      </w:r>
      <w:hyperlink r:id="rId16" w:history="1">
        <w:r w:rsidR="005335A1" w:rsidRPr="00450ABF">
          <w:rPr>
            <w:rStyle w:val="Hyperlink"/>
            <w:rFonts w:ascii="Arial" w:hAnsi="Arial" w:cs="Arial"/>
            <w:shd w:val="clear" w:color="auto" w:fill="FFFFFF"/>
          </w:rPr>
          <w:t>https://doi.org/10.3390/ijerph18083923</w:t>
        </w:r>
      </w:hyperlink>
      <w:r w:rsidR="005335A1" w:rsidRPr="00450ABF">
        <w:rPr>
          <w:rFonts w:ascii="Arial" w:hAnsi="Arial" w:cs="Arial"/>
          <w:color w:val="222222"/>
          <w:shd w:val="clear" w:color="auto" w:fill="FFFFFF"/>
        </w:rPr>
        <w:t xml:space="preserve"> </w:t>
      </w:r>
    </w:p>
    <w:p w14:paraId="7E1418C7" w14:textId="431F01B6" w:rsidR="00322554"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11.</w:t>
      </w:r>
      <w:r w:rsidR="00322554" w:rsidRPr="00450ABF">
        <w:rPr>
          <w:rFonts w:ascii="Arial" w:hAnsi="Arial" w:cs="Arial"/>
          <w:color w:val="222222"/>
          <w:shd w:val="clear" w:color="auto" w:fill="FFFFFF"/>
        </w:rPr>
        <w:t xml:space="preserve">Marson, F., </w:t>
      </w:r>
      <w:proofErr w:type="spellStart"/>
      <w:r w:rsidR="00322554" w:rsidRPr="00450ABF">
        <w:rPr>
          <w:rFonts w:ascii="Arial" w:hAnsi="Arial" w:cs="Arial"/>
          <w:color w:val="222222"/>
          <w:shd w:val="clear" w:color="auto" w:fill="FFFFFF"/>
        </w:rPr>
        <w:t>Lasaponara</w:t>
      </w:r>
      <w:proofErr w:type="spellEnd"/>
      <w:r w:rsidR="00322554" w:rsidRPr="00450ABF">
        <w:rPr>
          <w:rFonts w:ascii="Arial" w:hAnsi="Arial" w:cs="Arial"/>
          <w:color w:val="222222"/>
          <w:shd w:val="clear" w:color="auto" w:fill="FFFFFF"/>
        </w:rPr>
        <w:t>, S. and Cavallo, M., 2021. A scoping review of neuromodulation techniques in neurodegenerative diseases: A useful tool for clinical practice</w:t>
      </w:r>
      <w:r>
        <w:rPr>
          <w:rFonts w:ascii="Arial" w:hAnsi="Arial" w:cs="Arial"/>
          <w:color w:val="222222"/>
          <w:shd w:val="clear" w:color="auto" w:fill="FFFFFF"/>
        </w:rPr>
        <w:t>?</w:t>
      </w:r>
      <w:r w:rsidR="00322554" w:rsidRPr="00450ABF">
        <w:rPr>
          <w:rFonts w:ascii="Arial" w:hAnsi="Arial" w:cs="Arial"/>
          <w:color w:val="222222"/>
          <w:shd w:val="clear" w:color="auto" w:fill="FFFFFF"/>
        </w:rPr>
        <w:t> </w:t>
      </w:r>
      <w:proofErr w:type="spellStart"/>
      <w:r w:rsidR="00322554" w:rsidRPr="00450ABF">
        <w:rPr>
          <w:rFonts w:ascii="Arial" w:hAnsi="Arial" w:cs="Arial"/>
          <w:i/>
          <w:iCs/>
          <w:color w:val="222222"/>
          <w:shd w:val="clear" w:color="auto" w:fill="FFFFFF"/>
        </w:rPr>
        <w:t>Medicina</w:t>
      </w:r>
      <w:proofErr w:type="spellEnd"/>
      <w:r w:rsidR="00322554" w:rsidRPr="00450ABF">
        <w:rPr>
          <w:rFonts w:ascii="Arial" w:hAnsi="Arial" w:cs="Arial"/>
          <w:color w:val="222222"/>
          <w:shd w:val="clear" w:color="auto" w:fill="FFFFFF"/>
        </w:rPr>
        <w:t>, </w:t>
      </w:r>
      <w:r w:rsidR="00322554" w:rsidRPr="00450ABF">
        <w:rPr>
          <w:rFonts w:ascii="Arial" w:hAnsi="Arial" w:cs="Arial"/>
          <w:i/>
          <w:iCs/>
          <w:color w:val="222222"/>
          <w:shd w:val="clear" w:color="auto" w:fill="FFFFFF"/>
        </w:rPr>
        <w:t>57</w:t>
      </w:r>
      <w:r w:rsidR="00322554" w:rsidRPr="00450ABF">
        <w:rPr>
          <w:rFonts w:ascii="Arial" w:hAnsi="Arial" w:cs="Arial"/>
          <w:color w:val="222222"/>
          <w:shd w:val="clear" w:color="auto" w:fill="FFFFFF"/>
        </w:rPr>
        <w:t>(3), p.215.</w:t>
      </w:r>
    </w:p>
    <w:p w14:paraId="013DF992" w14:textId="06D6C33B" w:rsidR="00E407DD"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lastRenderedPageBreak/>
        <w:t>12.</w:t>
      </w:r>
      <w:r w:rsidR="00E407DD" w:rsidRPr="00450ABF">
        <w:rPr>
          <w:rFonts w:ascii="Arial" w:hAnsi="Arial" w:cs="Arial"/>
          <w:color w:val="222222"/>
          <w:shd w:val="clear" w:color="auto" w:fill="FFFFFF"/>
        </w:rPr>
        <w:t xml:space="preserve">Marucci, G., </w:t>
      </w:r>
      <w:proofErr w:type="spellStart"/>
      <w:r w:rsidR="00E407DD" w:rsidRPr="00450ABF">
        <w:rPr>
          <w:rFonts w:ascii="Arial" w:hAnsi="Arial" w:cs="Arial"/>
          <w:color w:val="222222"/>
          <w:shd w:val="clear" w:color="auto" w:fill="FFFFFF"/>
        </w:rPr>
        <w:t>Buccioni</w:t>
      </w:r>
      <w:proofErr w:type="spellEnd"/>
      <w:r w:rsidR="00E407DD" w:rsidRPr="00450ABF">
        <w:rPr>
          <w:rFonts w:ascii="Arial" w:hAnsi="Arial" w:cs="Arial"/>
          <w:color w:val="222222"/>
          <w:shd w:val="clear" w:color="auto" w:fill="FFFFFF"/>
        </w:rPr>
        <w:t xml:space="preserve">, M., Dal Ben, D., </w:t>
      </w:r>
      <w:proofErr w:type="spellStart"/>
      <w:r w:rsidR="00E407DD" w:rsidRPr="00450ABF">
        <w:rPr>
          <w:rFonts w:ascii="Arial" w:hAnsi="Arial" w:cs="Arial"/>
          <w:color w:val="222222"/>
          <w:shd w:val="clear" w:color="auto" w:fill="FFFFFF"/>
        </w:rPr>
        <w:t>Lambertucci</w:t>
      </w:r>
      <w:proofErr w:type="spellEnd"/>
      <w:r w:rsidR="00E407DD" w:rsidRPr="00450ABF">
        <w:rPr>
          <w:rFonts w:ascii="Arial" w:hAnsi="Arial" w:cs="Arial"/>
          <w:color w:val="222222"/>
          <w:shd w:val="clear" w:color="auto" w:fill="FFFFFF"/>
        </w:rPr>
        <w:t xml:space="preserve">, C., </w:t>
      </w:r>
      <w:proofErr w:type="spellStart"/>
      <w:r w:rsidR="00E407DD" w:rsidRPr="00450ABF">
        <w:rPr>
          <w:rFonts w:ascii="Arial" w:hAnsi="Arial" w:cs="Arial"/>
          <w:color w:val="222222"/>
          <w:shd w:val="clear" w:color="auto" w:fill="FFFFFF"/>
        </w:rPr>
        <w:t>Volpini</w:t>
      </w:r>
      <w:proofErr w:type="spellEnd"/>
      <w:r w:rsidR="00E407DD" w:rsidRPr="00450ABF">
        <w:rPr>
          <w:rFonts w:ascii="Arial" w:hAnsi="Arial" w:cs="Arial"/>
          <w:color w:val="222222"/>
          <w:shd w:val="clear" w:color="auto" w:fill="FFFFFF"/>
        </w:rPr>
        <w:t xml:space="preserve">, R. and </w:t>
      </w:r>
      <w:proofErr w:type="spellStart"/>
      <w:r w:rsidR="00E407DD" w:rsidRPr="00450ABF">
        <w:rPr>
          <w:rFonts w:ascii="Arial" w:hAnsi="Arial" w:cs="Arial"/>
          <w:color w:val="222222"/>
          <w:shd w:val="clear" w:color="auto" w:fill="FFFFFF"/>
        </w:rPr>
        <w:t>Amenta</w:t>
      </w:r>
      <w:proofErr w:type="spellEnd"/>
      <w:r w:rsidR="00E407DD" w:rsidRPr="00450ABF">
        <w:rPr>
          <w:rFonts w:ascii="Arial" w:hAnsi="Arial" w:cs="Arial"/>
          <w:color w:val="222222"/>
          <w:shd w:val="clear" w:color="auto" w:fill="FFFFFF"/>
        </w:rPr>
        <w:t>, F., 2021. Efficacy of acetylcholinesterase inhibitors in Alzheimer's disease. </w:t>
      </w:r>
      <w:r w:rsidR="00E407DD" w:rsidRPr="00450ABF">
        <w:rPr>
          <w:rFonts w:ascii="Arial" w:hAnsi="Arial" w:cs="Arial"/>
          <w:i/>
          <w:iCs/>
          <w:color w:val="222222"/>
          <w:shd w:val="clear" w:color="auto" w:fill="FFFFFF"/>
        </w:rPr>
        <w:t>Neuropharmacology</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190</w:t>
      </w:r>
      <w:r w:rsidR="00E407DD" w:rsidRPr="00450ABF">
        <w:rPr>
          <w:rFonts w:ascii="Arial" w:hAnsi="Arial" w:cs="Arial"/>
          <w:color w:val="222222"/>
          <w:shd w:val="clear" w:color="auto" w:fill="FFFFFF"/>
        </w:rPr>
        <w:t>, p.108352.</w:t>
      </w:r>
    </w:p>
    <w:p w14:paraId="1990655B" w14:textId="51DFA9D6" w:rsidR="00E407DD"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13.</w:t>
      </w:r>
      <w:r w:rsidR="00E407DD" w:rsidRPr="00450ABF">
        <w:rPr>
          <w:rFonts w:ascii="Arial" w:hAnsi="Arial" w:cs="Arial"/>
          <w:color w:val="222222"/>
          <w:shd w:val="clear" w:color="auto" w:fill="FFFFFF"/>
        </w:rPr>
        <w:t xml:space="preserve">Moncatar, T.R.T., Nakamura, K., </w:t>
      </w:r>
      <w:proofErr w:type="spellStart"/>
      <w:r w:rsidR="00E407DD" w:rsidRPr="00450ABF">
        <w:rPr>
          <w:rFonts w:ascii="Arial" w:hAnsi="Arial" w:cs="Arial"/>
          <w:color w:val="222222"/>
          <w:shd w:val="clear" w:color="auto" w:fill="FFFFFF"/>
        </w:rPr>
        <w:t>Siongco</w:t>
      </w:r>
      <w:proofErr w:type="spellEnd"/>
      <w:r w:rsidR="00E407DD" w:rsidRPr="00450ABF">
        <w:rPr>
          <w:rFonts w:ascii="Arial" w:hAnsi="Arial" w:cs="Arial"/>
          <w:color w:val="222222"/>
          <w:shd w:val="clear" w:color="auto" w:fill="FFFFFF"/>
        </w:rPr>
        <w:t xml:space="preserve">, K.L.L., Seino, K., Carlson, R., </w:t>
      </w:r>
      <w:proofErr w:type="spellStart"/>
      <w:r w:rsidR="00E407DD" w:rsidRPr="00450ABF">
        <w:rPr>
          <w:rFonts w:ascii="Arial" w:hAnsi="Arial" w:cs="Arial"/>
          <w:color w:val="222222"/>
          <w:shd w:val="clear" w:color="auto" w:fill="FFFFFF"/>
        </w:rPr>
        <w:t>Canila</w:t>
      </w:r>
      <w:proofErr w:type="spellEnd"/>
      <w:r w:rsidR="00E407DD" w:rsidRPr="00450ABF">
        <w:rPr>
          <w:rFonts w:ascii="Arial" w:hAnsi="Arial" w:cs="Arial"/>
          <w:color w:val="222222"/>
          <w:shd w:val="clear" w:color="auto" w:fill="FFFFFF"/>
        </w:rPr>
        <w:t>, C.C., Javier, R.S. and Lorenzo, F.M.E., 2021. Interprofessional collaboration and barriers among health and social workers caring for older adults: a Philippine case study. </w:t>
      </w:r>
      <w:r w:rsidR="00E407DD" w:rsidRPr="00450ABF">
        <w:rPr>
          <w:rFonts w:ascii="Arial" w:hAnsi="Arial" w:cs="Arial"/>
          <w:i/>
          <w:iCs/>
          <w:color w:val="222222"/>
          <w:shd w:val="clear" w:color="auto" w:fill="FFFFFF"/>
        </w:rPr>
        <w:t>Human Resources for Health</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19</w:t>
      </w:r>
      <w:r w:rsidR="00E407DD" w:rsidRPr="00450ABF">
        <w:rPr>
          <w:rFonts w:ascii="Arial" w:hAnsi="Arial" w:cs="Arial"/>
          <w:color w:val="222222"/>
          <w:shd w:val="clear" w:color="auto" w:fill="FFFFFF"/>
        </w:rPr>
        <w:t>, pp.1-14.</w:t>
      </w:r>
      <w:r w:rsidR="00B11D52" w:rsidRPr="00450ABF">
        <w:rPr>
          <w:rFonts w:ascii="Arial" w:hAnsi="Arial" w:cs="Arial"/>
          <w:color w:val="222222"/>
          <w:shd w:val="clear" w:color="auto" w:fill="FFFFFF"/>
        </w:rPr>
        <w:t xml:space="preserve"> </w:t>
      </w:r>
      <w:hyperlink r:id="rId17" w:history="1">
        <w:r w:rsidR="005335A1" w:rsidRPr="00450ABF">
          <w:rPr>
            <w:rStyle w:val="Hyperlink"/>
            <w:rFonts w:ascii="Arial" w:hAnsi="Arial" w:cs="Arial"/>
          </w:rPr>
          <w:t>https://doi.org/10.1186/s12960-021-00568-1</w:t>
        </w:r>
      </w:hyperlink>
      <w:r w:rsidR="005335A1" w:rsidRPr="00450ABF">
        <w:rPr>
          <w:rStyle w:val="c-bibliographic-informationvalue"/>
          <w:rFonts w:ascii="Arial" w:hAnsi="Arial" w:cs="Arial"/>
          <w:color w:val="333333"/>
        </w:rPr>
        <w:t xml:space="preserve"> </w:t>
      </w:r>
      <w:r w:rsidR="00B11D52" w:rsidRPr="00450ABF">
        <w:rPr>
          <w:rFonts w:ascii="Arial" w:hAnsi="Arial" w:cs="Arial"/>
          <w:color w:val="222222"/>
          <w:shd w:val="clear" w:color="auto" w:fill="FFFFFF"/>
        </w:rPr>
        <w:t xml:space="preserve">  </w:t>
      </w:r>
    </w:p>
    <w:p w14:paraId="2AE3FADB" w14:textId="77ED84DA" w:rsidR="00B20CA5"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14.</w:t>
      </w:r>
      <w:r w:rsidR="00B20CA5" w:rsidRPr="00450ABF">
        <w:rPr>
          <w:rFonts w:ascii="Arial" w:hAnsi="Arial" w:cs="Arial"/>
          <w:color w:val="222222"/>
          <w:shd w:val="clear" w:color="auto" w:fill="FFFFFF"/>
        </w:rPr>
        <w:t>Porsteinsson, A.P., Isaacson, R.S., Knox, S., Sabbagh, M.N. and Rubino, I., 2021. Diagnosis of early Alzheimer’s disease: clinical practice in 2021. </w:t>
      </w:r>
      <w:r w:rsidR="00B20CA5" w:rsidRPr="00450ABF">
        <w:rPr>
          <w:rFonts w:ascii="Arial" w:hAnsi="Arial" w:cs="Arial"/>
          <w:i/>
          <w:iCs/>
          <w:color w:val="222222"/>
          <w:shd w:val="clear" w:color="auto" w:fill="FFFFFF"/>
        </w:rPr>
        <w:t xml:space="preserve">The </w:t>
      </w:r>
      <w:r>
        <w:rPr>
          <w:rFonts w:ascii="Arial" w:hAnsi="Arial" w:cs="Arial"/>
          <w:i/>
          <w:iCs/>
          <w:color w:val="222222"/>
          <w:shd w:val="clear" w:color="auto" w:fill="FFFFFF"/>
        </w:rPr>
        <w:t>Journal</w:t>
      </w:r>
      <w:r w:rsidR="00B20CA5" w:rsidRPr="00450ABF">
        <w:rPr>
          <w:rFonts w:ascii="Arial" w:hAnsi="Arial" w:cs="Arial"/>
          <w:i/>
          <w:iCs/>
          <w:color w:val="222222"/>
          <w:shd w:val="clear" w:color="auto" w:fill="FFFFFF"/>
        </w:rPr>
        <w:t xml:space="preserve"> of </w:t>
      </w:r>
      <w:r>
        <w:rPr>
          <w:rFonts w:ascii="Arial" w:hAnsi="Arial" w:cs="Arial"/>
          <w:i/>
          <w:iCs/>
          <w:color w:val="222222"/>
          <w:shd w:val="clear" w:color="auto" w:fill="FFFFFF"/>
        </w:rPr>
        <w:t>Prevention</w:t>
      </w:r>
      <w:r w:rsidR="00B20CA5" w:rsidRPr="00450ABF">
        <w:rPr>
          <w:rFonts w:ascii="Arial" w:hAnsi="Arial" w:cs="Arial"/>
          <w:i/>
          <w:iCs/>
          <w:color w:val="222222"/>
          <w:shd w:val="clear" w:color="auto" w:fill="FFFFFF"/>
        </w:rPr>
        <w:t xml:space="preserve"> of Alzheimer's </w:t>
      </w:r>
      <w:r>
        <w:rPr>
          <w:rFonts w:ascii="Arial" w:hAnsi="Arial" w:cs="Arial"/>
          <w:i/>
          <w:iCs/>
          <w:color w:val="222222"/>
          <w:shd w:val="clear" w:color="auto" w:fill="FFFFFF"/>
        </w:rPr>
        <w:t>Disease</w:t>
      </w:r>
      <w:r w:rsidR="00B20CA5" w:rsidRPr="00450ABF">
        <w:rPr>
          <w:rFonts w:ascii="Arial" w:hAnsi="Arial" w:cs="Arial"/>
          <w:color w:val="222222"/>
          <w:shd w:val="clear" w:color="auto" w:fill="FFFFFF"/>
        </w:rPr>
        <w:t>, </w:t>
      </w:r>
      <w:r w:rsidR="00B20CA5" w:rsidRPr="00450ABF">
        <w:rPr>
          <w:rFonts w:ascii="Arial" w:hAnsi="Arial" w:cs="Arial"/>
          <w:i/>
          <w:iCs/>
          <w:color w:val="222222"/>
          <w:shd w:val="clear" w:color="auto" w:fill="FFFFFF"/>
        </w:rPr>
        <w:t>8</w:t>
      </w:r>
      <w:r w:rsidR="00B20CA5" w:rsidRPr="00450ABF">
        <w:rPr>
          <w:rFonts w:ascii="Arial" w:hAnsi="Arial" w:cs="Arial"/>
          <w:color w:val="222222"/>
          <w:shd w:val="clear" w:color="auto" w:fill="FFFFFF"/>
        </w:rPr>
        <w:t>, pp.371-386.</w:t>
      </w:r>
    </w:p>
    <w:p w14:paraId="0A78D0DA" w14:textId="3D7DAEC5" w:rsidR="00F0294F"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15.</w:t>
      </w:r>
      <w:r w:rsidR="00F0294F" w:rsidRPr="00450ABF">
        <w:rPr>
          <w:rFonts w:ascii="Arial" w:hAnsi="Arial" w:cs="Arial"/>
          <w:color w:val="222222"/>
          <w:shd w:val="clear" w:color="auto" w:fill="FFFFFF"/>
        </w:rPr>
        <w:t>Ryan, S. and Brady, O., 2023. Cognitive stimulation and activities of daily living for individuals with mild-to-moderate dementia: A scoping review. </w:t>
      </w:r>
      <w:r w:rsidR="00F0294F" w:rsidRPr="00450ABF">
        <w:rPr>
          <w:rFonts w:ascii="Arial" w:hAnsi="Arial" w:cs="Arial"/>
          <w:i/>
          <w:iCs/>
          <w:color w:val="222222"/>
          <w:shd w:val="clear" w:color="auto" w:fill="FFFFFF"/>
        </w:rPr>
        <w:t>British Journal of Occupational Therapy</w:t>
      </w:r>
      <w:r w:rsidR="00F0294F" w:rsidRPr="00450ABF">
        <w:rPr>
          <w:rFonts w:ascii="Arial" w:hAnsi="Arial" w:cs="Arial"/>
          <w:color w:val="222222"/>
          <w:shd w:val="clear" w:color="auto" w:fill="FFFFFF"/>
        </w:rPr>
        <w:t xml:space="preserve">, p.03080226231156517. </w:t>
      </w:r>
    </w:p>
    <w:p w14:paraId="07C7B54E" w14:textId="48A46A22" w:rsidR="00BA4508" w:rsidRPr="00450ABF" w:rsidRDefault="002679D3" w:rsidP="00450ABF">
      <w:pPr>
        <w:spacing w:line="360" w:lineRule="auto"/>
        <w:ind w:left="720" w:hanging="720"/>
        <w:contextualSpacing/>
        <w:jc w:val="both"/>
        <w:rPr>
          <w:rFonts w:ascii="Arial" w:hAnsi="Arial" w:cs="Arial"/>
        </w:rPr>
      </w:pPr>
      <w:r>
        <w:rPr>
          <w:rFonts w:ascii="Arial" w:hAnsi="Arial" w:cs="Arial"/>
        </w:rPr>
        <w:t>16.</w:t>
      </w:r>
      <w:r w:rsidR="00BA4508" w:rsidRPr="00450ABF">
        <w:rPr>
          <w:rFonts w:ascii="Arial" w:hAnsi="Arial" w:cs="Arial"/>
        </w:rPr>
        <w:t>Schneider, J.A., 2022. Neuropathology of dementia disorders. </w:t>
      </w:r>
      <w:r w:rsidR="00BA4508" w:rsidRPr="00450ABF">
        <w:rPr>
          <w:rFonts w:ascii="Arial" w:hAnsi="Arial" w:cs="Arial"/>
          <w:i/>
          <w:iCs/>
        </w:rPr>
        <w:t>CONTINUUM: Lifelong Learning in Neurology</w:t>
      </w:r>
      <w:r w:rsidR="00BA4508" w:rsidRPr="00450ABF">
        <w:rPr>
          <w:rFonts w:ascii="Arial" w:hAnsi="Arial" w:cs="Arial"/>
        </w:rPr>
        <w:t>, </w:t>
      </w:r>
      <w:r w:rsidR="00BA4508" w:rsidRPr="00450ABF">
        <w:rPr>
          <w:rFonts w:ascii="Arial" w:hAnsi="Arial" w:cs="Arial"/>
          <w:i/>
          <w:iCs/>
        </w:rPr>
        <w:t>28</w:t>
      </w:r>
      <w:r w:rsidR="00BA4508" w:rsidRPr="00450ABF">
        <w:rPr>
          <w:rFonts w:ascii="Arial" w:hAnsi="Arial" w:cs="Arial"/>
        </w:rPr>
        <w:t xml:space="preserve">(3), pp.834-851. </w:t>
      </w:r>
      <w:hyperlink r:id="rId18" w:history="1">
        <w:r w:rsidR="009B5526" w:rsidRPr="00450ABF">
          <w:rPr>
            <w:rStyle w:val="Hyperlink"/>
            <w:rFonts w:ascii="Arial" w:hAnsi="Arial" w:cs="Arial"/>
          </w:rPr>
          <w:t>http://doi.org/10.1212/CON.0000000000001137</w:t>
        </w:r>
      </w:hyperlink>
      <w:r w:rsidR="009B5526" w:rsidRPr="00450ABF">
        <w:rPr>
          <w:rFonts w:ascii="Arial" w:hAnsi="Arial" w:cs="Arial"/>
        </w:rPr>
        <w:t xml:space="preserve"> </w:t>
      </w:r>
    </w:p>
    <w:p w14:paraId="33D31C64" w14:textId="3FC56653" w:rsidR="00EA05D5"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17.</w:t>
      </w:r>
      <w:r w:rsidR="00EA05D5" w:rsidRPr="00450ABF">
        <w:rPr>
          <w:rFonts w:ascii="Arial" w:hAnsi="Arial" w:cs="Arial"/>
          <w:color w:val="222222"/>
          <w:shd w:val="clear" w:color="auto" w:fill="FFFFFF"/>
        </w:rPr>
        <w:t xml:space="preserve">Thabtah, F., Peebles, D., </w:t>
      </w:r>
      <w:proofErr w:type="spellStart"/>
      <w:r w:rsidR="00EA05D5" w:rsidRPr="00450ABF">
        <w:rPr>
          <w:rFonts w:ascii="Arial" w:hAnsi="Arial" w:cs="Arial"/>
          <w:color w:val="222222"/>
          <w:shd w:val="clear" w:color="auto" w:fill="FFFFFF"/>
        </w:rPr>
        <w:t>Retzler</w:t>
      </w:r>
      <w:proofErr w:type="spellEnd"/>
      <w:r w:rsidR="00EA05D5" w:rsidRPr="00450ABF">
        <w:rPr>
          <w:rFonts w:ascii="Arial" w:hAnsi="Arial" w:cs="Arial"/>
          <w:color w:val="222222"/>
          <w:shd w:val="clear" w:color="auto" w:fill="FFFFFF"/>
        </w:rPr>
        <w:t xml:space="preserve">, J. and </w:t>
      </w:r>
      <w:proofErr w:type="spellStart"/>
      <w:r w:rsidR="00EA05D5" w:rsidRPr="00450ABF">
        <w:rPr>
          <w:rFonts w:ascii="Arial" w:hAnsi="Arial" w:cs="Arial"/>
          <w:color w:val="222222"/>
          <w:shd w:val="clear" w:color="auto" w:fill="FFFFFF"/>
        </w:rPr>
        <w:t>Hathurusingha</w:t>
      </w:r>
      <w:proofErr w:type="spellEnd"/>
      <w:r w:rsidR="00EA05D5" w:rsidRPr="00450ABF">
        <w:rPr>
          <w:rFonts w:ascii="Arial" w:hAnsi="Arial" w:cs="Arial"/>
          <w:color w:val="222222"/>
          <w:shd w:val="clear" w:color="auto" w:fill="FFFFFF"/>
        </w:rPr>
        <w:t>, C., 2020. A review of dementia screening tools based on Mobile application. </w:t>
      </w:r>
      <w:r w:rsidR="00EA05D5" w:rsidRPr="00450ABF">
        <w:rPr>
          <w:rFonts w:ascii="Arial" w:hAnsi="Arial" w:cs="Arial"/>
          <w:i/>
          <w:iCs/>
          <w:color w:val="222222"/>
          <w:shd w:val="clear" w:color="auto" w:fill="FFFFFF"/>
        </w:rPr>
        <w:t>Health and Technology</w:t>
      </w:r>
      <w:r w:rsidR="00EA05D5" w:rsidRPr="00450ABF">
        <w:rPr>
          <w:rFonts w:ascii="Arial" w:hAnsi="Arial" w:cs="Arial"/>
          <w:color w:val="222222"/>
          <w:shd w:val="clear" w:color="auto" w:fill="FFFFFF"/>
        </w:rPr>
        <w:t>, </w:t>
      </w:r>
      <w:r w:rsidR="00EA05D5" w:rsidRPr="00450ABF">
        <w:rPr>
          <w:rFonts w:ascii="Arial" w:hAnsi="Arial" w:cs="Arial"/>
          <w:i/>
          <w:iCs/>
          <w:color w:val="222222"/>
          <w:shd w:val="clear" w:color="auto" w:fill="FFFFFF"/>
        </w:rPr>
        <w:t>10</w:t>
      </w:r>
      <w:r w:rsidR="00EA05D5" w:rsidRPr="00450ABF">
        <w:rPr>
          <w:rFonts w:ascii="Arial" w:hAnsi="Arial" w:cs="Arial"/>
          <w:color w:val="222222"/>
          <w:shd w:val="clear" w:color="auto" w:fill="FFFFFF"/>
        </w:rPr>
        <w:t>, pp.1011-1022.</w:t>
      </w:r>
      <w:r w:rsidR="009B5526" w:rsidRPr="00450ABF">
        <w:rPr>
          <w:rFonts w:ascii="Arial" w:hAnsi="Arial" w:cs="Arial"/>
          <w:color w:val="222222"/>
          <w:shd w:val="clear" w:color="auto" w:fill="FFFFFF"/>
        </w:rPr>
        <w:t xml:space="preserve"> </w:t>
      </w:r>
      <w:hyperlink r:id="rId19" w:history="1">
        <w:r w:rsidR="009B5526" w:rsidRPr="00450ABF">
          <w:rPr>
            <w:rStyle w:val="Hyperlink"/>
            <w:rFonts w:ascii="Arial" w:hAnsi="Arial" w:cs="Arial"/>
            <w:shd w:val="clear" w:color="auto" w:fill="FCFCFC"/>
          </w:rPr>
          <w:t>https://doi.org/10.1007/s12553-020-00426-5</w:t>
        </w:r>
      </w:hyperlink>
      <w:r w:rsidR="009B5526" w:rsidRPr="00450ABF">
        <w:rPr>
          <w:rFonts w:ascii="Arial" w:hAnsi="Arial" w:cs="Arial"/>
          <w:color w:val="333333"/>
          <w:shd w:val="clear" w:color="auto" w:fill="FCFCFC"/>
        </w:rPr>
        <w:t xml:space="preserve"> </w:t>
      </w:r>
    </w:p>
    <w:p w14:paraId="715C0C18" w14:textId="3863B61A" w:rsidR="00E407DD"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18.</w:t>
      </w:r>
      <w:r w:rsidR="00E407DD" w:rsidRPr="00450ABF">
        <w:rPr>
          <w:rFonts w:ascii="Arial" w:hAnsi="Arial" w:cs="Arial"/>
          <w:color w:val="222222"/>
          <w:shd w:val="clear" w:color="auto" w:fill="FFFFFF"/>
        </w:rPr>
        <w:t xml:space="preserve">Trzepacz, P.T., Hochstetler, H., Wang, S., Walker, B., </w:t>
      </w:r>
      <w:proofErr w:type="spellStart"/>
      <w:r w:rsidR="00E407DD" w:rsidRPr="00450ABF">
        <w:rPr>
          <w:rFonts w:ascii="Arial" w:hAnsi="Arial" w:cs="Arial"/>
          <w:color w:val="222222"/>
          <w:shd w:val="clear" w:color="auto" w:fill="FFFFFF"/>
        </w:rPr>
        <w:t>Saykin</w:t>
      </w:r>
      <w:proofErr w:type="spellEnd"/>
      <w:r w:rsidR="00E407DD" w:rsidRPr="00450ABF">
        <w:rPr>
          <w:rFonts w:ascii="Arial" w:hAnsi="Arial" w:cs="Arial"/>
          <w:color w:val="222222"/>
          <w:shd w:val="clear" w:color="auto" w:fill="FFFFFF"/>
        </w:rPr>
        <w:t>, A.J. and Alzheimer’s Disease Neuroimaging Initiative, 2015. Relationship between the Montreal Cognitive Assessment and Mini-mental State Examination for assessment of mild cognitive impairment in older adults. </w:t>
      </w:r>
      <w:r w:rsidR="00E407DD" w:rsidRPr="00450ABF">
        <w:rPr>
          <w:rFonts w:ascii="Arial" w:hAnsi="Arial" w:cs="Arial"/>
          <w:i/>
          <w:iCs/>
          <w:color w:val="222222"/>
          <w:shd w:val="clear" w:color="auto" w:fill="FFFFFF"/>
        </w:rPr>
        <w:t>BMC geriatrics</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15</w:t>
      </w:r>
      <w:r w:rsidR="00E407DD" w:rsidRPr="00450ABF">
        <w:rPr>
          <w:rFonts w:ascii="Arial" w:hAnsi="Arial" w:cs="Arial"/>
          <w:color w:val="222222"/>
          <w:shd w:val="clear" w:color="auto" w:fill="FFFFFF"/>
        </w:rPr>
        <w:t>, pp.1-9.</w:t>
      </w:r>
      <w:r w:rsidR="00B11D52" w:rsidRPr="00450ABF">
        <w:rPr>
          <w:rFonts w:ascii="Arial" w:hAnsi="Arial" w:cs="Arial"/>
          <w:color w:val="222222"/>
          <w:shd w:val="clear" w:color="auto" w:fill="FFFFFF"/>
        </w:rPr>
        <w:t xml:space="preserve"> </w:t>
      </w:r>
      <w:hyperlink r:id="rId20" w:history="1">
        <w:r w:rsidR="00B11D52" w:rsidRPr="00450ABF">
          <w:rPr>
            <w:rStyle w:val="Hyperlink"/>
            <w:rFonts w:ascii="Arial" w:hAnsi="Arial" w:cs="Arial"/>
            <w:shd w:val="clear" w:color="auto" w:fill="FCFCFC"/>
          </w:rPr>
          <w:t>https://doi.org/10.1186/s12877-015-0103-3</w:t>
        </w:r>
      </w:hyperlink>
      <w:r w:rsidR="00B11D52" w:rsidRPr="00450ABF">
        <w:rPr>
          <w:rFonts w:ascii="Arial" w:hAnsi="Arial" w:cs="Arial"/>
          <w:color w:val="333333"/>
          <w:shd w:val="clear" w:color="auto" w:fill="FCFCFC"/>
        </w:rPr>
        <w:t xml:space="preserve"> </w:t>
      </w:r>
    </w:p>
    <w:p w14:paraId="7348E58F" w14:textId="064BD321" w:rsidR="00E407DD"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19.</w:t>
      </w:r>
      <w:r w:rsidR="00E407DD" w:rsidRPr="00450ABF">
        <w:rPr>
          <w:rFonts w:ascii="Arial" w:hAnsi="Arial" w:cs="Arial"/>
          <w:color w:val="222222"/>
          <w:shd w:val="clear" w:color="auto" w:fill="FFFFFF"/>
        </w:rPr>
        <w:t xml:space="preserve">Van </w:t>
      </w:r>
      <w:proofErr w:type="spellStart"/>
      <w:r w:rsidR="00E407DD" w:rsidRPr="00450ABF">
        <w:rPr>
          <w:rFonts w:ascii="Arial" w:hAnsi="Arial" w:cs="Arial"/>
          <w:color w:val="222222"/>
          <w:shd w:val="clear" w:color="auto" w:fill="FFFFFF"/>
        </w:rPr>
        <w:t>Asbroeck</w:t>
      </w:r>
      <w:proofErr w:type="spellEnd"/>
      <w:r w:rsidR="00E407DD" w:rsidRPr="00450ABF">
        <w:rPr>
          <w:rFonts w:ascii="Arial" w:hAnsi="Arial" w:cs="Arial"/>
          <w:color w:val="222222"/>
          <w:shd w:val="clear" w:color="auto" w:fill="FFFFFF"/>
        </w:rPr>
        <w:t xml:space="preserve">, S., van </w:t>
      </w:r>
      <w:proofErr w:type="spellStart"/>
      <w:r w:rsidR="00E407DD" w:rsidRPr="00450ABF">
        <w:rPr>
          <w:rFonts w:ascii="Arial" w:hAnsi="Arial" w:cs="Arial"/>
          <w:color w:val="222222"/>
          <w:shd w:val="clear" w:color="auto" w:fill="FFFFFF"/>
        </w:rPr>
        <w:t>Boxtel</w:t>
      </w:r>
      <w:proofErr w:type="spellEnd"/>
      <w:r w:rsidR="00E407DD" w:rsidRPr="00450ABF">
        <w:rPr>
          <w:rFonts w:ascii="Arial" w:hAnsi="Arial" w:cs="Arial"/>
          <w:color w:val="222222"/>
          <w:shd w:val="clear" w:color="auto" w:fill="FFFFFF"/>
        </w:rPr>
        <w:t xml:space="preserve">, M.P., </w:t>
      </w:r>
      <w:proofErr w:type="spellStart"/>
      <w:r w:rsidR="00E407DD" w:rsidRPr="00450ABF">
        <w:rPr>
          <w:rFonts w:ascii="Arial" w:hAnsi="Arial" w:cs="Arial"/>
          <w:color w:val="222222"/>
          <w:shd w:val="clear" w:color="auto" w:fill="FFFFFF"/>
        </w:rPr>
        <w:t>Steyaert</w:t>
      </w:r>
      <w:proofErr w:type="spellEnd"/>
      <w:r w:rsidR="00E407DD" w:rsidRPr="00450ABF">
        <w:rPr>
          <w:rFonts w:ascii="Arial" w:hAnsi="Arial" w:cs="Arial"/>
          <w:color w:val="222222"/>
          <w:shd w:val="clear" w:color="auto" w:fill="FFFFFF"/>
        </w:rPr>
        <w:t xml:space="preserve">, J., Köhler, S., </w:t>
      </w:r>
      <w:proofErr w:type="spellStart"/>
      <w:r w:rsidR="00E407DD" w:rsidRPr="00450ABF">
        <w:rPr>
          <w:rFonts w:ascii="Arial" w:hAnsi="Arial" w:cs="Arial"/>
          <w:color w:val="222222"/>
          <w:shd w:val="clear" w:color="auto" w:fill="FFFFFF"/>
        </w:rPr>
        <w:t>Heger</w:t>
      </w:r>
      <w:proofErr w:type="spellEnd"/>
      <w:r w:rsidR="00E407DD" w:rsidRPr="00450ABF">
        <w:rPr>
          <w:rFonts w:ascii="Arial" w:hAnsi="Arial" w:cs="Arial"/>
          <w:color w:val="222222"/>
          <w:shd w:val="clear" w:color="auto" w:fill="FFFFFF"/>
        </w:rPr>
        <w:t xml:space="preserve">, I., de </w:t>
      </w:r>
      <w:proofErr w:type="spellStart"/>
      <w:r w:rsidR="00E407DD" w:rsidRPr="00450ABF">
        <w:rPr>
          <w:rFonts w:ascii="Arial" w:hAnsi="Arial" w:cs="Arial"/>
          <w:color w:val="222222"/>
          <w:shd w:val="clear" w:color="auto" w:fill="FFFFFF"/>
        </w:rPr>
        <w:t>Vugt</w:t>
      </w:r>
      <w:proofErr w:type="spellEnd"/>
      <w:r w:rsidR="00E407DD" w:rsidRPr="00450ABF">
        <w:rPr>
          <w:rFonts w:ascii="Arial" w:hAnsi="Arial" w:cs="Arial"/>
          <w:color w:val="222222"/>
          <w:shd w:val="clear" w:color="auto" w:fill="FFFFFF"/>
        </w:rPr>
        <w:t xml:space="preserve">, M., </w:t>
      </w:r>
      <w:proofErr w:type="spellStart"/>
      <w:r w:rsidR="00E407DD" w:rsidRPr="00450ABF">
        <w:rPr>
          <w:rFonts w:ascii="Arial" w:hAnsi="Arial" w:cs="Arial"/>
          <w:color w:val="222222"/>
          <w:shd w:val="clear" w:color="auto" w:fill="FFFFFF"/>
        </w:rPr>
        <w:t>Verhey</w:t>
      </w:r>
      <w:proofErr w:type="spellEnd"/>
      <w:r w:rsidR="00E407DD" w:rsidRPr="00450ABF">
        <w:rPr>
          <w:rFonts w:ascii="Arial" w:hAnsi="Arial" w:cs="Arial"/>
          <w:color w:val="222222"/>
          <w:shd w:val="clear" w:color="auto" w:fill="FFFFFF"/>
        </w:rPr>
        <w:t>, F. and Deckers, K., 2021. Increasing knowledge on dementia risk reduction in the general population: Results of a public awareness campaign. </w:t>
      </w:r>
      <w:r w:rsidR="00E407DD" w:rsidRPr="00450ABF">
        <w:rPr>
          <w:rFonts w:ascii="Arial" w:hAnsi="Arial" w:cs="Arial"/>
          <w:i/>
          <w:iCs/>
          <w:color w:val="222222"/>
          <w:shd w:val="clear" w:color="auto" w:fill="FFFFFF"/>
        </w:rPr>
        <w:t>Preventive Medicine</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147</w:t>
      </w:r>
      <w:r w:rsidR="00E407DD" w:rsidRPr="00450ABF">
        <w:rPr>
          <w:rFonts w:ascii="Arial" w:hAnsi="Arial" w:cs="Arial"/>
          <w:color w:val="222222"/>
          <w:shd w:val="clear" w:color="auto" w:fill="FFFFFF"/>
        </w:rPr>
        <w:t>, p.106522.</w:t>
      </w:r>
      <w:r w:rsidR="009B5526" w:rsidRPr="00450ABF">
        <w:rPr>
          <w:rFonts w:ascii="Arial" w:hAnsi="Arial" w:cs="Arial"/>
          <w:color w:val="222222"/>
          <w:shd w:val="clear" w:color="auto" w:fill="FFFFFF"/>
        </w:rPr>
        <w:t xml:space="preserve"> </w:t>
      </w:r>
      <w:hyperlink r:id="rId21" w:history="1">
        <w:r w:rsidR="009B5526" w:rsidRPr="00450ABF">
          <w:rPr>
            <w:rStyle w:val="Hyperlink"/>
            <w:rFonts w:ascii="Arial" w:hAnsi="Arial" w:cs="Arial"/>
            <w:shd w:val="clear" w:color="auto" w:fill="FFFFFF"/>
          </w:rPr>
          <w:t>https://doi.org/10.1016/j.ypmed.2021.106522</w:t>
        </w:r>
      </w:hyperlink>
      <w:r w:rsidR="009B5526" w:rsidRPr="00450ABF">
        <w:rPr>
          <w:rFonts w:ascii="Arial" w:hAnsi="Arial" w:cs="Arial"/>
          <w:color w:val="222222"/>
          <w:shd w:val="clear" w:color="auto" w:fill="FFFFFF"/>
        </w:rPr>
        <w:t xml:space="preserve"> </w:t>
      </w:r>
    </w:p>
    <w:p w14:paraId="4E9B8E11" w14:textId="109F4AF2" w:rsidR="00E407DD"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20.</w:t>
      </w:r>
      <w:r w:rsidR="00E407DD" w:rsidRPr="00450ABF">
        <w:rPr>
          <w:rFonts w:ascii="Arial" w:hAnsi="Arial" w:cs="Arial"/>
          <w:color w:val="222222"/>
          <w:shd w:val="clear" w:color="auto" w:fill="FFFFFF"/>
        </w:rPr>
        <w:t xml:space="preserve">Wei, Y.C., Chen, C.K., Lin, C., Chen, P.Y., Hsu, P.C., Lin, C.P., </w:t>
      </w:r>
      <w:proofErr w:type="spellStart"/>
      <w:r w:rsidR="00E407DD" w:rsidRPr="00450ABF">
        <w:rPr>
          <w:rFonts w:ascii="Arial" w:hAnsi="Arial" w:cs="Arial"/>
          <w:color w:val="222222"/>
          <w:shd w:val="clear" w:color="auto" w:fill="FFFFFF"/>
        </w:rPr>
        <w:t>Shyu</w:t>
      </w:r>
      <w:proofErr w:type="spellEnd"/>
      <w:r w:rsidR="00E407DD" w:rsidRPr="00450ABF">
        <w:rPr>
          <w:rFonts w:ascii="Arial" w:hAnsi="Arial" w:cs="Arial"/>
          <w:color w:val="222222"/>
          <w:shd w:val="clear" w:color="auto" w:fill="FFFFFF"/>
        </w:rPr>
        <w:t>, Y.C. and Huang, W.Y., 2022. Normative Data of Mini-Mental State Examination, Montreal Cognitive Assessment</w:t>
      </w:r>
      <w:r w:rsidR="0032672B" w:rsidRPr="00450ABF">
        <w:rPr>
          <w:rFonts w:ascii="Arial" w:hAnsi="Arial" w:cs="Arial"/>
          <w:color w:val="222222"/>
          <w:shd w:val="clear" w:color="auto" w:fill="FFFFFF"/>
        </w:rPr>
        <w:t xml:space="preserve"> and</w:t>
      </w:r>
      <w:r w:rsidR="00E407DD" w:rsidRPr="00450ABF">
        <w:rPr>
          <w:rFonts w:ascii="Arial" w:hAnsi="Arial" w:cs="Arial"/>
          <w:color w:val="222222"/>
          <w:shd w:val="clear" w:color="auto" w:fill="FFFFFF"/>
        </w:rPr>
        <w:t xml:space="preserve"> Alzheimer’s Disease Assessment Scale-Cognitive Subscale of Community-Dwelling Older Adults in Taiwan. </w:t>
      </w:r>
      <w:r w:rsidR="00E407DD" w:rsidRPr="00450ABF">
        <w:rPr>
          <w:rFonts w:ascii="Arial" w:hAnsi="Arial" w:cs="Arial"/>
          <w:i/>
          <w:iCs/>
          <w:color w:val="222222"/>
          <w:shd w:val="clear" w:color="auto" w:fill="FFFFFF"/>
        </w:rPr>
        <w:t>Dementia and Geriatric Cognitive Disorders</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51</w:t>
      </w:r>
      <w:r w:rsidR="00E407DD" w:rsidRPr="00450ABF">
        <w:rPr>
          <w:rFonts w:ascii="Arial" w:hAnsi="Arial" w:cs="Arial"/>
          <w:color w:val="222222"/>
          <w:shd w:val="clear" w:color="auto" w:fill="FFFFFF"/>
        </w:rPr>
        <w:t>(4), pp.365-376.</w:t>
      </w:r>
      <w:r w:rsidR="00B11D52" w:rsidRPr="00450ABF">
        <w:rPr>
          <w:rFonts w:ascii="Arial" w:hAnsi="Arial" w:cs="Arial"/>
          <w:color w:val="222222"/>
          <w:shd w:val="clear" w:color="auto" w:fill="FFFFFF"/>
        </w:rPr>
        <w:t xml:space="preserve"> </w:t>
      </w:r>
      <w:hyperlink r:id="rId22" w:history="1">
        <w:r w:rsidR="00B11D52" w:rsidRPr="00450ABF">
          <w:rPr>
            <w:rStyle w:val="Hyperlink"/>
            <w:rFonts w:ascii="Arial" w:hAnsi="Arial" w:cs="Arial"/>
            <w:shd w:val="clear" w:color="auto" w:fill="FFFFFF"/>
          </w:rPr>
          <w:t>https://doi.org/10.1159/000525615</w:t>
        </w:r>
      </w:hyperlink>
      <w:r w:rsidR="00B11D52" w:rsidRPr="00450ABF">
        <w:rPr>
          <w:rFonts w:ascii="Arial" w:hAnsi="Arial" w:cs="Arial"/>
          <w:color w:val="222222"/>
          <w:shd w:val="clear" w:color="auto" w:fill="FFFFFF"/>
        </w:rPr>
        <w:t xml:space="preserve"> </w:t>
      </w:r>
    </w:p>
    <w:p w14:paraId="40D4412A" w14:textId="76CFC38C" w:rsidR="006D2E85"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lastRenderedPageBreak/>
        <w:t>21.</w:t>
      </w:r>
      <w:r w:rsidR="006D2E85" w:rsidRPr="00450ABF">
        <w:rPr>
          <w:rFonts w:ascii="Arial" w:hAnsi="Arial" w:cs="Arial"/>
          <w:color w:val="222222"/>
          <w:shd w:val="clear" w:color="auto" w:fill="FFFFFF"/>
        </w:rPr>
        <w:t xml:space="preserve">World Health Organization [W.H.O]. (2023). </w:t>
      </w:r>
      <w:r w:rsidR="006D2E85" w:rsidRPr="00450ABF">
        <w:rPr>
          <w:rFonts w:ascii="Arial" w:hAnsi="Arial" w:cs="Arial"/>
          <w:i/>
          <w:iCs/>
          <w:color w:val="222222"/>
          <w:shd w:val="clear" w:color="auto" w:fill="FFFFFF"/>
        </w:rPr>
        <w:t>ICD-11 for Mortality and Morbidity Statistics</w:t>
      </w:r>
      <w:r w:rsidR="006D2E85" w:rsidRPr="00450ABF">
        <w:rPr>
          <w:rFonts w:ascii="Arial" w:hAnsi="Arial" w:cs="Arial"/>
          <w:color w:val="222222"/>
          <w:shd w:val="clear" w:color="auto" w:fill="FFFFFF"/>
        </w:rPr>
        <w:t xml:space="preserve">. Retrieved from </w:t>
      </w:r>
      <w:hyperlink r:id="rId23" w:anchor="/http%3a%2f%2fid.who.int%2ficd%2fentity%2f1611724421" w:history="1">
        <w:r w:rsidR="006D2E85" w:rsidRPr="00450ABF">
          <w:rPr>
            <w:rStyle w:val="Hyperlink"/>
            <w:rFonts w:ascii="Arial" w:hAnsi="Arial" w:cs="Arial"/>
            <w:shd w:val="clear" w:color="auto" w:fill="FFFFFF"/>
          </w:rPr>
          <w:t>https://icd.who.int/browse11/l-m/en#/http%3a%2f%2fid.who.int%2ficd%2fentity%2f1611724421</w:t>
        </w:r>
      </w:hyperlink>
      <w:r w:rsidR="006D2E85" w:rsidRPr="00450ABF">
        <w:rPr>
          <w:rFonts w:ascii="Arial" w:hAnsi="Arial" w:cs="Arial"/>
          <w:color w:val="222222"/>
          <w:shd w:val="clear" w:color="auto" w:fill="FFFFFF"/>
        </w:rPr>
        <w:t xml:space="preserve"> </w:t>
      </w:r>
    </w:p>
    <w:p w14:paraId="1CA3FA03" w14:textId="148EA5EB" w:rsidR="00603645" w:rsidRPr="00450ABF" w:rsidRDefault="002679D3" w:rsidP="00450ABF">
      <w:pPr>
        <w:spacing w:line="360" w:lineRule="auto"/>
        <w:ind w:left="720" w:hanging="720"/>
        <w:contextualSpacing/>
        <w:jc w:val="both"/>
        <w:rPr>
          <w:rFonts w:ascii="Arial" w:hAnsi="Arial" w:cs="Arial"/>
          <w:color w:val="222222"/>
          <w:shd w:val="clear" w:color="auto" w:fill="FFFFFF"/>
        </w:rPr>
      </w:pPr>
      <w:r>
        <w:rPr>
          <w:rFonts w:ascii="Arial" w:hAnsi="Arial" w:cs="Arial"/>
          <w:color w:val="222222"/>
          <w:shd w:val="clear" w:color="auto" w:fill="FFFFFF"/>
        </w:rPr>
        <w:t>22.</w:t>
      </w:r>
      <w:r w:rsidR="00E407DD" w:rsidRPr="00450ABF">
        <w:rPr>
          <w:rFonts w:ascii="Arial" w:hAnsi="Arial" w:cs="Arial"/>
          <w:color w:val="222222"/>
          <w:shd w:val="clear" w:color="auto" w:fill="FFFFFF"/>
        </w:rPr>
        <w:t>Yang, F., Dawes, P., Leroi, I. and Gannon, B., 2018. Measurement tools of resource use and quality of life in clinical trials for dementia or cognitive impairment interventions: A systematically conducted narrative review. </w:t>
      </w:r>
      <w:r w:rsidR="00E407DD" w:rsidRPr="00450ABF">
        <w:rPr>
          <w:rFonts w:ascii="Arial" w:hAnsi="Arial" w:cs="Arial"/>
          <w:i/>
          <w:iCs/>
          <w:color w:val="222222"/>
          <w:shd w:val="clear" w:color="auto" w:fill="FFFFFF"/>
        </w:rPr>
        <w:t>International journal of geriatric psychiatry</w:t>
      </w:r>
      <w:r w:rsidR="00E407DD" w:rsidRPr="00450ABF">
        <w:rPr>
          <w:rFonts w:ascii="Arial" w:hAnsi="Arial" w:cs="Arial"/>
          <w:color w:val="222222"/>
          <w:shd w:val="clear" w:color="auto" w:fill="FFFFFF"/>
        </w:rPr>
        <w:t>, </w:t>
      </w:r>
      <w:r w:rsidR="00E407DD" w:rsidRPr="00450ABF">
        <w:rPr>
          <w:rFonts w:ascii="Arial" w:hAnsi="Arial" w:cs="Arial"/>
          <w:i/>
          <w:iCs/>
          <w:color w:val="222222"/>
          <w:shd w:val="clear" w:color="auto" w:fill="FFFFFF"/>
        </w:rPr>
        <w:t>33</w:t>
      </w:r>
      <w:r w:rsidR="00E407DD" w:rsidRPr="00450ABF">
        <w:rPr>
          <w:rFonts w:ascii="Arial" w:hAnsi="Arial" w:cs="Arial"/>
          <w:color w:val="222222"/>
          <w:shd w:val="clear" w:color="auto" w:fill="FFFFFF"/>
        </w:rPr>
        <w:t xml:space="preserve">(2), </w:t>
      </w:r>
      <w:proofErr w:type="gramStart"/>
      <w:r w:rsidR="00E407DD" w:rsidRPr="00450ABF">
        <w:rPr>
          <w:rFonts w:ascii="Arial" w:hAnsi="Arial" w:cs="Arial"/>
          <w:color w:val="222222"/>
          <w:shd w:val="clear" w:color="auto" w:fill="FFFFFF"/>
        </w:rPr>
        <w:t>pp.e</w:t>
      </w:r>
      <w:proofErr w:type="gramEnd"/>
      <w:r w:rsidR="00E407DD" w:rsidRPr="00450ABF">
        <w:rPr>
          <w:rFonts w:ascii="Arial" w:hAnsi="Arial" w:cs="Arial"/>
          <w:color w:val="222222"/>
          <w:shd w:val="clear" w:color="auto" w:fill="FFFFFF"/>
        </w:rPr>
        <w:t xml:space="preserve">166-e176. </w:t>
      </w:r>
    </w:p>
    <w:sectPr w:rsidR="00603645" w:rsidRPr="00450ABF" w:rsidSect="00685A46">
      <w:headerReference w:type="defaul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8BF19" w14:textId="77777777" w:rsidR="00692839" w:rsidRDefault="00692839" w:rsidP="00134A29">
      <w:pPr>
        <w:spacing w:after="0" w:line="240" w:lineRule="auto"/>
      </w:pPr>
      <w:r>
        <w:separator/>
      </w:r>
    </w:p>
  </w:endnote>
  <w:endnote w:type="continuationSeparator" w:id="0">
    <w:p w14:paraId="6164245A" w14:textId="77777777" w:rsidR="00692839" w:rsidRDefault="00692839" w:rsidP="00134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23011" w14:textId="77777777" w:rsidR="00692839" w:rsidRDefault="00692839" w:rsidP="00134A29">
      <w:pPr>
        <w:spacing w:after="0" w:line="240" w:lineRule="auto"/>
      </w:pPr>
      <w:r>
        <w:separator/>
      </w:r>
    </w:p>
  </w:footnote>
  <w:footnote w:type="continuationSeparator" w:id="0">
    <w:p w14:paraId="46658449" w14:textId="77777777" w:rsidR="00692839" w:rsidRDefault="00692839" w:rsidP="00134A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0140165"/>
      <w:docPartObj>
        <w:docPartGallery w:val="Page Numbers (Top of Page)"/>
        <w:docPartUnique/>
      </w:docPartObj>
    </w:sdtPr>
    <w:sdtEndPr>
      <w:rPr>
        <w:noProof/>
      </w:rPr>
    </w:sdtEndPr>
    <w:sdtContent>
      <w:p w14:paraId="65835681" w14:textId="00EE362F" w:rsidR="00685A46" w:rsidRDefault="00685A4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94C3E9" w14:textId="77777777" w:rsidR="00134A29" w:rsidRDefault="00134A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4819"/>
    <w:multiLevelType w:val="multilevel"/>
    <w:tmpl w:val="4B2A1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CE1D79"/>
    <w:multiLevelType w:val="multilevel"/>
    <w:tmpl w:val="D35AD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D92E89"/>
    <w:multiLevelType w:val="multilevel"/>
    <w:tmpl w:val="183C1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D80BD9"/>
    <w:multiLevelType w:val="multilevel"/>
    <w:tmpl w:val="8248A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876C49"/>
    <w:multiLevelType w:val="multilevel"/>
    <w:tmpl w:val="1610E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6545122">
    <w:abstractNumId w:val="1"/>
  </w:num>
  <w:num w:numId="2" w16cid:durableId="682703661">
    <w:abstractNumId w:val="4"/>
  </w:num>
  <w:num w:numId="3" w16cid:durableId="1368487901">
    <w:abstractNumId w:val="3"/>
  </w:num>
  <w:num w:numId="4" w16cid:durableId="229849870">
    <w:abstractNumId w:val="0"/>
  </w:num>
  <w:num w:numId="5" w16cid:durableId="769543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yNjK0NDUzNzC3NDFS0lEKTi0uzszPAykwrAUAiWTFLywAAAA="/>
  </w:docVars>
  <w:rsids>
    <w:rsidRoot w:val="00F34517"/>
    <w:rsid w:val="00006CD3"/>
    <w:rsid w:val="00030B1A"/>
    <w:rsid w:val="00031012"/>
    <w:rsid w:val="00035464"/>
    <w:rsid w:val="0004348A"/>
    <w:rsid w:val="000776CD"/>
    <w:rsid w:val="000B5B58"/>
    <w:rsid w:val="000D008B"/>
    <w:rsid w:val="000E639A"/>
    <w:rsid w:val="00112FB5"/>
    <w:rsid w:val="00134A29"/>
    <w:rsid w:val="00143F8F"/>
    <w:rsid w:val="001B2512"/>
    <w:rsid w:val="001D1619"/>
    <w:rsid w:val="001E1468"/>
    <w:rsid w:val="002054E5"/>
    <w:rsid w:val="00213E7B"/>
    <w:rsid w:val="002679D3"/>
    <w:rsid w:val="00267C18"/>
    <w:rsid w:val="00283DA6"/>
    <w:rsid w:val="002A111A"/>
    <w:rsid w:val="002A6A34"/>
    <w:rsid w:val="002E11E4"/>
    <w:rsid w:val="00322554"/>
    <w:rsid w:val="00323226"/>
    <w:rsid w:val="003261FB"/>
    <w:rsid w:val="0032672B"/>
    <w:rsid w:val="00336CBA"/>
    <w:rsid w:val="00347DE4"/>
    <w:rsid w:val="0035731C"/>
    <w:rsid w:val="00385B89"/>
    <w:rsid w:val="003D2E2C"/>
    <w:rsid w:val="003E4A83"/>
    <w:rsid w:val="00440298"/>
    <w:rsid w:val="0044439A"/>
    <w:rsid w:val="00450ABF"/>
    <w:rsid w:val="00456A7F"/>
    <w:rsid w:val="004814E9"/>
    <w:rsid w:val="004A7445"/>
    <w:rsid w:val="004D7582"/>
    <w:rsid w:val="00526316"/>
    <w:rsid w:val="005335A1"/>
    <w:rsid w:val="005C3EAF"/>
    <w:rsid w:val="005C44F9"/>
    <w:rsid w:val="005C6521"/>
    <w:rsid w:val="005F3B3E"/>
    <w:rsid w:val="005F66B9"/>
    <w:rsid w:val="00603645"/>
    <w:rsid w:val="00685A46"/>
    <w:rsid w:val="00692839"/>
    <w:rsid w:val="006D2E85"/>
    <w:rsid w:val="00700A67"/>
    <w:rsid w:val="00704047"/>
    <w:rsid w:val="00717870"/>
    <w:rsid w:val="00730269"/>
    <w:rsid w:val="00745D03"/>
    <w:rsid w:val="00767BB5"/>
    <w:rsid w:val="00792C31"/>
    <w:rsid w:val="007B30B6"/>
    <w:rsid w:val="007D46D0"/>
    <w:rsid w:val="00800088"/>
    <w:rsid w:val="008075F2"/>
    <w:rsid w:val="0087078C"/>
    <w:rsid w:val="00892961"/>
    <w:rsid w:val="008D4F48"/>
    <w:rsid w:val="00912F7E"/>
    <w:rsid w:val="009B5526"/>
    <w:rsid w:val="009E1248"/>
    <w:rsid w:val="009E61F2"/>
    <w:rsid w:val="00A02497"/>
    <w:rsid w:val="00A03F78"/>
    <w:rsid w:val="00A25F45"/>
    <w:rsid w:val="00A84B60"/>
    <w:rsid w:val="00AB28B5"/>
    <w:rsid w:val="00B11D52"/>
    <w:rsid w:val="00B20CA5"/>
    <w:rsid w:val="00B4646D"/>
    <w:rsid w:val="00B570EF"/>
    <w:rsid w:val="00B57BFD"/>
    <w:rsid w:val="00B60BAF"/>
    <w:rsid w:val="00B61A9D"/>
    <w:rsid w:val="00B90041"/>
    <w:rsid w:val="00BA4508"/>
    <w:rsid w:val="00BD0C3F"/>
    <w:rsid w:val="00C635CC"/>
    <w:rsid w:val="00C65127"/>
    <w:rsid w:val="00C728B4"/>
    <w:rsid w:val="00C74928"/>
    <w:rsid w:val="00CB1C98"/>
    <w:rsid w:val="00CD04BB"/>
    <w:rsid w:val="00D22D48"/>
    <w:rsid w:val="00D35189"/>
    <w:rsid w:val="00D35F03"/>
    <w:rsid w:val="00D9361E"/>
    <w:rsid w:val="00DD51B7"/>
    <w:rsid w:val="00DF46D3"/>
    <w:rsid w:val="00E00C14"/>
    <w:rsid w:val="00E11770"/>
    <w:rsid w:val="00E30194"/>
    <w:rsid w:val="00E407DD"/>
    <w:rsid w:val="00E43B5B"/>
    <w:rsid w:val="00E50E1F"/>
    <w:rsid w:val="00E813E9"/>
    <w:rsid w:val="00E86E2E"/>
    <w:rsid w:val="00E901AF"/>
    <w:rsid w:val="00EA05D5"/>
    <w:rsid w:val="00EC2A00"/>
    <w:rsid w:val="00EC6991"/>
    <w:rsid w:val="00EC69A6"/>
    <w:rsid w:val="00EF412E"/>
    <w:rsid w:val="00F0294F"/>
    <w:rsid w:val="00F34517"/>
    <w:rsid w:val="00F937D3"/>
    <w:rsid w:val="00F95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6502A"/>
  <w15:chartTrackingRefBased/>
  <w15:docId w15:val="{485ACFC7-7138-4026-BE32-130DC8759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78C"/>
    <w:pPr>
      <w:keepNext/>
      <w:keepLines/>
      <w:spacing w:before="240" w:after="0"/>
      <w:jc w:val="center"/>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87078C"/>
    <w:pPr>
      <w:keepNext/>
      <w:keepLines/>
      <w:spacing w:before="40" w:after="0"/>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78C"/>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87078C"/>
    <w:rPr>
      <w:rFonts w:ascii="Arial" w:eastAsiaTheme="majorEastAsia" w:hAnsi="Arial" w:cstheme="majorBidi"/>
      <w:b/>
      <w:color w:val="000000" w:themeColor="text1"/>
      <w:sz w:val="26"/>
      <w:szCs w:val="26"/>
    </w:rPr>
  </w:style>
  <w:style w:type="paragraph" w:styleId="Header">
    <w:name w:val="header"/>
    <w:basedOn w:val="Normal"/>
    <w:link w:val="HeaderChar"/>
    <w:uiPriority w:val="99"/>
    <w:unhideWhenUsed/>
    <w:rsid w:val="00134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4A29"/>
  </w:style>
  <w:style w:type="paragraph" w:styleId="Footer">
    <w:name w:val="footer"/>
    <w:basedOn w:val="Normal"/>
    <w:link w:val="FooterChar"/>
    <w:uiPriority w:val="99"/>
    <w:unhideWhenUsed/>
    <w:rsid w:val="00134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4A29"/>
  </w:style>
  <w:style w:type="paragraph" w:styleId="TOCHeading">
    <w:name w:val="TOC Heading"/>
    <w:basedOn w:val="Heading1"/>
    <w:next w:val="Normal"/>
    <w:uiPriority w:val="39"/>
    <w:unhideWhenUsed/>
    <w:qFormat/>
    <w:rsid w:val="00456A7F"/>
    <w:pPr>
      <w:outlineLvl w:val="9"/>
    </w:pPr>
  </w:style>
  <w:style w:type="paragraph" w:styleId="TOC2">
    <w:name w:val="toc 2"/>
    <w:basedOn w:val="Normal"/>
    <w:next w:val="Normal"/>
    <w:autoRedefine/>
    <w:uiPriority w:val="39"/>
    <w:unhideWhenUsed/>
    <w:rsid w:val="00456A7F"/>
    <w:pPr>
      <w:spacing w:after="100"/>
      <w:ind w:left="220"/>
    </w:pPr>
  </w:style>
  <w:style w:type="paragraph" w:styleId="TOC1">
    <w:name w:val="toc 1"/>
    <w:basedOn w:val="Normal"/>
    <w:next w:val="Normal"/>
    <w:autoRedefine/>
    <w:uiPriority w:val="39"/>
    <w:unhideWhenUsed/>
    <w:rsid w:val="00456A7F"/>
    <w:pPr>
      <w:spacing w:after="100"/>
    </w:pPr>
  </w:style>
  <w:style w:type="character" w:styleId="Hyperlink">
    <w:name w:val="Hyperlink"/>
    <w:basedOn w:val="DefaultParagraphFont"/>
    <w:uiPriority w:val="99"/>
    <w:unhideWhenUsed/>
    <w:rsid w:val="00456A7F"/>
    <w:rPr>
      <w:color w:val="0563C1" w:themeColor="hyperlink"/>
      <w:u w:val="single"/>
    </w:rPr>
  </w:style>
  <w:style w:type="paragraph" w:styleId="ListParagraph">
    <w:name w:val="List Paragraph"/>
    <w:basedOn w:val="Normal"/>
    <w:uiPriority w:val="34"/>
    <w:qFormat/>
    <w:rsid w:val="00D9361E"/>
    <w:pPr>
      <w:ind w:left="720"/>
      <w:contextualSpacing/>
    </w:pPr>
  </w:style>
  <w:style w:type="character" w:styleId="UnresolvedMention">
    <w:name w:val="Unresolved Mention"/>
    <w:basedOn w:val="DefaultParagraphFont"/>
    <w:uiPriority w:val="99"/>
    <w:semiHidden/>
    <w:unhideWhenUsed/>
    <w:rsid w:val="00B11D52"/>
    <w:rPr>
      <w:color w:val="605E5C"/>
      <w:shd w:val="clear" w:color="auto" w:fill="E1DFDD"/>
    </w:rPr>
  </w:style>
  <w:style w:type="paragraph" w:styleId="NormalWeb">
    <w:name w:val="Normal (Web)"/>
    <w:basedOn w:val="Normal"/>
    <w:uiPriority w:val="99"/>
    <w:semiHidden/>
    <w:unhideWhenUsed/>
    <w:rsid w:val="00B11D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bibliographic-informationvalue">
    <w:name w:val="c-bibliographic-information__value"/>
    <w:basedOn w:val="DefaultParagraphFont"/>
    <w:rsid w:val="00B11D52"/>
  </w:style>
  <w:style w:type="paragraph" w:styleId="NoSpacing">
    <w:name w:val="No Spacing"/>
    <w:link w:val="NoSpacingChar"/>
    <w:uiPriority w:val="1"/>
    <w:qFormat/>
    <w:rsid w:val="00685A46"/>
    <w:pPr>
      <w:spacing w:after="0" w:line="240" w:lineRule="auto"/>
    </w:pPr>
    <w:rPr>
      <w:rFonts w:eastAsiaTheme="minorEastAsia"/>
    </w:rPr>
  </w:style>
  <w:style w:type="character" w:customStyle="1" w:styleId="NoSpacingChar">
    <w:name w:val="No Spacing Char"/>
    <w:basedOn w:val="DefaultParagraphFont"/>
    <w:link w:val="NoSpacing"/>
    <w:uiPriority w:val="1"/>
    <w:rsid w:val="00685A4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80234">
      <w:bodyDiv w:val="1"/>
      <w:marLeft w:val="0"/>
      <w:marRight w:val="0"/>
      <w:marTop w:val="0"/>
      <w:marBottom w:val="0"/>
      <w:divBdr>
        <w:top w:val="none" w:sz="0" w:space="0" w:color="auto"/>
        <w:left w:val="none" w:sz="0" w:space="0" w:color="auto"/>
        <w:bottom w:val="none" w:sz="0" w:space="0" w:color="auto"/>
        <w:right w:val="none" w:sz="0" w:space="0" w:color="auto"/>
      </w:divBdr>
    </w:div>
    <w:div w:id="286081771">
      <w:bodyDiv w:val="1"/>
      <w:marLeft w:val="0"/>
      <w:marRight w:val="0"/>
      <w:marTop w:val="0"/>
      <w:marBottom w:val="0"/>
      <w:divBdr>
        <w:top w:val="none" w:sz="0" w:space="0" w:color="auto"/>
        <w:left w:val="none" w:sz="0" w:space="0" w:color="auto"/>
        <w:bottom w:val="none" w:sz="0" w:space="0" w:color="auto"/>
        <w:right w:val="none" w:sz="0" w:space="0" w:color="auto"/>
      </w:divBdr>
    </w:div>
    <w:div w:id="519392399">
      <w:bodyDiv w:val="1"/>
      <w:marLeft w:val="0"/>
      <w:marRight w:val="0"/>
      <w:marTop w:val="0"/>
      <w:marBottom w:val="0"/>
      <w:divBdr>
        <w:top w:val="none" w:sz="0" w:space="0" w:color="auto"/>
        <w:left w:val="none" w:sz="0" w:space="0" w:color="auto"/>
        <w:bottom w:val="none" w:sz="0" w:space="0" w:color="auto"/>
        <w:right w:val="none" w:sz="0" w:space="0" w:color="auto"/>
      </w:divBdr>
    </w:div>
    <w:div w:id="600650726">
      <w:bodyDiv w:val="1"/>
      <w:marLeft w:val="0"/>
      <w:marRight w:val="0"/>
      <w:marTop w:val="0"/>
      <w:marBottom w:val="0"/>
      <w:divBdr>
        <w:top w:val="none" w:sz="0" w:space="0" w:color="auto"/>
        <w:left w:val="none" w:sz="0" w:space="0" w:color="auto"/>
        <w:bottom w:val="none" w:sz="0" w:space="0" w:color="auto"/>
        <w:right w:val="none" w:sz="0" w:space="0" w:color="auto"/>
      </w:divBdr>
    </w:div>
    <w:div w:id="616988531">
      <w:bodyDiv w:val="1"/>
      <w:marLeft w:val="0"/>
      <w:marRight w:val="0"/>
      <w:marTop w:val="0"/>
      <w:marBottom w:val="0"/>
      <w:divBdr>
        <w:top w:val="none" w:sz="0" w:space="0" w:color="auto"/>
        <w:left w:val="none" w:sz="0" w:space="0" w:color="auto"/>
        <w:bottom w:val="none" w:sz="0" w:space="0" w:color="auto"/>
        <w:right w:val="none" w:sz="0" w:space="0" w:color="auto"/>
      </w:divBdr>
    </w:div>
    <w:div w:id="1208419944">
      <w:bodyDiv w:val="1"/>
      <w:marLeft w:val="0"/>
      <w:marRight w:val="0"/>
      <w:marTop w:val="0"/>
      <w:marBottom w:val="0"/>
      <w:divBdr>
        <w:top w:val="none" w:sz="0" w:space="0" w:color="auto"/>
        <w:left w:val="none" w:sz="0" w:space="0" w:color="auto"/>
        <w:bottom w:val="none" w:sz="0" w:space="0" w:color="auto"/>
        <w:right w:val="none" w:sz="0" w:space="0" w:color="auto"/>
      </w:divBdr>
    </w:div>
    <w:div w:id="1236210748">
      <w:bodyDiv w:val="1"/>
      <w:marLeft w:val="0"/>
      <w:marRight w:val="0"/>
      <w:marTop w:val="0"/>
      <w:marBottom w:val="0"/>
      <w:divBdr>
        <w:top w:val="none" w:sz="0" w:space="0" w:color="auto"/>
        <w:left w:val="none" w:sz="0" w:space="0" w:color="auto"/>
        <w:bottom w:val="none" w:sz="0" w:space="0" w:color="auto"/>
        <w:right w:val="none" w:sz="0" w:space="0" w:color="auto"/>
      </w:divBdr>
    </w:div>
    <w:div w:id="1270240068">
      <w:bodyDiv w:val="1"/>
      <w:marLeft w:val="0"/>
      <w:marRight w:val="0"/>
      <w:marTop w:val="0"/>
      <w:marBottom w:val="0"/>
      <w:divBdr>
        <w:top w:val="none" w:sz="0" w:space="0" w:color="auto"/>
        <w:left w:val="none" w:sz="0" w:space="0" w:color="auto"/>
        <w:bottom w:val="none" w:sz="0" w:space="0" w:color="auto"/>
        <w:right w:val="none" w:sz="0" w:space="0" w:color="auto"/>
      </w:divBdr>
    </w:div>
    <w:div w:id="1422292030">
      <w:bodyDiv w:val="1"/>
      <w:marLeft w:val="0"/>
      <w:marRight w:val="0"/>
      <w:marTop w:val="0"/>
      <w:marBottom w:val="0"/>
      <w:divBdr>
        <w:top w:val="none" w:sz="0" w:space="0" w:color="auto"/>
        <w:left w:val="none" w:sz="0" w:space="0" w:color="auto"/>
        <w:bottom w:val="none" w:sz="0" w:space="0" w:color="auto"/>
        <w:right w:val="none" w:sz="0" w:space="0" w:color="auto"/>
      </w:divBdr>
    </w:div>
    <w:div w:id="1730110272">
      <w:bodyDiv w:val="1"/>
      <w:marLeft w:val="0"/>
      <w:marRight w:val="0"/>
      <w:marTop w:val="0"/>
      <w:marBottom w:val="0"/>
      <w:divBdr>
        <w:top w:val="none" w:sz="0" w:space="0" w:color="auto"/>
        <w:left w:val="none" w:sz="0" w:space="0" w:color="auto"/>
        <w:bottom w:val="none" w:sz="0" w:space="0" w:color="auto"/>
        <w:right w:val="none" w:sz="0" w:space="0" w:color="auto"/>
      </w:divBdr>
    </w:div>
    <w:div w:id="183071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93/geront/gnx122" TargetMode="External"/><Relationship Id="rId18" Type="http://schemas.openxmlformats.org/officeDocument/2006/relationships/hyperlink" Target="http://doi.org/10.1212/CON.0000000000001137"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doi.org/10.1016/j.ypmed.2021.106522" TargetMode="External"/><Relationship Id="rId7" Type="http://schemas.openxmlformats.org/officeDocument/2006/relationships/endnotes" Target="endnotes.xml"/><Relationship Id="rId12" Type="http://schemas.openxmlformats.org/officeDocument/2006/relationships/hyperlink" Target="https://doi.org/10.1016/j.csl.2020.101113" TargetMode="External"/><Relationship Id="rId17" Type="http://schemas.openxmlformats.org/officeDocument/2006/relationships/hyperlink" Target="https://doi.org/10.1186/s12960-021-00568-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390/ijerph18083923" TargetMode="External"/><Relationship Id="rId20" Type="http://schemas.openxmlformats.org/officeDocument/2006/relationships/hyperlink" Target="https://doi.org/10.1186/s12877-015-010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471301213519895"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16/j.mam.2015.06.001" TargetMode="External"/><Relationship Id="rId23" Type="http://schemas.openxmlformats.org/officeDocument/2006/relationships/hyperlink" Target="https://icd.who.int/browse11/l-m/en" TargetMode="External"/><Relationship Id="rId10" Type="http://schemas.openxmlformats.org/officeDocument/2006/relationships/hyperlink" Target="https://doi.org/10.3928/0098-9134-20000201-07" TargetMode="External"/><Relationship Id="rId19" Type="http://schemas.openxmlformats.org/officeDocument/2006/relationships/hyperlink" Target="https://doi.org/10.1007/s12553-020-00426-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371/journal.pone.0194655" TargetMode="External"/><Relationship Id="rId22" Type="http://schemas.openxmlformats.org/officeDocument/2006/relationships/hyperlink" Target="https://doi.org/10.1159/000525615"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DDDF047ABA74DA686BD4F0CFC15A5C9"/>
        <w:category>
          <w:name w:val="General"/>
          <w:gallery w:val="placeholder"/>
        </w:category>
        <w:types>
          <w:type w:val="bbPlcHdr"/>
        </w:types>
        <w:behaviors>
          <w:behavior w:val="content"/>
        </w:behaviors>
        <w:guid w:val="{B5352394-AB8A-4D6D-A718-2D608D5EEFC0}"/>
      </w:docPartPr>
      <w:docPartBody>
        <w:p w:rsidR="00E317D2" w:rsidRDefault="00776396" w:rsidP="00776396">
          <w:pPr>
            <w:pStyle w:val="BDDDF047ABA74DA686BD4F0CFC15A5C9"/>
          </w:pPr>
          <w:r>
            <w:rPr>
              <w:rFonts w:asciiTheme="majorHAnsi" w:eastAsiaTheme="majorEastAsia" w:hAnsiTheme="majorHAnsi" w:cstheme="majorBidi"/>
              <w:caps/>
              <w:color w:val="4472C4" w:themeColor="accent1"/>
              <w:sz w:val="80"/>
              <w:szCs w:val="80"/>
            </w:rPr>
            <w:t>[Document title]</w:t>
          </w:r>
        </w:p>
      </w:docPartBody>
    </w:docPart>
    <w:docPart>
      <w:docPartPr>
        <w:name w:val="DD22D239B6F145149430CACC9E8518F8"/>
        <w:category>
          <w:name w:val="General"/>
          <w:gallery w:val="placeholder"/>
        </w:category>
        <w:types>
          <w:type w:val="bbPlcHdr"/>
        </w:types>
        <w:behaviors>
          <w:behavior w:val="content"/>
        </w:behaviors>
        <w:guid w:val="{75C7E0B3-39E5-414F-8C7F-BCD9EA866980}"/>
      </w:docPartPr>
      <w:docPartBody>
        <w:p w:rsidR="00E317D2" w:rsidRDefault="00776396" w:rsidP="00776396">
          <w:pPr>
            <w:pStyle w:val="DD22D239B6F145149430CACC9E8518F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396"/>
    <w:rsid w:val="00776396"/>
    <w:rsid w:val="00E31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DDF047ABA74DA686BD4F0CFC15A5C9">
    <w:name w:val="BDDDF047ABA74DA686BD4F0CFC15A5C9"/>
    <w:rsid w:val="00776396"/>
  </w:style>
  <w:style w:type="paragraph" w:customStyle="1" w:styleId="DD22D239B6F145149430CACC9E8518F8">
    <w:name w:val="DD22D239B6F145149430CACC9E8518F8"/>
    <w:rsid w:val="007763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6166C-7E3E-47C5-914B-FD730FB7D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4846</Words>
  <Characters>27041</Characters>
  <Application>Microsoft Office Word</Application>
  <DocSecurity>0</DocSecurity>
  <Lines>659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report</dc:title>
  <dc:subject>STUDENT: MARGARETA ALICE OLTEANU (2017649)</dc:subject>
  <dc:creator>patrick njoroge</dc:creator>
  <cp:keywords/>
  <dc:description/>
  <cp:lastModifiedBy>Margareta Alice olteanu</cp:lastModifiedBy>
  <cp:revision>2</cp:revision>
  <dcterms:created xsi:type="dcterms:W3CDTF">2023-07-20T20:17:00Z</dcterms:created>
  <dcterms:modified xsi:type="dcterms:W3CDTF">2023-07-20T20:17:00Z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05c00032ded254ae098c8f7ce30c23870268d47d532917d30541f11839010c51</vt:lpwstr>
  </property>
</Properties>
</file>