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44522" w14:textId="77777777" w:rsidR="004113B6" w:rsidRPr="006C272C" w:rsidRDefault="004113B6" w:rsidP="004113B6">
      <w:pPr>
        <w:spacing w:after="0" w:line="240" w:lineRule="auto"/>
        <w:ind w:left="-180" w:right="-334"/>
        <w:rPr>
          <w:rFonts w:ascii="Georgia" w:eastAsia="SimSun" w:hAnsi="Georgia" w:cs="Times New Roman"/>
          <w:color w:val="000000"/>
          <w:sz w:val="21"/>
          <w:szCs w:val="21"/>
          <w:lang w:val="en-GB" w:eastAsia="zh-CN"/>
        </w:rPr>
      </w:pPr>
      <w:r w:rsidRPr="006C272C">
        <w:rPr>
          <w:rFonts w:ascii="Georgia" w:eastAsia="SimSun" w:hAnsi="Georgia" w:cs="Times New Roman"/>
          <w:noProof/>
          <w:color w:val="000000"/>
          <w:sz w:val="21"/>
          <w:szCs w:val="21"/>
          <w:lang w:val="en-GB" w:eastAsia="zh-CN"/>
        </w:rPr>
        <w:drawing>
          <wp:inline distT="0" distB="0" distL="0" distR="0" wp14:anchorId="3B8A0594" wp14:editId="3904CBB8">
            <wp:extent cx="1908810" cy="638810"/>
            <wp:effectExtent l="19050" t="19050" r="15240" b="279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810" cy="638810"/>
                    </a:xfrm>
                    <a:prstGeom prst="rect">
                      <a:avLst/>
                    </a:prstGeom>
                    <a:noFill/>
                    <a:ln w="19050" cmpd="sng">
                      <a:solidFill>
                        <a:srgbClr val="000000"/>
                      </a:solidFill>
                      <a:miter lim="800000"/>
                      <a:headEnd/>
                      <a:tailEnd/>
                    </a:ln>
                    <a:effectLst/>
                  </pic:spPr>
                </pic:pic>
              </a:graphicData>
            </a:graphic>
          </wp:inline>
        </w:drawing>
      </w:r>
    </w:p>
    <w:p w14:paraId="046D1733" w14:textId="77777777" w:rsidR="004113B6" w:rsidRPr="006C272C" w:rsidRDefault="004113B6" w:rsidP="004113B6">
      <w:pPr>
        <w:spacing w:after="0" w:line="240" w:lineRule="auto"/>
        <w:ind w:left="-180" w:right="-334"/>
        <w:rPr>
          <w:rFonts w:ascii="Georgia" w:eastAsia="SimSun" w:hAnsi="Georgia" w:cs="Times New Roman"/>
          <w:color w:val="000000"/>
          <w:sz w:val="21"/>
          <w:szCs w:val="21"/>
          <w:lang w:val="en-GB" w:eastAsia="zh-CN"/>
        </w:rPr>
      </w:pPr>
    </w:p>
    <w:p w14:paraId="681FBDF1" w14:textId="77777777" w:rsidR="004113B6" w:rsidRPr="006C272C" w:rsidRDefault="004113B6" w:rsidP="004113B6">
      <w:pPr>
        <w:spacing w:after="0" w:line="240" w:lineRule="auto"/>
        <w:ind w:left="-180" w:right="-334"/>
        <w:rPr>
          <w:rFonts w:ascii="Georgia" w:eastAsia="SimSun" w:hAnsi="Georgia" w:cs="Times New Roman"/>
          <w:color w:val="000000"/>
          <w:sz w:val="21"/>
          <w:szCs w:val="21"/>
          <w:lang w:val="en-GB" w:eastAsia="zh-CN"/>
        </w:rPr>
      </w:pPr>
    </w:p>
    <w:p w14:paraId="24C6AC28" w14:textId="77777777" w:rsidR="004113B6" w:rsidRPr="006C272C" w:rsidRDefault="004113B6" w:rsidP="004113B6">
      <w:pPr>
        <w:spacing w:after="0" w:line="240" w:lineRule="auto"/>
        <w:ind w:left="-180" w:right="-334"/>
        <w:jc w:val="center"/>
        <w:rPr>
          <w:rFonts w:ascii="Arial" w:eastAsia="SimSun" w:hAnsi="Arial" w:cs="Arial"/>
          <w:b/>
          <w:color w:val="000000"/>
          <w:sz w:val="28"/>
          <w:szCs w:val="28"/>
          <w:lang w:val="cy-GB" w:eastAsia="zh-CN"/>
        </w:rPr>
      </w:pPr>
      <w:r w:rsidRPr="006C272C">
        <w:rPr>
          <w:rFonts w:ascii="Arial" w:eastAsia="SimSun" w:hAnsi="Arial" w:cs="Arial"/>
          <w:b/>
          <w:color w:val="000000"/>
          <w:sz w:val="28"/>
          <w:szCs w:val="28"/>
          <w:lang w:val="cy-GB" w:eastAsia="zh-CN"/>
        </w:rPr>
        <w:t xml:space="preserve">Postgraduate/Distance Learning </w:t>
      </w:r>
    </w:p>
    <w:p w14:paraId="74C739B1" w14:textId="77777777" w:rsidR="004113B6" w:rsidRPr="006C272C" w:rsidRDefault="004113B6" w:rsidP="004113B6">
      <w:pPr>
        <w:spacing w:after="0" w:line="240" w:lineRule="auto"/>
        <w:ind w:left="-180" w:right="-334"/>
        <w:jc w:val="center"/>
        <w:rPr>
          <w:rFonts w:ascii="Arial" w:eastAsia="SimSun" w:hAnsi="Arial" w:cs="Arial"/>
          <w:b/>
          <w:color w:val="000000"/>
          <w:sz w:val="28"/>
          <w:szCs w:val="28"/>
          <w:lang w:val="en-GB" w:eastAsia="zh-CN"/>
        </w:rPr>
      </w:pPr>
      <w:r w:rsidRPr="006C272C">
        <w:rPr>
          <w:rFonts w:ascii="Arial" w:eastAsia="SimSun" w:hAnsi="Arial" w:cs="Arial"/>
          <w:b/>
          <w:color w:val="000000"/>
          <w:sz w:val="28"/>
          <w:szCs w:val="28"/>
          <w:lang w:val="cy-GB" w:eastAsia="zh-CN"/>
        </w:rPr>
        <w:t>Assignment coversheet &amp; feedback form</w:t>
      </w:r>
    </w:p>
    <w:p w14:paraId="19FD403A" w14:textId="77777777" w:rsidR="004113B6" w:rsidRPr="006C272C" w:rsidRDefault="004113B6" w:rsidP="004113B6">
      <w:pPr>
        <w:spacing w:after="0" w:line="240" w:lineRule="auto"/>
        <w:rPr>
          <w:rFonts w:ascii="Arial" w:eastAsia="SimSun" w:hAnsi="Arial" w:cs="Arial"/>
          <w:sz w:val="28"/>
          <w:szCs w:val="28"/>
          <w:lang w:val="cy-GB" w:eastAsia="zh-CN"/>
        </w:rPr>
      </w:pPr>
    </w:p>
    <w:p w14:paraId="2395AD8A" w14:textId="77777777" w:rsidR="004113B6" w:rsidRPr="006C272C" w:rsidRDefault="004113B6" w:rsidP="004113B6">
      <w:pPr>
        <w:keepNext/>
        <w:spacing w:after="0" w:line="240" w:lineRule="auto"/>
        <w:ind w:left="720"/>
        <w:jc w:val="center"/>
        <w:outlineLvl w:val="2"/>
        <w:rPr>
          <w:rFonts w:ascii="Tahoma" w:eastAsia="SimSun" w:hAnsi="Tahoma" w:cs="Tahoma"/>
          <w:b/>
          <w:bCs/>
          <w:sz w:val="20"/>
          <w:szCs w:val="20"/>
          <w:lang w:val="cy-GB" w:eastAsia="zh-CN"/>
        </w:rPr>
      </w:pPr>
      <w:r w:rsidRPr="006C272C">
        <w:rPr>
          <w:rFonts w:ascii="Tahoma" w:eastAsia="SimSun" w:hAnsi="Tahoma" w:cs="Tahoma"/>
          <w:b/>
          <w:bCs/>
          <w:sz w:val="20"/>
          <w:szCs w:val="20"/>
          <w:lang w:val="cy-GB" w:eastAsia="zh-CN"/>
        </w:rPr>
        <w:t>THIS SHEET MUST BE THE FIRST PAGE OF THE ASSIGNMENT YOU ARE SUBMITTING  (DO NOT SEND AS A SEPARATE FILE)</w:t>
      </w:r>
    </w:p>
    <w:p w14:paraId="402F5103" w14:textId="77777777" w:rsidR="004113B6" w:rsidRPr="006C272C" w:rsidRDefault="004113B6" w:rsidP="004113B6">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4"/>
        <w:gridCol w:w="423"/>
        <w:gridCol w:w="1509"/>
        <w:gridCol w:w="284"/>
        <w:gridCol w:w="3250"/>
      </w:tblGrid>
      <w:tr w:rsidR="004113B6" w:rsidRPr="006C272C" w14:paraId="2BD06AAB" w14:textId="77777777" w:rsidTr="000C3545">
        <w:trPr>
          <w:trHeight w:val="614"/>
        </w:trPr>
        <w:tc>
          <w:tcPr>
            <w:tcW w:w="10435" w:type="dxa"/>
            <w:gridSpan w:val="5"/>
          </w:tcPr>
          <w:p w14:paraId="7243BDAC" w14:textId="77777777" w:rsidR="004113B6" w:rsidRPr="006C272C" w:rsidRDefault="004113B6" w:rsidP="000C3545">
            <w:pPr>
              <w:spacing w:after="0" w:line="240" w:lineRule="auto"/>
              <w:ind w:right="34"/>
              <w:rPr>
                <w:rFonts w:ascii="Arial" w:eastAsia="SimSun" w:hAnsi="Arial" w:cs="Arial"/>
                <w:color w:val="000000"/>
                <w:lang w:val="en-GB" w:eastAsia="zh-CN"/>
              </w:rPr>
            </w:pPr>
            <w:r w:rsidRPr="006C272C">
              <w:rPr>
                <w:rFonts w:ascii="Arial" w:eastAsia="SimSun" w:hAnsi="Arial" w:cs="Arial"/>
                <w:b/>
                <w:color w:val="000000"/>
                <w:lang w:val="en-GB" w:eastAsia="zh-CN"/>
              </w:rPr>
              <w:t>For completion by the student</w:t>
            </w:r>
            <w:r w:rsidRPr="006C272C">
              <w:rPr>
                <w:rFonts w:ascii="Arial" w:eastAsia="SimSun" w:hAnsi="Arial" w:cs="Arial"/>
                <w:color w:val="000000"/>
                <w:lang w:val="en-GB" w:eastAsia="zh-CN"/>
              </w:rPr>
              <w:t>:</w:t>
            </w:r>
          </w:p>
        </w:tc>
      </w:tr>
      <w:tr w:rsidR="004113B6" w:rsidRPr="006C272C" w14:paraId="7997EC99" w14:textId="77777777" w:rsidTr="000C3545">
        <w:trPr>
          <w:trHeight w:val="718"/>
        </w:trPr>
        <w:tc>
          <w:tcPr>
            <w:tcW w:w="10435" w:type="dxa"/>
            <w:gridSpan w:val="5"/>
          </w:tcPr>
          <w:p w14:paraId="7598ED45" w14:textId="77777777" w:rsidR="004113B6" w:rsidRPr="006C272C" w:rsidRDefault="004113B6" w:rsidP="000C3545">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Student Name:</w:t>
            </w:r>
          </w:p>
          <w:p w14:paraId="06D37764" w14:textId="77777777" w:rsidR="004113B6" w:rsidRPr="006C272C" w:rsidRDefault="004113B6" w:rsidP="000C3545">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Barbara Werther-Rosenow</w:t>
            </w:r>
          </w:p>
        </w:tc>
      </w:tr>
      <w:tr w:rsidR="004113B6" w:rsidRPr="006C272C" w14:paraId="47CBD51C" w14:textId="77777777" w:rsidTr="000C3545">
        <w:trPr>
          <w:trHeight w:val="849"/>
        </w:trPr>
        <w:tc>
          <w:tcPr>
            <w:tcW w:w="4788" w:type="dxa"/>
          </w:tcPr>
          <w:p w14:paraId="545CAF67" w14:textId="6F9A04C4" w:rsidR="004113B6" w:rsidRPr="006C272C" w:rsidRDefault="004113B6" w:rsidP="000C3545">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code:</w:t>
            </w:r>
            <w:r>
              <w:rPr>
                <w:rFonts w:ascii="Arial" w:eastAsia="SimSun" w:hAnsi="Arial" w:cs="Arial"/>
                <w:color w:val="000000"/>
                <w:lang w:val="en-GB" w:eastAsia="zh-CN"/>
              </w:rPr>
              <w:t xml:space="preserve"> </w:t>
            </w:r>
            <w:r w:rsidR="006736DA">
              <w:t>HPCA7016</w:t>
            </w:r>
          </w:p>
          <w:p w14:paraId="02C1EC25" w14:textId="77777777" w:rsidR="004113B6" w:rsidRPr="006C272C" w:rsidRDefault="004113B6" w:rsidP="000C3545">
            <w:pPr>
              <w:spacing w:after="0" w:line="240" w:lineRule="auto"/>
              <w:ind w:right="34"/>
              <w:rPr>
                <w:rFonts w:ascii="Arial" w:eastAsia="SimSun" w:hAnsi="Arial" w:cs="Arial"/>
                <w:color w:val="000000"/>
                <w:lang w:val="en-GB" w:eastAsia="zh-CN"/>
              </w:rPr>
            </w:pPr>
          </w:p>
          <w:p w14:paraId="648D063B" w14:textId="226201A1" w:rsidR="004113B6" w:rsidRPr="006C272C" w:rsidRDefault="004113B6" w:rsidP="000C3545">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title:</w:t>
            </w:r>
            <w:r>
              <w:rPr>
                <w:rFonts w:ascii="Arial" w:eastAsia="SimSun" w:hAnsi="Arial" w:cs="Arial"/>
                <w:color w:val="000000"/>
                <w:lang w:val="en-GB" w:eastAsia="zh-CN"/>
              </w:rPr>
              <w:t xml:space="preserve"> Researching contemporary </w:t>
            </w:r>
            <w:proofErr w:type="gramStart"/>
            <w:r>
              <w:rPr>
                <w:rFonts w:ascii="Arial" w:eastAsia="SimSun" w:hAnsi="Arial" w:cs="Arial"/>
                <w:color w:val="000000"/>
                <w:lang w:val="en-GB" w:eastAsia="zh-CN"/>
              </w:rPr>
              <w:t>cosmologies</w:t>
            </w:r>
            <w:proofErr w:type="gramEnd"/>
          </w:p>
          <w:p w14:paraId="1134E785" w14:textId="77777777" w:rsidR="004113B6" w:rsidRPr="006C272C" w:rsidRDefault="004113B6" w:rsidP="000C3545">
            <w:pPr>
              <w:spacing w:after="0" w:line="240" w:lineRule="auto"/>
              <w:ind w:right="34"/>
              <w:rPr>
                <w:rFonts w:ascii="Arial" w:eastAsia="SimSun" w:hAnsi="Arial" w:cs="Arial"/>
                <w:color w:val="000000"/>
                <w:lang w:val="en-GB" w:eastAsia="zh-CN"/>
              </w:rPr>
            </w:pPr>
          </w:p>
          <w:p w14:paraId="35A29AE1" w14:textId="77777777" w:rsidR="004113B6" w:rsidRPr="006C272C" w:rsidRDefault="004113B6" w:rsidP="000C3545">
            <w:pPr>
              <w:spacing w:after="0" w:line="240" w:lineRule="auto"/>
              <w:ind w:right="34"/>
              <w:rPr>
                <w:rFonts w:ascii="Arial" w:eastAsia="SimSun" w:hAnsi="Arial" w:cs="Arial"/>
                <w:color w:val="000000"/>
                <w:lang w:val="en-GB" w:eastAsia="zh-CN"/>
              </w:rPr>
            </w:pPr>
          </w:p>
        </w:tc>
        <w:tc>
          <w:tcPr>
            <w:tcW w:w="2266" w:type="dxa"/>
            <w:gridSpan w:val="3"/>
          </w:tcPr>
          <w:p w14:paraId="3A1C811B" w14:textId="77777777" w:rsidR="004113B6" w:rsidRDefault="004113B6" w:rsidP="000C3545">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Student ID number:</w:t>
            </w:r>
          </w:p>
          <w:p w14:paraId="7291BAB4" w14:textId="77777777" w:rsidR="004113B6" w:rsidRDefault="004113B6" w:rsidP="000C3545">
            <w:pPr>
              <w:spacing w:after="0" w:line="240" w:lineRule="auto"/>
              <w:ind w:right="34"/>
              <w:rPr>
                <w:rFonts w:ascii="Arial" w:eastAsia="SimSun" w:hAnsi="Arial" w:cs="Arial"/>
                <w:color w:val="000000"/>
                <w:lang w:val="en-GB" w:eastAsia="zh-CN"/>
              </w:rPr>
            </w:pPr>
          </w:p>
          <w:p w14:paraId="5BB479AF" w14:textId="77777777" w:rsidR="004113B6" w:rsidRPr="006C272C" w:rsidRDefault="004113B6" w:rsidP="000C3545">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2219165</w:t>
            </w:r>
          </w:p>
        </w:tc>
        <w:tc>
          <w:tcPr>
            <w:tcW w:w="3381" w:type="dxa"/>
          </w:tcPr>
          <w:p w14:paraId="35AD16CD" w14:textId="77777777" w:rsidR="004113B6" w:rsidRPr="006C272C" w:rsidRDefault="004113B6" w:rsidP="000C3545">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Educational support needs:</w:t>
            </w:r>
          </w:p>
          <w:p w14:paraId="4C508359" w14:textId="77777777" w:rsidR="004113B6" w:rsidRPr="006C272C" w:rsidRDefault="004113B6" w:rsidP="000C3545">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Yes/</w:t>
            </w:r>
            <w:r w:rsidRPr="006C272C">
              <w:rPr>
                <w:rFonts w:ascii="Arial" w:eastAsia="SimSun" w:hAnsi="Arial" w:cs="Arial"/>
                <w:b/>
                <w:bCs/>
                <w:color w:val="000000"/>
                <w:lang w:val="en-GB" w:eastAsia="zh-CN"/>
              </w:rPr>
              <w:t>No</w:t>
            </w:r>
          </w:p>
        </w:tc>
      </w:tr>
      <w:tr w:rsidR="004113B6" w:rsidRPr="006C272C" w14:paraId="0FC2AF3B" w14:textId="77777777" w:rsidTr="000C3545">
        <w:trPr>
          <w:trHeight w:val="1139"/>
        </w:trPr>
        <w:tc>
          <w:tcPr>
            <w:tcW w:w="10435" w:type="dxa"/>
            <w:gridSpan w:val="5"/>
          </w:tcPr>
          <w:p w14:paraId="71BB5C99" w14:textId="2DDA9AB6" w:rsidR="004113B6" w:rsidRPr="006C272C" w:rsidRDefault="004113B6" w:rsidP="000C3545">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tutor</w:t>
            </w:r>
            <w:r>
              <w:rPr>
                <w:rFonts w:ascii="Arial" w:eastAsia="SimSun" w:hAnsi="Arial" w:cs="Arial"/>
                <w:color w:val="000000"/>
                <w:lang w:val="en-GB" w:eastAsia="zh-CN"/>
              </w:rPr>
              <w:t>s</w:t>
            </w:r>
            <w:r w:rsidRPr="006C272C">
              <w:rPr>
                <w:rFonts w:ascii="Arial" w:eastAsia="SimSun" w:hAnsi="Arial" w:cs="Arial"/>
                <w:color w:val="000000"/>
                <w:lang w:val="en-GB" w:eastAsia="zh-CN"/>
              </w:rPr>
              <w:t>:</w:t>
            </w:r>
            <w:r>
              <w:rPr>
                <w:rFonts w:ascii="Arial" w:eastAsia="SimSun" w:hAnsi="Arial" w:cs="Arial"/>
                <w:color w:val="000000"/>
                <w:lang w:val="en-GB" w:eastAsia="zh-CN"/>
              </w:rPr>
              <w:t xml:space="preserve"> </w:t>
            </w:r>
            <w:proofErr w:type="spellStart"/>
            <w:r>
              <w:rPr>
                <w:rFonts w:ascii="Arial" w:eastAsia="SimSun" w:hAnsi="Arial" w:cs="Arial"/>
                <w:color w:val="000000"/>
                <w:lang w:val="en-GB" w:eastAsia="zh-CN"/>
              </w:rPr>
              <w:t>Dr.</w:t>
            </w:r>
            <w:proofErr w:type="spellEnd"/>
            <w:r>
              <w:rPr>
                <w:rFonts w:ascii="Arial" w:eastAsia="SimSun" w:hAnsi="Arial" w:cs="Arial"/>
                <w:color w:val="000000"/>
                <w:lang w:val="en-GB" w:eastAsia="zh-CN"/>
              </w:rPr>
              <w:t xml:space="preserve"> Jack Hunter, </w:t>
            </w:r>
            <w:proofErr w:type="spellStart"/>
            <w:r>
              <w:rPr>
                <w:rFonts w:ascii="Arial" w:eastAsia="SimSun" w:hAnsi="Arial" w:cs="Arial"/>
                <w:color w:val="000000"/>
                <w:lang w:val="en-GB" w:eastAsia="zh-CN"/>
              </w:rPr>
              <w:t>Dr.</w:t>
            </w:r>
            <w:proofErr w:type="spellEnd"/>
            <w:r>
              <w:rPr>
                <w:rFonts w:ascii="Arial" w:eastAsia="SimSun" w:hAnsi="Arial" w:cs="Arial"/>
                <w:color w:val="000000"/>
                <w:lang w:val="en-GB" w:eastAsia="zh-CN"/>
              </w:rPr>
              <w:t xml:space="preserve"> Dawn Collins, Wendy</w:t>
            </w:r>
            <w:r w:rsidR="006736DA">
              <w:rPr>
                <w:rFonts w:ascii="Arial" w:eastAsia="SimSun" w:hAnsi="Arial" w:cs="Arial"/>
                <w:color w:val="000000"/>
                <w:lang w:val="en-GB" w:eastAsia="zh-CN"/>
              </w:rPr>
              <w:t xml:space="preserve"> Alidina-Stacey </w:t>
            </w:r>
          </w:p>
          <w:p w14:paraId="3BDC5A16" w14:textId="77777777" w:rsidR="004113B6" w:rsidRPr="006C272C" w:rsidRDefault="004113B6" w:rsidP="000C3545">
            <w:pPr>
              <w:spacing w:after="0" w:line="240" w:lineRule="auto"/>
              <w:ind w:right="34"/>
              <w:rPr>
                <w:rFonts w:ascii="Arial" w:eastAsia="SimSun" w:hAnsi="Arial" w:cs="Arial"/>
                <w:color w:val="000000"/>
                <w:lang w:val="en-GB" w:eastAsia="zh-CN"/>
              </w:rPr>
            </w:pPr>
          </w:p>
          <w:p w14:paraId="0F78C541" w14:textId="77777777" w:rsidR="004113B6" w:rsidRPr="006C272C" w:rsidRDefault="004113B6" w:rsidP="000C3545">
            <w:pPr>
              <w:spacing w:after="0" w:line="240" w:lineRule="auto"/>
              <w:ind w:right="34"/>
              <w:rPr>
                <w:rFonts w:ascii="Arial" w:eastAsia="SimSun" w:hAnsi="Arial" w:cs="Arial"/>
                <w:color w:val="000000"/>
                <w:lang w:val="en-GB" w:eastAsia="zh-CN"/>
              </w:rPr>
            </w:pPr>
          </w:p>
          <w:p w14:paraId="2733F820" w14:textId="2ABF2906" w:rsidR="004113B6" w:rsidRPr="006C272C" w:rsidRDefault="004113B6" w:rsidP="000C3545">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Assignment due date:</w:t>
            </w:r>
            <w:r>
              <w:rPr>
                <w:rFonts w:ascii="Arial" w:eastAsia="SimSun" w:hAnsi="Arial" w:cs="Arial"/>
                <w:color w:val="000000"/>
                <w:lang w:val="en-GB" w:eastAsia="zh-CN"/>
              </w:rPr>
              <w:t xml:space="preserve"> March 15, 2024</w:t>
            </w:r>
          </w:p>
        </w:tc>
      </w:tr>
      <w:tr w:rsidR="004113B6" w:rsidRPr="006C272C" w14:paraId="7F8C05BD" w14:textId="77777777" w:rsidTr="000C3545">
        <w:trPr>
          <w:trHeight w:val="978"/>
        </w:trPr>
        <w:tc>
          <w:tcPr>
            <w:tcW w:w="10435" w:type="dxa"/>
            <w:gridSpan w:val="5"/>
            <w:tcBorders>
              <w:bottom w:val="single" w:sz="4" w:space="0" w:color="000000"/>
            </w:tcBorders>
          </w:tcPr>
          <w:p w14:paraId="3AC9287A" w14:textId="77777777" w:rsidR="004113B6" w:rsidRPr="006C272C" w:rsidRDefault="004113B6" w:rsidP="000C3545">
            <w:pPr>
              <w:spacing w:after="0" w:line="240" w:lineRule="auto"/>
              <w:rPr>
                <w:rFonts w:ascii="Arial" w:eastAsia="SimSun" w:hAnsi="Arial" w:cs="Arial"/>
                <w:lang w:val="en-GB" w:eastAsia="zh-CN"/>
              </w:rPr>
            </w:pPr>
            <w:r w:rsidRPr="006C272C">
              <w:rPr>
                <w:rFonts w:ascii="Arial" w:eastAsia="SimSun" w:hAnsi="Arial" w:cs="Arial"/>
                <w:lang w:val="en-GB" w:eastAsia="zh-CN"/>
              </w:rPr>
              <w:t>If your module has multiple submissions</w:t>
            </w:r>
            <w:r>
              <w:rPr>
                <w:rFonts w:ascii="Arial" w:eastAsia="SimSun" w:hAnsi="Arial" w:cs="Arial"/>
                <w:lang w:val="en-GB" w:eastAsia="zh-CN"/>
              </w:rPr>
              <w:t>,</w:t>
            </w:r>
            <w:r w:rsidRPr="006C272C">
              <w:rPr>
                <w:rFonts w:ascii="Arial" w:eastAsia="SimSun" w:hAnsi="Arial" w:cs="Arial"/>
                <w:lang w:val="en-GB" w:eastAsia="zh-CN"/>
              </w:rPr>
              <w:t xml:space="preserve"> please indicate which piece of work this is.</w:t>
            </w:r>
          </w:p>
          <w:p w14:paraId="52229315" w14:textId="77777777" w:rsidR="004113B6" w:rsidRPr="006C272C" w:rsidRDefault="004113B6" w:rsidP="000C3545">
            <w:pPr>
              <w:spacing w:after="0" w:line="240" w:lineRule="auto"/>
              <w:rPr>
                <w:rFonts w:ascii="Arial" w:eastAsia="SimSun" w:hAnsi="Arial" w:cs="Arial"/>
                <w:lang w:val="en-GB" w:eastAsia="zh-CN"/>
              </w:rPr>
            </w:pPr>
          </w:p>
          <w:p w14:paraId="13716067" w14:textId="77777777" w:rsidR="004113B6" w:rsidRPr="006C272C" w:rsidRDefault="004113B6" w:rsidP="000C3545">
            <w:pPr>
              <w:spacing w:after="0" w:line="240" w:lineRule="auto"/>
              <w:rPr>
                <w:rFonts w:ascii="Arial" w:eastAsia="SimSun" w:hAnsi="Arial" w:cs="Arial"/>
                <w:lang w:val="en-GB" w:eastAsia="zh-CN"/>
              </w:rPr>
            </w:pPr>
            <w:r w:rsidRPr="006C272C">
              <w:rPr>
                <w:rFonts w:ascii="Arial" w:eastAsia="SimSun" w:hAnsi="Arial" w:cs="Arial"/>
                <w:lang w:val="en-GB" w:eastAsia="zh-CN"/>
              </w:rPr>
              <w:t>1</w:t>
            </w:r>
            <w:r w:rsidRPr="006C272C">
              <w:rPr>
                <w:rFonts w:ascii="Arial" w:eastAsia="SimSun" w:hAnsi="Arial" w:cs="Arial"/>
                <w:vertAlign w:val="superscript"/>
                <w:lang w:val="en-GB" w:eastAsia="zh-CN"/>
              </w:rPr>
              <w:t xml:space="preserve">st </w:t>
            </w:r>
            <w:r w:rsidRPr="006C272C">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0"/>
            <w:r>
              <w:rPr>
                <w:rFonts w:ascii="Arial" w:eastAsia="SimSun" w:hAnsi="Arial" w:cs="Arial"/>
                <w:lang w:val="en-GB" w:eastAsia="zh-CN"/>
              </w:rPr>
              <w:t>x</w:t>
            </w:r>
            <w:r w:rsidRPr="006C272C">
              <w:rPr>
                <w:rFonts w:ascii="Arial" w:eastAsia="SimSun" w:hAnsi="Arial" w:cs="Arial"/>
                <w:lang w:val="en-GB" w:eastAsia="zh-CN"/>
              </w:rPr>
              <w:t xml:space="preserve">    2</w:t>
            </w:r>
            <w:r w:rsidRPr="006C272C">
              <w:rPr>
                <w:rFonts w:ascii="Arial" w:eastAsia="SimSun" w:hAnsi="Arial" w:cs="Arial"/>
                <w:vertAlign w:val="superscript"/>
                <w:lang w:val="en-GB" w:eastAsia="zh-CN"/>
              </w:rPr>
              <w:t>nd</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1"/>
            <w:r w:rsidRPr="006C272C">
              <w:rPr>
                <w:rFonts w:ascii="Arial" w:eastAsia="SimSun" w:hAnsi="Arial" w:cs="Arial"/>
                <w:lang w:val="en-GB" w:eastAsia="zh-CN"/>
              </w:rPr>
              <w:t xml:space="preserve">   3</w:t>
            </w:r>
            <w:r w:rsidRPr="006C272C">
              <w:rPr>
                <w:rFonts w:ascii="Arial" w:eastAsia="SimSun" w:hAnsi="Arial" w:cs="Arial"/>
                <w:vertAlign w:val="superscript"/>
                <w:lang w:val="en-GB" w:eastAsia="zh-CN"/>
              </w:rPr>
              <w:t>rd</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2"/>
            <w:r w:rsidRPr="006C272C">
              <w:rPr>
                <w:rFonts w:ascii="Arial" w:eastAsia="SimSun" w:hAnsi="Arial" w:cs="Arial"/>
                <w:lang w:val="en-GB" w:eastAsia="zh-CN"/>
              </w:rPr>
              <w:t xml:space="preserve">      4</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3"/>
            <w:r w:rsidRPr="006C272C">
              <w:rPr>
                <w:rFonts w:ascii="Arial" w:eastAsia="SimSun" w:hAnsi="Arial" w:cs="Arial"/>
                <w:lang w:val="en-GB" w:eastAsia="zh-CN"/>
              </w:rPr>
              <w:t xml:space="preserve">      5</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4"/>
            <w:r w:rsidRPr="006C272C">
              <w:rPr>
                <w:rFonts w:ascii="Arial" w:eastAsia="SimSun" w:hAnsi="Arial" w:cs="Arial"/>
                <w:lang w:val="en-GB" w:eastAsia="zh-CN"/>
              </w:rPr>
              <w:t xml:space="preserve">      6</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5"/>
          </w:p>
        </w:tc>
      </w:tr>
      <w:tr w:rsidR="004113B6" w:rsidRPr="006C272C" w14:paraId="1FEEBD75" w14:textId="77777777" w:rsidTr="000C3545">
        <w:trPr>
          <w:trHeight w:val="978"/>
        </w:trPr>
        <w:tc>
          <w:tcPr>
            <w:tcW w:w="10435" w:type="dxa"/>
            <w:gridSpan w:val="5"/>
            <w:shd w:val="clear" w:color="auto" w:fill="D9D9D9"/>
          </w:tcPr>
          <w:p w14:paraId="39C517F3" w14:textId="77777777" w:rsidR="004113B6" w:rsidRPr="006C272C" w:rsidRDefault="004113B6" w:rsidP="000C3545">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I confirm that this is my original work and that I have adhered to the University policy on plagiarism.</w:t>
            </w:r>
          </w:p>
          <w:p w14:paraId="59349B85" w14:textId="77777777" w:rsidR="004113B6" w:rsidRPr="006C272C" w:rsidRDefault="004113B6" w:rsidP="000C3545">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Signed …</w:t>
            </w:r>
            <w:r>
              <w:rPr>
                <w:rFonts w:ascii="Arial" w:eastAsia="SimSun" w:hAnsi="Arial" w:cs="Arial"/>
                <w:color w:val="000000"/>
                <w:lang w:val="en-GB" w:eastAsia="zh-CN"/>
              </w:rPr>
              <w:t>Barbara Werther-Rosenow</w:t>
            </w:r>
            <w:r w:rsidRPr="006C272C">
              <w:rPr>
                <w:rFonts w:ascii="Arial" w:eastAsia="SimSun" w:hAnsi="Arial" w:cs="Arial"/>
                <w:color w:val="000000"/>
                <w:lang w:val="en-GB" w:eastAsia="zh-CN"/>
              </w:rPr>
              <w:t>…………………………………………………………</w:t>
            </w:r>
          </w:p>
          <w:p w14:paraId="523F19C7" w14:textId="77777777" w:rsidR="004113B6" w:rsidRPr="006C272C" w:rsidRDefault="004113B6" w:rsidP="000C3545">
            <w:pPr>
              <w:spacing w:after="0" w:line="240" w:lineRule="auto"/>
              <w:ind w:right="34"/>
              <w:rPr>
                <w:rFonts w:ascii="Calibri" w:eastAsia="SimSun" w:hAnsi="Calibri" w:cs="Calibri"/>
                <w:b/>
                <w:color w:val="000000"/>
                <w:sz w:val="44"/>
                <w:szCs w:val="44"/>
                <w:lang w:val="en-GB" w:eastAsia="zh-CN"/>
              </w:rPr>
            </w:pPr>
            <w:r w:rsidRPr="006C272C">
              <w:rPr>
                <w:rFonts w:ascii="Calibri" w:eastAsia="SimSun" w:hAnsi="Calibri" w:cs="Tahoma"/>
                <w:b/>
                <w:color w:val="000000"/>
                <w:sz w:val="24"/>
                <w:szCs w:val="24"/>
                <w:lang w:val="en-GB" w:eastAsia="zh-CN"/>
              </w:rPr>
              <w:t xml:space="preserve">Email submission: if you are submitting this form via email, please tick this box </w:t>
            </w:r>
            <w:r>
              <w:rPr>
                <w:rFonts w:ascii="Calibri" w:eastAsia="SimSun" w:hAnsi="Calibri" w:cs="Tahoma"/>
                <w:b/>
                <w:color w:val="000000"/>
                <w:sz w:val="24"/>
                <w:szCs w:val="24"/>
                <w:lang w:val="en-GB" w:eastAsia="zh-CN"/>
              </w:rPr>
              <w:t>X</w:t>
            </w:r>
            <w:r w:rsidRPr="006C272C">
              <w:rPr>
                <w:rFonts w:ascii="Calibri" w:eastAsia="SimSun" w:hAnsi="Calibri" w:cs="Calibri"/>
                <w:b/>
                <w:color w:val="000000"/>
                <w:sz w:val="44"/>
                <w:szCs w:val="44"/>
                <w:lang w:val="en-GB" w:eastAsia="zh-CN"/>
              </w:rPr>
              <w:t>□</w:t>
            </w:r>
          </w:p>
          <w:p w14:paraId="59CCC6AD" w14:textId="77777777" w:rsidR="004113B6" w:rsidRPr="006C272C" w:rsidRDefault="004113B6" w:rsidP="000C3545">
            <w:pPr>
              <w:spacing w:after="0" w:line="240" w:lineRule="auto"/>
              <w:ind w:right="34"/>
              <w:rPr>
                <w:rFonts w:ascii="Arial" w:eastAsia="SimSun" w:hAnsi="Arial" w:cs="Arial"/>
                <w:color w:val="000000"/>
                <w:lang w:val="en-GB" w:eastAsia="zh-CN"/>
              </w:rPr>
            </w:pPr>
            <w:r w:rsidRPr="006C272C">
              <w:rPr>
                <w:rFonts w:ascii="Calibri" w:eastAsia="SimSun" w:hAnsi="Calibri" w:cs="Tahoma"/>
                <w:b/>
                <w:color w:val="000000"/>
                <w:sz w:val="24"/>
                <w:szCs w:val="24"/>
                <w:lang w:val="en-GB" w:eastAsia="zh-CN"/>
              </w:rPr>
              <w:t>(as a substitute for your signature) to confirm that you agree to the above declaration.</w:t>
            </w:r>
          </w:p>
        </w:tc>
      </w:tr>
      <w:tr w:rsidR="004113B6" w:rsidRPr="006C272C" w14:paraId="0112CB8B" w14:textId="77777777" w:rsidTr="000C3545">
        <w:trPr>
          <w:trHeight w:val="3972"/>
        </w:trPr>
        <w:tc>
          <w:tcPr>
            <w:tcW w:w="10435" w:type="dxa"/>
            <w:gridSpan w:val="5"/>
          </w:tcPr>
          <w:p w14:paraId="24E6E67B" w14:textId="77777777" w:rsidR="004113B6" w:rsidRPr="006C272C" w:rsidRDefault="004113B6" w:rsidP="000C3545">
            <w:pPr>
              <w:spacing w:after="0" w:line="240" w:lineRule="auto"/>
              <w:rPr>
                <w:rFonts w:ascii="Arial" w:eastAsia="SimSun" w:hAnsi="Arial" w:cs="Times New Roman"/>
                <w:b/>
                <w:sz w:val="24"/>
                <w:szCs w:val="24"/>
                <w:lang w:val="en-GB" w:eastAsia="zh-CN"/>
              </w:rPr>
            </w:pPr>
          </w:p>
          <w:p w14:paraId="4924C045" w14:textId="77777777" w:rsidR="004113B6" w:rsidRPr="006C272C" w:rsidRDefault="004113B6" w:rsidP="000C3545">
            <w:pPr>
              <w:spacing w:after="0" w:line="240" w:lineRule="auto"/>
              <w:rPr>
                <w:rFonts w:ascii="Arial" w:eastAsia="SimSun" w:hAnsi="Arial" w:cs="Times New Roman"/>
                <w:sz w:val="24"/>
                <w:szCs w:val="24"/>
                <w:lang w:val="en-GB" w:eastAsia="zh-CN"/>
              </w:rPr>
            </w:pPr>
            <w:r w:rsidRPr="006C272C">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2457"/>
            </w:tblGrid>
            <w:tr w:rsidR="004113B6" w:rsidRPr="006C272C" w14:paraId="1CDD7F82" w14:textId="77777777" w:rsidTr="000C3545">
              <w:tc>
                <w:tcPr>
                  <w:tcW w:w="6970" w:type="dxa"/>
                </w:tcPr>
                <w:p w14:paraId="21F0EAC3" w14:textId="77777777" w:rsidR="004113B6" w:rsidRPr="006C272C" w:rsidRDefault="004113B6" w:rsidP="000C3545">
                  <w:pPr>
                    <w:spacing w:after="0" w:line="240" w:lineRule="auto"/>
                    <w:rPr>
                      <w:rFonts w:ascii="Arial" w:eastAsia="SimSun" w:hAnsi="Arial" w:cs="Times New Roman"/>
                      <w:sz w:val="20"/>
                      <w:szCs w:val="20"/>
                      <w:lang w:val="en-GB" w:eastAsia="zh-CN"/>
                    </w:rPr>
                  </w:pPr>
                </w:p>
                <w:p w14:paraId="326B108F" w14:textId="77777777" w:rsidR="004113B6" w:rsidRPr="006C272C" w:rsidRDefault="004113B6" w:rsidP="000C3545">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1</w:t>
                  </w:r>
                  <w:r w:rsidRPr="006C272C">
                    <w:rPr>
                      <w:rFonts w:ascii="Arial" w:eastAsia="SimSun" w:hAnsi="Arial" w:cs="Times New Roman"/>
                      <w:sz w:val="20"/>
                      <w:szCs w:val="20"/>
                      <w:vertAlign w:val="superscript"/>
                      <w:lang w:val="en-GB" w:eastAsia="zh-CN"/>
                    </w:rPr>
                    <w:t>st</w:t>
                  </w:r>
                  <w:r w:rsidRPr="006C272C">
                    <w:rPr>
                      <w:rFonts w:ascii="Arial" w:eastAsia="SimSun" w:hAnsi="Arial" w:cs="Times New Roman"/>
                      <w:sz w:val="20"/>
                      <w:szCs w:val="20"/>
                      <w:lang w:val="en-GB" w:eastAsia="zh-CN"/>
                    </w:rPr>
                    <w:t xml:space="preserve"> Marker’s Provisional mark</w:t>
                  </w:r>
                </w:p>
              </w:tc>
              <w:tc>
                <w:tcPr>
                  <w:tcW w:w="2457" w:type="dxa"/>
                </w:tcPr>
                <w:p w14:paraId="50670FFF" w14:textId="77777777" w:rsidR="004113B6" w:rsidRPr="006C272C" w:rsidRDefault="004113B6" w:rsidP="000C3545">
                  <w:pPr>
                    <w:spacing w:after="0" w:line="240" w:lineRule="auto"/>
                    <w:rPr>
                      <w:rFonts w:ascii="Arial" w:eastAsia="SimSun" w:hAnsi="Arial" w:cs="Times New Roman"/>
                      <w:sz w:val="20"/>
                      <w:szCs w:val="20"/>
                      <w:lang w:val="en-GB" w:eastAsia="zh-CN"/>
                    </w:rPr>
                  </w:pPr>
                </w:p>
              </w:tc>
            </w:tr>
            <w:tr w:rsidR="004113B6" w:rsidRPr="006C272C" w14:paraId="0E0624BF" w14:textId="77777777" w:rsidTr="000C3545">
              <w:tc>
                <w:tcPr>
                  <w:tcW w:w="6970" w:type="dxa"/>
                </w:tcPr>
                <w:p w14:paraId="787157D8" w14:textId="77777777" w:rsidR="004113B6" w:rsidRPr="006C272C" w:rsidRDefault="004113B6" w:rsidP="000C3545">
                  <w:pPr>
                    <w:spacing w:after="0" w:line="240" w:lineRule="auto"/>
                    <w:rPr>
                      <w:rFonts w:ascii="Arial" w:eastAsia="SimSun" w:hAnsi="Arial" w:cs="Times New Roman"/>
                      <w:sz w:val="20"/>
                      <w:szCs w:val="20"/>
                      <w:lang w:val="en-GB" w:eastAsia="zh-CN"/>
                    </w:rPr>
                  </w:pPr>
                </w:p>
                <w:p w14:paraId="2F43ED76" w14:textId="77777777" w:rsidR="004113B6" w:rsidRPr="006C272C" w:rsidRDefault="004113B6" w:rsidP="000C3545">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2</w:t>
                  </w:r>
                  <w:r w:rsidRPr="006C272C">
                    <w:rPr>
                      <w:rFonts w:ascii="Arial" w:eastAsia="SimSun" w:hAnsi="Arial" w:cs="Times New Roman"/>
                      <w:sz w:val="20"/>
                      <w:szCs w:val="20"/>
                      <w:vertAlign w:val="superscript"/>
                      <w:lang w:val="en-GB" w:eastAsia="zh-CN"/>
                    </w:rPr>
                    <w:t>nd</w:t>
                  </w:r>
                  <w:r w:rsidRPr="006C272C">
                    <w:rPr>
                      <w:rFonts w:ascii="Arial" w:eastAsia="SimSun" w:hAnsi="Arial" w:cs="Times New Roman"/>
                      <w:sz w:val="20"/>
                      <w:szCs w:val="20"/>
                      <w:lang w:val="en-GB" w:eastAsia="zh-CN"/>
                    </w:rPr>
                    <w:t xml:space="preserve"> Marker’s/Moderator’s provisional mark</w:t>
                  </w:r>
                </w:p>
              </w:tc>
              <w:tc>
                <w:tcPr>
                  <w:tcW w:w="2457" w:type="dxa"/>
                </w:tcPr>
                <w:p w14:paraId="5BF9823C" w14:textId="77777777" w:rsidR="004113B6" w:rsidRPr="006C272C" w:rsidRDefault="004113B6" w:rsidP="000C3545">
                  <w:pPr>
                    <w:spacing w:after="0" w:line="240" w:lineRule="auto"/>
                    <w:rPr>
                      <w:rFonts w:ascii="Arial" w:eastAsia="SimSun" w:hAnsi="Arial" w:cs="Times New Roman"/>
                      <w:sz w:val="20"/>
                      <w:szCs w:val="20"/>
                      <w:lang w:val="en-GB" w:eastAsia="zh-CN"/>
                    </w:rPr>
                  </w:pPr>
                </w:p>
              </w:tc>
            </w:tr>
            <w:tr w:rsidR="004113B6" w:rsidRPr="006C272C" w14:paraId="6C77D0DD" w14:textId="77777777" w:rsidTr="000C3545">
              <w:tc>
                <w:tcPr>
                  <w:tcW w:w="6970" w:type="dxa"/>
                </w:tcPr>
                <w:p w14:paraId="1CBC6AE9" w14:textId="77777777" w:rsidR="004113B6" w:rsidRPr="006C272C" w:rsidRDefault="004113B6" w:rsidP="000C3545">
                  <w:pPr>
                    <w:spacing w:after="0" w:line="240" w:lineRule="auto"/>
                    <w:rPr>
                      <w:rFonts w:ascii="Arial" w:eastAsia="SimSun" w:hAnsi="Arial" w:cs="Times New Roman"/>
                      <w:color w:val="000000"/>
                      <w:sz w:val="20"/>
                      <w:szCs w:val="20"/>
                      <w:lang w:val="en-GB" w:eastAsia="zh-CN"/>
                    </w:rPr>
                  </w:pPr>
                  <w:r w:rsidRPr="006C272C">
                    <w:rPr>
                      <w:rFonts w:ascii="Arial" w:eastAsia="SimSun" w:hAnsi="Arial" w:cs="Times New Roman"/>
                      <w:color w:val="000000"/>
                      <w:sz w:val="20"/>
                      <w:szCs w:val="20"/>
                      <w:lang w:val="en-GB" w:eastAsia="zh-CN"/>
                    </w:rPr>
                    <w:t xml:space="preserve">Agreed Internal Mark: </w:t>
                  </w:r>
                </w:p>
                <w:p w14:paraId="035E36FA" w14:textId="77777777" w:rsidR="004113B6" w:rsidRPr="006C272C" w:rsidRDefault="004113B6" w:rsidP="000C3545">
                  <w:pPr>
                    <w:spacing w:after="0" w:line="240" w:lineRule="auto"/>
                    <w:rPr>
                      <w:rFonts w:ascii="Arial" w:eastAsia="SimSun" w:hAnsi="Arial" w:cs="Times New Roman"/>
                      <w:sz w:val="20"/>
                      <w:szCs w:val="20"/>
                      <w:highlight w:val="yellow"/>
                      <w:lang w:val="en-GB" w:eastAsia="zh-CN"/>
                    </w:rPr>
                  </w:pPr>
                </w:p>
              </w:tc>
              <w:tc>
                <w:tcPr>
                  <w:tcW w:w="2457" w:type="dxa"/>
                </w:tcPr>
                <w:p w14:paraId="506FCF7D" w14:textId="77777777" w:rsidR="004113B6" w:rsidRPr="006C272C" w:rsidRDefault="004113B6" w:rsidP="000C3545">
                  <w:pPr>
                    <w:spacing w:after="0" w:line="240" w:lineRule="auto"/>
                    <w:rPr>
                      <w:rFonts w:ascii="Arial" w:eastAsia="SimSun" w:hAnsi="Arial" w:cs="Times New Roman"/>
                      <w:sz w:val="20"/>
                      <w:szCs w:val="20"/>
                      <w:highlight w:val="yellow"/>
                      <w:lang w:val="en-GB" w:eastAsia="zh-CN"/>
                    </w:rPr>
                  </w:pPr>
                </w:p>
              </w:tc>
            </w:tr>
            <w:tr w:rsidR="004113B6" w:rsidRPr="006C272C" w14:paraId="7037B445" w14:textId="77777777" w:rsidTr="000C3545">
              <w:tc>
                <w:tcPr>
                  <w:tcW w:w="6970" w:type="dxa"/>
                </w:tcPr>
                <w:p w14:paraId="4B94A20D" w14:textId="77777777" w:rsidR="004113B6" w:rsidRPr="006C272C" w:rsidRDefault="004113B6" w:rsidP="000C3545">
                  <w:pPr>
                    <w:spacing w:after="0" w:line="240" w:lineRule="auto"/>
                    <w:rPr>
                      <w:rFonts w:ascii="Arial" w:eastAsia="SimSun" w:hAnsi="Arial" w:cs="Times New Roman"/>
                      <w:sz w:val="20"/>
                      <w:szCs w:val="20"/>
                      <w:lang w:val="en-GB" w:eastAsia="zh-CN"/>
                    </w:rPr>
                  </w:pPr>
                </w:p>
                <w:p w14:paraId="201998A1" w14:textId="77777777" w:rsidR="004113B6" w:rsidRPr="006C272C" w:rsidRDefault="004113B6" w:rsidP="000C3545">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External Examiner’s mark (if relevant)</w:t>
                  </w:r>
                </w:p>
              </w:tc>
              <w:tc>
                <w:tcPr>
                  <w:tcW w:w="2457" w:type="dxa"/>
                </w:tcPr>
                <w:p w14:paraId="11010C0B" w14:textId="77777777" w:rsidR="004113B6" w:rsidRPr="006C272C" w:rsidRDefault="004113B6" w:rsidP="000C3545">
                  <w:pPr>
                    <w:spacing w:after="0" w:line="240" w:lineRule="auto"/>
                    <w:rPr>
                      <w:rFonts w:ascii="Arial" w:eastAsia="SimSun" w:hAnsi="Arial" w:cs="Times New Roman"/>
                      <w:sz w:val="20"/>
                      <w:szCs w:val="20"/>
                      <w:lang w:val="en-GB" w:eastAsia="zh-CN"/>
                    </w:rPr>
                  </w:pPr>
                </w:p>
              </w:tc>
            </w:tr>
            <w:tr w:rsidR="004113B6" w:rsidRPr="006C272C" w14:paraId="3BAC03AB" w14:textId="77777777" w:rsidTr="000C3545">
              <w:tc>
                <w:tcPr>
                  <w:tcW w:w="6970" w:type="dxa"/>
                </w:tcPr>
                <w:p w14:paraId="240BB6B3" w14:textId="77777777" w:rsidR="004113B6" w:rsidRPr="006C272C" w:rsidRDefault="004113B6" w:rsidP="000C3545">
                  <w:pPr>
                    <w:spacing w:after="0" w:line="240" w:lineRule="auto"/>
                    <w:rPr>
                      <w:rFonts w:ascii="Arial" w:eastAsia="SimSun" w:hAnsi="Arial" w:cs="Times New Roman"/>
                      <w:sz w:val="20"/>
                      <w:szCs w:val="20"/>
                      <w:lang w:val="en-GB" w:eastAsia="zh-CN"/>
                    </w:rPr>
                  </w:pPr>
                </w:p>
                <w:p w14:paraId="706CBFC6" w14:textId="77777777" w:rsidR="004113B6" w:rsidRPr="006C272C" w:rsidRDefault="004113B6" w:rsidP="000C3545">
                  <w:pPr>
                    <w:spacing w:after="0" w:line="240" w:lineRule="auto"/>
                    <w:rPr>
                      <w:rFonts w:ascii="Arial" w:eastAsia="SimSun" w:hAnsi="Arial" w:cs="Times New Roman"/>
                      <w:b/>
                      <w:sz w:val="20"/>
                      <w:szCs w:val="20"/>
                      <w:lang w:val="en-GB" w:eastAsia="zh-CN"/>
                    </w:rPr>
                  </w:pPr>
                  <w:r w:rsidRPr="006C272C">
                    <w:rPr>
                      <w:rFonts w:ascii="Arial" w:eastAsia="SimSun" w:hAnsi="Arial" w:cs="Times New Roman"/>
                      <w:b/>
                      <w:sz w:val="20"/>
                      <w:szCs w:val="20"/>
                      <w:lang w:val="en-GB" w:eastAsia="zh-CN"/>
                    </w:rPr>
                    <w:t>Final Mark</w:t>
                  </w:r>
                </w:p>
                <w:p w14:paraId="17060B77" w14:textId="77777777" w:rsidR="004113B6" w:rsidRPr="006C272C" w:rsidRDefault="004113B6" w:rsidP="000C3545">
                  <w:pPr>
                    <w:spacing w:after="0" w:line="240" w:lineRule="auto"/>
                    <w:rPr>
                      <w:rFonts w:ascii="Arial" w:eastAsia="SimSun" w:hAnsi="Arial" w:cs="Times New Roman"/>
                      <w:sz w:val="20"/>
                      <w:szCs w:val="20"/>
                      <w:lang w:val="en-GB" w:eastAsia="zh-CN"/>
                    </w:rPr>
                  </w:pPr>
                </w:p>
              </w:tc>
              <w:tc>
                <w:tcPr>
                  <w:tcW w:w="2457" w:type="dxa"/>
                </w:tcPr>
                <w:p w14:paraId="5DF28382" w14:textId="77777777" w:rsidR="004113B6" w:rsidRPr="006C272C" w:rsidRDefault="004113B6" w:rsidP="000C3545">
                  <w:pPr>
                    <w:spacing w:after="0" w:line="240" w:lineRule="auto"/>
                    <w:rPr>
                      <w:rFonts w:ascii="Arial" w:eastAsia="SimSun" w:hAnsi="Arial" w:cs="Times New Roman"/>
                      <w:sz w:val="20"/>
                      <w:szCs w:val="20"/>
                      <w:lang w:val="en-GB" w:eastAsia="zh-CN"/>
                    </w:rPr>
                  </w:pPr>
                </w:p>
              </w:tc>
            </w:tr>
          </w:tbl>
          <w:p w14:paraId="5115911C" w14:textId="77777777" w:rsidR="004113B6" w:rsidRPr="006C272C" w:rsidRDefault="004113B6" w:rsidP="000C3545">
            <w:pPr>
              <w:spacing w:after="0" w:line="240" w:lineRule="auto"/>
              <w:ind w:left="142" w:right="34"/>
              <w:rPr>
                <w:rFonts w:ascii="Arial" w:eastAsia="SimSun" w:hAnsi="Arial" w:cs="Arial"/>
                <w:b/>
                <w:color w:val="000000"/>
                <w:lang w:val="en-GB" w:eastAsia="zh-CN"/>
              </w:rPr>
            </w:pPr>
          </w:p>
          <w:p w14:paraId="436CBEC8" w14:textId="77777777" w:rsidR="004113B6" w:rsidRPr="00E144A5" w:rsidRDefault="004113B6" w:rsidP="000C3545">
            <w:pPr>
              <w:spacing w:after="0" w:line="240" w:lineRule="auto"/>
              <w:ind w:left="142" w:right="34"/>
              <w:rPr>
                <w:rFonts w:ascii="Arial" w:eastAsia="SimSun" w:hAnsi="Arial" w:cs="Arial"/>
                <w:color w:val="000000"/>
                <w:lang w:val="en-GB" w:eastAsia="zh-CN"/>
              </w:rPr>
            </w:pPr>
            <w:r w:rsidRPr="006C272C">
              <w:rPr>
                <w:rFonts w:ascii="Arial" w:eastAsia="SimSun" w:hAnsi="Arial" w:cs="Arial"/>
                <w:b/>
                <w:color w:val="000000"/>
                <w:lang w:val="en-GB" w:eastAsia="zh-CN"/>
              </w:rPr>
              <w:t>NB.</w:t>
            </w:r>
            <w:r w:rsidRPr="006C272C">
              <w:rPr>
                <w:rFonts w:ascii="Arial" w:eastAsia="SimSun" w:hAnsi="Arial" w:cs="Arial"/>
                <w:color w:val="000000"/>
                <w:lang w:val="en-GB" w:eastAsia="zh-CN"/>
              </w:rPr>
              <w:t xml:space="preserve">  All marks are provisional until confirmed by the Final Examination Board.</w:t>
            </w:r>
          </w:p>
          <w:p w14:paraId="3DDFCFCE" w14:textId="77777777" w:rsidR="004113B6" w:rsidRPr="006C272C" w:rsidRDefault="004113B6" w:rsidP="000C3545">
            <w:pPr>
              <w:spacing w:after="0" w:line="240" w:lineRule="auto"/>
              <w:rPr>
                <w:rFonts w:ascii="Arial" w:eastAsia="SimSun" w:hAnsi="Arial" w:cs="Arial"/>
                <w:b/>
                <w:color w:val="000000"/>
                <w:lang w:val="en-GB" w:eastAsia="zh-CN"/>
              </w:rPr>
            </w:pPr>
          </w:p>
          <w:p w14:paraId="52C8568F" w14:textId="77777777" w:rsidR="004113B6" w:rsidRDefault="004113B6" w:rsidP="000C3545">
            <w:pPr>
              <w:spacing w:after="0" w:line="240" w:lineRule="auto"/>
              <w:rPr>
                <w:rFonts w:ascii="Arial" w:eastAsia="SimSun" w:hAnsi="Arial" w:cs="Arial"/>
                <w:b/>
                <w:color w:val="000000"/>
                <w:lang w:val="en-GB" w:eastAsia="zh-CN"/>
              </w:rPr>
            </w:pPr>
          </w:p>
          <w:p w14:paraId="6AAD9093" w14:textId="77777777" w:rsidR="004113B6" w:rsidRDefault="004113B6" w:rsidP="000C3545">
            <w:pPr>
              <w:spacing w:after="0" w:line="240" w:lineRule="auto"/>
              <w:rPr>
                <w:rFonts w:ascii="Arial" w:eastAsia="SimSun" w:hAnsi="Arial" w:cs="Arial"/>
                <w:b/>
                <w:color w:val="000000"/>
                <w:lang w:val="en-GB" w:eastAsia="zh-CN"/>
              </w:rPr>
            </w:pPr>
          </w:p>
          <w:p w14:paraId="1F90556F" w14:textId="77777777" w:rsidR="004113B6" w:rsidRPr="006C272C" w:rsidRDefault="004113B6" w:rsidP="000C3545">
            <w:pPr>
              <w:spacing w:after="0" w:line="240" w:lineRule="auto"/>
              <w:rPr>
                <w:rFonts w:ascii="Arial" w:eastAsia="SimSun" w:hAnsi="Arial" w:cs="Arial"/>
                <w:b/>
                <w:color w:val="000000"/>
                <w:lang w:val="en-GB" w:eastAsia="zh-CN"/>
              </w:rPr>
            </w:pPr>
            <w:r w:rsidRPr="006C272C">
              <w:rPr>
                <w:rFonts w:ascii="Arial" w:eastAsia="SimSun" w:hAnsi="Arial" w:cs="Arial"/>
                <w:b/>
                <w:color w:val="000000"/>
                <w:lang w:val="en-GB" w:eastAsia="zh-CN"/>
              </w:rPr>
              <w:t xml:space="preserve">For completion by Marker </w:t>
            </w:r>
            <w:proofErr w:type="gramStart"/>
            <w:r w:rsidRPr="006C272C">
              <w:rPr>
                <w:rFonts w:ascii="Arial" w:eastAsia="SimSun" w:hAnsi="Arial" w:cs="Arial"/>
                <w:b/>
                <w:color w:val="000000"/>
                <w:lang w:val="en-GB" w:eastAsia="zh-CN"/>
              </w:rPr>
              <w:t>1 :</w:t>
            </w:r>
            <w:proofErr w:type="gramEnd"/>
          </w:p>
          <w:p w14:paraId="7F2A4ABA" w14:textId="77777777" w:rsidR="004113B6" w:rsidRDefault="004113B6" w:rsidP="000C3545">
            <w:pPr>
              <w:spacing w:before="100" w:beforeAutospacing="1" w:after="100" w:afterAutospacing="1" w:line="240" w:lineRule="auto"/>
              <w:rPr>
                <w:rFonts w:ascii="Arial" w:eastAsia="SimSun" w:hAnsi="Arial" w:cs="Arial"/>
                <w:color w:val="000000"/>
                <w:lang w:val="en-GB" w:eastAsia="zh-CN"/>
              </w:rPr>
            </w:pPr>
            <w:r w:rsidRPr="006C272C">
              <w:rPr>
                <w:rFonts w:ascii="Arial" w:eastAsia="SimSun" w:hAnsi="Arial" w:cs="Arial"/>
                <w:color w:val="000000"/>
                <w:lang w:val="en-GB" w:eastAsia="zh-CN"/>
              </w:rPr>
              <w:t>Comments:</w:t>
            </w:r>
          </w:p>
          <w:p w14:paraId="1481C5BF" w14:textId="77777777" w:rsidR="004113B6" w:rsidRPr="006C272C" w:rsidRDefault="004113B6" w:rsidP="000C3545">
            <w:pPr>
              <w:spacing w:before="100" w:beforeAutospacing="1" w:after="100" w:afterAutospacing="1" w:line="240" w:lineRule="auto"/>
              <w:rPr>
                <w:rFonts w:ascii="Arial" w:eastAsia="SimSun" w:hAnsi="Arial" w:cs="Arial"/>
                <w:color w:val="000000"/>
                <w:lang w:val="en-GB" w:eastAsia="zh-CN"/>
              </w:rPr>
            </w:pPr>
          </w:p>
          <w:p w14:paraId="518BF3BF" w14:textId="77777777" w:rsidR="004113B6" w:rsidRPr="006C272C" w:rsidRDefault="004113B6" w:rsidP="000C3545">
            <w:pPr>
              <w:spacing w:before="100" w:beforeAutospacing="1" w:after="100" w:afterAutospacing="1" w:line="240" w:lineRule="auto"/>
              <w:rPr>
                <w:rFonts w:ascii="Arial" w:eastAsia="SimSun" w:hAnsi="Arial" w:cs="Arial"/>
                <w:color w:val="000000"/>
                <w:lang w:val="en-GB" w:eastAsia="zh-CN"/>
              </w:rPr>
            </w:pPr>
          </w:p>
        </w:tc>
      </w:tr>
      <w:tr w:rsidR="004113B6" w:rsidRPr="006C272C" w14:paraId="1B89A6D1" w14:textId="77777777" w:rsidTr="000C3545">
        <w:trPr>
          <w:trHeight w:val="492"/>
        </w:trPr>
        <w:tc>
          <w:tcPr>
            <w:tcW w:w="6768" w:type="dxa"/>
            <w:gridSpan w:val="3"/>
          </w:tcPr>
          <w:p w14:paraId="49174F37" w14:textId="77777777" w:rsidR="004113B6" w:rsidRPr="006C272C" w:rsidRDefault="004113B6" w:rsidP="000C3545">
            <w:pPr>
              <w:spacing w:before="100" w:beforeAutospacing="1" w:after="100" w:afterAutospacing="1" w:line="240" w:lineRule="auto"/>
              <w:ind w:left="142" w:right="34"/>
              <w:rPr>
                <w:rFonts w:ascii="Arial" w:eastAsia="SimSun" w:hAnsi="Arial" w:cs="Arial"/>
                <w:color w:val="000000"/>
                <w:lang w:val="en-GB" w:eastAsia="zh-CN"/>
              </w:rPr>
            </w:pPr>
            <w:r w:rsidRPr="006C272C">
              <w:rPr>
                <w:rFonts w:ascii="Arial" w:eastAsia="SimSun" w:hAnsi="Arial" w:cs="Arial"/>
                <w:color w:val="000000"/>
                <w:lang w:val="en-GB" w:eastAsia="zh-CN"/>
              </w:rPr>
              <w:t>Marker’s signature:</w:t>
            </w:r>
          </w:p>
        </w:tc>
        <w:tc>
          <w:tcPr>
            <w:tcW w:w="3667" w:type="dxa"/>
            <w:gridSpan w:val="2"/>
          </w:tcPr>
          <w:p w14:paraId="1E46C1E8" w14:textId="77777777" w:rsidR="004113B6" w:rsidRPr="006C272C" w:rsidRDefault="004113B6" w:rsidP="000C3545">
            <w:pPr>
              <w:spacing w:before="100" w:beforeAutospacing="1" w:after="0" w:afterAutospacing="1" w:line="240" w:lineRule="auto"/>
              <w:ind w:left="142" w:right="34"/>
              <w:rPr>
                <w:rFonts w:ascii="Arial" w:eastAsia="SimSun" w:hAnsi="Arial" w:cs="Arial"/>
                <w:color w:val="000000"/>
                <w:lang w:val="en-GB" w:eastAsia="zh-CN"/>
              </w:rPr>
            </w:pPr>
            <w:r w:rsidRPr="006C272C">
              <w:rPr>
                <w:rFonts w:ascii="Arial" w:eastAsia="SimSun" w:hAnsi="Arial" w:cs="Arial"/>
                <w:color w:val="000000"/>
                <w:lang w:val="en-GB" w:eastAsia="zh-CN"/>
              </w:rPr>
              <w:t>Date:</w:t>
            </w:r>
          </w:p>
        </w:tc>
      </w:tr>
      <w:tr w:rsidR="004113B6" w:rsidRPr="006C272C" w14:paraId="2F64DF5E" w14:textId="77777777" w:rsidTr="000C3545">
        <w:tc>
          <w:tcPr>
            <w:tcW w:w="10435" w:type="dxa"/>
            <w:gridSpan w:val="5"/>
          </w:tcPr>
          <w:p w14:paraId="0AD168FC" w14:textId="77777777" w:rsidR="004113B6" w:rsidRPr="006C272C" w:rsidRDefault="004113B6" w:rsidP="000C3545">
            <w:pPr>
              <w:spacing w:after="0" w:line="240" w:lineRule="auto"/>
              <w:ind w:right="-334"/>
              <w:rPr>
                <w:rFonts w:ascii="Arial" w:eastAsia="SimSun" w:hAnsi="Arial" w:cs="Arial"/>
                <w:bCs/>
                <w:i/>
                <w:color w:val="000000"/>
                <w:lang w:val="en-GB" w:eastAsia="zh-CN"/>
              </w:rPr>
            </w:pPr>
          </w:p>
          <w:p w14:paraId="1EB542D9" w14:textId="77777777" w:rsidR="004113B6" w:rsidRPr="006C272C" w:rsidRDefault="004113B6" w:rsidP="000C3545">
            <w:pPr>
              <w:spacing w:after="0" w:line="240" w:lineRule="auto"/>
              <w:ind w:right="-334"/>
              <w:rPr>
                <w:rFonts w:ascii="Arial" w:eastAsia="SimSun" w:hAnsi="Arial" w:cs="Arial"/>
                <w:b/>
                <w:bCs/>
                <w:color w:val="000000"/>
                <w:lang w:val="en-GB" w:eastAsia="zh-CN"/>
              </w:rPr>
            </w:pPr>
            <w:r w:rsidRPr="006C272C">
              <w:rPr>
                <w:rFonts w:ascii="Arial" w:eastAsia="SimSun" w:hAnsi="Arial" w:cs="Arial"/>
                <w:b/>
                <w:bCs/>
                <w:color w:val="000000"/>
                <w:lang w:val="en-GB" w:eastAsia="zh-CN"/>
              </w:rPr>
              <w:t>For completion by Marker 2/Moderator:</w:t>
            </w:r>
          </w:p>
          <w:p w14:paraId="2AD23442" w14:textId="77777777" w:rsidR="004113B6" w:rsidRPr="006C272C" w:rsidRDefault="004113B6" w:rsidP="000C3545">
            <w:pPr>
              <w:spacing w:after="0" w:line="240" w:lineRule="auto"/>
              <w:ind w:right="-334"/>
              <w:rPr>
                <w:rFonts w:ascii="Arial" w:eastAsia="SimSun" w:hAnsi="Arial" w:cs="Arial"/>
                <w:b/>
                <w:bCs/>
                <w:color w:val="000000"/>
                <w:lang w:val="en-GB" w:eastAsia="zh-CN"/>
              </w:rPr>
            </w:pPr>
          </w:p>
          <w:p w14:paraId="5D2B8F02" w14:textId="77777777" w:rsidR="004113B6" w:rsidRPr="006C272C" w:rsidRDefault="004113B6" w:rsidP="000C3545">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Comments:</w:t>
            </w:r>
          </w:p>
          <w:p w14:paraId="6B1A210E" w14:textId="77777777" w:rsidR="004113B6" w:rsidRPr="006C272C" w:rsidRDefault="004113B6" w:rsidP="000C3545">
            <w:pPr>
              <w:spacing w:after="0" w:line="240" w:lineRule="auto"/>
              <w:ind w:right="-334"/>
              <w:rPr>
                <w:rFonts w:ascii="Arial" w:eastAsia="SimSun" w:hAnsi="Arial" w:cs="Arial"/>
                <w:bCs/>
                <w:color w:val="000000"/>
                <w:lang w:val="en-GB" w:eastAsia="zh-CN"/>
              </w:rPr>
            </w:pPr>
          </w:p>
          <w:p w14:paraId="6473146A" w14:textId="77777777" w:rsidR="004113B6" w:rsidRDefault="004113B6" w:rsidP="000C3545">
            <w:pPr>
              <w:spacing w:after="0" w:line="240" w:lineRule="auto"/>
              <w:ind w:right="-334"/>
              <w:rPr>
                <w:rFonts w:ascii="Arial" w:eastAsia="SimSun" w:hAnsi="Arial" w:cs="Arial"/>
                <w:bCs/>
                <w:color w:val="000000"/>
                <w:lang w:val="en-GB" w:eastAsia="zh-CN"/>
              </w:rPr>
            </w:pPr>
          </w:p>
          <w:p w14:paraId="2DE309F0" w14:textId="77777777" w:rsidR="004113B6" w:rsidRDefault="004113B6" w:rsidP="000C3545">
            <w:pPr>
              <w:spacing w:after="0" w:line="240" w:lineRule="auto"/>
              <w:ind w:right="-334"/>
              <w:rPr>
                <w:rFonts w:ascii="Arial" w:eastAsia="SimSun" w:hAnsi="Arial" w:cs="Arial"/>
                <w:bCs/>
                <w:color w:val="000000"/>
                <w:lang w:val="en-GB" w:eastAsia="zh-CN"/>
              </w:rPr>
            </w:pPr>
          </w:p>
          <w:p w14:paraId="16ED79C3" w14:textId="77777777" w:rsidR="004113B6" w:rsidRPr="006C272C" w:rsidRDefault="004113B6" w:rsidP="000C3545">
            <w:pPr>
              <w:spacing w:after="0" w:line="240" w:lineRule="auto"/>
              <w:ind w:right="-334"/>
              <w:rPr>
                <w:rFonts w:ascii="Arial" w:eastAsia="SimSun" w:hAnsi="Arial" w:cs="Arial"/>
                <w:bCs/>
                <w:color w:val="000000"/>
                <w:lang w:val="en-GB" w:eastAsia="zh-CN"/>
              </w:rPr>
            </w:pPr>
          </w:p>
        </w:tc>
      </w:tr>
      <w:tr w:rsidR="004113B6" w:rsidRPr="006C272C" w14:paraId="3F2FC4E9" w14:textId="77777777" w:rsidTr="000C3545">
        <w:trPr>
          <w:trHeight w:val="720"/>
        </w:trPr>
        <w:tc>
          <w:tcPr>
            <w:tcW w:w="5211" w:type="dxa"/>
            <w:gridSpan w:val="2"/>
          </w:tcPr>
          <w:p w14:paraId="4BD9F576" w14:textId="77777777" w:rsidR="004113B6" w:rsidRPr="006C272C" w:rsidRDefault="004113B6" w:rsidP="000C3545">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Marker’s Signature:</w:t>
            </w:r>
          </w:p>
        </w:tc>
        <w:tc>
          <w:tcPr>
            <w:tcW w:w="5224" w:type="dxa"/>
            <w:gridSpan w:val="3"/>
          </w:tcPr>
          <w:p w14:paraId="03AA8151" w14:textId="77777777" w:rsidR="004113B6" w:rsidRPr="006C272C" w:rsidRDefault="004113B6" w:rsidP="000C3545">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Date:</w:t>
            </w:r>
          </w:p>
        </w:tc>
      </w:tr>
      <w:tr w:rsidR="004113B6" w:rsidRPr="006C272C" w14:paraId="43A845FA" w14:textId="77777777" w:rsidTr="000C3545">
        <w:trPr>
          <w:trHeight w:val="720"/>
        </w:trPr>
        <w:tc>
          <w:tcPr>
            <w:tcW w:w="10435" w:type="dxa"/>
            <w:gridSpan w:val="5"/>
          </w:tcPr>
          <w:p w14:paraId="26A1F93C" w14:textId="77777777" w:rsidR="004113B6" w:rsidRPr="006C272C" w:rsidRDefault="004113B6" w:rsidP="000C3545">
            <w:pPr>
              <w:spacing w:after="0" w:line="240" w:lineRule="auto"/>
              <w:rPr>
                <w:rFonts w:ascii="Arial" w:eastAsia="SimSun" w:hAnsi="Arial" w:cs="Arial"/>
                <w:b/>
                <w:lang w:val="en-GB" w:eastAsia="zh-CN"/>
              </w:rPr>
            </w:pPr>
            <w:r w:rsidRPr="006C272C">
              <w:rPr>
                <w:rFonts w:ascii="Arial" w:eastAsia="SimSun" w:hAnsi="Arial" w:cs="Arial"/>
                <w:b/>
                <w:lang w:val="en-GB" w:eastAsia="zh-CN"/>
              </w:rPr>
              <w:t>AGREED INTERNAL MARK (where necessary):</w:t>
            </w:r>
          </w:p>
          <w:p w14:paraId="2EE33D6D" w14:textId="77777777" w:rsidR="004113B6" w:rsidRPr="006C272C" w:rsidRDefault="004113B6" w:rsidP="000C3545">
            <w:pPr>
              <w:spacing w:after="0" w:line="240" w:lineRule="auto"/>
              <w:rPr>
                <w:rFonts w:ascii="Arial" w:eastAsia="SimSun" w:hAnsi="Arial" w:cs="Arial"/>
                <w:b/>
                <w:lang w:val="en-GB" w:eastAsia="zh-CN"/>
              </w:rPr>
            </w:pPr>
          </w:p>
          <w:p w14:paraId="5EB85523" w14:textId="77777777" w:rsidR="004113B6" w:rsidRPr="006C272C" w:rsidRDefault="004113B6" w:rsidP="000C3545">
            <w:pPr>
              <w:spacing w:after="0" w:line="240" w:lineRule="auto"/>
              <w:rPr>
                <w:rFonts w:ascii="Arial" w:eastAsia="SimSun" w:hAnsi="Arial" w:cs="Arial"/>
                <w:b/>
                <w:lang w:val="en-GB" w:eastAsia="zh-CN"/>
              </w:rPr>
            </w:pPr>
            <w:r w:rsidRPr="006C272C">
              <w:rPr>
                <w:rFonts w:ascii="Arial" w:eastAsia="SimSun" w:hAnsi="Arial" w:cs="Arial"/>
                <w:b/>
                <w:lang w:val="en-GB" w:eastAsia="zh-CN"/>
              </w:rPr>
              <w:t>Comment on process of arriving at agreed mark:</w:t>
            </w:r>
          </w:p>
          <w:p w14:paraId="60A7180C" w14:textId="77777777" w:rsidR="004113B6" w:rsidRDefault="004113B6" w:rsidP="000C3545">
            <w:pPr>
              <w:spacing w:after="0" w:line="240" w:lineRule="auto"/>
              <w:rPr>
                <w:rFonts w:ascii="Arial" w:eastAsia="SimSun" w:hAnsi="Arial" w:cs="Arial"/>
                <w:b/>
                <w:lang w:val="en-GB" w:eastAsia="zh-CN"/>
              </w:rPr>
            </w:pPr>
          </w:p>
          <w:p w14:paraId="0C32A511" w14:textId="77777777" w:rsidR="003A3EDC" w:rsidRPr="006C272C" w:rsidRDefault="003A3EDC" w:rsidP="000C3545">
            <w:pPr>
              <w:spacing w:after="0" w:line="240" w:lineRule="auto"/>
              <w:rPr>
                <w:rFonts w:ascii="Arial" w:eastAsia="SimSun" w:hAnsi="Arial" w:cs="Arial"/>
                <w:b/>
                <w:lang w:val="en-GB" w:eastAsia="zh-CN"/>
              </w:rPr>
            </w:pPr>
          </w:p>
          <w:p w14:paraId="098494D0" w14:textId="77777777" w:rsidR="004113B6" w:rsidRPr="006C272C" w:rsidRDefault="004113B6" w:rsidP="000C3545">
            <w:pPr>
              <w:spacing w:after="0" w:line="240" w:lineRule="auto"/>
              <w:rPr>
                <w:rFonts w:ascii="Arial" w:eastAsia="SimSun" w:hAnsi="Arial" w:cs="Arial"/>
                <w:b/>
                <w:lang w:val="en-GB" w:eastAsia="zh-CN"/>
              </w:rPr>
            </w:pPr>
          </w:p>
          <w:p w14:paraId="3E4DA463" w14:textId="77777777" w:rsidR="004113B6" w:rsidRPr="006C272C" w:rsidRDefault="004113B6" w:rsidP="000C3545">
            <w:pPr>
              <w:spacing w:after="0" w:line="240" w:lineRule="auto"/>
              <w:rPr>
                <w:rFonts w:ascii="Arial" w:eastAsia="SimSun" w:hAnsi="Arial" w:cs="Arial"/>
                <w:b/>
                <w:lang w:val="en-GB" w:eastAsia="zh-CN"/>
              </w:rPr>
            </w:pPr>
          </w:p>
        </w:tc>
      </w:tr>
      <w:tr w:rsidR="004113B6" w:rsidRPr="006C272C" w14:paraId="29879701" w14:textId="77777777" w:rsidTr="000C3545">
        <w:trPr>
          <w:trHeight w:val="720"/>
        </w:trPr>
        <w:tc>
          <w:tcPr>
            <w:tcW w:w="10435" w:type="dxa"/>
            <w:gridSpan w:val="5"/>
          </w:tcPr>
          <w:p w14:paraId="299163C2" w14:textId="77777777" w:rsidR="004113B6" w:rsidRPr="00E144A5" w:rsidRDefault="004113B6" w:rsidP="000C3545">
            <w:pPr>
              <w:spacing w:after="0" w:line="240" w:lineRule="auto"/>
              <w:rPr>
                <w:rFonts w:ascii="Arial" w:eastAsia="SimSun" w:hAnsi="Arial" w:cs="Arial"/>
                <w:b/>
                <w:lang w:val="en-GB" w:eastAsia="zh-CN"/>
              </w:rPr>
            </w:pPr>
            <w:r w:rsidRPr="006C272C">
              <w:rPr>
                <w:rFonts w:ascii="Arial" w:eastAsia="SimSun" w:hAnsi="Arial" w:cs="Arial"/>
                <w:b/>
                <w:lang w:val="en-GB" w:eastAsia="zh-CN"/>
              </w:rPr>
              <w:t>External Examiner’s comments (if relevant)</w:t>
            </w:r>
          </w:p>
          <w:p w14:paraId="07DE9482" w14:textId="77777777" w:rsidR="004113B6" w:rsidRPr="006C272C" w:rsidRDefault="004113B6" w:rsidP="000C3545">
            <w:pPr>
              <w:spacing w:after="0" w:line="240" w:lineRule="auto"/>
              <w:ind w:right="-334"/>
              <w:rPr>
                <w:rFonts w:ascii="Arial" w:eastAsia="SimSun" w:hAnsi="Arial" w:cs="Arial"/>
                <w:bCs/>
                <w:color w:val="000000"/>
                <w:lang w:val="en-GB" w:eastAsia="zh-CN"/>
              </w:rPr>
            </w:pPr>
          </w:p>
          <w:p w14:paraId="00F3F195" w14:textId="77777777" w:rsidR="004113B6" w:rsidRPr="006C272C" w:rsidRDefault="004113B6" w:rsidP="000C3545">
            <w:pPr>
              <w:spacing w:after="0" w:line="240" w:lineRule="auto"/>
              <w:ind w:right="-334"/>
              <w:rPr>
                <w:rFonts w:ascii="Arial" w:eastAsia="SimSun" w:hAnsi="Arial" w:cs="Arial"/>
                <w:bCs/>
                <w:color w:val="000000"/>
                <w:lang w:val="en-GB" w:eastAsia="zh-CN"/>
              </w:rPr>
            </w:pPr>
          </w:p>
        </w:tc>
      </w:tr>
      <w:tr w:rsidR="004113B6" w:rsidRPr="006C272C" w14:paraId="3CF07D4D" w14:textId="77777777" w:rsidTr="000C3545">
        <w:trPr>
          <w:trHeight w:val="720"/>
        </w:trPr>
        <w:tc>
          <w:tcPr>
            <w:tcW w:w="5211" w:type="dxa"/>
            <w:gridSpan w:val="2"/>
          </w:tcPr>
          <w:p w14:paraId="51B8CBD8" w14:textId="77777777" w:rsidR="004113B6" w:rsidRPr="006C272C" w:rsidRDefault="004113B6" w:rsidP="000C3545">
            <w:pPr>
              <w:spacing w:after="0" w:line="240" w:lineRule="auto"/>
              <w:rPr>
                <w:rFonts w:ascii="Arial" w:eastAsia="SimSun" w:hAnsi="Arial" w:cs="Arial"/>
                <w:lang w:val="en-GB" w:eastAsia="zh-CN"/>
              </w:rPr>
            </w:pPr>
            <w:r w:rsidRPr="006C272C">
              <w:rPr>
                <w:rFonts w:ascii="Arial" w:eastAsia="SimSun" w:hAnsi="Arial" w:cs="Arial"/>
                <w:lang w:val="en-GB" w:eastAsia="zh-CN"/>
              </w:rPr>
              <w:t>External Examiner’s Signature:</w:t>
            </w:r>
          </w:p>
        </w:tc>
        <w:tc>
          <w:tcPr>
            <w:tcW w:w="5224" w:type="dxa"/>
            <w:gridSpan w:val="3"/>
          </w:tcPr>
          <w:p w14:paraId="3970F194" w14:textId="77777777" w:rsidR="004113B6" w:rsidRPr="006C272C" w:rsidRDefault="004113B6" w:rsidP="000C3545">
            <w:pPr>
              <w:spacing w:after="0" w:line="240" w:lineRule="auto"/>
              <w:rPr>
                <w:rFonts w:ascii="Arial" w:eastAsia="SimSun" w:hAnsi="Arial" w:cs="Arial"/>
                <w:lang w:val="en-GB" w:eastAsia="zh-CN"/>
              </w:rPr>
            </w:pPr>
            <w:r w:rsidRPr="006C272C">
              <w:rPr>
                <w:rFonts w:ascii="Arial" w:eastAsia="SimSun" w:hAnsi="Arial" w:cs="Arial"/>
                <w:lang w:val="en-GB" w:eastAsia="zh-CN"/>
              </w:rPr>
              <w:t>Date:</w:t>
            </w:r>
          </w:p>
        </w:tc>
      </w:tr>
    </w:tbl>
    <w:p w14:paraId="7103D833" w14:textId="77777777" w:rsidR="004113B6" w:rsidRDefault="004113B6" w:rsidP="004113B6"/>
    <w:p w14:paraId="035EFA78" w14:textId="298568B3" w:rsidR="00B0011B" w:rsidRDefault="00B0011B" w:rsidP="004113B6">
      <w:pPr>
        <w:rPr>
          <w:b/>
          <w:bCs/>
          <w:u w:val="single"/>
        </w:rPr>
      </w:pPr>
      <w:r w:rsidRPr="00B0011B">
        <w:rPr>
          <w:b/>
          <w:bCs/>
          <w:u w:val="single"/>
        </w:rPr>
        <w:t>A Critical Comparison of Two Secondary Sources</w:t>
      </w:r>
    </w:p>
    <w:p w14:paraId="095BD4B5" w14:textId="77777777" w:rsidR="00B0011B" w:rsidRPr="00B0011B" w:rsidRDefault="00B0011B" w:rsidP="004113B6">
      <w:pPr>
        <w:rPr>
          <w:b/>
          <w:bCs/>
          <w:u w:val="single"/>
        </w:rPr>
      </w:pPr>
    </w:p>
    <w:p w14:paraId="57F36AC4" w14:textId="602AAF7D" w:rsidR="006B3B71" w:rsidRPr="00C4310D" w:rsidRDefault="006B3B71" w:rsidP="00463C0C">
      <w:pPr>
        <w:ind w:firstLine="720"/>
      </w:pPr>
      <w:r w:rsidRPr="00C4310D">
        <w:t xml:space="preserve">This essay compares </w:t>
      </w:r>
      <w:r w:rsidR="001310C0" w:rsidRPr="00C4310D">
        <w:t>Jenny Blain</w:t>
      </w:r>
      <w:r w:rsidRPr="00C4310D">
        <w:t xml:space="preserve">’s article ‘Speaking </w:t>
      </w:r>
      <w:proofErr w:type="spellStart"/>
      <w:r w:rsidR="00463C0C">
        <w:t>S</w:t>
      </w:r>
      <w:r w:rsidRPr="00C4310D">
        <w:t>hamanistically</w:t>
      </w:r>
      <w:proofErr w:type="spellEnd"/>
      <w:r w:rsidRPr="00C4310D">
        <w:t xml:space="preserve">: </w:t>
      </w:r>
      <w:proofErr w:type="spellStart"/>
      <w:r w:rsidR="00463C0C">
        <w:t>S</w:t>
      </w:r>
      <w:r w:rsidRPr="00C4310D">
        <w:t>eidr</w:t>
      </w:r>
      <w:proofErr w:type="spellEnd"/>
      <w:r w:rsidRPr="00C4310D">
        <w:t xml:space="preserve">, </w:t>
      </w:r>
      <w:r w:rsidR="00463C0C">
        <w:t>A</w:t>
      </w:r>
      <w:r w:rsidRPr="00C4310D">
        <w:t xml:space="preserve">cademia and </w:t>
      </w:r>
      <w:r w:rsidR="00463C0C">
        <w:t>R</w:t>
      </w:r>
      <w:r w:rsidRPr="00C4310D">
        <w:t>ationality’ and Gillian Benne</w:t>
      </w:r>
      <w:r w:rsidR="00B0011B">
        <w:t>t</w:t>
      </w:r>
      <w:r w:rsidRPr="00C4310D">
        <w:t xml:space="preserve">t’s </w:t>
      </w:r>
      <w:r w:rsidR="00724018">
        <w:t>book chapter</w:t>
      </w:r>
      <w:r w:rsidRPr="00C4310D">
        <w:t xml:space="preserve"> ‘“If I Knew You Were Coming, I’d Have Baked a Cake”: </w:t>
      </w:r>
      <w:r w:rsidR="00CC47C1" w:rsidRPr="00C4310D">
        <w:t>Folklore</w:t>
      </w:r>
      <w:r w:rsidRPr="00C4310D">
        <w:t xml:space="preserve"> of Foreknowledge in a Neighborhood Group’ in terms of </w:t>
      </w:r>
      <w:r w:rsidR="006F6A32" w:rsidRPr="00C4310D">
        <w:t>their research interests and practices, their methodology</w:t>
      </w:r>
      <w:r w:rsidR="00001E41">
        <w:t xml:space="preserve"> and r</w:t>
      </w:r>
      <w:r w:rsidR="00C4310D" w:rsidRPr="00C4310D">
        <w:t>eflexivity</w:t>
      </w:r>
      <w:r w:rsidR="00B0011B">
        <w:t>,</w:t>
      </w:r>
      <w:r w:rsidR="00C4310D" w:rsidRPr="00C4310D">
        <w:t xml:space="preserve"> a</w:t>
      </w:r>
      <w:r w:rsidR="00001E41">
        <w:t>s well as the</w:t>
      </w:r>
      <w:r w:rsidR="00CC47C1">
        <w:t>ir</w:t>
      </w:r>
      <w:r w:rsidR="00001E41">
        <w:t xml:space="preserve"> structural</w:t>
      </w:r>
      <w:r w:rsidR="00CC47C1">
        <w:t xml:space="preserve"> and </w:t>
      </w:r>
      <w:r w:rsidR="00001E41">
        <w:t xml:space="preserve">theoretical </w:t>
      </w:r>
      <w:r w:rsidR="00001E41" w:rsidRPr="00CC47C1">
        <w:t>underpinnings</w:t>
      </w:r>
      <w:r w:rsidR="006F6A32" w:rsidRPr="00CC47C1">
        <w:t>.</w:t>
      </w:r>
      <w:r w:rsidR="00B0011B" w:rsidRPr="00CC47C1">
        <w:rPr>
          <w:rStyle w:val="FootnoteReference"/>
        </w:rPr>
        <w:footnoteReference w:id="1"/>
      </w:r>
    </w:p>
    <w:p w14:paraId="0D5985F3" w14:textId="6385CC55" w:rsidR="001310C0" w:rsidRPr="00553942" w:rsidRDefault="006B3B71" w:rsidP="00553942">
      <w:pPr>
        <w:ind w:firstLine="720"/>
      </w:pPr>
      <w:r>
        <w:t xml:space="preserve">Blain </w:t>
      </w:r>
      <w:r w:rsidR="001310C0">
        <w:t xml:space="preserve">is a </w:t>
      </w:r>
      <w:r w:rsidR="00A76A07">
        <w:t xml:space="preserve">recently retired </w:t>
      </w:r>
      <w:r w:rsidR="001310C0">
        <w:t xml:space="preserve">sociologist </w:t>
      </w:r>
      <w:r w:rsidR="007E588B">
        <w:t xml:space="preserve">and professor </w:t>
      </w:r>
      <w:r w:rsidR="001310C0">
        <w:t xml:space="preserve">who specialized </w:t>
      </w:r>
      <w:r w:rsidR="00FC72BC">
        <w:t>i</w:t>
      </w:r>
      <w:r w:rsidR="001310C0">
        <w:t>n teaching research methodologies.</w:t>
      </w:r>
      <w:r w:rsidR="00FF3BF8">
        <w:rPr>
          <w:rStyle w:val="FootnoteReference"/>
        </w:rPr>
        <w:footnoteReference w:id="2"/>
      </w:r>
      <w:r w:rsidR="001310C0">
        <w:t xml:space="preserve"> </w:t>
      </w:r>
      <w:r w:rsidR="0066711E">
        <w:t xml:space="preserve">The theoretical leaning of her article </w:t>
      </w:r>
      <w:r w:rsidR="00001E41">
        <w:t xml:space="preserve">and its </w:t>
      </w:r>
      <w:r w:rsidR="0066711E">
        <w:t xml:space="preserve">focus on academia make clear that her </w:t>
      </w:r>
      <w:r w:rsidR="00E91BEA">
        <w:t xml:space="preserve">intended </w:t>
      </w:r>
      <w:r w:rsidR="0066711E">
        <w:t xml:space="preserve">audience is academic. </w:t>
      </w:r>
      <w:r w:rsidR="006439FD">
        <w:t xml:space="preserve">The paper was presented in 1999 at a conference at Ohio State University </w:t>
      </w:r>
      <w:r w:rsidR="002E06CD">
        <w:t>entitled</w:t>
      </w:r>
      <w:r w:rsidR="006439FD">
        <w:t xml:space="preserve"> </w:t>
      </w:r>
      <w:r w:rsidR="006439FD" w:rsidRPr="006439FD">
        <w:rPr>
          <w:i/>
          <w:iCs/>
        </w:rPr>
        <w:t>Going Native</w:t>
      </w:r>
      <w:r w:rsidR="006439FD">
        <w:t xml:space="preserve"> and subsequently </w:t>
      </w:r>
      <w:r w:rsidR="00DE0CA1">
        <w:t>published in a specialized academic journal</w:t>
      </w:r>
      <w:r w:rsidR="00FB741C">
        <w:t xml:space="preserve"> </w:t>
      </w:r>
      <w:r w:rsidR="00DE0CA1">
        <w:t xml:space="preserve">which confirms the focus.  </w:t>
      </w:r>
      <w:r w:rsidR="002C02A6">
        <w:t>Bennett</w:t>
      </w:r>
      <w:r w:rsidR="00A76A07">
        <w:t xml:space="preserve"> who died in </w:t>
      </w:r>
      <w:r w:rsidR="00611591">
        <w:t xml:space="preserve">2023 </w:t>
      </w:r>
      <w:r w:rsidR="002C02A6">
        <w:t>was a</w:t>
      </w:r>
      <w:r w:rsidR="00FF3BF8">
        <w:t>n influential</w:t>
      </w:r>
      <w:r w:rsidR="002C02A6">
        <w:t xml:space="preserve"> folklorist who</w:t>
      </w:r>
      <w:r w:rsidR="00FF3BF8">
        <w:t xml:space="preserve"> advocated for the </w:t>
      </w:r>
      <w:r w:rsidR="003537D8">
        <w:t>recognition of</w:t>
      </w:r>
      <w:r w:rsidR="00B93C1F">
        <w:t xml:space="preserve"> </w:t>
      </w:r>
      <w:r w:rsidR="00001E41">
        <w:t xml:space="preserve">contemporary </w:t>
      </w:r>
      <w:r w:rsidR="00B93C1F">
        <w:t>legends.</w:t>
      </w:r>
      <w:r w:rsidR="00FF3BF8">
        <w:rPr>
          <w:rStyle w:val="FootnoteReference"/>
        </w:rPr>
        <w:footnoteReference w:id="3"/>
      </w:r>
      <w:r w:rsidR="008A3C1E">
        <w:t xml:space="preserve"> </w:t>
      </w:r>
      <w:r w:rsidR="002C02A6">
        <w:t>Her article</w:t>
      </w:r>
      <w:r w:rsidR="002E06CD">
        <w:t>,</w:t>
      </w:r>
      <w:r w:rsidR="002C02A6">
        <w:t xml:space="preserve"> while based on research carried out in 1981</w:t>
      </w:r>
      <w:r w:rsidR="002E06CD">
        <w:t>,</w:t>
      </w:r>
      <w:r w:rsidR="002C02A6">
        <w:t xml:space="preserve"> was published </w:t>
      </w:r>
      <w:r w:rsidR="006E3CA8">
        <w:t xml:space="preserve">in 1995 </w:t>
      </w:r>
      <w:r w:rsidR="00067B0F">
        <w:t>as a</w:t>
      </w:r>
      <w:r w:rsidR="00FD7ED8">
        <w:t xml:space="preserve"> </w:t>
      </w:r>
      <w:r w:rsidR="00067B0F">
        <w:t xml:space="preserve">chapter in </w:t>
      </w:r>
      <w:r w:rsidR="006E3CA8">
        <w:t>the book</w:t>
      </w:r>
      <w:r w:rsidR="00E91BEA">
        <w:t xml:space="preserve"> </w:t>
      </w:r>
      <w:r w:rsidR="00E91BEA" w:rsidRPr="00E91BEA">
        <w:rPr>
          <w:i/>
          <w:iCs/>
        </w:rPr>
        <w:t>Out of the Ordinary</w:t>
      </w:r>
      <w:r w:rsidR="00E91BEA" w:rsidRPr="003537D8">
        <w:t>.</w:t>
      </w:r>
      <w:r w:rsidR="003537D8" w:rsidRPr="003537D8">
        <w:rPr>
          <w:rStyle w:val="FootnoteReference"/>
        </w:rPr>
        <w:footnoteReference w:id="4"/>
      </w:r>
      <w:r w:rsidR="002E06CD" w:rsidRPr="003537D8">
        <w:t xml:space="preserve"> </w:t>
      </w:r>
      <w:r w:rsidR="00067B0F" w:rsidRPr="003537D8">
        <w:t>The articles</w:t>
      </w:r>
      <w:r w:rsidR="00067B0F">
        <w:t>, all written by academics,</w:t>
      </w:r>
      <w:r w:rsidR="00FD7ED8">
        <w:t xml:space="preserve"> </w:t>
      </w:r>
      <w:r w:rsidR="00067B0F">
        <w:t>s</w:t>
      </w:r>
      <w:r w:rsidR="006E3CA8">
        <w:t>ought</w:t>
      </w:r>
      <w:r w:rsidR="00067B0F">
        <w:t xml:space="preserve"> to </w:t>
      </w:r>
      <w:r w:rsidR="00FD7ED8">
        <w:t>introduce supernatural considerations into the realm of academia and the book is, th</w:t>
      </w:r>
      <w:r w:rsidR="006E3CA8">
        <w:t>erefore</w:t>
      </w:r>
      <w:r w:rsidR="00FD7ED8">
        <w:t>, directed primarily at other academics though it may catch the attention of a broader audience</w:t>
      </w:r>
      <w:r w:rsidR="006E3CA8">
        <w:t xml:space="preserve"> </w:t>
      </w:r>
      <w:r w:rsidR="00FD7ED8">
        <w:t xml:space="preserve">by virtue of its title. </w:t>
      </w:r>
      <w:r w:rsidR="00A4485D">
        <w:t xml:space="preserve">Both articles are, thus, academic in orientation. </w:t>
      </w:r>
    </w:p>
    <w:p w14:paraId="786DD3E5" w14:textId="354A6307" w:rsidR="00985E44" w:rsidRPr="00A4485D" w:rsidRDefault="00142E17" w:rsidP="00A4485D">
      <w:pPr>
        <w:ind w:firstLine="720"/>
      </w:pPr>
      <w:r w:rsidRPr="002D6640">
        <w:t>Bennett’s article</w:t>
      </w:r>
      <w:r w:rsidR="007C20B6">
        <w:t>, which explores women’s relationship with foreknowledge,</w:t>
      </w:r>
      <w:r w:rsidRPr="002D6640">
        <w:t xml:space="preserve"> s</w:t>
      </w:r>
      <w:r w:rsidR="002B6EE5" w:rsidRPr="002D6640">
        <w:t xml:space="preserve">tarts with a </w:t>
      </w:r>
      <w:r w:rsidR="009D0112" w:rsidRPr="002D6640">
        <w:t xml:space="preserve">brief history of foreknowledge </w:t>
      </w:r>
      <w:r w:rsidR="00C84C20" w:rsidRPr="002D6640">
        <w:t>arguing</w:t>
      </w:r>
      <w:r w:rsidR="002B6EE5" w:rsidRPr="002D6640">
        <w:t xml:space="preserve"> </w:t>
      </w:r>
      <w:r w:rsidRPr="002D6640">
        <w:t xml:space="preserve">for </w:t>
      </w:r>
      <w:r w:rsidR="00C84C20" w:rsidRPr="002D6640">
        <w:t>a continuous</w:t>
      </w:r>
      <w:r w:rsidR="004F75BB" w:rsidRPr="002D6640">
        <w:t xml:space="preserve"> </w:t>
      </w:r>
      <w:r w:rsidRPr="002D6640">
        <w:t xml:space="preserve">interest in foreknowledge </w:t>
      </w:r>
      <w:r w:rsidR="002B505E" w:rsidRPr="002D6640">
        <w:t xml:space="preserve">over the centuries </w:t>
      </w:r>
      <w:r w:rsidRPr="002D6640">
        <w:t xml:space="preserve">while also pointing to a significant </w:t>
      </w:r>
      <w:r w:rsidR="002B6EE5" w:rsidRPr="002D6640">
        <w:t>historical shift</w:t>
      </w:r>
      <w:r w:rsidR="000A0878" w:rsidRPr="002D6640">
        <w:t>, a main premise of her article,</w:t>
      </w:r>
      <w:r w:rsidR="00C84C20" w:rsidRPr="002D6640">
        <w:t xml:space="preserve"> for which she finds confirmation in her group of</w:t>
      </w:r>
      <w:r w:rsidRPr="002D6640">
        <w:t xml:space="preserve"> informants</w:t>
      </w:r>
      <w:r w:rsidR="00C84C20" w:rsidRPr="002D6640">
        <w:t>.</w:t>
      </w:r>
      <w:r w:rsidR="003537D8">
        <w:rPr>
          <w:rStyle w:val="FootnoteReference"/>
        </w:rPr>
        <w:footnoteReference w:id="5"/>
      </w:r>
      <w:r w:rsidR="00A4485D">
        <w:t xml:space="preserve"> </w:t>
      </w:r>
      <w:r w:rsidR="008A36E4">
        <w:t xml:space="preserve">Given the nature of the topic, </w:t>
      </w:r>
      <w:r w:rsidR="00B749DD">
        <w:t>Bennett’s</w:t>
      </w:r>
      <w:r w:rsidR="008A36E4">
        <w:t xml:space="preserve"> </w:t>
      </w:r>
      <w:r w:rsidR="00B749DD">
        <w:t xml:space="preserve">historical </w:t>
      </w:r>
      <w:r w:rsidR="008A36E4">
        <w:t xml:space="preserve">references are </w:t>
      </w:r>
      <w:r w:rsidR="00B749DD">
        <w:t>few</w:t>
      </w:r>
      <w:r w:rsidR="006E3CA8">
        <w:t xml:space="preserve"> yet significant and </w:t>
      </w:r>
      <w:r w:rsidR="008A36E4">
        <w:t xml:space="preserve">offer a solid foundation for her argument.  </w:t>
      </w:r>
      <w:r w:rsidR="009D0112" w:rsidRPr="002D6640">
        <w:t>Th</w:t>
      </w:r>
      <w:r w:rsidR="00C84C20" w:rsidRPr="002D6640">
        <w:t xml:space="preserve">e </w:t>
      </w:r>
      <w:r w:rsidR="009D0112" w:rsidRPr="002D6640">
        <w:t xml:space="preserve">shift </w:t>
      </w:r>
      <w:r w:rsidR="002B505E" w:rsidRPr="00B749DD">
        <w:t xml:space="preserve">she </w:t>
      </w:r>
      <w:r w:rsidR="00B749DD">
        <w:t>introduces</w:t>
      </w:r>
      <w:r w:rsidR="002B505E" w:rsidRPr="00B749DD">
        <w:t xml:space="preserve"> </w:t>
      </w:r>
      <w:r w:rsidR="00E37CE6" w:rsidRPr="00B749DD">
        <w:t>is</w:t>
      </w:r>
      <w:r w:rsidR="00E37CE6" w:rsidRPr="002D6640">
        <w:t xml:space="preserve"> characterized by an</w:t>
      </w:r>
      <w:r w:rsidR="009D0112" w:rsidRPr="002D6640">
        <w:t xml:space="preserve"> increasing internalization and subjectification of supernatural experiences starting with the enlightenment and the scientific revolution.</w:t>
      </w:r>
      <w:r w:rsidR="003537D8">
        <w:rPr>
          <w:rStyle w:val="FootnoteReference"/>
        </w:rPr>
        <w:footnoteReference w:id="6"/>
      </w:r>
      <w:r w:rsidR="009D0112" w:rsidRPr="002D6640">
        <w:t xml:space="preserve"> </w:t>
      </w:r>
      <w:r w:rsidR="00936A3C" w:rsidRPr="002D6640">
        <w:t>In regard to foreknowledge Bennet describes two main strands dating back to the 19</w:t>
      </w:r>
      <w:r w:rsidR="00936A3C" w:rsidRPr="002D6640">
        <w:rPr>
          <w:vertAlign w:val="superscript"/>
        </w:rPr>
        <w:t>th</w:t>
      </w:r>
      <w:r w:rsidR="00936A3C" w:rsidRPr="002D6640">
        <w:t xml:space="preserve"> century</w:t>
      </w:r>
      <w:r w:rsidR="00222BFC" w:rsidRPr="002D6640">
        <w:t xml:space="preserve">; </w:t>
      </w:r>
      <w:r w:rsidR="006B602C" w:rsidRPr="002D6640">
        <w:t xml:space="preserve">intentional divinatory practices such as astrology and fortunetellers </w:t>
      </w:r>
      <w:r w:rsidR="00E37CE6" w:rsidRPr="002D6640">
        <w:t xml:space="preserve">and </w:t>
      </w:r>
      <w:r w:rsidR="006B602C" w:rsidRPr="002D6640">
        <w:t xml:space="preserve">involuntary </w:t>
      </w:r>
      <w:r w:rsidR="00936A3C" w:rsidRPr="002D6640">
        <w:t xml:space="preserve">visionary </w:t>
      </w:r>
      <w:r w:rsidR="006B602C" w:rsidRPr="002D6640">
        <w:t>presentiments</w:t>
      </w:r>
      <w:r w:rsidR="00A4485D">
        <w:t xml:space="preserve">. </w:t>
      </w:r>
      <w:r w:rsidR="00406A98" w:rsidRPr="002D6640">
        <w:t xml:space="preserve">While her </w:t>
      </w:r>
      <w:r w:rsidR="007C20B6">
        <w:t xml:space="preserve">female </w:t>
      </w:r>
      <w:r w:rsidR="00406A98" w:rsidRPr="002D6640">
        <w:t xml:space="preserve">informants were </w:t>
      </w:r>
      <w:r w:rsidR="005D5437" w:rsidRPr="002D6640">
        <w:t>familiar with both strands</w:t>
      </w:r>
      <w:r w:rsidR="00406A98" w:rsidRPr="002D6640">
        <w:t>,</w:t>
      </w:r>
      <w:r w:rsidR="005D5437" w:rsidRPr="002D6640">
        <w:t xml:space="preserve"> </w:t>
      </w:r>
      <w:r w:rsidR="00B122C7" w:rsidRPr="002D6640">
        <w:t>the</w:t>
      </w:r>
      <w:r w:rsidR="00406A98" w:rsidRPr="002D6640">
        <w:t>y exhibited</w:t>
      </w:r>
      <w:r w:rsidR="00B122C7" w:rsidRPr="002D6640">
        <w:t xml:space="preserve"> a noticeable ‘preference for the visionary over the divinatory tradition’</w:t>
      </w:r>
      <w:r w:rsidR="00B749DD">
        <w:t xml:space="preserve"> in keeping with the </w:t>
      </w:r>
      <w:r w:rsidR="00E62582">
        <w:t xml:space="preserve">outlined </w:t>
      </w:r>
      <w:r w:rsidR="00B749DD">
        <w:t>trend toward subjectification</w:t>
      </w:r>
      <w:r w:rsidR="00985E44" w:rsidRPr="002D6640">
        <w:t>.</w:t>
      </w:r>
      <w:r w:rsidR="003537D8">
        <w:rPr>
          <w:rStyle w:val="FootnoteReference"/>
        </w:rPr>
        <w:footnoteReference w:id="7"/>
      </w:r>
      <w:r w:rsidR="00985E44" w:rsidRPr="002D6640">
        <w:t xml:space="preserve"> After presenting her research </w:t>
      </w:r>
      <w:r w:rsidR="00A4485D">
        <w:t>findings</w:t>
      </w:r>
      <w:r w:rsidR="00985E44" w:rsidRPr="002D6640">
        <w:t xml:space="preserve"> she </w:t>
      </w:r>
      <w:r w:rsidR="00A4485D">
        <w:t>concludes</w:t>
      </w:r>
      <w:r w:rsidR="00985E44" w:rsidRPr="002D6640">
        <w:t xml:space="preserve"> her article with an interpretation of this preference. </w:t>
      </w:r>
      <w:r w:rsidR="00936A3C" w:rsidRPr="002D6640">
        <w:t xml:space="preserve"> </w:t>
      </w:r>
    </w:p>
    <w:p w14:paraId="0C6CB66E" w14:textId="4F1F8A8D" w:rsidR="00935030" w:rsidRPr="00B556CC" w:rsidRDefault="00985E44" w:rsidP="007D476A">
      <w:pPr>
        <w:ind w:firstLine="720"/>
      </w:pPr>
      <w:r w:rsidRPr="00A4485D">
        <w:t xml:space="preserve">Though Bennet’s work is clearly qualitative since it is based on in-depth interviews and subsequent interpretation, in her conclusion she also mentions a ‘functional picture’ she attempted to paint which speaks more of a </w:t>
      </w:r>
      <w:r w:rsidR="00F40E7D" w:rsidRPr="00A4485D">
        <w:t xml:space="preserve">positivist </w:t>
      </w:r>
      <w:r w:rsidRPr="00A4485D">
        <w:t xml:space="preserve">quantitative approach. </w:t>
      </w:r>
      <w:r w:rsidR="00F40E7D" w:rsidRPr="00A4485D">
        <w:t xml:space="preserve"> The two </w:t>
      </w:r>
      <w:r w:rsidRPr="00A4485D">
        <w:t xml:space="preserve">research </w:t>
      </w:r>
      <w:r w:rsidR="00F40E7D" w:rsidRPr="00A4485D">
        <w:t xml:space="preserve">methods are </w:t>
      </w:r>
      <w:r w:rsidRPr="00A4485D">
        <w:t>not mutually exclusive</w:t>
      </w:r>
      <w:r w:rsidR="00F40E7D" w:rsidRPr="00A4485D">
        <w:t xml:space="preserve"> though a </w:t>
      </w:r>
      <w:r w:rsidR="00F40E7D" w:rsidRPr="00A4485D">
        <w:lastRenderedPageBreak/>
        <w:t>clearer differentiation on Bennet’s part would have been helpful for readers</w:t>
      </w:r>
      <w:r w:rsidR="00EA186D" w:rsidRPr="00A4485D">
        <w:t>.</w:t>
      </w:r>
      <w:r w:rsidR="004439FC">
        <w:rPr>
          <w:rStyle w:val="FootnoteReference"/>
        </w:rPr>
        <w:footnoteReference w:id="8"/>
      </w:r>
      <w:r w:rsidR="00F40E7D" w:rsidRPr="00A4485D">
        <w:t xml:space="preserve"> </w:t>
      </w:r>
      <w:r w:rsidR="00A4485D">
        <w:t xml:space="preserve">Given her research interest, </w:t>
      </w:r>
      <w:r w:rsidR="00E62582">
        <w:t xml:space="preserve">people’s </w:t>
      </w:r>
      <w:r w:rsidR="00635DB6">
        <w:t>beliefs</w:t>
      </w:r>
      <w:r w:rsidR="00B556CC">
        <w:t xml:space="preserve"> and experiences regarding foreknowledge</w:t>
      </w:r>
      <w:r w:rsidR="00635DB6">
        <w:t xml:space="preserve">, </w:t>
      </w:r>
      <w:r w:rsidR="00A4485D">
        <w:t xml:space="preserve">interviews are an </w:t>
      </w:r>
      <w:r w:rsidR="00635DB6">
        <w:t>app</w:t>
      </w:r>
      <w:r w:rsidR="00B556CC">
        <w:t>osite</w:t>
      </w:r>
      <w:r w:rsidR="00635DB6">
        <w:t xml:space="preserve"> research </w:t>
      </w:r>
      <w:r w:rsidR="00B556CC">
        <w:t xml:space="preserve">method. </w:t>
      </w:r>
      <w:r w:rsidR="00A4485D" w:rsidRPr="00B556CC">
        <w:t xml:space="preserve">However, </w:t>
      </w:r>
      <w:r w:rsidR="00F40E7D" w:rsidRPr="00B556CC">
        <w:t xml:space="preserve">Bennett </w:t>
      </w:r>
      <w:r w:rsidR="00540DE8" w:rsidRPr="00B556CC">
        <w:t>never makes clear her own position</w:t>
      </w:r>
      <w:r w:rsidR="00957454" w:rsidRPr="00B556CC">
        <w:t xml:space="preserve"> regarding her subject of investigation </w:t>
      </w:r>
      <w:r w:rsidR="007C20B6">
        <w:t>–</w:t>
      </w:r>
      <w:r w:rsidR="00957454" w:rsidRPr="00B556CC">
        <w:t xml:space="preserve"> </w:t>
      </w:r>
      <w:r w:rsidR="007C20B6">
        <w:t xml:space="preserve">her </w:t>
      </w:r>
      <w:r w:rsidR="00950244" w:rsidRPr="00950244">
        <w:t xml:space="preserve">‘own values, self-identity or ideologies’ </w:t>
      </w:r>
      <w:r w:rsidR="00957454" w:rsidRPr="00950244">
        <w:t>-</w:t>
      </w:r>
      <w:r w:rsidR="00957454" w:rsidRPr="00B556CC">
        <w:t xml:space="preserve"> </w:t>
      </w:r>
      <w:r w:rsidR="007A7C42" w:rsidRPr="00B556CC">
        <w:t xml:space="preserve">which is </w:t>
      </w:r>
      <w:r w:rsidR="00957454" w:rsidRPr="00B556CC">
        <w:t xml:space="preserve">essential practice </w:t>
      </w:r>
      <w:r w:rsidR="00540DE8" w:rsidRPr="00B556CC">
        <w:t xml:space="preserve">in </w:t>
      </w:r>
      <w:r w:rsidR="00957454" w:rsidRPr="00B556CC">
        <w:t xml:space="preserve">qualitative </w:t>
      </w:r>
      <w:r w:rsidR="00540DE8" w:rsidRPr="00B556CC">
        <w:t xml:space="preserve">research </w:t>
      </w:r>
      <w:r w:rsidR="00F571DC" w:rsidRPr="00B556CC">
        <w:t xml:space="preserve">to </w:t>
      </w:r>
      <w:r w:rsidRPr="00B556CC">
        <w:t>control for</w:t>
      </w:r>
      <w:r w:rsidR="00F40E7D" w:rsidRPr="00B556CC">
        <w:t xml:space="preserve"> </w:t>
      </w:r>
      <w:r w:rsidR="00F571DC" w:rsidRPr="00B556CC">
        <w:t>personal bias.</w:t>
      </w:r>
      <w:r w:rsidR="00EA110E">
        <w:rPr>
          <w:rStyle w:val="FootnoteReference"/>
        </w:rPr>
        <w:footnoteReference w:id="9"/>
      </w:r>
      <w:r w:rsidR="00EA110E">
        <w:t xml:space="preserve"> </w:t>
      </w:r>
      <w:r w:rsidR="003C591B" w:rsidRPr="00B556CC">
        <w:t>She writes</w:t>
      </w:r>
      <w:r w:rsidR="00B556CC">
        <w:t xml:space="preserve"> </w:t>
      </w:r>
      <w:r w:rsidR="00F571DC" w:rsidRPr="00B556CC">
        <w:t xml:space="preserve">that </w:t>
      </w:r>
      <w:r w:rsidR="00B556CC">
        <w:t>her</w:t>
      </w:r>
      <w:r w:rsidR="003C591B" w:rsidRPr="00B556CC">
        <w:t xml:space="preserve"> </w:t>
      </w:r>
      <w:r w:rsidR="00B556CC" w:rsidRPr="00B556CC">
        <w:rPr>
          <w:b/>
          <w:bCs/>
        </w:rPr>
        <w:t>‘</w:t>
      </w:r>
      <w:r w:rsidR="00B556CC" w:rsidRPr="00B556CC">
        <w:t>subject of research might be thought “delicate” or controversial’</w:t>
      </w:r>
      <w:r w:rsidR="00981438" w:rsidRPr="00B556CC">
        <w:t>,</w:t>
      </w:r>
      <w:r w:rsidR="00F571DC" w:rsidRPr="00B556CC">
        <w:t xml:space="preserve"> but the reader never learns if</w:t>
      </w:r>
      <w:r w:rsidR="007A7C42" w:rsidRPr="00B556CC">
        <w:t xml:space="preserve"> she </w:t>
      </w:r>
      <w:r w:rsidR="00F571DC" w:rsidRPr="00B556CC">
        <w:t xml:space="preserve">is herself </w:t>
      </w:r>
      <w:r w:rsidR="007A7C42" w:rsidRPr="00B556CC">
        <w:t xml:space="preserve">a practitioner of some divinatory </w:t>
      </w:r>
      <w:r w:rsidR="00F571DC" w:rsidRPr="00B556CC">
        <w:t xml:space="preserve">or visionary </w:t>
      </w:r>
      <w:r w:rsidR="007A7C42" w:rsidRPr="00B556CC">
        <w:t>art</w:t>
      </w:r>
      <w:r w:rsidR="00F571DC" w:rsidRPr="00B556CC">
        <w:t xml:space="preserve"> </w:t>
      </w:r>
      <w:r w:rsidR="007A7C42" w:rsidRPr="00B556CC">
        <w:t xml:space="preserve">or </w:t>
      </w:r>
      <w:r w:rsidR="00F571DC" w:rsidRPr="00B556CC">
        <w:t>if she</w:t>
      </w:r>
      <w:r w:rsidR="00F40E7D" w:rsidRPr="00B556CC">
        <w:t xml:space="preserve"> is a </w:t>
      </w:r>
      <w:r w:rsidR="007A7C42" w:rsidRPr="00B556CC">
        <w:t>non-believ</w:t>
      </w:r>
      <w:r w:rsidR="00F571DC" w:rsidRPr="00B556CC">
        <w:t>ing</w:t>
      </w:r>
      <w:r w:rsidR="007A7C42" w:rsidRPr="00B556CC">
        <w:t xml:space="preserve"> academic </w:t>
      </w:r>
      <w:r w:rsidR="00F571DC" w:rsidRPr="00B556CC">
        <w:t>outsider</w:t>
      </w:r>
      <w:r w:rsidR="007A7C42" w:rsidRPr="00B556CC">
        <w:t>.</w:t>
      </w:r>
      <w:r w:rsidR="00EA110E">
        <w:rPr>
          <w:rStyle w:val="FootnoteReference"/>
        </w:rPr>
        <w:footnoteReference w:id="10"/>
      </w:r>
      <w:r w:rsidR="00B556CC">
        <w:t xml:space="preserve"> </w:t>
      </w:r>
      <w:r w:rsidR="00981438" w:rsidRPr="00B556CC">
        <w:t>Th</w:t>
      </w:r>
      <w:r w:rsidR="00A869A4" w:rsidRPr="00B556CC">
        <w:t>is</w:t>
      </w:r>
      <w:r w:rsidR="00981438" w:rsidRPr="00B556CC">
        <w:t xml:space="preserve"> lack of disclosure makes it difficult for readers to </w:t>
      </w:r>
      <w:r w:rsidR="00A869A4" w:rsidRPr="00B556CC">
        <w:t xml:space="preserve">accurately </w:t>
      </w:r>
      <w:r w:rsidR="00981438" w:rsidRPr="00B556CC">
        <w:t>evaluate her work</w:t>
      </w:r>
      <w:r w:rsidR="00F40E7D" w:rsidRPr="00B556CC">
        <w:t xml:space="preserve">. </w:t>
      </w:r>
      <w:r w:rsidR="00935030" w:rsidRPr="00B556CC">
        <w:t>Bennet</w:t>
      </w:r>
      <w:r w:rsidR="00F4083D">
        <w:t>t’s manner of</w:t>
      </w:r>
      <w:r w:rsidR="00935030" w:rsidRPr="00B556CC">
        <w:t xml:space="preserve"> access</w:t>
      </w:r>
      <w:r w:rsidR="00F4083D">
        <w:t>ing</w:t>
      </w:r>
      <w:r w:rsidR="00935030" w:rsidRPr="00B556CC">
        <w:t xml:space="preserve"> her informants </w:t>
      </w:r>
      <w:r w:rsidR="00F4083D">
        <w:t xml:space="preserve">appears not only random and careless but it </w:t>
      </w:r>
      <w:r w:rsidR="00935030" w:rsidRPr="00B556CC">
        <w:t>also raises</w:t>
      </w:r>
      <w:r w:rsidR="00007014">
        <w:t xml:space="preserve"> concerns </w:t>
      </w:r>
      <w:r w:rsidR="00935030" w:rsidRPr="00B556CC">
        <w:t>by today’s ethical standards</w:t>
      </w:r>
      <w:r w:rsidR="00041655" w:rsidRPr="00B556CC">
        <w:t>.</w:t>
      </w:r>
      <w:r w:rsidR="007A7C42" w:rsidRPr="00B556CC">
        <w:t xml:space="preserve"> </w:t>
      </w:r>
      <w:r w:rsidR="00F4083D">
        <w:t xml:space="preserve">Her informants </w:t>
      </w:r>
      <w:r w:rsidR="000702F5" w:rsidRPr="00B556CC">
        <w:t xml:space="preserve">were patients of her </w:t>
      </w:r>
      <w:r w:rsidR="007A7C42" w:rsidRPr="00B556CC">
        <w:t xml:space="preserve">father’s podiatrist practice </w:t>
      </w:r>
      <w:r w:rsidR="000702F5" w:rsidRPr="00B556CC">
        <w:t>and may have felt pressured into answering sensitive questions for fear of jeopardizing their care.</w:t>
      </w:r>
      <w:r w:rsidR="00EA110E">
        <w:rPr>
          <w:rStyle w:val="FootnoteReference"/>
        </w:rPr>
        <w:footnoteReference w:id="11"/>
      </w:r>
    </w:p>
    <w:p w14:paraId="22AADD48" w14:textId="32BF298A" w:rsidR="0091345F" w:rsidRDefault="00933D1E" w:rsidP="007D476A">
      <w:pPr>
        <w:ind w:firstLine="720"/>
      </w:pPr>
      <w:r w:rsidRPr="007D476A">
        <w:t>Bennet</w:t>
      </w:r>
      <w:r w:rsidR="00AE72B1">
        <w:t xml:space="preserve"> </w:t>
      </w:r>
      <w:r w:rsidR="004A1DCC" w:rsidRPr="007D476A">
        <w:t>uses</w:t>
      </w:r>
      <w:r w:rsidRPr="007D476A">
        <w:t xml:space="preserve"> the </w:t>
      </w:r>
      <w:r w:rsidR="0021519A" w:rsidRPr="007D476A">
        <w:t xml:space="preserve">verbal and nonverbal </w:t>
      </w:r>
      <w:r w:rsidRPr="007D476A">
        <w:t>language</w:t>
      </w:r>
      <w:r w:rsidR="0021519A" w:rsidRPr="007D476A">
        <w:t xml:space="preserve"> </w:t>
      </w:r>
      <w:r w:rsidR="004A1DCC" w:rsidRPr="007D476A">
        <w:t xml:space="preserve">of her </w:t>
      </w:r>
      <w:r w:rsidRPr="007D476A">
        <w:t xml:space="preserve">informants </w:t>
      </w:r>
      <w:r w:rsidR="004A1DCC" w:rsidRPr="007D476A">
        <w:t>as a basis of analysis.</w:t>
      </w:r>
      <w:r w:rsidR="00EA110E">
        <w:rPr>
          <w:rStyle w:val="FootnoteReference"/>
        </w:rPr>
        <w:footnoteReference w:id="12"/>
      </w:r>
      <w:r w:rsidR="007D476A">
        <w:t xml:space="preserve"> </w:t>
      </w:r>
      <w:r w:rsidR="0021519A" w:rsidRPr="007D476A">
        <w:t>While describing visionary experiences</w:t>
      </w:r>
      <w:r w:rsidR="008738C3" w:rsidRPr="007D476A">
        <w:t>, her</w:t>
      </w:r>
      <w:r w:rsidR="0021519A" w:rsidRPr="007D476A">
        <w:t xml:space="preserve"> informants </w:t>
      </w:r>
      <w:r w:rsidR="00EC1AFB" w:rsidRPr="007D476A">
        <w:t>were</w:t>
      </w:r>
      <w:r w:rsidR="0021519A" w:rsidRPr="007D476A">
        <w:t xml:space="preserve"> ‘shamefaced’, they report</w:t>
      </w:r>
      <w:r w:rsidR="00EC1AFB" w:rsidRPr="007D476A">
        <w:t>ed</w:t>
      </w:r>
      <w:r w:rsidR="0021519A" w:rsidRPr="007D476A">
        <w:t xml:space="preserve"> ‘queer feelings’ and recount</w:t>
      </w:r>
      <w:r w:rsidR="00EC1AFB" w:rsidRPr="007D476A">
        <w:t>ed</w:t>
      </w:r>
      <w:r w:rsidR="0021519A" w:rsidRPr="007D476A">
        <w:t xml:space="preserve"> their experiences with great attention to detail </w:t>
      </w:r>
      <w:r w:rsidR="00A1219D" w:rsidRPr="007D476A">
        <w:t xml:space="preserve">whereas </w:t>
      </w:r>
      <w:r w:rsidR="00EC1AFB" w:rsidRPr="007D476A">
        <w:t>informants</w:t>
      </w:r>
      <w:r w:rsidR="00A1219D" w:rsidRPr="007D476A">
        <w:t xml:space="preserve"> describing divinatory </w:t>
      </w:r>
      <w:r w:rsidR="008C73F9" w:rsidRPr="007D476A">
        <w:t xml:space="preserve">practices gave </w:t>
      </w:r>
      <w:r w:rsidR="008738C3" w:rsidRPr="007D476A">
        <w:t xml:space="preserve">short, </w:t>
      </w:r>
      <w:r w:rsidR="008C73F9" w:rsidRPr="007D476A">
        <w:t>objective</w:t>
      </w:r>
      <w:r w:rsidR="008738C3" w:rsidRPr="007D476A">
        <w:t>,</w:t>
      </w:r>
      <w:r w:rsidR="008C73F9" w:rsidRPr="007D476A">
        <w:t xml:space="preserve"> and impersonal reports </w:t>
      </w:r>
      <w:r w:rsidR="008738C3" w:rsidRPr="007D476A">
        <w:t>without any</w:t>
      </w:r>
      <w:r w:rsidR="008C73F9" w:rsidRPr="007D476A">
        <w:t xml:space="preserve"> orienting detail</w:t>
      </w:r>
      <w:r w:rsidR="008738C3" w:rsidRPr="007D476A">
        <w:t>s.</w:t>
      </w:r>
      <w:r w:rsidR="00EA110E">
        <w:rPr>
          <w:rStyle w:val="FootnoteReference"/>
        </w:rPr>
        <w:footnoteReference w:id="13"/>
      </w:r>
      <w:r w:rsidR="008738C3" w:rsidRPr="007D476A">
        <w:t xml:space="preserve"> </w:t>
      </w:r>
      <w:r w:rsidR="00415D2F" w:rsidRPr="007D476A">
        <w:t>Divinatory explanations</w:t>
      </w:r>
      <w:r w:rsidR="007D476A">
        <w:t>, the author suggests,</w:t>
      </w:r>
      <w:r w:rsidR="00415D2F" w:rsidRPr="007D476A">
        <w:t xml:space="preserve"> have a layer of distance and objectivity built into them because they involve another person, such as a fortune teller or astrologer</w:t>
      </w:r>
      <w:r w:rsidR="009E4288" w:rsidRPr="007D476A">
        <w:t xml:space="preserve">, </w:t>
      </w:r>
      <w:r w:rsidR="00415D2F" w:rsidRPr="007D476A">
        <w:t xml:space="preserve">while accounts of personal foreknowledge are subjective and the person’s ‘credibility and self-respect are dependent on it, like witnesses in a </w:t>
      </w:r>
      <w:r w:rsidR="00415D2F" w:rsidRPr="006856B1">
        <w:t>courtroom’.</w:t>
      </w:r>
      <w:r w:rsidR="00EA110E">
        <w:rPr>
          <w:rStyle w:val="FootnoteReference"/>
        </w:rPr>
        <w:footnoteReference w:id="14"/>
      </w:r>
      <w:r w:rsidR="006856B1" w:rsidRPr="006856B1">
        <w:t xml:space="preserve"> Bennet argues that the structure and presentation of the stories is markedly different</w:t>
      </w:r>
      <w:r w:rsidR="00E62582">
        <w:t xml:space="preserve"> depending on the type of foreknowledge reported</w:t>
      </w:r>
      <w:r w:rsidR="006856B1" w:rsidRPr="006856B1">
        <w:t>.</w:t>
      </w:r>
      <w:r w:rsidR="00EA110E">
        <w:rPr>
          <w:rStyle w:val="FootnoteReference"/>
        </w:rPr>
        <w:footnoteReference w:id="15"/>
      </w:r>
    </w:p>
    <w:p w14:paraId="2808AF58" w14:textId="3BECC73E" w:rsidR="00F20C4D" w:rsidRDefault="00A37951" w:rsidP="003B4939">
      <w:pPr>
        <w:ind w:firstLine="720"/>
      </w:pPr>
      <w:r w:rsidRPr="007D476A">
        <w:t xml:space="preserve">Bennet’s principal analytical and interpretive framework is based on gender. </w:t>
      </w:r>
      <w:r w:rsidR="009E4288" w:rsidRPr="007D476A">
        <w:t>She claims</w:t>
      </w:r>
      <w:r w:rsidRPr="007D476A">
        <w:t xml:space="preserve"> </w:t>
      </w:r>
      <w:r w:rsidR="009E4288" w:rsidRPr="007D476A">
        <w:t xml:space="preserve">that </w:t>
      </w:r>
      <w:r w:rsidRPr="007D476A">
        <w:t xml:space="preserve">in her informants’ accounts </w:t>
      </w:r>
      <w:r w:rsidR="009E4288" w:rsidRPr="007D476A">
        <w:t>there is an important difference between divinatory and visionary experiences regarding the recipients of the foreknowledge. In visionary experiences, the foreknowledge was generally ‘other-person-centered’ and mostly involved male family members while in divination the recipient was mostly the informant herself.</w:t>
      </w:r>
      <w:r w:rsidR="00EA110E">
        <w:rPr>
          <w:rStyle w:val="FootnoteReference"/>
        </w:rPr>
        <w:footnoteReference w:id="16"/>
      </w:r>
      <w:r w:rsidR="009E4288" w:rsidRPr="007D476A">
        <w:t xml:space="preserve"> </w:t>
      </w:r>
      <w:r w:rsidR="0066012C" w:rsidRPr="007D476A">
        <w:t xml:space="preserve">She also notes that the </w:t>
      </w:r>
      <w:r w:rsidR="009E4288" w:rsidRPr="007D476A">
        <w:t xml:space="preserve">women who had visionary experiences </w:t>
      </w:r>
      <w:r w:rsidR="0066012C" w:rsidRPr="007D476A">
        <w:t xml:space="preserve">consistently </w:t>
      </w:r>
      <w:r w:rsidR="009E4288" w:rsidRPr="007D476A">
        <w:t xml:space="preserve">described their foreknowledge as involuntary and unbidden while </w:t>
      </w:r>
      <w:r w:rsidR="0066012C" w:rsidRPr="007D476A">
        <w:t xml:space="preserve">those who sought </w:t>
      </w:r>
      <w:r w:rsidR="009E4288" w:rsidRPr="007D476A">
        <w:t xml:space="preserve">divinatory </w:t>
      </w:r>
      <w:r w:rsidR="0066012C" w:rsidRPr="007D476A">
        <w:t>council</w:t>
      </w:r>
      <w:r w:rsidR="009E4288" w:rsidRPr="007D476A">
        <w:t xml:space="preserve"> </w:t>
      </w:r>
      <w:r w:rsidR="0066012C" w:rsidRPr="007D476A">
        <w:t xml:space="preserve">downplayed their involvement in seeking </w:t>
      </w:r>
      <w:r w:rsidR="00B11360" w:rsidRPr="007D476A">
        <w:t xml:space="preserve">this </w:t>
      </w:r>
      <w:r w:rsidR="0066012C" w:rsidRPr="007D476A">
        <w:t xml:space="preserve">information. </w:t>
      </w:r>
      <w:r w:rsidR="009E4288" w:rsidRPr="007D476A">
        <w:t xml:space="preserve"> </w:t>
      </w:r>
      <w:r w:rsidR="0066012C" w:rsidRPr="007D476A">
        <w:t>Bennet argues</w:t>
      </w:r>
      <w:r w:rsidR="009E4288" w:rsidRPr="007D476A">
        <w:t xml:space="preserve"> that these differences are significant and that they are not only morally charged but also evaluated according to certain values and belief systems. She describes the lives of her elderly informants as ‘geared to traditional roles and pursuits’ and to a vision of women as </w:t>
      </w:r>
      <w:r w:rsidR="00BB2215">
        <w:t>‘</w:t>
      </w:r>
      <w:r w:rsidR="009E4288" w:rsidRPr="007D476A">
        <w:t>intuitive, caring, and unassertive</w:t>
      </w:r>
      <w:r w:rsidR="00BB2215">
        <w:t>’</w:t>
      </w:r>
      <w:r w:rsidR="009E4288" w:rsidRPr="007D476A">
        <w:t>.</w:t>
      </w:r>
      <w:r w:rsidR="00EA110E">
        <w:rPr>
          <w:rStyle w:val="FootnoteReference"/>
        </w:rPr>
        <w:footnoteReference w:id="17"/>
      </w:r>
      <w:r w:rsidR="009E4288" w:rsidRPr="007D476A">
        <w:t xml:space="preserve"> </w:t>
      </w:r>
      <w:r w:rsidR="0066012C" w:rsidRPr="007D476A">
        <w:t>She then suggests</w:t>
      </w:r>
      <w:r w:rsidR="009E4288" w:rsidRPr="007D476A">
        <w:t xml:space="preserve"> that </w:t>
      </w:r>
      <w:r w:rsidR="00BA4836">
        <w:t xml:space="preserve">their </w:t>
      </w:r>
      <w:r w:rsidR="009E4288" w:rsidRPr="007D476A">
        <w:t xml:space="preserve">psychic stories are structured in a way that </w:t>
      </w:r>
      <w:r w:rsidR="000529B2">
        <w:t>conforms to</w:t>
      </w:r>
      <w:r w:rsidR="009E4288" w:rsidRPr="007D476A">
        <w:t xml:space="preserve"> these traditional gender roles whi</w:t>
      </w:r>
      <w:r w:rsidR="000529B2">
        <w:t xml:space="preserve">le also </w:t>
      </w:r>
      <w:r w:rsidR="009E4288" w:rsidRPr="007D476A">
        <w:t>convey</w:t>
      </w:r>
      <w:r w:rsidR="000529B2">
        <w:t>ing</w:t>
      </w:r>
      <w:r w:rsidR="009E4288" w:rsidRPr="007D476A">
        <w:t xml:space="preserve"> status and ‘feminine merit’ to the women</w:t>
      </w:r>
      <w:r w:rsidR="002862C8">
        <w:t>.</w:t>
      </w:r>
      <w:r w:rsidR="002862C8">
        <w:rPr>
          <w:rStyle w:val="FootnoteReference"/>
        </w:rPr>
        <w:footnoteReference w:id="18"/>
      </w:r>
      <w:r w:rsidR="009E4288" w:rsidRPr="007D476A">
        <w:t xml:space="preserve"> </w:t>
      </w:r>
      <w:r w:rsidR="000529B2">
        <w:t>The passivity of p</w:t>
      </w:r>
      <w:r w:rsidR="009E4288" w:rsidRPr="007D476A">
        <w:t xml:space="preserve">sychic foreknowledge </w:t>
      </w:r>
      <w:r w:rsidR="006E7B0A">
        <w:t xml:space="preserve">is </w:t>
      </w:r>
      <w:r w:rsidR="009E4288" w:rsidRPr="007D476A">
        <w:t>perfectly befitting of the female role</w:t>
      </w:r>
      <w:r w:rsidR="00F83BA5">
        <w:t xml:space="preserve"> which, so </w:t>
      </w:r>
      <w:r w:rsidR="00F83BA5" w:rsidRPr="00BB2215">
        <w:t>Bennett,</w:t>
      </w:r>
      <w:r w:rsidR="009E4288" w:rsidRPr="00BB2215">
        <w:t xml:space="preserve"> </w:t>
      </w:r>
      <w:r w:rsidR="00C9070A" w:rsidRPr="00BB2215">
        <w:t>can e</w:t>
      </w:r>
      <w:r w:rsidR="009E4288" w:rsidRPr="00BB2215">
        <w:t xml:space="preserve">xplain the </w:t>
      </w:r>
      <w:r w:rsidR="00F83BA5" w:rsidRPr="00BB2215">
        <w:t xml:space="preserve">women’s </w:t>
      </w:r>
      <w:r w:rsidR="00AF44F4" w:rsidRPr="00BB2215">
        <w:lastRenderedPageBreak/>
        <w:t>embrace of the ‘receptive-subjective visionary tradition’ and simultaneous rejection</w:t>
      </w:r>
      <w:r w:rsidR="00AF44F4">
        <w:t xml:space="preserve"> of the </w:t>
      </w:r>
      <w:r w:rsidR="009E4288" w:rsidRPr="007D476A">
        <w:t>‘active-objective divinatory tradition</w:t>
      </w:r>
      <w:r w:rsidR="00AF44F4">
        <w:t>’</w:t>
      </w:r>
      <w:r w:rsidR="00BB2215">
        <w:t>.</w:t>
      </w:r>
      <w:r w:rsidR="002862C8">
        <w:rPr>
          <w:rStyle w:val="FootnoteReference"/>
        </w:rPr>
        <w:footnoteReference w:id="19"/>
      </w:r>
    </w:p>
    <w:p w14:paraId="5EB84A62" w14:textId="73E6FCD7" w:rsidR="00F20C4D" w:rsidRPr="001838BD" w:rsidRDefault="00B11360" w:rsidP="001838BD">
      <w:pPr>
        <w:ind w:firstLine="720"/>
        <w:rPr>
          <w:strike/>
        </w:rPr>
      </w:pPr>
      <w:r w:rsidRPr="006E7B0A">
        <w:t xml:space="preserve">Blain’s article </w:t>
      </w:r>
      <w:r w:rsidR="00EE67A8" w:rsidRPr="006E7B0A">
        <w:t>strikes an interesting balance between captivating creative storytelling and an engagement with complex theoretical issues</w:t>
      </w:r>
      <w:r w:rsidR="003F1496" w:rsidRPr="006E7B0A">
        <w:t xml:space="preserve"> which reflects the clash between the shamanic world of </w:t>
      </w:r>
      <w:proofErr w:type="spellStart"/>
      <w:r w:rsidR="003F1496" w:rsidRPr="006E7B0A">
        <w:t>seidr</w:t>
      </w:r>
      <w:proofErr w:type="spellEnd"/>
      <w:r w:rsidR="003F1496" w:rsidRPr="006E7B0A">
        <w:t xml:space="preserve"> and academia </w:t>
      </w:r>
      <w:r w:rsidRPr="006E7B0A">
        <w:t xml:space="preserve">which </w:t>
      </w:r>
      <w:r w:rsidR="003F1496" w:rsidRPr="006E7B0A">
        <w:t xml:space="preserve">the article </w:t>
      </w:r>
      <w:r w:rsidRPr="006E7B0A">
        <w:t>discusses</w:t>
      </w:r>
      <w:r w:rsidR="003262F1" w:rsidRPr="006E7B0A">
        <w:t>.</w:t>
      </w:r>
      <w:r w:rsidR="00472D38" w:rsidRPr="006E7B0A">
        <w:t xml:space="preserve"> </w:t>
      </w:r>
      <w:r w:rsidR="003262F1" w:rsidRPr="006E7B0A">
        <w:t>Blain</w:t>
      </w:r>
      <w:r w:rsidR="00D6475A" w:rsidRPr="006E7B0A">
        <w:t xml:space="preserve"> wan</w:t>
      </w:r>
      <w:r w:rsidR="003262F1" w:rsidRPr="006E7B0A">
        <w:t xml:space="preserve">ts to </w:t>
      </w:r>
      <w:r w:rsidR="00D6475A" w:rsidRPr="006E7B0A">
        <w:t>‘create an effect’</w:t>
      </w:r>
      <w:r w:rsidR="003262F1" w:rsidRPr="006E7B0A">
        <w:t xml:space="preserve"> and attempts to draw </w:t>
      </w:r>
      <w:r w:rsidR="00CA3987" w:rsidRPr="006E7B0A">
        <w:t xml:space="preserve">her </w:t>
      </w:r>
      <w:r w:rsidR="003262F1" w:rsidRPr="006E7B0A">
        <w:t xml:space="preserve">academic </w:t>
      </w:r>
      <w:r w:rsidR="00CA3987" w:rsidRPr="006E7B0A">
        <w:t>audience from their comfortable</w:t>
      </w:r>
      <w:r w:rsidR="003262F1" w:rsidRPr="006E7B0A">
        <w:t xml:space="preserve"> </w:t>
      </w:r>
      <w:r w:rsidR="00CA3987" w:rsidRPr="006E7B0A">
        <w:t xml:space="preserve">objective outsider position into the subjective embodied experience of the </w:t>
      </w:r>
      <w:proofErr w:type="spellStart"/>
      <w:r w:rsidR="00CA3987" w:rsidRPr="006E7B0A">
        <w:t>seidr</w:t>
      </w:r>
      <w:proofErr w:type="spellEnd"/>
      <w:r w:rsidR="00CA3987" w:rsidRPr="006E7B0A">
        <w:t xml:space="preserve"> worker.</w:t>
      </w:r>
      <w:r w:rsidR="00B03F29">
        <w:rPr>
          <w:rStyle w:val="FootnoteReference"/>
        </w:rPr>
        <w:footnoteReference w:id="20"/>
      </w:r>
      <w:r w:rsidR="00504672">
        <w:t xml:space="preserve"> </w:t>
      </w:r>
      <w:r w:rsidR="00D6475A" w:rsidRPr="006E7B0A">
        <w:t xml:space="preserve">At the same </w:t>
      </w:r>
      <w:r w:rsidR="00CA3987" w:rsidRPr="006E7B0A">
        <w:t>time,</w:t>
      </w:r>
      <w:r w:rsidR="00D6475A" w:rsidRPr="006E7B0A">
        <w:t xml:space="preserve"> she </w:t>
      </w:r>
      <w:r w:rsidR="003F1496" w:rsidRPr="006E7B0A">
        <w:t>provid</w:t>
      </w:r>
      <w:r w:rsidR="00D6475A" w:rsidRPr="006E7B0A">
        <w:t xml:space="preserve">es </w:t>
      </w:r>
      <w:r w:rsidR="00C40FC6" w:rsidRPr="006E7B0A">
        <w:t xml:space="preserve">her </w:t>
      </w:r>
      <w:r w:rsidR="009632A0" w:rsidRPr="006E7B0A">
        <w:t>potentially sceptic</w:t>
      </w:r>
      <w:r w:rsidR="00405891">
        <w:t xml:space="preserve"> and </w:t>
      </w:r>
      <w:r w:rsidR="009632A0" w:rsidRPr="006E7B0A">
        <w:t xml:space="preserve"> </w:t>
      </w:r>
      <w:r w:rsidR="00405891" w:rsidRPr="006E7B0A">
        <w:t>‘</w:t>
      </w:r>
      <w:proofErr w:type="spellStart"/>
      <w:r w:rsidR="00405891" w:rsidRPr="006E7B0A">
        <w:t>shamanopho</w:t>
      </w:r>
      <w:r w:rsidR="00405891">
        <w:t>b</w:t>
      </w:r>
      <w:r w:rsidR="00405891" w:rsidRPr="006E7B0A">
        <w:t>ic</w:t>
      </w:r>
      <w:proofErr w:type="spellEnd"/>
      <w:r w:rsidR="00405891" w:rsidRPr="006E7B0A">
        <w:t xml:space="preserve">’ </w:t>
      </w:r>
      <w:r w:rsidR="0078045F" w:rsidRPr="006E7B0A">
        <w:t>a</w:t>
      </w:r>
      <w:r w:rsidR="00C40FC6" w:rsidRPr="006E7B0A">
        <w:t>udience</w:t>
      </w:r>
      <w:r w:rsidR="0078045F" w:rsidRPr="006E7B0A">
        <w:t xml:space="preserve"> </w:t>
      </w:r>
      <w:r w:rsidR="00D6475A" w:rsidRPr="006E7B0A">
        <w:t>with</w:t>
      </w:r>
      <w:r w:rsidRPr="006E7B0A">
        <w:t xml:space="preserve"> </w:t>
      </w:r>
      <w:r w:rsidR="009632A0" w:rsidRPr="006E7B0A">
        <w:t xml:space="preserve">a </w:t>
      </w:r>
      <w:r w:rsidR="00D6475A" w:rsidRPr="006E7B0A">
        <w:t>theoretical framework</w:t>
      </w:r>
      <w:r w:rsidR="0077255B" w:rsidRPr="006E7B0A">
        <w:t>.</w:t>
      </w:r>
      <w:r w:rsidR="00504672">
        <w:rPr>
          <w:rStyle w:val="FootnoteReference"/>
        </w:rPr>
        <w:footnoteReference w:id="21"/>
      </w:r>
      <w:r w:rsidR="00AB6A77" w:rsidRPr="006E7B0A">
        <w:t xml:space="preserve"> </w:t>
      </w:r>
      <w:r w:rsidR="0077255B" w:rsidRPr="006E7B0A">
        <w:t xml:space="preserve">Though her article is rooted in a deep understanding of shamanism and </w:t>
      </w:r>
      <w:proofErr w:type="spellStart"/>
      <w:r w:rsidR="0077255B" w:rsidRPr="006E7B0A">
        <w:t>seidr</w:t>
      </w:r>
      <w:proofErr w:type="spellEnd"/>
      <w:r w:rsidR="0077255B" w:rsidRPr="006E7B0A">
        <w:t xml:space="preserve">, </w:t>
      </w:r>
      <w:r w:rsidR="00971DF5" w:rsidRPr="006E7B0A">
        <w:t xml:space="preserve">reflected in her bibliography, </w:t>
      </w:r>
      <w:r w:rsidR="005D7ED4" w:rsidRPr="006E7B0A">
        <w:t>this article</w:t>
      </w:r>
      <w:r w:rsidR="0077255B" w:rsidRPr="006E7B0A">
        <w:t xml:space="preserve"> is based mainly on the author’s</w:t>
      </w:r>
      <w:r w:rsidR="005D7ED4" w:rsidRPr="006E7B0A">
        <w:t xml:space="preserve"> personal </w:t>
      </w:r>
      <w:r w:rsidR="0034633C" w:rsidRPr="006E7B0A">
        <w:t xml:space="preserve">involvement with </w:t>
      </w:r>
      <w:proofErr w:type="spellStart"/>
      <w:r w:rsidR="005D7ED4" w:rsidRPr="00405891">
        <w:t>seidr</w:t>
      </w:r>
      <w:proofErr w:type="spellEnd"/>
      <w:r w:rsidR="005D7ED4" w:rsidRPr="00405891">
        <w:t>.</w:t>
      </w:r>
      <w:r w:rsidR="00405891" w:rsidRPr="00405891">
        <w:t xml:space="preserve"> </w:t>
      </w:r>
      <w:r w:rsidR="005D7ED4" w:rsidRPr="00405891">
        <w:t xml:space="preserve"> Blain</w:t>
      </w:r>
      <w:r w:rsidR="005D7ED4" w:rsidRPr="006E7B0A">
        <w:t xml:space="preserve"> </w:t>
      </w:r>
      <w:r w:rsidR="00971DF5" w:rsidRPr="006E7B0A">
        <w:t xml:space="preserve">deliberately and vividly shares her own experience as a member of both academia and the </w:t>
      </w:r>
      <w:proofErr w:type="spellStart"/>
      <w:r w:rsidR="00971DF5" w:rsidRPr="006E7B0A">
        <w:t>seidr</w:t>
      </w:r>
      <w:proofErr w:type="spellEnd"/>
      <w:r w:rsidR="00971DF5" w:rsidRPr="006E7B0A">
        <w:t xml:space="preserve"> community to draw the worlds together and make the shamanic world more relatable to academics.</w:t>
      </w:r>
    </w:p>
    <w:p w14:paraId="6CDE9F5E" w14:textId="7553A80E" w:rsidR="00EA548F" w:rsidRPr="003B5EEC" w:rsidRDefault="00F82AE7" w:rsidP="003B5EEC">
      <w:pPr>
        <w:ind w:firstLine="720"/>
        <w:rPr>
          <w:strike/>
        </w:rPr>
      </w:pPr>
      <w:r w:rsidRPr="00405891">
        <w:t>T</w:t>
      </w:r>
      <w:r w:rsidR="00F20C4D" w:rsidRPr="00405891">
        <w:t xml:space="preserve">he introduction </w:t>
      </w:r>
      <w:r w:rsidRPr="00405891">
        <w:t xml:space="preserve">briefly </w:t>
      </w:r>
      <w:r w:rsidR="005D7ED4" w:rsidRPr="00405891">
        <w:t>presents</w:t>
      </w:r>
      <w:r w:rsidRPr="00405891">
        <w:t xml:space="preserve"> </w:t>
      </w:r>
      <w:proofErr w:type="spellStart"/>
      <w:r w:rsidRPr="00405891">
        <w:t>seidr</w:t>
      </w:r>
      <w:proofErr w:type="spellEnd"/>
      <w:r w:rsidR="005D7ED4" w:rsidRPr="00405891">
        <w:t xml:space="preserve">, </w:t>
      </w:r>
      <w:r w:rsidR="00F20C4D" w:rsidRPr="00405891">
        <w:t>a shamanistic practice described in the Islandic sagas</w:t>
      </w:r>
      <w:r w:rsidR="005D7ED4" w:rsidRPr="00405891">
        <w:t>,</w:t>
      </w:r>
      <w:r w:rsidR="00F20C4D" w:rsidRPr="00405891">
        <w:t xml:space="preserve"> </w:t>
      </w:r>
      <w:r w:rsidR="008A217A" w:rsidRPr="00405891">
        <w:t>which</w:t>
      </w:r>
      <w:r w:rsidR="005D7ED4" w:rsidRPr="00405891">
        <w:t xml:space="preserve"> </w:t>
      </w:r>
      <w:r w:rsidR="008A217A" w:rsidRPr="00405891">
        <w:t xml:space="preserve">is </w:t>
      </w:r>
      <w:r w:rsidR="00F20C4D" w:rsidRPr="00405891">
        <w:t>being reconstructed as a religious tradition.</w:t>
      </w:r>
      <w:r w:rsidR="00504672">
        <w:rPr>
          <w:rStyle w:val="FootnoteReference"/>
        </w:rPr>
        <w:footnoteReference w:id="22"/>
      </w:r>
      <w:r w:rsidR="005D7ED4" w:rsidRPr="00405891">
        <w:t xml:space="preserve"> </w:t>
      </w:r>
      <w:r w:rsidR="009E405C" w:rsidRPr="00405891">
        <w:t>Potential issues</w:t>
      </w:r>
      <w:r w:rsidR="008A217A" w:rsidRPr="00405891">
        <w:t xml:space="preserve"> </w:t>
      </w:r>
      <w:r w:rsidR="00405891">
        <w:t xml:space="preserve">involving </w:t>
      </w:r>
      <w:r w:rsidR="009E405C" w:rsidRPr="00405891">
        <w:t>such a</w:t>
      </w:r>
      <w:r w:rsidR="008A217A" w:rsidRPr="00405891">
        <w:t xml:space="preserve"> reconstruction are not </w:t>
      </w:r>
      <w:r w:rsidR="0034633C" w:rsidRPr="00405891">
        <w:t>addressed</w:t>
      </w:r>
      <w:r w:rsidR="008A217A" w:rsidRPr="00405891">
        <w:t xml:space="preserve"> in th</w:t>
      </w:r>
      <w:r w:rsidR="009E405C" w:rsidRPr="00405891">
        <w:t>e</w:t>
      </w:r>
      <w:r w:rsidR="008A217A" w:rsidRPr="00405891">
        <w:t xml:space="preserve"> article though </w:t>
      </w:r>
      <w:r w:rsidR="00FF78E1">
        <w:t>Blain</w:t>
      </w:r>
      <w:r w:rsidR="008A217A" w:rsidRPr="00405891">
        <w:t xml:space="preserve"> </w:t>
      </w:r>
      <w:r w:rsidR="00FF78E1">
        <w:t xml:space="preserve">references </w:t>
      </w:r>
      <w:r w:rsidR="00405891">
        <w:t>re</w:t>
      </w:r>
      <w:r w:rsidR="008A217A" w:rsidRPr="00405891">
        <w:t>sources on the subject</w:t>
      </w:r>
      <w:r w:rsidR="00405891">
        <w:t>.</w:t>
      </w:r>
      <w:r w:rsidR="00504672">
        <w:rPr>
          <w:rStyle w:val="FootnoteReference"/>
        </w:rPr>
        <w:footnoteReference w:id="23"/>
      </w:r>
      <w:r w:rsidR="00405891">
        <w:t xml:space="preserve"> </w:t>
      </w:r>
      <w:r w:rsidR="009E405C" w:rsidRPr="00405891">
        <w:t xml:space="preserve">The article </w:t>
      </w:r>
      <w:r w:rsidR="00922EBD" w:rsidRPr="00405891">
        <w:t>work</w:t>
      </w:r>
      <w:r w:rsidR="00B03D60" w:rsidRPr="00405891">
        <w:t xml:space="preserve">s </w:t>
      </w:r>
      <w:r w:rsidR="00971DF5" w:rsidRPr="00405891">
        <w:t xml:space="preserve">in </w:t>
      </w:r>
      <w:r w:rsidR="00F20C4D" w:rsidRPr="00405891">
        <w:t xml:space="preserve">the ethnographic tradition but </w:t>
      </w:r>
      <w:r w:rsidR="00922EBD" w:rsidRPr="00405891">
        <w:t>also against it.</w:t>
      </w:r>
      <w:r w:rsidR="00B03D60" w:rsidRPr="00405891">
        <w:t xml:space="preserve"> It</w:t>
      </w:r>
      <w:r w:rsidR="00922EBD" w:rsidRPr="00405891">
        <w:t xml:space="preserve"> is </w:t>
      </w:r>
      <w:r w:rsidR="00B03D60" w:rsidRPr="00405891">
        <w:t xml:space="preserve">very </w:t>
      </w:r>
      <w:r w:rsidR="00922EBD" w:rsidRPr="00405891">
        <w:t>critical of standard academic and ethnographic practices and attitudes</w:t>
      </w:r>
      <w:r w:rsidR="00FE4570" w:rsidRPr="00405891">
        <w:t xml:space="preserve"> and seeks to broaden the framework by using a postmodernist lens</w:t>
      </w:r>
      <w:r w:rsidR="00922EBD" w:rsidRPr="00405891">
        <w:t>.</w:t>
      </w:r>
      <w:r w:rsidR="00504672">
        <w:rPr>
          <w:rStyle w:val="FootnoteReference"/>
        </w:rPr>
        <w:footnoteReference w:id="24"/>
      </w:r>
      <w:r w:rsidR="00504672">
        <w:t xml:space="preserve"> </w:t>
      </w:r>
      <w:r w:rsidR="00B03D60" w:rsidRPr="00405891">
        <w:t xml:space="preserve">The </w:t>
      </w:r>
      <w:r w:rsidR="006D5CB0" w:rsidRPr="00405891">
        <w:t xml:space="preserve">theoretical </w:t>
      </w:r>
      <w:r w:rsidR="00B03D60" w:rsidRPr="00405891">
        <w:t>postmodernist framework</w:t>
      </w:r>
      <w:r w:rsidR="0077255B" w:rsidRPr="00405891">
        <w:t>, which is</w:t>
      </w:r>
      <w:r w:rsidR="00714D82" w:rsidRPr="00405891">
        <w:t xml:space="preserve">, however, </w:t>
      </w:r>
      <w:r w:rsidR="0077255B" w:rsidRPr="00405891">
        <w:t>lacking references in her bibliography,</w:t>
      </w:r>
      <w:r w:rsidR="00B03D60" w:rsidRPr="00405891">
        <w:t xml:space="preserve"> allows the author to embrace multiple perspectives</w:t>
      </w:r>
      <w:r w:rsidR="00EA548F" w:rsidRPr="00405891">
        <w:t>.</w:t>
      </w:r>
      <w:r w:rsidR="00B03D60" w:rsidRPr="00405891">
        <w:t xml:space="preserve"> </w:t>
      </w:r>
      <w:r w:rsidR="00504672">
        <w:t>Blain’s</w:t>
      </w:r>
      <w:r w:rsidR="00304A60">
        <w:t xml:space="preserve"> bibliography is short and many of the texts she references in her article, do not appear in the bibliography, e.g. ‘Dowson, 1996’. </w:t>
      </w:r>
      <w:r w:rsidR="00504672">
        <w:rPr>
          <w:rStyle w:val="FootnoteReference"/>
        </w:rPr>
        <w:footnoteReference w:id="25"/>
      </w:r>
      <w:r w:rsidR="00304A60">
        <w:t xml:space="preserve"> </w:t>
      </w:r>
      <w:r w:rsidR="00405891">
        <w:t>The principal</w:t>
      </w:r>
      <w:r w:rsidR="00F20C4D" w:rsidRPr="00405891">
        <w:t xml:space="preserve"> concern of the paper is the </w:t>
      </w:r>
      <w:r w:rsidR="00F97EF9" w:rsidRPr="00405891">
        <w:t xml:space="preserve">ambiguous </w:t>
      </w:r>
      <w:r w:rsidR="00F20C4D" w:rsidRPr="00405891">
        <w:t xml:space="preserve">situatedness of </w:t>
      </w:r>
      <w:r w:rsidR="00922EBD" w:rsidRPr="00405891">
        <w:t xml:space="preserve">the </w:t>
      </w:r>
      <w:r w:rsidR="00B03D60" w:rsidRPr="00405891">
        <w:t>author</w:t>
      </w:r>
      <w:r w:rsidR="00922EBD" w:rsidRPr="00405891">
        <w:t xml:space="preserve"> </w:t>
      </w:r>
      <w:r w:rsidR="00B03D60" w:rsidRPr="00405891">
        <w:t xml:space="preserve">between </w:t>
      </w:r>
      <w:r w:rsidR="00F20C4D" w:rsidRPr="00405891">
        <w:t xml:space="preserve">rational </w:t>
      </w:r>
      <w:r w:rsidR="00922EBD" w:rsidRPr="00405891">
        <w:t xml:space="preserve">academic </w:t>
      </w:r>
      <w:r w:rsidR="006D5CB0" w:rsidRPr="00405891">
        <w:t xml:space="preserve">institutions </w:t>
      </w:r>
      <w:r w:rsidR="00B03D60" w:rsidRPr="00405891">
        <w:t>and</w:t>
      </w:r>
      <w:r w:rsidR="00F20C4D" w:rsidRPr="00405891">
        <w:t xml:space="preserve"> </w:t>
      </w:r>
      <w:r w:rsidR="00922EBD" w:rsidRPr="00405891">
        <w:t xml:space="preserve">the </w:t>
      </w:r>
      <w:r w:rsidR="00F20C4D" w:rsidRPr="00405891">
        <w:t xml:space="preserve">irrational </w:t>
      </w:r>
      <w:r w:rsidR="00557130" w:rsidRPr="00405891">
        <w:t>realities</w:t>
      </w:r>
      <w:r w:rsidR="00922EBD" w:rsidRPr="00405891">
        <w:t xml:space="preserve"> of </w:t>
      </w:r>
      <w:proofErr w:type="spellStart"/>
      <w:r w:rsidR="00B03D60" w:rsidRPr="00405891">
        <w:t>s</w:t>
      </w:r>
      <w:r w:rsidR="00922EBD" w:rsidRPr="00405891">
        <w:t>eidr</w:t>
      </w:r>
      <w:proofErr w:type="spellEnd"/>
      <w:r w:rsidR="00922EBD" w:rsidRPr="00405891">
        <w:t xml:space="preserve"> practice</w:t>
      </w:r>
      <w:r w:rsidR="00557130" w:rsidRPr="00405891">
        <w:t xml:space="preserve">. The author recounts </w:t>
      </w:r>
      <w:r w:rsidR="00F97EF9" w:rsidRPr="00405891">
        <w:t xml:space="preserve">very </w:t>
      </w:r>
      <w:r w:rsidR="006D5CB0" w:rsidRPr="00405891">
        <w:t xml:space="preserve">dramatically </w:t>
      </w:r>
      <w:r w:rsidR="00557130" w:rsidRPr="00405891">
        <w:t xml:space="preserve">her perplexing </w:t>
      </w:r>
      <w:r w:rsidR="00FE4570" w:rsidRPr="00405891">
        <w:t xml:space="preserve">ontological </w:t>
      </w:r>
      <w:r w:rsidR="00F97EF9" w:rsidRPr="00405891">
        <w:t>position</w:t>
      </w:r>
      <w:r w:rsidR="00557130" w:rsidRPr="00405891">
        <w:t xml:space="preserve"> </w:t>
      </w:r>
      <w:r w:rsidR="00F97EF9" w:rsidRPr="00405891">
        <w:t xml:space="preserve">between these two worlds. She discusses </w:t>
      </w:r>
      <w:r w:rsidR="00557130" w:rsidRPr="00405891">
        <w:t xml:space="preserve">the unresolved tension between her role as objective academic </w:t>
      </w:r>
      <w:r w:rsidR="00F97EF9" w:rsidRPr="00405891">
        <w:t xml:space="preserve">outsider </w:t>
      </w:r>
      <w:r w:rsidR="00557130" w:rsidRPr="00405891">
        <w:t xml:space="preserve">and </w:t>
      </w:r>
      <w:r w:rsidR="00F97EF9" w:rsidRPr="00405891">
        <w:t xml:space="preserve">subjective participant in </w:t>
      </w:r>
      <w:proofErr w:type="spellStart"/>
      <w:r w:rsidR="00F97EF9" w:rsidRPr="00405891">
        <w:t>seidr</w:t>
      </w:r>
      <w:proofErr w:type="spellEnd"/>
      <w:r w:rsidR="00F97EF9" w:rsidRPr="00405891">
        <w:t xml:space="preserve"> practice, the superior </w:t>
      </w:r>
      <w:r w:rsidR="00FE4570" w:rsidRPr="00405891">
        <w:t xml:space="preserve">epistemological </w:t>
      </w:r>
      <w:r w:rsidR="00A225F5" w:rsidRPr="00405891">
        <w:t xml:space="preserve">value </w:t>
      </w:r>
      <w:r w:rsidR="00F97EF9" w:rsidRPr="00405891">
        <w:t xml:space="preserve">accorded other people’s knowledge </w:t>
      </w:r>
      <w:r w:rsidR="00A225F5" w:rsidRPr="00405891">
        <w:t xml:space="preserve">versus her own </w:t>
      </w:r>
      <w:r w:rsidR="00971DF5" w:rsidRPr="00405891">
        <w:t xml:space="preserve">as well as </w:t>
      </w:r>
      <w:r w:rsidR="00C73CB6" w:rsidRPr="00405891">
        <w:t xml:space="preserve">her </w:t>
      </w:r>
      <w:r w:rsidR="00A225F5" w:rsidRPr="00405891">
        <w:t xml:space="preserve">flirtation with </w:t>
      </w:r>
      <w:r w:rsidR="00C73CB6" w:rsidRPr="00405891">
        <w:t xml:space="preserve">an </w:t>
      </w:r>
      <w:r w:rsidR="00A225F5" w:rsidRPr="00405891">
        <w:t>intuitive</w:t>
      </w:r>
      <w:r w:rsidR="00C73CB6" w:rsidRPr="00405891">
        <w:t xml:space="preserve"> and </w:t>
      </w:r>
      <w:r w:rsidR="00A225F5" w:rsidRPr="00405891">
        <w:t>experiential anthropology</w:t>
      </w:r>
      <w:r w:rsidR="00F87869" w:rsidRPr="00405891">
        <w:t>.</w:t>
      </w:r>
      <w:r w:rsidR="00971DF5" w:rsidRPr="00405891">
        <w:t xml:space="preserve"> </w:t>
      </w:r>
      <w:r w:rsidR="00AC46CC" w:rsidRPr="00405891">
        <w:t xml:space="preserve">She talks about a </w:t>
      </w:r>
      <w:r w:rsidR="00EB201F" w:rsidRPr="00405891">
        <w:t xml:space="preserve">‘multi-sited ethnography’ and </w:t>
      </w:r>
      <w:r w:rsidR="00971DF5" w:rsidRPr="00405891">
        <w:t xml:space="preserve">a </w:t>
      </w:r>
      <w:r w:rsidR="00EB201F" w:rsidRPr="00405891">
        <w:t xml:space="preserve">‘maze of meanings’ </w:t>
      </w:r>
      <w:r w:rsidR="00C55A69" w:rsidRPr="00405891">
        <w:t xml:space="preserve">and proceeds to </w:t>
      </w:r>
      <w:r w:rsidR="00693C0B" w:rsidRPr="00405891">
        <w:t xml:space="preserve">bring </w:t>
      </w:r>
      <w:r w:rsidR="00D77357" w:rsidRPr="00405891">
        <w:t>this complexity</w:t>
      </w:r>
      <w:r w:rsidR="00B25564" w:rsidRPr="00405891">
        <w:t xml:space="preserve"> </w:t>
      </w:r>
      <w:r w:rsidR="00693C0B" w:rsidRPr="00405891">
        <w:t xml:space="preserve">to life </w:t>
      </w:r>
      <w:r w:rsidR="00C55A69" w:rsidRPr="00405891">
        <w:t>for reader</w:t>
      </w:r>
      <w:r w:rsidR="00D77357" w:rsidRPr="00405891">
        <w:t>s</w:t>
      </w:r>
      <w:r w:rsidR="00C55A69" w:rsidRPr="00405891">
        <w:t xml:space="preserve"> through a series of stories</w:t>
      </w:r>
      <w:r w:rsidR="00D77357" w:rsidRPr="00405891">
        <w:t>.</w:t>
      </w:r>
      <w:r w:rsidR="001D319B">
        <w:rPr>
          <w:rStyle w:val="FootnoteReference"/>
        </w:rPr>
        <w:footnoteReference w:id="26"/>
      </w:r>
    </w:p>
    <w:p w14:paraId="5F5867EE" w14:textId="492FC0EA" w:rsidR="0074735F" w:rsidRPr="00544757" w:rsidRDefault="00C42990" w:rsidP="00544757">
      <w:pPr>
        <w:ind w:firstLine="720"/>
      </w:pPr>
      <w:r w:rsidRPr="00405891">
        <w:t xml:space="preserve">The first </w:t>
      </w:r>
      <w:r w:rsidR="00B57A2B" w:rsidRPr="00405891">
        <w:t>narrative</w:t>
      </w:r>
      <w:r w:rsidRPr="00405891">
        <w:t xml:space="preserve"> is </w:t>
      </w:r>
      <w:r w:rsidR="0010060E" w:rsidRPr="00405891">
        <w:t xml:space="preserve">a </w:t>
      </w:r>
      <w:r w:rsidRPr="00405891">
        <w:t xml:space="preserve">third person account </w:t>
      </w:r>
      <w:r w:rsidR="00D77357" w:rsidRPr="00405891">
        <w:t xml:space="preserve">from the position of </w:t>
      </w:r>
      <w:r w:rsidR="00F07287" w:rsidRPr="00405891">
        <w:t>an</w:t>
      </w:r>
      <w:r w:rsidR="00D77357" w:rsidRPr="00405891">
        <w:t xml:space="preserve"> </w:t>
      </w:r>
      <w:r w:rsidRPr="00405891">
        <w:t>‘informed outsider’ who witness</w:t>
      </w:r>
      <w:r w:rsidR="00D77357" w:rsidRPr="00405891">
        <w:t>es</w:t>
      </w:r>
      <w:r w:rsidRPr="00405891">
        <w:t xml:space="preserve"> </w:t>
      </w:r>
      <w:r w:rsidR="005560D2" w:rsidRPr="00405891">
        <w:t>an</w:t>
      </w:r>
      <w:r w:rsidRPr="00405891">
        <w:t xml:space="preserve"> “’exotic’ ritual”.</w:t>
      </w:r>
      <w:r w:rsidR="00276906">
        <w:rPr>
          <w:rStyle w:val="FootnoteReference"/>
        </w:rPr>
        <w:footnoteReference w:id="27"/>
      </w:r>
      <w:r w:rsidR="00987AD1">
        <w:t xml:space="preserve"> </w:t>
      </w:r>
      <w:r w:rsidR="0010060E" w:rsidRPr="00405891">
        <w:t xml:space="preserve">Such narratives have traditionally been considered objective </w:t>
      </w:r>
      <w:r w:rsidR="00F07287" w:rsidRPr="00405891">
        <w:t>and rational</w:t>
      </w:r>
      <w:r w:rsidRPr="00405891">
        <w:t xml:space="preserve">. The second </w:t>
      </w:r>
      <w:r w:rsidR="00B57A2B" w:rsidRPr="00405891">
        <w:t xml:space="preserve">narrative </w:t>
      </w:r>
      <w:r w:rsidRPr="00405891">
        <w:t xml:space="preserve">is a subjective experiential first person account </w:t>
      </w:r>
      <w:r w:rsidR="005560D2" w:rsidRPr="00405891">
        <w:t xml:space="preserve">by </w:t>
      </w:r>
      <w:r w:rsidRPr="00405891">
        <w:t xml:space="preserve">a </w:t>
      </w:r>
      <w:proofErr w:type="spellStart"/>
      <w:r w:rsidRPr="00405891">
        <w:t>seidr</w:t>
      </w:r>
      <w:proofErr w:type="spellEnd"/>
      <w:r w:rsidRPr="00405891">
        <w:t xml:space="preserve"> worker </w:t>
      </w:r>
      <w:r w:rsidR="005560D2" w:rsidRPr="00405891">
        <w:t>giving a</w:t>
      </w:r>
      <w:r w:rsidR="00B57A2B" w:rsidRPr="00405891">
        <w:t xml:space="preserve"> general </w:t>
      </w:r>
      <w:r w:rsidR="00544757">
        <w:t>i</w:t>
      </w:r>
      <w:r w:rsidR="00B57A2B" w:rsidRPr="00405891">
        <w:t xml:space="preserve">mpression </w:t>
      </w:r>
      <w:r w:rsidR="005560D2" w:rsidRPr="00405891">
        <w:t xml:space="preserve">of what happens </w:t>
      </w:r>
      <w:r w:rsidRPr="00405891">
        <w:t xml:space="preserve">during a </w:t>
      </w:r>
      <w:proofErr w:type="spellStart"/>
      <w:r w:rsidR="005560D2" w:rsidRPr="00405891">
        <w:t>seidr</w:t>
      </w:r>
      <w:proofErr w:type="spellEnd"/>
      <w:r w:rsidR="005560D2" w:rsidRPr="00405891">
        <w:t xml:space="preserve"> </w:t>
      </w:r>
      <w:r w:rsidRPr="00405891">
        <w:t>session</w:t>
      </w:r>
      <w:r w:rsidR="00845B38" w:rsidRPr="00405891">
        <w:t>; it involves altered states of consciousness and spirit realms.</w:t>
      </w:r>
      <w:r w:rsidR="00276906">
        <w:rPr>
          <w:rStyle w:val="FootnoteReference"/>
        </w:rPr>
        <w:footnoteReference w:id="28"/>
      </w:r>
      <w:r w:rsidRPr="00405891">
        <w:t xml:space="preserve"> </w:t>
      </w:r>
      <w:r w:rsidR="00B57A2B" w:rsidRPr="00405891">
        <w:t xml:space="preserve">The third narrative is </w:t>
      </w:r>
      <w:r w:rsidR="00F07287" w:rsidRPr="00405891">
        <w:t xml:space="preserve">the author’s own first-person account </w:t>
      </w:r>
      <w:r w:rsidR="00B57A2B" w:rsidRPr="00405891">
        <w:t xml:space="preserve">of </w:t>
      </w:r>
      <w:r w:rsidRPr="00405891">
        <w:t xml:space="preserve">a specific memorable </w:t>
      </w:r>
      <w:proofErr w:type="spellStart"/>
      <w:r w:rsidRPr="00405891">
        <w:t>seidr</w:t>
      </w:r>
      <w:proofErr w:type="spellEnd"/>
      <w:r w:rsidRPr="00405891">
        <w:t xml:space="preserve"> </w:t>
      </w:r>
      <w:r w:rsidR="00544757">
        <w:t>event</w:t>
      </w:r>
      <w:r w:rsidR="001D2B07" w:rsidRPr="00405891">
        <w:t xml:space="preserve"> </w:t>
      </w:r>
      <w:r w:rsidR="006046F8" w:rsidRPr="00405891">
        <w:t xml:space="preserve">during </w:t>
      </w:r>
      <w:r w:rsidR="001D2B07" w:rsidRPr="00405891">
        <w:t xml:space="preserve">which </w:t>
      </w:r>
      <w:r w:rsidR="006046F8" w:rsidRPr="00405891">
        <w:t>she communicated with spirits</w:t>
      </w:r>
      <w:r w:rsidR="00544757">
        <w:t xml:space="preserve"> in a nonmaterial </w:t>
      </w:r>
      <w:r w:rsidR="00544757" w:rsidRPr="00DE7543">
        <w:t>realm.</w:t>
      </w:r>
      <w:r w:rsidR="00324928">
        <w:rPr>
          <w:rStyle w:val="FootnoteReference"/>
        </w:rPr>
        <w:footnoteReference w:id="29"/>
      </w:r>
      <w:r w:rsidR="00324928">
        <w:t xml:space="preserve"> </w:t>
      </w:r>
      <w:r w:rsidR="00DE7543" w:rsidRPr="00DE7543">
        <w:t>These</w:t>
      </w:r>
      <w:r w:rsidR="00A45C52" w:rsidRPr="00DE7543">
        <w:t xml:space="preserve"> juxtaposed </w:t>
      </w:r>
      <w:r w:rsidR="00B57580" w:rsidRPr="00DE7543">
        <w:t xml:space="preserve">accounts make </w:t>
      </w:r>
      <w:r w:rsidR="00DE7543">
        <w:t xml:space="preserve">evident </w:t>
      </w:r>
      <w:r w:rsidR="00A45C52" w:rsidRPr="00DE7543">
        <w:t>the difference</w:t>
      </w:r>
      <w:r w:rsidR="00DE7543" w:rsidRPr="00DE7543">
        <w:t>s</w:t>
      </w:r>
      <w:r w:rsidR="00A45C52" w:rsidRPr="00DE7543">
        <w:t xml:space="preserve"> between objective and </w:t>
      </w:r>
      <w:r w:rsidR="00A45C52" w:rsidRPr="00DE7543">
        <w:lastRenderedPageBreak/>
        <w:t>subjective</w:t>
      </w:r>
      <w:r w:rsidR="005841EA" w:rsidRPr="00DE7543">
        <w:t>, etic and emic</w:t>
      </w:r>
      <w:r w:rsidR="00A45C52" w:rsidRPr="00DE7543">
        <w:t xml:space="preserve"> accounts </w:t>
      </w:r>
      <w:r w:rsidR="00DE7543">
        <w:t xml:space="preserve">and they </w:t>
      </w:r>
      <w:r w:rsidR="00926DD1" w:rsidRPr="00DE7543">
        <w:t xml:space="preserve">also switch between </w:t>
      </w:r>
      <w:r w:rsidR="00845B38" w:rsidRPr="00DE7543">
        <w:t>‘different levels of observation.’</w:t>
      </w:r>
      <w:r w:rsidR="00324928">
        <w:rPr>
          <w:rStyle w:val="FootnoteReference"/>
        </w:rPr>
        <w:footnoteReference w:id="30"/>
      </w:r>
      <w:r w:rsidR="00DE7543">
        <w:t xml:space="preserve"> They also show </w:t>
      </w:r>
      <w:r w:rsidR="00B57580" w:rsidRPr="00DE7543">
        <w:t xml:space="preserve">that the ‘heathen community’ is not </w:t>
      </w:r>
      <w:r w:rsidR="005841EA" w:rsidRPr="00DE7543">
        <w:t>homogenous</w:t>
      </w:r>
      <w:r w:rsidR="00B57580" w:rsidRPr="00DE7543">
        <w:t xml:space="preserve"> and that every </w:t>
      </w:r>
      <w:proofErr w:type="spellStart"/>
      <w:r w:rsidR="00B57580" w:rsidRPr="00DE7543">
        <w:t>seidr</w:t>
      </w:r>
      <w:proofErr w:type="spellEnd"/>
      <w:r w:rsidR="00B57580" w:rsidRPr="00DE7543">
        <w:t xml:space="preserve"> experience is </w:t>
      </w:r>
      <w:r w:rsidR="00DE7543">
        <w:t xml:space="preserve">unique </w:t>
      </w:r>
      <w:r w:rsidR="00B57580" w:rsidRPr="00DE7543">
        <w:t xml:space="preserve">depending on </w:t>
      </w:r>
      <w:r w:rsidR="00DE7543">
        <w:t xml:space="preserve">many </w:t>
      </w:r>
      <w:r w:rsidR="00B57580" w:rsidRPr="00DE7543">
        <w:t>variables including gender identification.</w:t>
      </w:r>
      <w:r w:rsidR="00324928">
        <w:rPr>
          <w:rStyle w:val="FootnoteReference"/>
        </w:rPr>
        <w:footnoteReference w:id="31"/>
      </w:r>
      <w:r w:rsidR="00324928">
        <w:t xml:space="preserve"> </w:t>
      </w:r>
      <w:r w:rsidR="00544757" w:rsidRPr="00DE7543">
        <w:t xml:space="preserve">In </w:t>
      </w:r>
      <w:r w:rsidR="00DE7543" w:rsidRPr="00DE7543">
        <w:t>a typical</w:t>
      </w:r>
      <w:r w:rsidR="00324928">
        <w:t>ly</w:t>
      </w:r>
      <w:r w:rsidR="00544757" w:rsidRPr="00DE7543">
        <w:t xml:space="preserve"> postmodern manner, </w:t>
      </w:r>
      <w:r w:rsidR="00DE7543">
        <w:t xml:space="preserve">Blain’s </w:t>
      </w:r>
      <w:r w:rsidR="00544757" w:rsidRPr="00DE7543">
        <w:t xml:space="preserve">different perspectives appear to continuously </w:t>
      </w:r>
      <w:r w:rsidR="00DE7543">
        <w:t xml:space="preserve">multiply </w:t>
      </w:r>
      <w:r w:rsidR="00682BE7">
        <w:t>a</w:t>
      </w:r>
      <w:r w:rsidR="00544757" w:rsidRPr="00DE7543">
        <w:t>nd increase in complexity.</w:t>
      </w:r>
    </w:p>
    <w:p w14:paraId="4336924E" w14:textId="31469D5D" w:rsidR="00B2543A" w:rsidRPr="00682BE7" w:rsidRDefault="00845B38" w:rsidP="00682BE7">
      <w:pPr>
        <w:ind w:firstLine="720"/>
      </w:pPr>
      <w:r w:rsidRPr="00682BE7">
        <w:t>Blain</w:t>
      </w:r>
      <w:r w:rsidR="0074735F" w:rsidRPr="00682BE7">
        <w:t xml:space="preserve"> </w:t>
      </w:r>
      <w:r w:rsidR="002C0DF9">
        <w:t xml:space="preserve">and her shamanic informants, who are also friends, </w:t>
      </w:r>
      <w:r w:rsidR="0074735F" w:rsidRPr="00682BE7">
        <w:t xml:space="preserve">live between the rational materialist world of Western culture and the invisible realms of shamanic practice </w:t>
      </w:r>
      <w:r w:rsidR="00682BE7">
        <w:t xml:space="preserve">although </w:t>
      </w:r>
      <w:r w:rsidR="004A1551">
        <w:t xml:space="preserve">her </w:t>
      </w:r>
      <w:r w:rsidR="000E2438" w:rsidRPr="00682BE7">
        <w:t>personal tensions are</w:t>
      </w:r>
      <w:r w:rsidR="00682BE7">
        <w:t xml:space="preserve"> </w:t>
      </w:r>
      <w:r w:rsidR="000E2438" w:rsidRPr="00682BE7">
        <w:t xml:space="preserve">particularly pronounced since the rationality of academia and the ‘irrationality’ of </w:t>
      </w:r>
      <w:proofErr w:type="spellStart"/>
      <w:r w:rsidR="000E2438" w:rsidRPr="00682BE7">
        <w:t>seidr</w:t>
      </w:r>
      <w:proofErr w:type="spellEnd"/>
      <w:r w:rsidR="000E2438" w:rsidRPr="00682BE7">
        <w:t xml:space="preserve"> practice </w:t>
      </w:r>
      <w:r w:rsidR="00233E98" w:rsidRPr="00682BE7">
        <w:t xml:space="preserve">exist at </w:t>
      </w:r>
      <w:r w:rsidR="00D11256" w:rsidRPr="00682BE7">
        <w:t xml:space="preserve">the </w:t>
      </w:r>
      <w:r w:rsidR="00233E98" w:rsidRPr="00682BE7">
        <w:t>extreme ends of the spectrum.</w:t>
      </w:r>
      <w:r w:rsidR="00324928">
        <w:rPr>
          <w:rStyle w:val="FootnoteReference"/>
        </w:rPr>
        <w:footnoteReference w:id="32"/>
      </w:r>
      <w:r w:rsidR="00324928">
        <w:t xml:space="preserve"> </w:t>
      </w:r>
      <w:r w:rsidR="000331F7" w:rsidRPr="00682BE7">
        <w:t xml:space="preserve">In reference to an engagement with spirits, she again offers </w:t>
      </w:r>
      <w:r w:rsidR="00682BE7">
        <w:t xml:space="preserve">multiple </w:t>
      </w:r>
      <w:r w:rsidR="000331F7" w:rsidRPr="00682BE7">
        <w:t xml:space="preserve">perspectives. </w:t>
      </w:r>
      <w:proofErr w:type="spellStart"/>
      <w:r w:rsidR="000331F7" w:rsidRPr="00682BE7">
        <w:t>S</w:t>
      </w:r>
      <w:r w:rsidR="000E2438" w:rsidRPr="00682BE7">
        <w:t>eidr</w:t>
      </w:r>
      <w:proofErr w:type="spellEnd"/>
      <w:r w:rsidR="000E2438" w:rsidRPr="00682BE7">
        <w:t xml:space="preserve"> </w:t>
      </w:r>
      <w:r w:rsidR="00E42D0A" w:rsidRPr="00682BE7">
        <w:t xml:space="preserve">workers </w:t>
      </w:r>
      <w:r w:rsidR="000331F7" w:rsidRPr="00682BE7">
        <w:t>describe real</w:t>
      </w:r>
      <w:r w:rsidR="003B1747">
        <w:t xml:space="preserve"> </w:t>
      </w:r>
      <w:r w:rsidR="000331F7" w:rsidRPr="00682BE7">
        <w:t>encounters with spirits</w:t>
      </w:r>
      <w:r w:rsidR="00B2543A" w:rsidRPr="00682BE7">
        <w:t xml:space="preserve"> </w:t>
      </w:r>
      <w:r w:rsidR="003B5EEC">
        <w:t xml:space="preserve">whereas academics </w:t>
      </w:r>
      <w:r w:rsidR="00B2543A" w:rsidRPr="00682BE7">
        <w:t>consider</w:t>
      </w:r>
      <w:r w:rsidR="003B5EEC">
        <w:t xml:space="preserve"> them</w:t>
      </w:r>
      <w:r w:rsidR="00B2543A" w:rsidRPr="00682BE7">
        <w:t xml:space="preserve"> unreal and irrational</w:t>
      </w:r>
      <w:r w:rsidR="003B5EEC">
        <w:t xml:space="preserve">. </w:t>
      </w:r>
      <w:r w:rsidR="005F144C" w:rsidRPr="00682BE7">
        <w:t xml:space="preserve">On the rare occasions that spirits are discussed in academia, they </w:t>
      </w:r>
      <w:r w:rsidR="003B5EEC">
        <w:t>are</w:t>
      </w:r>
      <w:r w:rsidR="005F144C" w:rsidRPr="00682BE7">
        <w:t xml:space="preserve"> rationalized as unconscious parts of the psyche.</w:t>
      </w:r>
      <w:r w:rsidR="00324928">
        <w:rPr>
          <w:rStyle w:val="FootnoteReference"/>
        </w:rPr>
        <w:footnoteReference w:id="33"/>
      </w:r>
      <w:r w:rsidR="005F144C" w:rsidRPr="00682BE7">
        <w:t xml:space="preserve"> </w:t>
      </w:r>
      <w:r w:rsidR="00B2543A" w:rsidRPr="00682BE7">
        <w:t>Blain also draws attention to the perspective of the spirits</w:t>
      </w:r>
      <w:r w:rsidR="00811B7D">
        <w:t xml:space="preserve"> who</w:t>
      </w:r>
      <w:r w:rsidR="00B2543A" w:rsidRPr="00682BE7">
        <w:t xml:space="preserve"> </w:t>
      </w:r>
      <w:r w:rsidR="00811B7D">
        <w:t>are</w:t>
      </w:r>
      <w:r w:rsidR="00B2543A" w:rsidRPr="00682BE7">
        <w:t xml:space="preserve"> </w:t>
      </w:r>
      <w:r w:rsidR="00811B7D">
        <w:t xml:space="preserve">important </w:t>
      </w:r>
      <w:r w:rsidR="00B2543A" w:rsidRPr="00682BE7">
        <w:t xml:space="preserve">participants in </w:t>
      </w:r>
      <w:proofErr w:type="spellStart"/>
      <w:r w:rsidR="00B2543A" w:rsidRPr="00682BE7">
        <w:t>seidr</w:t>
      </w:r>
      <w:proofErr w:type="spellEnd"/>
      <w:r w:rsidR="00500455">
        <w:t xml:space="preserve"> and even takes on the thorny issues of belief and truth</w:t>
      </w:r>
      <w:r w:rsidR="00B2543A" w:rsidRPr="00682BE7">
        <w:t>.</w:t>
      </w:r>
      <w:r w:rsidR="00324928">
        <w:rPr>
          <w:rStyle w:val="FootnoteReference"/>
        </w:rPr>
        <w:footnoteReference w:id="34"/>
      </w:r>
      <w:r w:rsidR="00B2543A" w:rsidRPr="00682BE7">
        <w:t xml:space="preserve"> </w:t>
      </w:r>
      <w:r w:rsidR="004A1551">
        <w:t xml:space="preserve">The </w:t>
      </w:r>
      <w:r w:rsidR="00EC460B">
        <w:t xml:space="preserve">juxtaposition </w:t>
      </w:r>
      <w:r w:rsidR="004A1551">
        <w:t xml:space="preserve">of </w:t>
      </w:r>
      <w:r w:rsidR="00EC460B">
        <w:t>multiple</w:t>
      </w:r>
      <w:r w:rsidR="004A1551">
        <w:t xml:space="preserve"> </w:t>
      </w:r>
      <w:r w:rsidR="00EC460B">
        <w:t>viewpoints</w:t>
      </w:r>
      <w:r w:rsidR="004A1551">
        <w:t xml:space="preserve"> and the emphasis on varying degrees of rationality and irrationality </w:t>
      </w:r>
      <w:r w:rsidR="00500455">
        <w:t xml:space="preserve">make </w:t>
      </w:r>
      <w:r w:rsidR="00EC460B">
        <w:t xml:space="preserve">any facile </w:t>
      </w:r>
      <w:r w:rsidR="004A1551">
        <w:t>understanding</w:t>
      </w:r>
      <w:r w:rsidR="00500455">
        <w:t xml:space="preserve"> impossible</w:t>
      </w:r>
      <w:r w:rsidR="00EC460B">
        <w:t xml:space="preserve">. </w:t>
      </w:r>
    </w:p>
    <w:p w14:paraId="34B5B66A" w14:textId="0B06A6F3" w:rsidR="008A5C27" w:rsidRPr="00232F21" w:rsidRDefault="005351BC" w:rsidP="00232F21">
      <w:pPr>
        <w:ind w:firstLine="720"/>
      </w:pPr>
      <w:r>
        <w:t xml:space="preserve">Blain fundamentally </w:t>
      </w:r>
      <w:r w:rsidR="005F144C">
        <w:t xml:space="preserve">destabilizes </w:t>
      </w:r>
      <w:r>
        <w:t xml:space="preserve">our ontological understanding of the world and our epistemological assumptions about it by </w:t>
      </w:r>
      <w:r w:rsidR="005F144C">
        <w:t xml:space="preserve">referencing both academic worldviews and </w:t>
      </w:r>
      <w:r>
        <w:t xml:space="preserve">the supernatural worlds experienced by shamanic communities. Her emphasis on subjectivity and postmodern complexity undermines easy dualities </w:t>
      </w:r>
      <w:r w:rsidR="005F144C">
        <w:t xml:space="preserve">of </w:t>
      </w:r>
      <w:r>
        <w:t xml:space="preserve">right and wrong, </w:t>
      </w:r>
      <w:proofErr w:type="gramStart"/>
      <w:r>
        <w:t>subjective</w:t>
      </w:r>
      <w:proofErr w:type="gramEnd"/>
      <w:r>
        <w:t xml:space="preserve"> and objective, rational and irrational, material and immaterial. </w:t>
      </w:r>
      <w:r w:rsidR="004C7012">
        <w:t xml:space="preserve">This emphasis also undermines and resists a </w:t>
      </w:r>
      <w:r w:rsidR="00EA548F">
        <w:t xml:space="preserve">consistently logical </w:t>
      </w:r>
      <w:r w:rsidR="004C7012">
        <w:t>and linear organization of ideas, which is generally expected of academic articles</w:t>
      </w:r>
      <w:r w:rsidR="00811B7D">
        <w:t>. Her article</w:t>
      </w:r>
      <w:r w:rsidR="004C7012">
        <w:t xml:space="preserve"> favor</w:t>
      </w:r>
      <w:r w:rsidR="00811B7D">
        <w:t>s</w:t>
      </w:r>
      <w:r w:rsidR="004C7012">
        <w:t xml:space="preserve"> a</w:t>
      </w:r>
      <w:r w:rsidR="00811B7D">
        <w:t>n organic unfolding and a continuous</w:t>
      </w:r>
      <w:r w:rsidR="004C7012">
        <w:t xml:space="preserve"> switching between experiential accounts and theoretical considerations</w:t>
      </w:r>
      <w:r w:rsidR="00EC460B">
        <w:t xml:space="preserve"> in service of a holistic presentation. </w:t>
      </w:r>
    </w:p>
    <w:p w14:paraId="596907B7" w14:textId="4765BB46" w:rsidR="00232888" w:rsidRDefault="00DC15BB" w:rsidP="00620A81">
      <w:pPr>
        <w:ind w:firstLine="720"/>
      </w:pPr>
      <w:r w:rsidRPr="00135CCF">
        <w:t xml:space="preserve">Both articles are </w:t>
      </w:r>
      <w:r w:rsidR="00B93C1F" w:rsidRPr="00135CCF">
        <w:t>based on the analysis and interpretation of people’s personal stories</w:t>
      </w:r>
      <w:r w:rsidRPr="00135CCF">
        <w:t xml:space="preserve"> </w:t>
      </w:r>
      <w:r w:rsidR="00B93C1F" w:rsidRPr="00135CCF">
        <w:t xml:space="preserve">and experiences rather than quantifiable measurable facts placing them in the ambit of qualitative research and interpretivism. </w:t>
      </w:r>
      <w:r w:rsidR="00C40CCF" w:rsidRPr="00135CCF">
        <w:t xml:space="preserve">A main difference between the two articles is that Bennett works exclusively with information provided to her by informants, whereas Blain’s article is mostly autobiographical and </w:t>
      </w:r>
      <w:r w:rsidR="00695A1E" w:rsidRPr="00135CCF">
        <w:t xml:space="preserve">based on </w:t>
      </w:r>
      <w:r w:rsidR="00C40CCF" w:rsidRPr="00135CCF">
        <w:t xml:space="preserve">her own shamanic experiences. </w:t>
      </w:r>
      <w:r w:rsidR="008B4B15" w:rsidRPr="00135CCF">
        <w:t xml:space="preserve">An important </w:t>
      </w:r>
      <w:r w:rsidR="00C36D46" w:rsidRPr="00135CCF">
        <w:t xml:space="preserve">methodological </w:t>
      </w:r>
      <w:r w:rsidR="008B4B15" w:rsidRPr="00135CCF">
        <w:t xml:space="preserve">difference is their </w:t>
      </w:r>
      <w:r w:rsidR="00C36D46" w:rsidRPr="00135CCF">
        <w:t xml:space="preserve">approach to </w:t>
      </w:r>
      <w:r w:rsidR="008B4B15" w:rsidRPr="00135CCF">
        <w:t>reflexivity and ethics. Bennet’s article is characterized by an</w:t>
      </w:r>
      <w:r w:rsidR="00695A1E" w:rsidRPr="00135CCF">
        <w:t xml:space="preserve"> absence </w:t>
      </w:r>
      <w:r w:rsidR="00C40CCF" w:rsidRPr="00135CCF">
        <w:t xml:space="preserve">of </w:t>
      </w:r>
      <w:r w:rsidR="00695A1E" w:rsidRPr="00135CCF">
        <w:t>reflectivity,</w:t>
      </w:r>
      <w:r w:rsidR="008B4B15" w:rsidRPr="00135CCF">
        <w:t xml:space="preserve"> </w:t>
      </w:r>
      <w:r w:rsidR="00695A1E" w:rsidRPr="00135CCF">
        <w:t>total disregard for her</w:t>
      </w:r>
      <w:r w:rsidR="00F804CE" w:rsidRPr="00135CCF">
        <w:t xml:space="preserve"> own</w:t>
      </w:r>
      <w:r w:rsidR="002959D4" w:rsidRPr="00135CCF">
        <w:t xml:space="preserve"> situatedness </w:t>
      </w:r>
      <w:r w:rsidR="00695A1E" w:rsidRPr="00135CCF">
        <w:t>and</w:t>
      </w:r>
      <w:r w:rsidR="008B4B15" w:rsidRPr="00135CCF">
        <w:t xml:space="preserve"> a</w:t>
      </w:r>
      <w:r w:rsidR="00695A1E" w:rsidRPr="00135CCF">
        <w:t xml:space="preserve"> lack of ethical </w:t>
      </w:r>
      <w:r w:rsidR="00324928" w:rsidRPr="00135CCF">
        <w:t>consideration</w:t>
      </w:r>
      <w:r w:rsidR="00F804CE" w:rsidRPr="00135CCF">
        <w:t xml:space="preserve"> in dealing with her informants</w:t>
      </w:r>
      <w:r w:rsidR="00695A1E" w:rsidRPr="00135CCF">
        <w:t>.</w:t>
      </w:r>
      <w:r w:rsidR="0024656B" w:rsidRPr="00135CCF">
        <w:t xml:space="preserve"> </w:t>
      </w:r>
      <w:r w:rsidR="00B27564" w:rsidRPr="00135CCF">
        <w:t>In her article</w:t>
      </w:r>
      <w:r w:rsidR="008B4B15" w:rsidRPr="00135CCF">
        <w:t xml:space="preserve">, </w:t>
      </w:r>
      <w:r w:rsidR="00B27564" w:rsidRPr="00135CCF">
        <w:t>there is no description or even allusion to any connection or exchange between researcher and participants. On the contrary, Bennet appears to be very distanced from her informants, referring to them as ‘these women’ and essentially positioning herself as a</w:t>
      </w:r>
      <w:r w:rsidR="00BE082C" w:rsidRPr="00135CCF">
        <w:t>n</w:t>
      </w:r>
      <w:r w:rsidR="001D2A8A" w:rsidRPr="00135CCF">
        <w:t xml:space="preserve"> </w:t>
      </w:r>
      <w:r w:rsidR="00B27564" w:rsidRPr="00135CCF">
        <w:t>outside authority.</w:t>
      </w:r>
      <w:r w:rsidR="00324928">
        <w:rPr>
          <w:rStyle w:val="FootnoteReference"/>
        </w:rPr>
        <w:footnoteReference w:id="35"/>
      </w:r>
      <w:r w:rsidR="00B8785A" w:rsidRPr="00135CCF">
        <w:t xml:space="preserve"> </w:t>
      </w:r>
      <w:r w:rsidR="00B27564" w:rsidRPr="00135CCF">
        <w:t>Th</w:t>
      </w:r>
      <w:r w:rsidR="00BE082C" w:rsidRPr="00135CCF">
        <w:t>e</w:t>
      </w:r>
      <w:r w:rsidR="00B27564" w:rsidRPr="00135CCF">
        <w:t xml:space="preserve"> absence of connection makes </w:t>
      </w:r>
      <w:r w:rsidR="00BE082C" w:rsidRPr="00135CCF">
        <w:t>her</w:t>
      </w:r>
      <w:r w:rsidR="00B27564" w:rsidRPr="00135CCF">
        <w:t xml:space="preserve"> interpretations appear condescending</w:t>
      </w:r>
      <w:r w:rsidR="00B65B89" w:rsidRPr="00135CCF">
        <w:t xml:space="preserve">, </w:t>
      </w:r>
      <w:r w:rsidR="00B27564" w:rsidRPr="00135CCF">
        <w:t>judgmental</w:t>
      </w:r>
      <w:r w:rsidR="00B65B89" w:rsidRPr="00135CCF">
        <w:t xml:space="preserve"> and </w:t>
      </w:r>
      <w:r w:rsidR="00BE082C" w:rsidRPr="00135CCF">
        <w:t>there</w:t>
      </w:r>
      <w:r w:rsidR="00B65B89" w:rsidRPr="00135CCF">
        <w:t xml:space="preserve"> </w:t>
      </w:r>
      <w:r w:rsidR="00BE082C" w:rsidRPr="00135CCF">
        <w:t xml:space="preserve">is </w:t>
      </w:r>
      <w:r w:rsidR="00B65B89" w:rsidRPr="00135CCF">
        <w:t xml:space="preserve">even something dehumanizing about </w:t>
      </w:r>
      <w:r w:rsidR="00BE082C" w:rsidRPr="00135CCF">
        <w:t>them</w:t>
      </w:r>
      <w:r w:rsidR="00B65B89" w:rsidRPr="00135CCF">
        <w:t>.</w:t>
      </w:r>
      <w:r w:rsidR="008B4B15" w:rsidRPr="00135CCF">
        <w:t xml:space="preserve"> Linda Tuhiwai Smith describes imbalances of power and concomitant dehumanization in the colonialist context</w:t>
      </w:r>
      <w:r w:rsidR="004A70BD" w:rsidRPr="00135CCF">
        <w:t>,</w:t>
      </w:r>
      <w:r w:rsidR="008B4B15" w:rsidRPr="00135CCF">
        <w:t xml:space="preserve"> </w:t>
      </w:r>
      <w:r w:rsidR="00855DA4">
        <w:t>which</w:t>
      </w:r>
      <w:r w:rsidR="001D2A8A" w:rsidRPr="00135CCF">
        <w:t xml:space="preserve"> </w:t>
      </w:r>
      <w:r w:rsidR="008B4B15" w:rsidRPr="00135CCF">
        <w:t xml:space="preserve">appear comparable, at least in essence, with Bennet’s </w:t>
      </w:r>
      <w:r w:rsidR="001F1EED" w:rsidRPr="00135CCF">
        <w:t xml:space="preserve">research </w:t>
      </w:r>
      <w:r w:rsidR="008B4B15" w:rsidRPr="00135CCF">
        <w:t>practices</w:t>
      </w:r>
      <w:r w:rsidR="001F1EED" w:rsidRPr="00135CCF">
        <w:t xml:space="preserve"> and </w:t>
      </w:r>
      <w:r w:rsidR="00740331" w:rsidRPr="00135CCF">
        <w:t>ethical shortcomings.</w:t>
      </w:r>
      <w:r w:rsidR="00324928">
        <w:rPr>
          <w:rStyle w:val="FootnoteReference"/>
        </w:rPr>
        <w:footnoteReference w:id="36"/>
      </w:r>
      <w:r w:rsidR="001F1EED" w:rsidRPr="00135CCF">
        <w:t xml:space="preserve"> </w:t>
      </w:r>
      <w:r w:rsidR="00BE082C" w:rsidRPr="00135CCF">
        <w:t xml:space="preserve">It seems that </w:t>
      </w:r>
      <w:r w:rsidR="001D2A8A" w:rsidRPr="00135CCF">
        <w:t xml:space="preserve">Bennett’s research methods, though apparently qualitative, </w:t>
      </w:r>
      <w:r w:rsidR="00BE082C" w:rsidRPr="00135CCF">
        <w:lastRenderedPageBreak/>
        <w:t xml:space="preserve">were still </w:t>
      </w:r>
      <w:r w:rsidR="001D2A8A" w:rsidRPr="00135CCF">
        <w:t>very much influenced by positivism which ‘is often criticized for its assumptions about objective measurements which essentially separates the researcher from the researched and fails to acknowledge the interactive and co-constructive nature of data collection with human beings.’</w:t>
      </w:r>
      <w:r w:rsidR="00324928">
        <w:rPr>
          <w:rStyle w:val="FootnoteReference"/>
        </w:rPr>
        <w:footnoteReference w:id="37"/>
      </w:r>
      <w:r w:rsidR="001D2A8A" w:rsidRPr="00135CCF">
        <w:t xml:space="preserve">  Indeed, the </w:t>
      </w:r>
      <w:r w:rsidR="004A70BD" w:rsidRPr="00135CCF">
        <w:t xml:space="preserve">‘interpretive paradigm’ was developed during the 1970s as a reaction to the then dominant positivist method and Bennet’s interviews with her </w:t>
      </w:r>
      <w:r w:rsidR="0024656B" w:rsidRPr="00135CCF">
        <w:t xml:space="preserve">informants </w:t>
      </w:r>
      <w:r w:rsidR="004A70BD" w:rsidRPr="00135CCF">
        <w:t xml:space="preserve">date to </w:t>
      </w:r>
      <w:r w:rsidR="004A70BD" w:rsidRPr="00324928">
        <w:t>1981.</w:t>
      </w:r>
      <w:r w:rsidR="00324928" w:rsidRPr="00324928">
        <w:rPr>
          <w:rStyle w:val="FootnoteReference"/>
        </w:rPr>
        <w:footnoteReference w:id="38"/>
      </w:r>
      <w:r w:rsidR="004A70BD" w:rsidRPr="00324928">
        <w:t xml:space="preserve"> </w:t>
      </w:r>
      <w:r w:rsidR="0024656B" w:rsidRPr="00324928">
        <w:t>While</w:t>
      </w:r>
      <w:r w:rsidR="0024656B" w:rsidRPr="00135CCF">
        <w:t xml:space="preserve"> </w:t>
      </w:r>
      <w:r w:rsidR="00855DA4">
        <w:t xml:space="preserve">this </w:t>
      </w:r>
      <w:r w:rsidR="004C2327" w:rsidRPr="00135CCF">
        <w:t xml:space="preserve">historical </w:t>
      </w:r>
      <w:r w:rsidR="00855DA4">
        <w:t xml:space="preserve">background </w:t>
      </w:r>
      <w:r w:rsidR="0024656B" w:rsidRPr="00135CCF">
        <w:t>may explain Bennet</w:t>
      </w:r>
      <w:r w:rsidR="00E2053D" w:rsidRPr="00135CCF">
        <w:t>’s initial</w:t>
      </w:r>
      <w:r w:rsidR="0024656B" w:rsidRPr="00135CCF">
        <w:t xml:space="preserve"> </w:t>
      </w:r>
      <w:r w:rsidR="004C2327" w:rsidRPr="00135CCF">
        <w:t>exclu</w:t>
      </w:r>
      <w:r w:rsidR="00E2053D" w:rsidRPr="00135CCF">
        <w:t>sion of reflexivity and ethical considerations, they</w:t>
      </w:r>
      <w:r w:rsidR="004C2327" w:rsidRPr="00135CCF">
        <w:t xml:space="preserve"> </w:t>
      </w:r>
      <w:r w:rsidR="00686357">
        <w:t>fail to</w:t>
      </w:r>
      <w:r w:rsidR="004C2327" w:rsidRPr="00135CCF">
        <w:t xml:space="preserve"> explain </w:t>
      </w:r>
      <w:r w:rsidR="00E2053D" w:rsidRPr="00135CCF">
        <w:t>their omission in this 199</w:t>
      </w:r>
      <w:r w:rsidR="00EB7071">
        <w:t>5</w:t>
      </w:r>
      <w:r w:rsidR="00E2053D" w:rsidRPr="00135CCF">
        <w:t xml:space="preserve"> </w:t>
      </w:r>
      <w:r w:rsidR="00EB7071">
        <w:t>publication</w:t>
      </w:r>
      <w:r w:rsidR="00135CCF" w:rsidRPr="00135CCF">
        <w:t xml:space="preserve">. </w:t>
      </w:r>
      <w:r w:rsidR="004C2327" w:rsidRPr="00135CCF">
        <w:t xml:space="preserve">Blain’s article, on the other hand, being autobiographical, is extremely self-reflective and transparent about her situatedness. </w:t>
      </w:r>
      <w:r w:rsidR="00E2053D" w:rsidRPr="00135CCF">
        <w:t>B</w:t>
      </w:r>
      <w:r w:rsidR="004C2327" w:rsidRPr="00135CCF">
        <w:t>y focusing on herself and by aligning herself with her subjects of study</w:t>
      </w:r>
      <w:r w:rsidR="00E2053D" w:rsidRPr="00135CCF">
        <w:t xml:space="preserve">, she </w:t>
      </w:r>
      <w:r w:rsidR="004C2327" w:rsidRPr="00135CCF">
        <w:t>essentially</w:t>
      </w:r>
      <w:r w:rsidR="004C2327">
        <w:t xml:space="preserve"> eliminat</w:t>
      </w:r>
      <w:r w:rsidR="00E2053D">
        <w:t>es</w:t>
      </w:r>
      <w:r w:rsidR="004C2327">
        <w:t xml:space="preserve"> problematic relationships of power. </w:t>
      </w:r>
      <w:r w:rsidR="00DB1A17">
        <w:t xml:space="preserve">Blain’s article has the benefit of having been written when the qualitative methodological parameters were more </w:t>
      </w:r>
      <w:r w:rsidR="00631ADF">
        <w:t>developed,</w:t>
      </w:r>
      <w:r w:rsidR="00DB1A17">
        <w:t xml:space="preserve"> and</w:t>
      </w:r>
      <w:r w:rsidR="00631ADF">
        <w:t xml:space="preserve"> it </w:t>
      </w:r>
      <w:r w:rsidR="00686357">
        <w:t xml:space="preserve">certainly </w:t>
      </w:r>
      <w:r w:rsidR="00631ADF">
        <w:t xml:space="preserve">profits from her teaching specialization. </w:t>
      </w:r>
      <w:r w:rsidR="00170A86">
        <w:t xml:space="preserve">In contrast to Bennett’s article, hers </w:t>
      </w:r>
      <w:r w:rsidR="00DB1A17">
        <w:t>could</w:t>
      </w:r>
      <w:r w:rsidR="00170A86">
        <w:t xml:space="preserve"> potentially </w:t>
      </w:r>
      <w:r w:rsidR="00DB1A17">
        <w:t>be criticized</w:t>
      </w:r>
      <w:r w:rsidR="00170A86">
        <w:t xml:space="preserve"> </w:t>
      </w:r>
      <w:r w:rsidR="00DB1A17">
        <w:t xml:space="preserve">for a lack of </w:t>
      </w:r>
      <w:r w:rsidR="00DF4592">
        <w:t xml:space="preserve">‘objective’ </w:t>
      </w:r>
      <w:r w:rsidR="001F1EED">
        <w:t xml:space="preserve">third person </w:t>
      </w:r>
      <w:r w:rsidR="00170A86">
        <w:t xml:space="preserve">research </w:t>
      </w:r>
      <w:r w:rsidR="00DB1A17">
        <w:t>and a</w:t>
      </w:r>
      <w:r w:rsidR="00170A86">
        <w:t xml:space="preserve">n </w:t>
      </w:r>
      <w:r w:rsidR="00DB1A17" w:rsidRPr="00A94BAF">
        <w:t>overemphasis on</w:t>
      </w:r>
      <w:r w:rsidR="00170A86" w:rsidRPr="00A94BAF">
        <w:t xml:space="preserve"> her own </w:t>
      </w:r>
      <w:r w:rsidR="00DF4592" w:rsidRPr="00A94BAF">
        <w:t>subjectivity</w:t>
      </w:r>
      <w:r w:rsidR="00DB1A17" w:rsidRPr="00A94BAF">
        <w:t>. Though there is indeed a</w:t>
      </w:r>
      <w:r w:rsidR="001F1EED" w:rsidRPr="00A94BAF">
        <w:t xml:space="preserve"> strong</w:t>
      </w:r>
      <w:r w:rsidR="00DB1A17" w:rsidRPr="00A94BAF">
        <w:t xml:space="preserve"> focus on her own subjectivity</w:t>
      </w:r>
      <w:r w:rsidR="00232BFC" w:rsidRPr="00A94BAF">
        <w:t xml:space="preserve"> </w:t>
      </w:r>
      <w:r w:rsidR="00DB1A17" w:rsidRPr="00A94BAF">
        <w:t xml:space="preserve">she </w:t>
      </w:r>
      <w:r w:rsidR="001F1EED" w:rsidRPr="00A94BAF">
        <w:t xml:space="preserve">is very aware of potential problems resulting from the </w:t>
      </w:r>
      <w:r w:rsidR="00232BFC" w:rsidRPr="00A94BAF">
        <w:t xml:space="preserve">collapsing of </w:t>
      </w:r>
      <w:r w:rsidR="001F1EED" w:rsidRPr="00A94BAF">
        <w:t>researcher and informant</w:t>
      </w:r>
      <w:r w:rsidR="00232BFC" w:rsidRPr="00A94BAF">
        <w:t>. S</w:t>
      </w:r>
      <w:r w:rsidR="00B33823" w:rsidRPr="00A94BAF">
        <w:t>he</w:t>
      </w:r>
      <w:r w:rsidR="00232BFC" w:rsidRPr="00A94BAF">
        <w:t xml:space="preserve"> </w:t>
      </w:r>
      <w:r w:rsidR="00EB7071" w:rsidRPr="00A94BAF">
        <w:t xml:space="preserve">understands that ‘simply ‘going native’ (…) is not enough’ and </w:t>
      </w:r>
      <w:r w:rsidR="00232BFC" w:rsidRPr="00A94BAF">
        <w:t xml:space="preserve">describes her </w:t>
      </w:r>
      <w:r w:rsidR="00B33823" w:rsidRPr="00A94BAF">
        <w:t xml:space="preserve">‘’self’ as part/not part’ of the </w:t>
      </w:r>
      <w:proofErr w:type="spellStart"/>
      <w:r w:rsidR="00B33823" w:rsidRPr="00A94BAF">
        <w:t>seidr</w:t>
      </w:r>
      <w:proofErr w:type="spellEnd"/>
      <w:r w:rsidR="00B33823" w:rsidRPr="00A94BAF">
        <w:t xml:space="preserve"> community</w:t>
      </w:r>
      <w:r w:rsidR="00EB7071" w:rsidRPr="00A94BAF">
        <w:t>.</w:t>
      </w:r>
      <w:r w:rsidR="00E9621C">
        <w:rPr>
          <w:rStyle w:val="FootnoteReference"/>
        </w:rPr>
        <w:footnoteReference w:id="39"/>
      </w:r>
      <w:r w:rsidR="00A94BAF" w:rsidRPr="00A94BAF">
        <w:t xml:space="preserve"> </w:t>
      </w:r>
      <w:r w:rsidR="00232BFC" w:rsidRPr="00A94BAF">
        <w:t xml:space="preserve">Given </w:t>
      </w:r>
      <w:r w:rsidR="00686357" w:rsidRPr="00A94BAF">
        <w:t>her</w:t>
      </w:r>
      <w:r w:rsidR="00232BFC" w:rsidRPr="00A94BAF">
        <w:t xml:space="preserve"> article’s focus on </w:t>
      </w:r>
      <w:r w:rsidR="00A94BAF">
        <w:t>the autobiographical perspective</w:t>
      </w:r>
      <w:r w:rsidR="00232BFC" w:rsidRPr="00A94BAF">
        <w:t xml:space="preserve">, </w:t>
      </w:r>
      <w:r w:rsidR="00170A86" w:rsidRPr="00A94BAF">
        <w:t>her choice of radical reflexivity seems entirely appropriate</w:t>
      </w:r>
      <w:r w:rsidR="00232BFC" w:rsidRPr="00A94BAF">
        <w:t xml:space="preserve"> </w:t>
      </w:r>
      <w:r w:rsidR="00686357" w:rsidRPr="00A94BAF">
        <w:t>while no justifications can</w:t>
      </w:r>
      <w:r w:rsidR="00686357">
        <w:t xml:space="preserve"> be found for Bennett’s exclusions</w:t>
      </w:r>
      <w:r w:rsidR="00232BFC">
        <w:t>.</w:t>
      </w:r>
    </w:p>
    <w:p w14:paraId="374ECEF1" w14:textId="6848BC89" w:rsidR="003B4939" w:rsidRDefault="00232888" w:rsidP="000A4D34">
      <w:pPr>
        <w:ind w:firstLine="720"/>
      </w:pPr>
      <w:r>
        <w:t xml:space="preserve">Both articles can be related to the </w:t>
      </w:r>
      <w:r w:rsidR="001F1365">
        <w:t xml:space="preserve">revolutionary </w:t>
      </w:r>
      <w:r>
        <w:t xml:space="preserve">cultural shifts of the 1960s and 70s, </w:t>
      </w:r>
      <w:r w:rsidR="00C32179">
        <w:t>which w</w:t>
      </w:r>
      <w:r w:rsidR="00BB3A76">
        <w:t>ere</w:t>
      </w:r>
      <w:r w:rsidR="00686357">
        <w:t xml:space="preserve"> not only </w:t>
      </w:r>
      <w:r w:rsidR="00C32179">
        <w:t xml:space="preserve">associated with the development </w:t>
      </w:r>
      <w:r>
        <w:t xml:space="preserve">of the qualitative </w:t>
      </w:r>
      <w:r w:rsidR="00C32179">
        <w:t xml:space="preserve">research </w:t>
      </w:r>
      <w:r>
        <w:t xml:space="preserve">method </w:t>
      </w:r>
      <w:r w:rsidR="00C32179">
        <w:t xml:space="preserve">but also with </w:t>
      </w:r>
      <w:r w:rsidR="001F1365">
        <w:t xml:space="preserve">feminism and </w:t>
      </w:r>
      <w:r w:rsidR="00C32179">
        <w:t>a</w:t>
      </w:r>
      <w:r w:rsidR="001F1365">
        <w:t xml:space="preserve"> critical attitude toward all established ideas</w:t>
      </w:r>
      <w:r w:rsidR="00C32179">
        <w:t xml:space="preserve">. </w:t>
      </w:r>
      <w:r w:rsidR="00481FE5">
        <w:t>They both</w:t>
      </w:r>
      <w:r w:rsidR="00C32179">
        <w:t xml:space="preserve"> </w:t>
      </w:r>
      <w:r w:rsidR="00EB34C5">
        <w:t>consider</w:t>
      </w:r>
      <w:r w:rsidR="00C32179">
        <w:t xml:space="preserve"> gender issues</w:t>
      </w:r>
      <w:r w:rsidR="00103D5A">
        <w:t xml:space="preserve"> </w:t>
      </w:r>
      <w:r w:rsidR="00C32179">
        <w:t>whereby Bennet</w:t>
      </w:r>
      <w:r w:rsidR="00EB34C5">
        <w:t>t</w:t>
      </w:r>
      <w:r w:rsidR="00C32179">
        <w:t xml:space="preserve">’s article is more closely identified with </w:t>
      </w:r>
      <w:r w:rsidR="00BB3A76">
        <w:t>a feminist viewpoint</w:t>
      </w:r>
      <w:r w:rsidR="00C32179">
        <w:t xml:space="preserve">. </w:t>
      </w:r>
      <w:r w:rsidR="00996CAF">
        <w:t>H</w:t>
      </w:r>
      <w:r w:rsidR="00BB3A76">
        <w:t>er viewpoint</w:t>
      </w:r>
      <w:r w:rsidR="00996CAF">
        <w:t>, however,</w:t>
      </w:r>
      <w:r w:rsidR="00BB3A76">
        <w:t xml:space="preserve"> appears </w:t>
      </w:r>
      <w:proofErr w:type="spellStart"/>
      <w:r w:rsidR="00BB3A76">
        <w:t>un</w:t>
      </w:r>
      <w:r w:rsidR="00EB34C5">
        <w:t>reflected</w:t>
      </w:r>
      <w:proofErr w:type="spellEnd"/>
      <w:r w:rsidR="00103D5A">
        <w:t xml:space="preserve"> </w:t>
      </w:r>
      <w:r w:rsidR="00EB34C5">
        <w:t xml:space="preserve">and even biased since she </w:t>
      </w:r>
      <w:r w:rsidR="00103D5A">
        <w:t>does not acknowledge the restrictive</w:t>
      </w:r>
      <w:r w:rsidR="00C441D6">
        <w:t xml:space="preserve"> </w:t>
      </w:r>
      <w:r w:rsidR="00103D5A">
        <w:t>nature of traditional gender roles</w:t>
      </w:r>
      <w:r w:rsidR="007A7EF4">
        <w:t xml:space="preserve"> </w:t>
      </w:r>
      <w:r w:rsidR="00C441D6">
        <w:t>that</w:t>
      </w:r>
      <w:r w:rsidR="00542237">
        <w:t xml:space="preserve"> likely defined her informants’ lives. </w:t>
      </w:r>
      <w:r w:rsidR="001F1365">
        <w:t>By</w:t>
      </w:r>
      <w:r w:rsidR="00C441D6">
        <w:t xml:space="preserve"> </w:t>
      </w:r>
      <w:r w:rsidR="00EB34C5">
        <w:t>claiming</w:t>
      </w:r>
      <w:r w:rsidR="00BB3A76">
        <w:t xml:space="preserve"> that her informants intentionally align</w:t>
      </w:r>
      <w:r w:rsidR="001F1365">
        <w:t xml:space="preserve">ed themselves with </w:t>
      </w:r>
      <w:r w:rsidR="00103D5A">
        <w:t xml:space="preserve">traditional </w:t>
      </w:r>
      <w:r w:rsidR="00996CAF">
        <w:t xml:space="preserve">gender </w:t>
      </w:r>
      <w:r w:rsidR="00103D5A">
        <w:t xml:space="preserve">roles to gain </w:t>
      </w:r>
      <w:r w:rsidR="00232F21">
        <w:t>‘</w:t>
      </w:r>
      <w:r w:rsidR="00BB3A76">
        <w:t>power</w:t>
      </w:r>
      <w:r w:rsidR="00232F21">
        <w:t>, fame,</w:t>
      </w:r>
      <w:r w:rsidR="00BB3A76">
        <w:t xml:space="preserve"> and glory</w:t>
      </w:r>
      <w:r w:rsidR="00232F21">
        <w:t>’</w:t>
      </w:r>
      <w:r w:rsidR="00996CAF">
        <w:t>,</w:t>
      </w:r>
      <w:r w:rsidR="00BB3A76">
        <w:t xml:space="preserve"> </w:t>
      </w:r>
      <w:r w:rsidR="00CB7AB9">
        <w:t>she is essentially blaming the victim.</w:t>
      </w:r>
      <w:r w:rsidR="00E9621C">
        <w:rPr>
          <w:rStyle w:val="FootnoteReference"/>
        </w:rPr>
        <w:footnoteReference w:id="40"/>
      </w:r>
      <w:r w:rsidR="00CB7AB9">
        <w:t xml:space="preserve"> </w:t>
      </w:r>
      <w:r w:rsidR="00996CAF">
        <w:t>Blaine’s article has no such bias</w:t>
      </w:r>
      <w:r w:rsidR="00996CAF" w:rsidRPr="00DA7178">
        <w:t xml:space="preserve">. </w:t>
      </w:r>
      <w:r w:rsidR="003B4939" w:rsidRPr="00DA7178">
        <w:t xml:space="preserve">Both articles also </w:t>
      </w:r>
      <w:r w:rsidR="00FF1802" w:rsidRPr="00DA7178">
        <w:t>pay close attention to language, with Bennett using the structure and presentation of her informant’s language as</w:t>
      </w:r>
      <w:r w:rsidR="00FF1802">
        <w:t xml:space="preserve"> a basis of analysis. The </w:t>
      </w:r>
      <w:r w:rsidR="00DA7178">
        <w:t xml:space="preserve">close analysis </w:t>
      </w:r>
      <w:r w:rsidR="00FF1802">
        <w:t xml:space="preserve">of language, </w:t>
      </w:r>
      <w:r w:rsidR="00DA7178">
        <w:t xml:space="preserve">such as the deconstruction </w:t>
      </w:r>
      <w:r w:rsidR="00FF1802">
        <w:t>developed by Jaques Derrida</w:t>
      </w:r>
      <w:r w:rsidR="00DA7178">
        <w:t xml:space="preserve"> in the 1960s</w:t>
      </w:r>
      <w:r w:rsidR="00FF1802">
        <w:t>, is also a form of critic</w:t>
      </w:r>
      <w:r w:rsidR="00DA7178">
        <w:t>al engagement</w:t>
      </w:r>
      <w:r w:rsidR="00FF1802">
        <w:t>.</w:t>
      </w:r>
      <w:r w:rsidR="00481FE5">
        <w:rPr>
          <w:rStyle w:val="FootnoteReference"/>
        </w:rPr>
        <w:footnoteReference w:id="41"/>
      </w:r>
      <w:r w:rsidR="00FF1802">
        <w:t xml:space="preserve">   </w:t>
      </w:r>
    </w:p>
    <w:p w14:paraId="414F76DF" w14:textId="56C58EF8" w:rsidR="00C63045" w:rsidRPr="000A4D34" w:rsidRDefault="00996CAF" w:rsidP="000A4D34">
      <w:pPr>
        <w:ind w:firstLine="720"/>
      </w:pPr>
      <w:r>
        <w:t xml:space="preserve">The two </w:t>
      </w:r>
      <w:r w:rsidRPr="00C63045">
        <w:t xml:space="preserve">articles operate very differently within this critical </w:t>
      </w:r>
      <w:r w:rsidR="00C63045" w:rsidRPr="00C63045">
        <w:t>worldview</w:t>
      </w:r>
      <w:r w:rsidRPr="00C63045">
        <w:t xml:space="preserve">. </w:t>
      </w:r>
      <w:r w:rsidR="00CA488C" w:rsidRPr="00C63045">
        <w:t>Benne</w:t>
      </w:r>
      <w:r w:rsidR="00EB34C5" w:rsidRPr="00C63045">
        <w:t>t</w:t>
      </w:r>
      <w:r w:rsidR="00CA488C" w:rsidRPr="00C63045">
        <w:t>t’s article has</w:t>
      </w:r>
      <w:r w:rsidR="006736DA" w:rsidRPr="00C63045">
        <w:t xml:space="preserve"> a</w:t>
      </w:r>
      <w:r w:rsidR="00CA488C" w:rsidRPr="00C63045">
        <w:t xml:space="preserve"> </w:t>
      </w:r>
      <w:r w:rsidR="006736DA" w:rsidRPr="00C63045">
        <w:t xml:space="preserve">linear </w:t>
      </w:r>
      <w:r w:rsidR="00CA488C" w:rsidRPr="00C63045">
        <w:t xml:space="preserve">and quite narrowly defined scope, </w:t>
      </w:r>
      <w:r w:rsidR="006736DA" w:rsidRPr="00C63045">
        <w:t>women’s relationship with foreknowledge</w:t>
      </w:r>
      <w:r w:rsidR="00CA488C" w:rsidRPr="00C63045">
        <w:t>, and seeks a singular unambiguous resolution</w:t>
      </w:r>
      <w:r w:rsidR="00754AE4" w:rsidRPr="00C63045">
        <w:t xml:space="preserve"> which </w:t>
      </w:r>
      <w:r w:rsidR="004614CB" w:rsidRPr="00C63045">
        <w:t>can be</w:t>
      </w:r>
      <w:r w:rsidR="00754AE4" w:rsidRPr="00C63045">
        <w:t xml:space="preserve"> </w:t>
      </w:r>
      <w:r w:rsidR="004614CB" w:rsidRPr="00C63045">
        <w:t xml:space="preserve">associated </w:t>
      </w:r>
      <w:r w:rsidR="00754AE4" w:rsidRPr="00C63045">
        <w:t>not only with positivism but also with modernism.</w:t>
      </w:r>
      <w:r w:rsidR="00CA488C" w:rsidRPr="00C63045">
        <w:t xml:space="preserve">  Blain’s </w:t>
      </w:r>
      <w:r w:rsidR="006736DA" w:rsidRPr="00C63045">
        <w:t>article</w:t>
      </w:r>
      <w:r w:rsidRPr="00C63045">
        <w:t>, on the other hand,</w:t>
      </w:r>
      <w:r w:rsidR="006736DA" w:rsidRPr="00C63045">
        <w:t xml:space="preserve"> is </w:t>
      </w:r>
      <w:r w:rsidR="004614CB" w:rsidRPr="00C63045">
        <w:t xml:space="preserve">theoretical and </w:t>
      </w:r>
      <w:r w:rsidR="006736DA" w:rsidRPr="00C63045">
        <w:t>complex</w:t>
      </w:r>
      <w:r w:rsidR="004614CB" w:rsidRPr="00C63045">
        <w:t xml:space="preserve">. </w:t>
      </w:r>
      <w:r w:rsidR="0002469A" w:rsidRPr="00C63045">
        <w:t xml:space="preserve">She uses critical theory </w:t>
      </w:r>
      <w:r w:rsidR="00422509" w:rsidRPr="00C63045">
        <w:t xml:space="preserve">including feminism </w:t>
      </w:r>
      <w:r w:rsidR="0002469A" w:rsidRPr="00C63045">
        <w:t xml:space="preserve">to question </w:t>
      </w:r>
      <w:r w:rsidR="00422509" w:rsidRPr="00C63045">
        <w:t>basic academic</w:t>
      </w:r>
      <w:r w:rsidR="0002469A" w:rsidRPr="00C63045">
        <w:t xml:space="preserve"> ten</w:t>
      </w:r>
      <w:r w:rsidR="00422509" w:rsidRPr="00C63045">
        <w:t>e</w:t>
      </w:r>
      <w:r w:rsidR="0002469A" w:rsidRPr="00C63045">
        <w:t>ts</w:t>
      </w:r>
      <w:r w:rsidRPr="00C63045">
        <w:t xml:space="preserve">, an </w:t>
      </w:r>
      <w:r w:rsidR="00C63045" w:rsidRPr="00C63045">
        <w:t xml:space="preserve">excessive </w:t>
      </w:r>
      <w:r w:rsidRPr="00C63045">
        <w:t xml:space="preserve">focus on the </w:t>
      </w:r>
      <w:r w:rsidR="00754AE4" w:rsidRPr="00C63045">
        <w:t>rational, objective and material</w:t>
      </w:r>
      <w:r w:rsidRPr="00C63045">
        <w:t xml:space="preserve">, </w:t>
      </w:r>
      <w:r w:rsidR="00754AE4" w:rsidRPr="00C63045">
        <w:t>and to critique current ethnography.  She also uses a p</w:t>
      </w:r>
      <w:r w:rsidR="0002469A" w:rsidRPr="00C63045">
        <w:t xml:space="preserve">ostmodern </w:t>
      </w:r>
      <w:r w:rsidR="00754AE4" w:rsidRPr="00C63045">
        <w:t>framework w</w:t>
      </w:r>
      <w:r w:rsidR="0002469A" w:rsidRPr="00C63045">
        <w:t xml:space="preserve">hich seeks to question and subvert </w:t>
      </w:r>
      <w:r w:rsidR="001076FC">
        <w:t xml:space="preserve">all </w:t>
      </w:r>
      <w:r w:rsidR="00C63045" w:rsidRPr="00C63045">
        <w:t xml:space="preserve">master </w:t>
      </w:r>
      <w:r w:rsidR="004614CB" w:rsidRPr="00C63045">
        <w:t>narratives</w:t>
      </w:r>
      <w:r w:rsidR="0002469A" w:rsidRPr="00C63045">
        <w:t xml:space="preserve"> </w:t>
      </w:r>
      <w:r w:rsidR="00C63045" w:rsidRPr="00C63045">
        <w:t xml:space="preserve">by focusing on the </w:t>
      </w:r>
      <w:r w:rsidR="004614CB" w:rsidRPr="00C63045">
        <w:t xml:space="preserve">personal and </w:t>
      </w:r>
      <w:r w:rsidR="00C63045" w:rsidRPr="00C63045">
        <w:t xml:space="preserve">the </w:t>
      </w:r>
      <w:r w:rsidR="004614CB" w:rsidRPr="00C63045">
        <w:t>local</w:t>
      </w:r>
      <w:r w:rsidR="0031204A" w:rsidRPr="00C63045">
        <w:t>.</w:t>
      </w:r>
      <w:r w:rsidR="00E93C83">
        <w:rPr>
          <w:rStyle w:val="FootnoteReference"/>
        </w:rPr>
        <w:footnoteReference w:id="42"/>
      </w:r>
      <w:r w:rsidR="000A4D34">
        <w:t xml:space="preserve"> </w:t>
      </w:r>
      <w:r w:rsidR="004049C0" w:rsidRPr="00C63045">
        <w:t xml:space="preserve">Postmodern </w:t>
      </w:r>
      <w:r w:rsidR="0031204A" w:rsidRPr="00C63045">
        <w:t>texts</w:t>
      </w:r>
      <w:r w:rsidR="004049C0" w:rsidRPr="00C63045">
        <w:t xml:space="preserve"> are characterized by multiplicity and complexity and </w:t>
      </w:r>
      <w:r w:rsidR="0002469A" w:rsidRPr="00C63045">
        <w:t>unfold in a multifaceted ‘rhizomatic’ way</w:t>
      </w:r>
      <w:r w:rsidR="00C441D6" w:rsidRPr="00C63045">
        <w:t xml:space="preserve"> which describes Blaine’s multi-layered article very well.</w:t>
      </w:r>
      <w:r w:rsidR="00E12E2C">
        <w:rPr>
          <w:rStyle w:val="FootnoteReference"/>
        </w:rPr>
        <w:footnoteReference w:id="43"/>
      </w:r>
      <w:r w:rsidR="00C441D6" w:rsidRPr="00C63045">
        <w:t xml:space="preserve"> </w:t>
      </w:r>
      <w:r w:rsidR="004049C0" w:rsidRPr="00C63045">
        <w:t>I</w:t>
      </w:r>
      <w:r w:rsidR="00855DA4">
        <w:t>t</w:t>
      </w:r>
      <w:r w:rsidR="004049C0" w:rsidRPr="00C63045">
        <w:t xml:space="preserve"> </w:t>
      </w:r>
      <w:r w:rsidR="00C441D6" w:rsidRPr="00C63045">
        <w:t xml:space="preserve">does not seek or </w:t>
      </w:r>
      <w:r w:rsidR="004049C0" w:rsidRPr="00C63045">
        <w:lastRenderedPageBreak/>
        <w:t>achieve</w:t>
      </w:r>
      <w:r w:rsidR="004049C0">
        <w:t xml:space="preserve"> </w:t>
      </w:r>
      <w:r w:rsidR="00C441D6">
        <w:t>unambiguous clarity and instead lays out the issues at stake in an open-ended</w:t>
      </w:r>
      <w:r w:rsidR="001076FC">
        <w:t xml:space="preserve">, even contradictory, </w:t>
      </w:r>
      <w:r w:rsidR="00C441D6">
        <w:t xml:space="preserve">yet holistic and </w:t>
      </w:r>
      <w:r w:rsidR="001076FC">
        <w:t xml:space="preserve">comprehensive </w:t>
      </w:r>
      <w:r w:rsidR="00C441D6">
        <w:t xml:space="preserve">manner.  </w:t>
      </w:r>
      <w:r w:rsidR="00855DA4">
        <w:t xml:space="preserve">Indeed, so Gilles </w:t>
      </w:r>
      <w:proofErr w:type="spellStart"/>
      <w:r w:rsidR="00855DA4">
        <w:t>Deleuzes</w:t>
      </w:r>
      <w:proofErr w:type="spellEnd"/>
      <w:r w:rsidR="00855DA4">
        <w:t xml:space="preserve"> and Felix </w:t>
      </w:r>
      <w:proofErr w:type="spellStart"/>
      <w:r w:rsidR="00855DA4">
        <w:t>Guattari</w:t>
      </w:r>
      <w:proofErr w:type="spellEnd"/>
      <w:r w:rsidR="00855DA4">
        <w:t xml:space="preserve">, </w:t>
      </w:r>
      <w:r w:rsidR="00C63045" w:rsidRPr="00C63045">
        <w:t>‘</w:t>
      </w:r>
      <w:r w:rsidR="00855DA4">
        <w:t>i</w:t>
      </w:r>
      <w:r w:rsidR="00C63045" w:rsidRPr="00C63045">
        <w:t>n a rhizome everything is connected with everything else’</w:t>
      </w:r>
      <w:r w:rsidR="000A4D34">
        <w:t>.</w:t>
      </w:r>
      <w:r w:rsidR="00E12E2C">
        <w:rPr>
          <w:rStyle w:val="FootnoteReference"/>
        </w:rPr>
        <w:footnoteReference w:id="44"/>
      </w:r>
      <w:r w:rsidR="000A4D34">
        <w:t xml:space="preserve"> Benett’s article, in contrast, </w:t>
      </w:r>
      <w:r w:rsidR="001076FC">
        <w:t xml:space="preserve">seems to be </w:t>
      </w:r>
      <w:r w:rsidR="000A4D34">
        <w:t>based on</w:t>
      </w:r>
      <w:r w:rsidR="001076FC">
        <w:t xml:space="preserve"> </w:t>
      </w:r>
      <w:r w:rsidR="000A4D34">
        <w:t>linearity, clarity</w:t>
      </w:r>
      <w:r w:rsidR="00A363E3">
        <w:t>,</w:t>
      </w:r>
      <w:r w:rsidR="000A4D34">
        <w:t xml:space="preserve"> and separation. </w:t>
      </w:r>
      <w:r w:rsidR="00C63045" w:rsidRPr="00C63045">
        <w:t xml:space="preserve">  </w:t>
      </w:r>
    </w:p>
    <w:p w14:paraId="4A6997C1" w14:textId="70054480" w:rsidR="0099499D" w:rsidRDefault="006736DA" w:rsidP="00C51B65">
      <w:pPr>
        <w:ind w:firstLine="720"/>
      </w:pPr>
      <w:r>
        <w:t xml:space="preserve">Finally, </w:t>
      </w:r>
      <w:r w:rsidR="005E345F">
        <w:t xml:space="preserve">both </w:t>
      </w:r>
      <w:r>
        <w:t>Bennet</w:t>
      </w:r>
      <w:r w:rsidR="000A4D34">
        <w:t>t</w:t>
      </w:r>
      <w:r>
        <w:t xml:space="preserve"> and Blain</w:t>
      </w:r>
      <w:r w:rsidR="005E345F">
        <w:t>,</w:t>
      </w:r>
      <w:r>
        <w:t xml:space="preserve"> work</w:t>
      </w:r>
      <w:r w:rsidR="005E345F">
        <w:t>ing</w:t>
      </w:r>
      <w:r>
        <w:t xml:space="preserve"> in </w:t>
      </w:r>
      <w:r w:rsidR="00C51B65">
        <w:t xml:space="preserve">the </w:t>
      </w:r>
      <w:r w:rsidR="007006F9">
        <w:t>different</w:t>
      </w:r>
      <w:r w:rsidR="00DA5A20">
        <w:t xml:space="preserve"> though </w:t>
      </w:r>
      <w:r>
        <w:t>adjacent disciplines</w:t>
      </w:r>
      <w:r w:rsidR="00C51B65">
        <w:t xml:space="preserve"> of </w:t>
      </w:r>
      <w:r w:rsidR="006D70CC">
        <w:t>folklore and sociology</w:t>
      </w:r>
      <w:r w:rsidR="000A4D34">
        <w:t xml:space="preserve">, </w:t>
      </w:r>
      <w:r w:rsidR="005E345F">
        <w:t>write about the supernatural</w:t>
      </w:r>
      <w:r w:rsidR="00C51B65">
        <w:t xml:space="preserve"> which is associated with the irrational in academia</w:t>
      </w:r>
      <w:r w:rsidR="00A970AB">
        <w:t>.</w:t>
      </w:r>
      <w:r w:rsidR="00A363E3">
        <w:rPr>
          <w:rStyle w:val="FootnoteReference"/>
        </w:rPr>
        <w:footnoteReference w:id="45"/>
      </w:r>
      <w:r w:rsidR="000A4D34">
        <w:t xml:space="preserve"> </w:t>
      </w:r>
      <w:r w:rsidR="007006F9">
        <w:t xml:space="preserve">Their research provides proof for the continued existence of the supernatural in Western culture thereby </w:t>
      </w:r>
      <w:r w:rsidR="00534A3C">
        <w:t xml:space="preserve">contradicting and undermining </w:t>
      </w:r>
      <w:r w:rsidR="007006F9">
        <w:t>the belief</w:t>
      </w:r>
      <w:r w:rsidR="00534A3C">
        <w:t xml:space="preserve">, dominant in Western academic settings, of the </w:t>
      </w:r>
      <w:r w:rsidR="00647F68">
        <w:t>absolute dominance of rationality, which Richard Jenkins calls the ‘imperialism of formal-rational logics and processes’.</w:t>
      </w:r>
      <w:r w:rsidR="00647F68">
        <w:rPr>
          <w:rStyle w:val="FootnoteReference"/>
        </w:rPr>
        <w:footnoteReference w:id="46"/>
      </w:r>
      <w:r w:rsidR="00647F68">
        <w:t xml:space="preserve"> </w:t>
      </w:r>
      <w:r w:rsidR="001843D4" w:rsidRPr="004E5378">
        <w:t xml:space="preserve">Blain </w:t>
      </w:r>
      <w:r w:rsidR="00EE2207" w:rsidRPr="004E5378">
        <w:t xml:space="preserve">appears to be more </w:t>
      </w:r>
      <w:r w:rsidR="001843D4" w:rsidRPr="004E5378">
        <w:t>personally invested in the supernatural, at least judging from these two articles. She discusses her own experiences and beliefs</w:t>
      </w:r>
      <w:r w:rsidR="00232F21">
        <w:t xml:space="preserve">, </w:t>
      </w:r>
      <w:r w:rsidR="00EE2207" w:rsidRPr="004E5378">
        <w:t xml:space="preserve">at the risk </w:t>
      </w:r>
      <w:r w:rsidR="007349D4">
        <w:t xml:space="preserve">even </w:t>
      </w:r>
      <w:r w:rsidR="00EE2207" w:rsidRPr="004E5378">
        <w:t>o</w:t>
      </w:r>
      <w:r w:rsidR="00232F21">
        <w:t xml:space="preserve">f jeopardizing her academic career, </w:t>
      </w:r>
      <w:r w:rsidR="001843D4" w:rsidRPr="004E5378">
        <w:t xml:space="preserve">with the apparent aim of changing, or at least questioning, academic </w:t>
      </w:r>
      <w:r w:rsidR="00D172E5" w:rsidRPr="004E5378">
        <w:t>negation, suppression and discreditation of the supernatural</w:t>
      </w:r>
      <w:r w:rsidR="00232F21">
        <w:t>.</w:t>
      </w:r>
      <w:r w:rsidR="00EE2207" w:rsidRPr="004E5378">
        <w:t xml:space="preserve"> </w:t>
      </w:r>
      <w:r w:rsidR="0099499D">
        <w:t>However, b</w:t>
      </w:r>
      <w:r w:rsidR="00646720">
        <w:t>oth a</w:t>
      </w:r>
      <w:r w:rsidR="0099499D">
        <w:t xml:space="preserve">uthors </w:t>
      </w:r>
      <w:r w:rsidR="00646720">
        <w:t xml:space="preserve">are </w:t>
      </w:r>
      <w:r w:rsidR="0099499D">
        <w:t xml:space="preserve">directing </w:t>
      </w:r>
      <w:r w:rsidR="007070BF">
        <w:t xml:space="preserve">their best efforts and </w:t>
      </w:r>
      <w:r w:rsidR="0099499D">
        <w:t xml:space="preserve">critical </w:t>
      </w:r>
      <w:r w:rsidR="007070BF">
        <w:t>theories at th</w:t>
      </w:r>
      <w:r w:rsidR="0099499D">
        <w:t xml:space="preserve">e reintegration of the supernatural into Western culture. </w:t>
      </w:r>
    </w:p>
    <w:p w14:paraId="3996A428" w14:textId="77777777" w:rsidR="0099499D" w:rsidRDefault="0099499D" w:rsidP="000A4D34">
      <w:pPr>
        <w:ind w:firstLine="720"/>
      </w:pPr>
    </w:p>
    <w:p w14:paraId="07D14504" w14:textId="77777777" w:rsidR="0099499D" w:rsidRDefault="0099499D" w:rsidP="000A4D34">
      <w:pPr>
        <w:ind w:firstLine="720"/>
      </w:pPr>
    </w:p>
    <w:p w14:paraId="36691481" w14:textId="77777777" w:rsidR="0099499D" w:rsidRDefault="0099499D" w:rsidP="000A4D34">
      <w:pPr>
        <w:ind w:firstLine="720"/>
      </w:pPr>
    </w:p>
    <w:p w14:paraId="6712763B" w14:textId="77777777" w:rsidR="003424C2" w:rsidRDefault="003424C2">
      <w:pPr>
        <w:rPr>
          <w:b/>
          <w:bCs/>
          <w:color w:val="FF0000"/>
        </w:rPr>
      </w:pPr>
      <w:r>
        <w:rPr>
          <w:b/>
          <w:bCs/>
          <w:color w:val="FF0000"/>
        </w:rPr>
        <w:br w:type="page"/>
      </w:r>
    </w:p>
    <w:p w14:paraId="40769681" w14:textId="4602736A" w:rsidR="00EA548F" w:rsidRDefault="008D3DE1" w:rsidP="006D70CC">
      <w:pPr>
        <w:rPr>
          <w:b/>
          <w:bCs/>
          <w:u w:val="single"/>
        </w:rPr>
      </w:pPr>
      <w:r w:rsidRPr="00E93C83">
        <w:rPr>
          <w:b/>
          <w:bCs/>
          <w:u w:val="single"/>
        </w:rPr>
        <w:lastRenderedPageBreak/>
        <w:t xml:space="preserve">Bibliography </w:t>
      </w:r>
    </w:p>
    <w:p w14:paraId="7D3D7751" w14:textId="77777777" w:rsidR="00E93C83" w:rsidRPr="00E93C83" w:rsidRDefault="00E93C83" w:rsidP="006D70CC">
      <w:pPr>
        <w:rPr>
          <w:b/>
          <w:bCs/>
          <w:u w:val="single"/>
        </w:rPr>
      </w:pPr>
    </w:p>
    <w:p w14:paraId="79FC8365" w14:textId="1A48B247" w:rsidR="004568C2" w:rsidRPr="00F00ADB" w:rsidRDefault="004568C2" w:rsidP="004568C2">
      <w:bookmarkStart w:id="6" w:name="_Hlk161365779"/>
      <w:r w:rsidRPr="00F00ADB">
        <w:t xml:space="preserve">Bennett, Gillian, </w:t>
      </w:r>
      <w:bookmarkStart w:id="7" w:name="_Hlk161266406"/>
      <w:r w:rsidRPr="00F00ADB">
        <w:t xml:space="preserve">‘“If I Knew You Were Coming, I’d Have Baked a Cake”: </w:t>
      </w:r>
      <w:proofErr w:type="spellStart"/>
      <w:r w:rsidRPr="00F00ADB">
        <w:t>Folkore</w:t>
      </w:r>
      <w:proofErr w:type="spellEnd"/>
      <w:r w:rsidRPr="00F00ADB">
        <w:t xml:space="preserve"> of Foreknowledge in a Neighborhood Group’</w:t>
      </w:r>
      <w:r w:rsidR="00FF3BF8">
        <w:t>,</w:t>
      </w:r>
      <w:r w:rsidRPr="00F00ADB">
        <w:t xml:space="preserve"> </w:t>
      </w:r>
      <w:bookmarkEnd w:id="7"/>
      <w:r w:rsidRPr="00F00ADB">
        <w:t xml:space="preserve">in: </w:t>
      </w:r>
      <w:bookmarkStart w:id="8" w:name="_Hlk161366469"/>
      <w:r w:rsidRPr="00F00ADB">
        <w:t xml:space="preserve">Barbara Walker (ed.), </w:t>
      </w:r>
      <w:r w:rsidRPr="00F00ADB">
        <w:rPr>
          <w:i/>
          <w:iCs/>
        </w:rPr>
        <w:t>Out of the Ordinary: Folklore and the Supernatural</w:t>
      </w:r>
      <w:r w:rsidRPr="00F00ADB">
        <w:t xml:space="preserve"> (Logan, Utah: Utah State Press, 1995),</w:t>
      </w:r>
      <w:bookmarkEnd w:id="8"/>
      <w:r w:rsidRPr="00F00ADB">
        <w:t xml:space="preserve"> 122-142   </w:t>
      </w:r>
    </w:p>
    <w:p w14:paraId="42E5AF7A" w14:textId="5F70D789" w:rsidR="00F84EC1" w:rsidRPr="00F00ADB" w:rsidRDefault="00F84EC1" w:rsidP="00F84EC1">
      <w:r w:rsidRPr="00F00ADB">
        <w:t>Blain</w:t>
      </w:r>
      <w:r>
        <w:t>,</w:t>
      </w:r>
      <w:r w:rsidRPr="00F00ADB">
        <w:t xml:space="preserve"> Jenny, ‘Speaking </w:t>
      </w:r>
      <w:proofErr w:type="spellStart"/>
      <w:r w:rsidRPr="00F00ADB">
        <w:t>Shamanistically</w:t>
      </w:r>
      <w:proofErr w:type="spellEnd"/>
      <w:r w:rsidRPr="00F00ADB">
        <w:t xml:space="preserve">: </w:t>
      </w:r>
      <w:proofErr w:type="spellStart"/>
      <w:r w:rsidRPr="00F00ADB">
        <w:t>Seidr</w:t>
      </w:r>
      <w:proofErr w:type="spellEnd"/>
      <w:r w:rsidRPr="00F00ADB">
        <w:t xml:space="preserve">, Academia and Rationality’, in </w:t>
      </w:r>
      <w:proofErr w:type="spellStart"/>
      <w:r w:rsidRPr="00F00ADB">
        <w:rPr>
          <w:i/>
          <w:iCs/>
        </w:rPr>
        <w:t>Diskus</w:t>
      </w:r>
      <w:proofErr w:type="spellEnd"/>
      <w:r w:rsidRPr="00F00ADB">
        <w:t>, vo</w:t>
      </w:r>
      <w:r w:rsidR="00117FA8">
        <w:t>l.</w:t>
      </w:r>
      <w:r w:rsidRPr="00F00ADB">
        <w:t xml:space="preserve"> 6, 2000 [no page numbers]</w:t>
      </w:r>
    </w:p>
    <w:p w14:paraId="13E1EB4D" w14:textId="77777777" w:rsidR="00F84EC1" w:rsidRPr="00F00ADB" w:rsidRDefault="00F84EC1" w:rsidP="00F84EC1">
      <w:bookmarkStart w:id="9" w:name="_Hlk161365961"/>
      <w:bookmarkEnd w:id="6"/>
      <w:r w:rsidRPr="00F00ADB">
        <w:t xml:space="preserve">Blain, Jenny, </w:t>
      </w:r>
      <w:r w:rsidRPr="00F00ADB">
        <w:rPr>
          <w:i/>
          <w:iCs/>
        </w:rPr>
        <w:t>LinkedIn Profile</w:t>
      </w:r>
      <w:r>
        <w:t xml:space="preserve">, </w:t>
      </w:r>
      <w:r w:rsidRPr="00F00ADB">
        <w:t>&lt;</w:t>
      </w:r>
      <w:hyperlink r:id="rId8" w:history="1">
        <w:r w:rsidRPr="00F00ADB">
          <w:rPr>
            <w:rStyle w:val="Hyperlink"/>
          </w:rPr>
          <w:t>https://uk.linkedin.com/in/jenny-blain-9b508337</w:t>
        </w:r>
      </w:hyperlink>
      <w:r w:rsidRPr="00F00ADB">
        <w:t>&gt; [accessed 10 March 2024]</w:t>
      </w:r>
    </w:p>
    <w:p w14:paraId="36585F5B" w14:textId="3562EF0E" w:rsidR="006722C5" w:rsidRPr="00F84EC1" w:rsidRDefault="00F84EC1" w:rsidP="006D70CC">
      <w:bookmarkStart w:id="10" w:name="_Hlk161369028"/>
      <w:bookmarkEnd w:id="9"/>
      <w:r w:rsidRPr="00F00ADB">
        <w:t xml:space="preserve">Deleuze, Gilles and Felix </w:t>
      </w:r>
      <w:proofErr w:type="spellStart"/>
      <w:r w:rsidRPr="00F00ADB">
        <w:t>Guattari</w:t>
      </w:r>
      <w:proofErr w:type="spellEnd"/>
      <w:r w:rsidRPr="00F00ADB">
        <w:t xml:space="preserve">, </w:t>
      </w:r>
      <w:r w:rsidRPr="00F00ADB">
        <w:rPr>
          <w:i/>
          <w:iCs/>
        </w:rPr>
        <w:t>On the Line</w:t>
      </w:r>
      <w:r w:rsidRPr="00F00ADB">
        <w:t xml:space="preserve">, edited by </w:t>
      </w:r>
      <w:proofErr w:type="spellStart"/>
      <w:r w:rsidRPr="00F00ADB">
        <w:t>Sylvere</w:t>
      </w:r>
      <w:proofErr w:type="spellEnd"/>
      <w:r w:rsidRPr="00F00ADB">
        <w:t xml:space="preserve"> </w:t>
      </w:r>
      <w:proofErr w:type="spellStart"/>
      <w:r w:rsidRPr="00F00ADB">
        <w:t>Lotringer</w:t>
      </w:r>
      <w:proofErr w:type="spellEnd"/>
      <w:r>
        <w:t>,</w:t>
      </w:r>
      <w:r w:rsidRPr="00F00ADB">
        <w:t xml:space="preserve"> translated by John Johnston</w:t>
      </w:r>
      <w:r>
        <w:t xml:space="preserve"> </w:t>
      </w:r>
      <w:r w:rsidRPr="00F00ADB">
        <w:t xml:space="preserve">(New York, </w:t>
      </w:r>
      <w:proofErr w:type="spellStart"/>
      <w:r w:rsidRPr="00F00ADB">
        <w:t>Semiotext</w:t>
      </w:r>
      <w:proofErr w:type="spellEnd"/>
      <w:r w:rsidRPr="00F00ADB">
        <w:t xml:space="preserve"> 1983)  </w:t>
      </w:r>
    </w:p>
    <w:p w14:paraId="72E4AB37" w14:textId="2F79BCC9" w:rsidR="006722C5" w:rsidRPr="00FF3BF8" w:rsidRDefault="006722C5" w:rsidP="006D70CC">
      <w:bookmarkStart w:id="11" w:name="_Hlk161366112"/>
      <w:bookmarkEnd w:id="10"/>
      <w:r w:rsidRPr="00FF3BF8">
        <w:t xml:space="preserve">Ellis, Bill, </w:t>
      </w:r>
      <w:r w:rsidRPr="00FF3BF8">
        <w:rPr>
          <w:i/>
          <w:iCs/>
        </w:rPr>
        <w:t xml:space="preserve">Nomination </w:t>
      </w:r>
      <w:r w:rsidR="00F00ADB" w:rsidRPr="00FF3BF8">
        <w:rPr>
          <w:i/>
          <w:iCs/>
        </w:rPr>
        <w:t xml:space="preserve">of Gillian Bennett </w:t>
      </w:r>
      <w:r w:rsidRPr="00FF3BF8">
        <w:rPr>
          <w:i/>
          <w:iCs/>
        </w:rPr>
        <w:t xml:space="preserve">for </w:t>
      </w:r>
      <w:r w:rsidR="00F00ADB" w:rsidRPr="00FF3BF8">
        <w:rPr>
          <w:i/>
          <w:iCs/>
        </w:rPr>
        <w:t xml:space="preserve">the Linda </w:t>
      </w:r>
      <w:proofErr w:type="spellStart"/>
      <w:r w:rsidR="00F00ADB" w:rsidRPr="00FF3BF8">
        <w:rPr>
          <w:i/>
          <w:iCs/>
        </w:rPr>
        <w:t>Dégh</w:t>
      </w:r>
      <w:proofErr w:type="spellEnd"/>
      <w:r w:rsidR="00F00ADB" w:rsidRPr="00FF3BF8">
        <w:rPr>
          <w:i/>
          <w:iCs/>
        </w:rPr>
        <w:t xml:space="preserve"> </w:t>
      </w:r>
      <w:r w:rsidRPr="00FF3BF8">
        <w:rPr>
          <w:i/>
          <w:iCs/>
        </w:rPr>
        <w:t xml:space="preserve">Lifetime Achievement Award </w:t>
      </w:r>
      <w:r w:rsidR="00F00ADB" w:rsidRPr="00FF3BF8">
        <w:rPr>
          <w:i/>
          <w:iCs/>
        </w:rPr>
        <w:t>for Legend Scholarship</w:t>
      </w:r>
      <w:r w:rsidR="00F00ADB" w:rsidRPr="00FF3BF8">
        <w:t>, &lt;</w:t>
      </w:r>
      <w:hyperlink r:id="rId9" w:history="1">
        <w:r w:rsidR="00F00ADB" w:rsidRPr="00FF3BF8">
          <w:rPr>
            <w:rStyle w:val="Hyperlink"/>
            <w:color w:val="auto"/>
          </w:rPr>
          <w:t>https://contemporarylegend.org/prizes-and-awards/linda-degh-lifetime-achievement-award/</w:t>
        </w:r>
      </w:hyperlink>
      <w:r w:rsidR="00F00ADB" w:rsidRPr="00FF3BF8">
        <w:t xml:space="preserve">&gt; [accessed 28 February 2024] </w:t>
      </w:r>
    </w:p>
    <w:p w14:paraId="2816DE14" w14:textId="1052615D" w:rsidR="00B15D37" w:rsidRPr="00B15D37" w:rsidRDefault="00B15D37" w:rsidP="00B15D37">
      <w:bookmarkStart w:id="12" w:name="_Hlk161376825"/>
      <w:bookmarkStart w:id="13" w:name="_Hlk161366918"/>
      <w:bookmarkEnd w:id="11"/>
      <w:r w:rsidRPr="00B15D37">
        <w:t xml:space="preserve">Evans, Richard, </w:t>
      </w:r>
      <w:r w:rsidRPr="00B15D37">
        <w:rPr>
          <w:i/>
          <w:iCs/>
        </w:rPr>
        <w:t>In Defense of History</w:t>
      </w:r>
      <w:r w:rsidRPr="00B15D37">
        <w:t xml:space="preserve"> (New York: Norton, 2000) </w:t>
      </w:r>
    </w:p>
    <w:bookmarkEnd w:id="12"/>
    <w:p w14:paraId="3502C313" w14:textId="77777777" w:rsidR="003424C2" w:rsidRDefault="007D38B6" w:rsidP="006D70CC">
      <w:proofErr w:type="spellStart"/>
      <w:r w:rsidRPr="00F00ADB">
        <w:t>Hennink</w:t>
      </w:r>
      <w:proofErr w:type="spellEnd"/>
      <w:r w:rsidRPr="00F00ADB">
        <w:t xml:space="preserve">, Monique, Inge Hutter and Ajay Bailey, </w:t>
      </w:r>
      <w:r w:rsidRPr="00F00ADB">
        <w:rPr>
          <w:i/>
          <w:iCs/>
        </w:rPr>
        <w:t>Qualitative Research Methods</w:t>
      </w:r>
      <w:r w:rsidRPr="00F00ADB">
        <w:t xml:space="preserve"> (Los Angeles: Sage, 2020</w:t>
      </w:r>
      <w:r w:rsidRPr="00F00ADB">
        <w:rPr>
          <w:i/>
          <w:iCs/>
          <w:vertAlign w:val="superscript"/>
        </w:rPr>
        <w:t>2</w:t>
      </w:r>
      <w:r w:rsidR="003424C2" w:rsidRPr="00F00ADB">
        <w:t xml:space="preserve">) </w:t>
      </w:r>
    </w:p>
    <w:p w14:paraId="313F5685" w14:textId="71BBFD5A" w:rsidR="00647F68" w:rsidRPr="00BA4F01" w:rsidRDefault="00647F68" w:rsidP="00647F68">
      <w:pPr>
        <w:spacing w:before="100" w:beforeAutospacing="1" w:after="100" w:afterAutospacing="1" w:line="240" w:lineRule="auto"/>
        <w:rPr>
          <w:rFonts w:eastAsia="Times New Roman" w:cs="Arial"/>
          <w:szCs w:val="24"/>
        </w:rPr>
      </w:pPr>
      <w:bookmarkStart w:id="14" w:name="_Hlk161373546"/>
      <w:bookmarkStart w:id="15" w:name="_Hlk161371109"/>
      <w:r w:rsidRPr="00BA4F01">
        <w:rPr>
          <w:rFonts w:eastAsia="Times New Roman" w:cs="Arial"/>
          <w:szCs w:val="24"/>
        </w:rPr>
        <w:t>Jenkins, Richard</w:t>
      </w:r>
      <w:r>
        <w:rPr>
          <w:rFonts w:eastAsia="Times New Roman" w:cs="Arial"/>
          <w:szCs w:val="24"/>
        </w:rPr>
        <w:t>,</w:t>
      </w:r>
      <w:r w:rsidRPr="00BA4F01">
        <w:rPr>
          <w:rFonts w:eastAsia="Times New Roman" w:cs="Arial"/>
          <w:szCs w:val="24"/>
        </w:rPr>
        <w:t xml:space="preserve"> </w:t>
      </w:r>
      <w:r>
        <w:rPr>
          <w:rFonts w:eastAsia="Times New Roman" w:cs="Arial"/>
          <w:szCs w:val="24"/>
        </w:rPr>
        <w:t>‘</w:t>
      </w:r>
      <w:r w:rsidRPr="00BA4F01">
        <w:rPr>
          <w:rFonts w:eastAsia="Times New Roman" w:cs="Arial"/>
          <w:szCs w:val="24"/>
        </w:rPr>
        <w:t>Disenchantment, Enchantment and Re-Enchantment: Max Weber at the Millennium</w:t>
      </w:r>
      <w:r>
        <w:rPr>
          <w:rFonts w:eastAsia="Times New Roman" w:cs="Arial"/>
          <w:szCs w:val="24"/>
        </w:rPr>
        <w:t>’</w:t>
      </w:r>
      <w:r w:rsidRPr="00BA4F01">
        <w:rPr>
          <w:rFonts w:eastAsia="Times New Roman" w:cs="Arial"/>
          <w:szCs w:val="24"/>
        </w:rPr>
        <w:t xml:space="preserve">, </w:t>
      </w:r>
      <w:r w:rsidRPr="00BA4F01">
        <w:rPr>
          <w:rFonts w:eastAsia="Times New Roman" w:cs="Arial"/>
          <w:i/>
          <w:iCs/>
          <w:szCs w:val="24"/>
        </w:rPr>
        <w:t>Max Weber Studies</w:t>
      </w:r>
      <w:r w:rsidRPr="00BA4F01">
        <w:rPr>
          <w:rFonts w:eastAsia="Times New Roman" w:cs="Arial"/>
          <w:szCs w:val="24"/>
        </w:rPr>
        <w:t xml:space="preserve"> </w:t>
      </w:r>
      <w:r>
        <w:rPr>
          <w:rFonts w:eastAsia="Times New Roman" w:cs="Arial"/>
          <w:szCs w:val="24"/>
        </w:rPr>
        <w:t xml:space="preserve">vol. </w:t>
      </w:r>
      <w:r w:rsidRPr="00BA4F01">
        <w:rPr>
          <w:rFonts w:eastAsia="Times New Roman" w:cs="Arial"/>
          <w:szCs w:val="24"/>
        </w:rPr>
        <w:t>1</w:t>
      </w:r>
      <w:r>
        <w:rPr>
          <w:rFonts w:eastAsia="Times New Roman" w:cs="Arial"/>
          <w:szCs w:val="24"/>
        </w:rPr>
        <w:t>,</w:t>
      </w:r>
      <w:r w:rsidRPr="00BA4F01">
        <w:rPr>
          <w:rFonts w:eastAsia="Times New Roman" w:cs="Arial"/>
          <w:szCs w:val="24"/>
        </w:rPr>
        <w:t xml:space="preserve"> 2000</w:t>
      </w:r>
      <w:r>
        <w:rPr>
          <w:rFonts w:eastAsia="Times New Roman" w:cs="Arial"/>
          <w:szCs w:val="24"/>
        </w:rPr>
        <w:t>,</w:t>
      </w:r>
      <w:r w:rsidRPr="00BA4F01">
        <w:rPr>
          <w:rFonts w:eastAsia="Times New Roman" w:cs="Arial"/>
          <w:szCs w:val="24"/>
        </w:rPr>
        <w:t xml:space="preserve"> 11–32</w:t>
      </w:r>
    </w:p>
    <w:bookmarkEnd w:id="14"/>
    <w:p w14:paraId="0F9BDF59" w14:textId="5D12D66C" w:rsidR="00481FE5" w:rsidRPr="00481FE5" w:rsidRDefault="00481FE5" w:rsidP="006D70CC">
      <w:pPr>
        <w:rPr>
          <w:rFonts w:cstheme="minorHAnsi"/>
        </w:rPr>
      </w:pPr>
      <w:r w:rsidRPr="00481FE5">
        <w:rPr>
          <w:rFonts w:cstheme="minorHAnsi"/>
          <w:color w:val="1A1A1A"/>
        </w:rPr>
        <w:t>Lawlor, Leonard, ‘Jacques Derrida’, </w:t>
      </w:r>
      <w:r w:rsidRPr="00481FE5">
        <w:rPr>
          <w:rStyle w:val="Emphasis"/>
          <w:rFonts w:cstheme="minorHAnsi"/>
          <w:color w:val="1A1A1A"/>
        </w:rPr>
        <w:t>The Stanford Encyclopedia of Philosophy </w:t>
      </w:r>
      <w:r w:rsidRPr="00481FE5">
        <w:rPr>
          <w:rFonts w:cstheme="minorHAnsi"/>
          <w:color w:val="1A1A1A"/>
        </w:rPr>
        <w:t>(Summer 2023 Edition), Edward N. Zalta &amp; Uri Nodelman (eds.), URL = &lt;</w:t>
      </w:r>
      <w:hyperlink r:id="rId10" w:history="1">
        <w:r w:rsidRPr="00481FE5">
          <w:rPr>
            <w:rStyle w:val="Hyperlink"/>
            <w:rFonts w:cstheme="minorHAnsi"/>
          </w:rPr>
          <w:t>https://plato.stanford.edu/archives/sum2023/entries/derrida/</w:t>
        </w:r>
      </w:hyperlink>
      <w:r w:rsidRPr="00481FE5">
        <w:rPr>
          <w:rFonts w:cstheme="minorHAnsi"/>
          <w:color w:val="1A1A1A"/>
        </w:rPr>
        <w:t>&gt; [accessed 2 March 2024]</w:t>
      </w:r>
    </w:p>
    <w:p w14:paraId="306FC45F" w14:textId="4FF53F50" w:rsidR="00F162DD" w:rsidRPr="00F00ADB" w:rsidRDefault="00BE25A9" w:rsidP="006D70CC">
      <w:bookmarkStart w:id="16" w:name="_Hlk161368548"/>
      <w:bookmarkEnd w:id="13"/>
      <w:bookmarkEnd w:id="15"/>
      <w:r w:rsidRPr="00F00ADB">
        <w:t xml:space="preserve">Smith, </w:t>
      </w:r>
      <w:r w:rsidR="008D3DE1" w:rsidRPr="00F00ADB">
        <w:t xml:space="preserve">Linda </w:t>
      </w:r>
      <w:r w:rsidR="00F162DD" w:rsidRPr="00F00ADB">
        <w:t>Tuhiwai</w:t>
      </w:r>
      <w:r w:rsidRPr="00F00ADB">
        <w:t>,</w:t>
      </w:r>
      <w:r w:rsidR="00F162DD" w:rsidRPr="00F00ADB">
        <w:t xml:space="preserve"> </w:t>
      </w:r>
      <w:r w:rsidR="00F162DD" w:rsidRPr="00F00ADB">
        <w:rPr>
          <w:i/>
          <w:iCs/>
        </w:rPr>
        <w:t xml:space="preserve">Decolonizing Methodologies </w:t>
      </w:r>
      <w:proofErr w:type="gramStart"/>
      <w:r w:rsidR="00F162DD" w:rsidRPr="00F00ADB">
        <w:rPr>
          <w:i/>
          <w:iCs/>
        </w:rPr>
        <w:t>Research</w:t>
      </w:r>
      <w:proofErr w:type="gramEnd"/>
      <w:r w:rsidR="00F162DD" w:rsidRPr="00F00ADB">
        <w:rPr>
          <w:i/>
          <w:iCs/>
        </w:rPr>
        <w:t xml:space="preserve"> and Indigenous People</w:t>
      </w:r>
      <w:r w:rsidR="00117FA8">
        <w:t xml:space="preserve"> </w:t>
      </w:r>
      <w:r w:rsidR="009B0AEF" w:rsidRPr="00F00ADB">
        <w:t>(</w:t>
      </w:r>
      <w:r w:rsidR="00F162DD" w:rsidRPr="00F00ADB">
        <w:t>London and New York: Bloomsbury</w:t>
      </w:r>
      <w:r w:rsidR="00E93C83">
        <w:t xml:space="preserve">, </w:t>
      </w:r>
      <w:r w:rsidR="00F162DD" w:rsidRPr="00F00ADB">
        <w:t>2021</w:t>
      </w:r>
      <w:r w:rsidR="007D38B6" w:rsidRPr="00F00ADB">
        <w:rPr>
          <w:vertAlign w:val="superscript"/>
        </w:rPr>
        <w:t>3</w:t>
      </w:r>
      <w:r w:rsidR="009B0AEF" w:rsidRPr="00F00ADB">
        <w:t>)</w:t>
      </w:r>
    </w:p>
    <w:p w14:paraId="3DDB90B3" w14:textId="07097D36" w:rsidR="00F162DD" w:rsidRDefault="00F162DD" w:rsidP="006D70CC">
      <w:bookmarkStart w:id="17" w:name="_Hlk161369286"/>
      <w:bookmarkEnd w:id="16"/>
      <w:r w:rsidRPr="00F00ADB">
        <w:t>Thompson</w:t>
      </w:r>
      <w:r w:rsidR="00D04523" w:rsidRPr="00F00ADB">
        <w:t xml:space="preserve">, Kenneth, </w:t>
      </w:r>
      <w:r w:rsidR="009B0AEF" w:rsidRPr="00F00ADB">
        <w:t>‘</w:t>
      </w:r>
      <w:r w:rsidRPr="00F00ADB">
        <w:t>Folklore and Sociology</w:t>
      </w:r>
      <w:r w:rsidR="009B0AEF" w:rsidRPr="00F00ADB">
        <w:t>’</w:t>
      </w:r>
      <w:r w:rsidR="00117FA8">
        <w:t>,</w:t>
      </w:r>
      <w:r w:rsidR="00D04523" w:rsidRPr="00F00ADB">
        <w:t xml:space="preserve"> in </w:t>
      </w:r>
      <w:r w:rsidR="00D04523" w:rsidRPr="00F00ADB">
        <w:rPr>
          <w:i/>
          <w:iCs/>
        </w:rPr>
        <w:t>Sociological Review</w:t>
      </w:r>
      <w:r w:rsidR="00D04523" w:rsidRPr="00F00ADB">
        <w:t>, vol. 28, no</w:t>
      </w:r>
      <w:r w:rsidR="00117FA8">
        <w:t>.</w:t>
      </w:r>
      <w:r w:rsidR="00D04523" w:rsidRPr="00F00ADB">
        <w:t xml:space="preserve"> 2, 1980, 249- 275</w:t>
      </w:r>
    </w:p>
    <w:p w14:paraId="40AF9F98" w14:textId="0E80A820" w:rsidR="003537D8" w:rsidRPr="00F00ADB" w:rsidRDefault="003537D8" w:rsidP="006D70CC">
      <w:bookmarkStart w:id="18" w:name="_Hlk161366515"/>
      <w:bookmarkEnd w:id="17"/>
      <w:r w:rsidRPr="00F00ADB">
        <w:t>Walker</w:t>
      </w:r>
      <w:r>
        <w:t>, Barbara</w:t>
      </w:r>
      <w:r w:rsidRPr="00F00ADB">
        <w:t xml:space="preserve"> (ed.), </w:t>
      </w:r>
      <w:r w:rsidRPr="00F00ADB">
        <w:rPr>
          <w:i/>
          <w:iCs/>
        </w:rPr>
        <w:t>Out of the Ordinary: Folklore and the Supernatural</w:t>
      </w:r>
      <w:r w:rsidRPr="00F00ADB">
        <w:t xml:space="preserve"> (Logan, Utah: Utah State Press, 1995</w:t>
      </w:r>
      <w:r>
        <w:t>)</w:t>
      </w:r>
    </w:p>
    <w:bookmarkEnd w:id="18"/>
    <w:p w14:paraId="583E26EC" w14:textId="77777777" w:rsidR="00F162DD" w:rsidRDefault="00F162DD" w:rsidP="006D70CC">
      <w:pPr>
        <w:rPr>
          <w:b/>
          <w:bCs/>
        </w:rPr>
      </w:pPr>
    </w:p>
    <w:p w14:paraId="05F422B1" w14:textId="77777777" w:rsidR="00F162DD" w:rsidRDefault="00F162DD" w:rsidP="006D70CC">
      <w:pPr>
        <w:rPr>
          <w:b/>
          <w:bCs/>
        </w:rPr>
      </w:pPr>
    </w:p>
    <w:p w14:paraId="3BBCBFE5" w14:textId="77777777" w:rsidR="00F162DD" w:rsidRDefault="00F162DD" w:rsidP="006D70CC">
      <w:pPr>
        <w:rPr>
          <w:b/>
          <w:bCs/>
        </w:rPr>
      </w:pPr>
    </w:p>
    <w:p w14:paraId="397AD027" w14:textId="77777777" w:rsidR="00F162DD" w:rsidRDefault="00F162DD" w:rsidP="006D70CC">
      <w:pPr>
        <w:rPr>
          <w:b/>
          <w:bCs/>
        </w:rPr>
      </w:pPr>
    </w:p>
    <w:p w14:paraId="6F57BA85" w14:textId="77777777" w:rsidR="008D3DE1" w:rsidRDefault="008D3DE1" w:rsidP="006D70CC">
      <w:pPr>
        <w:rPr>
          <w:b/>
          <w:bCs/>
        </w:rPr>
      </w:pPr>
    </w:p>
    <w:p w14:paraId="3C8EE872" w14:textId="77777777" w:rsidR="008D3DE1" w:rsidRDefault="008D3DE1" w:rsidP="006D70CC">
      <w:pPr>
        <w:rPr>
          <w:b/>
          <w:bCs/>
        </w:rPr>
      </w:pPr>
    </w:p>
    <w:p w14:paraId="0A6E3B7D" w14:textId="77777777" w:rsidR="008D3DE1" w:rsidRDefault="008D3DE1" w:rsidP="006D70CC">
      <w:pPr>
        <w:rPr>
          <w:b/>
          <w:bCs/>
        </w:rPr>
      </w:pPr>
    </w:p>
    <w:p w14:paraId="7517C48B" w14:textId="77777777" w:rsidR="00003347" w:rsidRDefault="00003347" w:rsidP="006D70CC">
      <w:pPr>
        <w:rPr>
          <w:b/>
          <w:bCs/>
        </w:rPr>
      </w:pPr>
    </w:p>
    <w:sectPr w:rsidR="00003347" w:rsidSect="00BF31E1">
      <w:footerReference w:type="default" r:id="rId1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936BC" w14:textId="77777777" w:rsidR="00BF31E1" w:rsidRDefault="00BF31E1" w:rsidP="00B0011B">
      <w:pPr>
        <w:spacing w:after="0" w:line="240" w:lineRule="auto"/>
      </w:pPr>
      <w:r>
        <w:separator/>
      </w:r>
    </w:p>
  </w:endnote>
  <w:endnote w:type="continuationSeparator" w:id="0">
    <w:p w14:paraId="0D9AF525" w14:textId="77777777" w:rsidR="00BF31E1" w:rsidRDefault="00BF31E1" w:rsidP="00B00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2925086"/>
      <w:docPartObj>
        <w:docPartGallery w:val="Page Numbers (Bottom of Page)"/>
        <w:docPartUnique/>
      </w:docPartObj>
    </w:sdtPr>
    <w:sdtEndPr>
      <w:rPr>
        <w:noProof/>
      </w:rPr>
    </w:sdtEndPr>
    <w:sdtContent>
      <w:p w14:paraId="300E5597" w14:textId="71FB3D71" w:rsidR="0088451E" w:rsidRDefault="008845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B3176E" w14:textId="77777777" w:rsidR="0088451E" w:rsidRDefault="00884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FC878" w14:textId="77777777" w:rsidR="00BF31E1" w:rsidRDefault="00BF31E1" w:rsidP="00B0011B">
      <w:pPr>
        <w:spacing w:after="0" w:line="240" w:lineRule="auto"/>
      </w:pPr>
      <w:r>
        <w:separator/>
      </w:r>
    </w:p>
  </w:footnote>
  <w:footnote w:type="continuationSeparator" w:id="0">
    <w:p w14:paraId="78347B84" w14:textId="77777777" w:rsidR="00BF31E1" w:rsidRDefault="00BF31E1" w:rsidP="00B0011B">
      <w:pPr>
        <w:spacing w:after="0" w:line="240" w:lineRule="auto"/>
      </w:pPr>
      <w:r>
        <w:continuationSeparator/>
      </w:r>
    </w:p>
  </w:footnote>
  <w:footnote w:id="1">
    <w:p w14:paraId="1DF516B8" w14:textId="0FA45B28" w:rsidR="00B0011B" w:rsidRPr="00253350" w:rsidRDefault="00B0011B" w:rsidP="00FF3BF8">
      <w:pPr>
        <w:spacing w:after="0"/>
        <w:rPr>
          <w:sz w:val="20"/>
          <w:szCs w:val="20"/>
        </w:rPr>
      </w:pPr>
      <w:r w:rsidRPr="00253350">
        <w:rPr>
          <w:rStyle w:val="FootnoteReference"/>
          <w:sz w:val="20"/>
          <w:szCs w:val="20"/>
        </w:rPr>
        <w:footnoteRef/>
      </w:r>
      <w:r w:rsidRPr="00253350">
        <w:rPr>
          <w:sz w:val="20"/>
          <w:szCs w:val="20"/>
        </w:rPr>
        <w:t xml:space="preserve"> Gillian Bennett, ‘“If I Knew You Were Coming, I’d Have Baked a Cake”: </w:t>
      </w:r>
      <w:proofErr w:type="spellStart"/>
      <w:r w:rsidRPr="00253350">
        <w:rPr>
          <w:sz w:val="20"/>
          <w:szCs w:val="20"/>
        </w:rPr>
        <w:t>Folkore</w:t>
      </w:r>
      <w:proofErr w:type="spellEnd"/>
      <w:r w:rsidRPr="00253350">
        <w:rPr>
          <w:sz w:val="20"/>
          <w:szCs w:val="20"/>
        </w:rPr>
        <w:t xml:space="preserve"> of Foreknowledge in a Neighborhood Group’</w:t>
      </w:r>
      <w:r w:rsidR="00FF3BF8" w:rsidRPr="00253350">
        <w:rPr>
          <w:sz w:val="20"/>
          <w:szCs w:val="20"/>
        </w:rPr>
        <w:t xml:space="preserve">, </w:t>
      </w:r>
      <w:r w:rsidRPr="00253350">
        <w:rPr>
          <w:sz w:val="20"/>
          <w:szCs w:val="20"/>
        </w:rPr>
        <w:t xml:space="preserve">in: Barbara Walker (ed.), </w:t>
      </w:r>
      <w:r w:rsidRPr="00253350">
        <w:rPr>
          <w:i/>
          <w:iCs/>
          <w:sz w:val="20"/>
          <w:szCs w:val="20"/>
        </w:rPr>
        <w:t>Out of the Ordinary: Folklore and the Supernatural</w:t>
      </w:r>
      <w:r w:rsidRPr="00253350">
        <w:rPr>
          <w:sz w:val="20"/>
          <w:szCs w:val="20"/>
        </w:rPr>
        <w:t xml:space="preserve"> (Logan, Utah: Utah State Press, 1995), 122-142</w:t>
      </w:r>
      <w:r w:rsidR="00FF3BF8" w:rsidRPr="00253350">
        <w:rPr>
          <w:sz w:val="20"/>
          <w:szCs w:val="20"/>
        </w:rPr>
        <w:t xml:space="preserve">; Jenny </w:t>
      </w:r>
      <w:r w:rsidRPr="00253350">
        <w:rPr>
          <w:sz w:val="20"/>
          <w:szCs w:val="20"/>
        </w:rPr>
        <w:t xml:space="preserve">Blain, ‘Speaking </w:t>
      </w:r>
      <w:proofErr w:type="spellStart"/>
      <w:r w:rsidRPr="00253350">
        <w:rPr>
          <w:sz w:val="20"/>
          <w:szCs w:val="20"/>
        </w:rPr>
        <w:t>Shamanistically</w:t>
      </w:r>
      <w:proofErr w:type="spellEnd"/>
      <w:r w:rsidRPr="00253350">
        <w:rPr>
          <w:sz w:val="20"/>
          <w:szCs w:val="20"/>
        </w:rPr>
        <w:t xml:space="preserve">: </w:t>
      </w:r>
      <w:proofErr w:type="spellStart"/>
      <w:r w:rsidRPr="00253350">
        <w:rPr>
          <w:sz w:val="20"/>
          <w:szCs w:val="20"/>
        </w:rPr>
        <w:t>Seidr</w:t>
      </w:r>
      <w:proofErr w:type="spellEnd"/>
      <w:r w:rsidRPr="00253350">
        <w:rPr>
          <w:sz w:val="20"/>
          <w:szCs w:val="20"/>
        </w:rPr>
        <w:t xml:space="preserve">, Academia and Rationality’, in </w:t>
      </w:r>
      <w:proofErr w:type="spellStart"/>
      <w:r w:rsidRPr="00253350">
        <w:rPr>
          <w:i/>
          <w:iCs/>
          <w:sz w:val="20"/>
          <w:szCs w:val="20"/>
        </w:rPr>
        <w:t>Diskus</w:t>
      </w:r>
      <w:proofErr w:type="spellEnd"/>
      <w:r w:rsidRPr="00253350">
        <w:rPr>
          <w:sz w:val="20"/>
          <w:szCs w:val="20"/>
        </w:rPr>
        <w:t>, vol. 6, 2000 [no page numbers]</w:t>
      </w:r>
      <w:r w:rsidR="00FF3BF8" w:rsidRPr="00253350">
        <w:rPr>
          <w:sz w:val="20"/>
          <w:szCs w:val="20"/>
        </w:rPr>
        <w:t>.</w:t>
      </w:r>
    </w:p>
  </w:footnote>
  <w:footnote w:id="2">
    <w:p w14:paraId="46DE2CA3" w14:textId="5EE508F3" w:rsidR="00FF3BF8" w:rsidRPr="00253350" w:rsidRDefault="00FF3BF8" w:rsidP="003537D8">
      <w:pPr>
        <w:spacing w:after="0"/>
        <w:rPr>
          <w:sz w:val="20"/>
          <w:szCs w:val="20"/>
        </w:rPr>
      </w:pPr>
      <w:r w:rsidRPr="00253350">
        <w:rPr>
          <w:rStyle w:val="FootnoteReference"/>
          <w:sz w:val="20"/>
          <w:szCs w:val="20"/>
        </w:rPr>
        <w:footnoteRef/>
      </w:r>
      <w:r w:rsidRPr="00253350">
        <w:rPr>
          <w:sz w:val="20"/>
          <w:szCs w:val="20"/>
        </w:rPr>
        <w:t xml:space="preserve"> Jenny Blain, </w:t>
      </w:r>
      <w:r w:rsidRPr="00253350">
        <w:rPr>
          <w:i/>
          <w:iCs/>
          <w:sz w:val="20"/>
          <w:szCs w:val="20"/>
        </w:rPr>
        <w:t>LinkedIn Profile</w:t>
      </w:r>
      <w:r w:rsidRPr="00253350">
        <w:rPr>
          <w:sz w:val="20"/>
          <w:szCs w:val="20"/>
        </w:rPr>
        <w:t>, &lt;</w:t>
      </w:r>
      <w:hyperlink r:id="rId1" w:history="1">
        <w:r w:rsidRPr="00253350">
          <w:rPr>
            <w:rStyle w:val="Hyperlink"/>
            <w:sz w:val="20"/>
            <w:szCs w:val="20"/>
          </w:rPr>
          <w:t>https://uk.linkedin.com/in/jenny-blain-9b508337</w:t>
        </w:r>
      </w:hyperlink>
      <w:r w:rsidRPr="00253350">
        <w:rPr>
          <w:sz w:val="20"/>
          <w:szCs w:val="20"/>
        </w:rPr>
        <w:t>&gt; [accessed 10 March 2024].</w:t>
      </w:r>
    </w:p>
  </w:footnote>
  <w:footnote w:id="3">
    <w:p w14:paraId="5443FAB8" w14:textId="6E828486" w:rsidR="00FF3BF8" w:rsidRPr="00253350" w:rsidRDefault="00FF3BF8" w:rsidP="003537D8">
      <w:pPr>
        <w:spacing w:after="0"/>
        <w:rPr>
          <w:sz w:val="20"/>
          <w:szCs w:val="20"/>
        </w:rPr>
      </w:pPr>
      <w:r w:rsidRPr="00253350">
        <w:rPr>
          <w:rStyle w:val="FootnoteReference"/>
          <w:sz w:val="20"/>
          <w:szCs w:val="20"/>
        </w:rPr>
        <w:footnoteRef/>
      </w:r>
      <w:r w:rsidRPr="00253350">
        <w:rPr>
          <w:sz w:val="20"/>
          <w:szCs w:val="20"/>
        </w:rPr>
        <w:t xml:space="preserve"> Bill Ellis, </w:t>
      </w:r>
      <w:r w:rsidRPr="00253350">
        <w:rPr>
          <w:i/>
          <w:iCs/>
          <w:sz w:val="20"/>
          <w:szCs w:val="20"/>
        </w:rPr>
        <w:t xml:space="preserve">Nomination of Gillian Bennett for the Linda </w:t>
      </w:r>
      <w:proofErr w:type="spellStart"/>
      <w:r w:rsidRPr="00253350">
        <w:rPr>
          <w:i/>
          <w:iCs/>
          <w:sz w:val="20"/>
          <w:szCs w:val="20"/>
        </w:rPr>
        <w:t>Dégh</w:t>
      </w:r>
      <w:proofErr w:type="spellEnd"/>
      <w:r w:rsidRPr="00253350">
        <w:rPr>
          <w:i/>
          <w:iCs/>
          <w:sz w:val="20"/>
          <w:szCs w:val="20"/>
        </w:rPr>
        <w:t xml:space="preserve"> Lifetime Achievement Award for Legend Scholarship</w:t>
      </w:r>
      <w:r w:rsidRPr="00253350">
        <w:rPr>
          <w:sz w:val="20"/>
          <w:szCs w:val="20"/>
        </w:rPr>
        <w:t>, &lt;</w:t>
      </w:r>
      <w:hyperlink r:id="rId2" w:history="1">
        <w:r w:rsidRPr="00253350">
          <w:rPr>
            <w:rStyle w:val="Hyperlink"/>
            <w:color w:val="auto"/>
            <w:sz w:val="20"/>
            <w:szCs w:val="20"/>
          </w:rPr>
          <w:t>https://contemporarylegend.org/prizes-and-awards/linda-degh-lifetime-achievement-award/</w:t>
        </w:r>
      </w:hyperlink>
      <w:r w:rsidRPr="00253350">
        <w:rPr>
          <w:sz w:val="20"/>
          <w:szCs w:val="20"/>
        </w:rPr>
        <w:t>&gt; [accessed 28 February 2024]</w:t>
      </w:r>
      <w:r w:rsidR="003537D8" w:rsidRPr="00253350">
        <w:rPr>
          <w:sz w:val="20"/>
          <w:szCs w:val="20"/>
        </w:rPr>
        <w:t>.</w:t>
      </w:r>
      <w:r w:rsidRPr="00253350">
        <w:rPr>
          <w:sz w:val="20"/>
          <w:szCs w:val="20"/>
        </w:rPr>
        <w:t xml:space="preserve"> </w:t>
      </w:r>
    </w:p>
  </w:footnote>
  <w:footnote w:id="4">
    <w:p w14:paraId="272AA78D" w14:textId="7BCFE1A7" w:rsidR="003537D8" w:rsidRPr="00253350" w:rsidRDefault="003537D8" w:rsidP="003537D8">
      <w:pPr>
        <w:spacing w:after="0"/>
        <w:rPr>
          <w:sz w:val="20"/>
          <w:szCs w:val="20"/>
        </w:rPr>
      </w:pPr>
      <w:r w:rsidRPr="00253350">
        <w:rPr>
          <w:rStyle w:val="FootnoteReference"/>
          <w:sz w:val="20"/>
          <w:szCs w:val="20"/>
        </w:rPr>
        <w:footnoteRef/>
      </w:r>
      <w:r w:rsidRPr="00253350">
        <w:rPr>
          <w:sz w:val="20"/>
          <w:szCs w:val="20"/>
        </w:rPr>
        <w:t xml:space="preserve"> Barbara Walker (ed.), </w:t>
      </w:r>
      <w:r w:rsidRPr="00253350">
        <w:rPr>
          <w:i/>
          <w:iCs/>
          <w:sz w:val="20"/>
          <w:szCs w:val="20"/>
        </w:rPr>
        <w:t>Out of the Ordinary: Folklore and the Supernatural</w:t>
      </w:r>
      <w:r w:rsidRPr="00253350">
        <w:rPr>
          <w:sz w:val="20"/>
          <w:szCs w:val="20"/>
        </w:rPr>
        <w:t xml:space="preserve"> (Logan, Utah: Utah State Press, 1995), p. 142.</w:t>
      </w:r>
    </w:p>
  </w:footnote>
  <w:footnote w:id="5">
    <w:p w14:paraId="40FA7BC1" w14:textId="7AD25998" w:rsidR="003537D8" w:rsidRPr="00253350" w:rsidRDefault="003537D8">
      <w:pPr>
        <w:pStyle w:val="FootnoteText"/>
      </w:pPr>
      <w:r w:rsidRPr="00253350">
        <w:rPr>
          <w:rStyle w:val="FootnoteReference"/>
        </w:rPr>
        <w:footnoteRef/>
      </w:r>
      <w:r w:rsidRPr="00253350">
        <w:t xml:space="preserve"> Bennett, pp. 122-126. </w:t>
      </w:r>
    </w:p>
  </w:footnote>
  <w:footnote w:id="6">
    <w:p w14:paraId="4C819D00" w14:textId="72C41573" w:rsidR="003537D8" w:rsidRPr="00253350" w:rsidRDefault="003537D8">
      <w:pPr>
        <w:pStyle w:val="FootnoteText"/>
      </w:pPr>
      <w:r w:rsidRPr="00253350">
        <w:rPr>
          <w:rStyle w:val="FootnoteReference"/>
        </w:rPr>
        <w:footnoteRef/>
      </w:r>
      <w:r w:rsidRPr="00253350">
        <w:t xml:space="preserve"> Bennett, pp. 124, 126. </w:t>
      </w:r>
    </w:p>
  </w:footnote>
  <w:footnote w:id="7">
    <w:p w14:paraId="18E7DAD7" w14:textId="09A73E4A" w:rsidR="003537D8" w:rsidRPr="00253350" w:rsidRDefault="003537D8">
      <w:pPr>
        <w:pStyle w:val="FootnoteText"/>
      </w:pPr>
      <w:r w:rsidRPr="00253350">
        <w:rPr>
          <w:rStyle w:val="FootnoteReference"/>
        </w:rPr>
        <w:footnoteRef/>
      </w:r>
      <w:r w:rsidRPr="00253350">
        <w:t xml:space="preserve"> Bennett, p</w:t>
      </w:r>
      <w:r w:rsidR="00EA110E" w:rsidRPr="00253350">
        <w:t>.</w:t>
      </w:r>
      <w:r w:rsidRPr="00253350">
        <w:t xml:space="preserve"> 126. </w:t>
      </w:r>
    </w:p>
  </w:footnote>
  <w:footnote w:id="8">
    <w:p w14:paraId="04164D71" w14:textId="73818300" w:rsidR="004439FC" w:rsidRPr="00253350" w:rsidRDefault="004439FC" w:rsidP="00EA110E">
      <w:pPr>
        <w:spacing w:after="0"/>
        <w:rPr>
          <w:sz w:val="20"/>
          <w:szCs w:val="20"/>
        </w:rPr>
      </w:pPr>
      <w:r w:rsidRPr="00253350">
        <w:rPr>
          <w:rStyle w:val="FootnoteReference"/>
          <w:sz w:val="20"/>
          <w:szCs w:val="20"/>
        </w:rPr>
        <w:footnoteRef/>
      </w:r>
      <w:r w:rsidRPr="00253350">
        <w:rPr>
          <w:sz w:val="20"/>
          <w:szCs w:val="20"/>
        </w:rPr>
        <w:t xml:space="preserve"> Monique </w:t>
      </w:r>
      <w:proofErr w:type="spellStart"/>
      <w:r w:rsidRPr="00253350">
        <w:rPr>
          <w:sz w:val="20"/>
          <w:szCs w:val="20"/>
        </w:rPr>
        <w:t>Hennink</w:t>
      </w:r>
      <w:proofErr w:type="spellEnd"/>
      <w:r w:rsidRPr="00253350">
        <w:rPr>
          <w:sz w:val="20"/>
          <w:szCs w:val="20"/>
        </w:rPr>
        <w:t xml:space="preserve">, Inge Hutter and Ajay Bailey, </w:t>
      </w:r>
      <w:r w:rsidRPr="00253350">
        <w:rPr>
          <w:i/>
          <w:iCs/>
          <w:sz w:val="20"/>
          <w:szCs w:val="20"/>
        </w:rPr>
        <w:t>Qualitative Research Methods</w:t>
      </w:r>
      <w:r w:rsidRPr="00253350">
        <w:rPr>
          <w:sz w:val="20"/>
          <w:szCs w:val="20"/>
        </w:rPr>
        <w:t xml:space="preserve"> (Los Angeles: Sage, 2020</w:t>
      </w:r>
      <w:r w:rsidRPr="00253350">
        <w:rPr>
          <w:i/>
          <w:iCs/>
          <w:sz w:val="20"/>
          <w:szCs w:val="20"/>
          <w:vertAlign w:val="superscript"/>
        </w:rPr>
        <w:t>2</w:t>
      </w:r>
      <w:r w:rsidRPr="00253350">
        <w:rPr>
          <w:sz w:val="20"/>
          <w:szCs w:val="20"/>
        </w:rPr>
        <w:t>), p. 15.</w:t>
      </w:r>
    </w:p>
  </w:footnote>
  <w:footnote w:id="9">
    <w:p w14:paraId="01880484" w14:textId="7B688349" w:rsidR="00EA110E" w:rsidRPr="00253350" w:rsidRDefault="00EA110E">
      <w:pPr>
        <w:pStyle w:val="FootnoteText"/>
      </w:pPr>
      <w:r w:rsidRPr="00253350">
        <w:rPr>
          <w:rStyle w:val="FootnoteReference"/>
        </w:rPr>
        <w:footnoteRef/>
      </w:r>
      <w:r w:rsidRPr="00253350">
        <w:t xml:space="preserve"> </w:t>
      </w:r>
      <w:proofErr w:type="spellStart"/>
      <w:r w:rsidRPr="00253350">
        <w:t>Hennink</w:t>
      </w:r>
      <w:proofErr w:type="spellEnd"/>
      <w:r w:rsidRPr="00253350">
        <w:t xml:space="preserve">, </w:t>
      </w:r>
      <w:r w:rsidRPr="00253350">
        <w:rPr>
          <w:i/>
          <w:iCs/>
        </w:rPr>
        <w:t>Qualitative Research</w:t>
      </w:r>
      <w:r w:rsidRPr="00253350">
        <w:t xml:space="preserve">, p. 19. </w:t>
      </w:r>
    </w:p>
  </w:footnote>
  <w:footnote w:id="10">
    <w:p w14:paraId="055BB56A" w14:textId="32688FC4" w:rsidR="00EA110E" w:rsidRPr="00253350" w:rsidRDefault="00EA110E">
      <w:pPr>
        <w:pStyle w:val="FootnoteText"/>
      </w:pPr>
      <w:r w:rsidRPr="00253350">
        <w:rPr>
          <w:rStyle w:val="FootnoteReference"/>
        </w:rPr>
        <w:footnoteRef/>
      </w:r>
      <w:r w:rsidRPr="00253350">
        <w:t xml:space="preserve"> Bennett, p. 126. </w:t>
      </w:r>
    </w:p>
  </w:footnote>
  <w:footnote w:id="11">
    <w:p w14:paraId="6BFA44CD" w14:textId="4E901D99" w:rsidR="00EA110E" w:rsidRPr="00253350" w:rsidRDefault="00EA110E">
      <w:pPr>
        <w:pStyle w:val="FootnoteText"/>
      </w:pPr>
      <w:r w:rsidRPr="00253350">
        <w:rPr>
          <w:rStyle w:val="FootnoteReference"/>
        </w:rPr>
        <w:footnoteRef/>
      </w:r>
      <w:r w:rsidRPr="00253350">
        <w:t xml:space="preserve"> Bennett, p. 127. </w:t>
      </w:r>
    </w:p>
  </w:footnote>
  <w:footnote w:id="12">
    <w:p w14:paraId="60C90B06" w14:textId="34E231C3" w:rsidR="00EA110E" w:rsidRPr="00253350" w:rsidRDefault="00EA110E">
      <w:pPr>
        <w:pStyle w:val="FootnoteText"/>
      </w:pPr>
      <w:r w:rsidRPr="00253350">
        <w:rPr>
          <w:rStyle w:val="FootnoteReference"/>
        </w:rPr>
        <w:footnoteRef/>
      </w:r>
      <w:r w:rsidRPr="00253350">
        <w:t xml:space="preserve"> Bennett, pp. 134- 136. </w:t>
      </w:r>
    </w:p>
  </w:footnote>
  <w:footnote w:id="13">
    <w:p w14:paraId="3E64EC8B" w14:textId="11C4C52E" w:rsidR="00EA110E" w:rsidRPr="00253350" w:rsidRDefault="00EA110E">
      <w:pPr>
        <w:pStyle w:val="FootnoteText"/>
      </w:pPr>
      <w:r w:rsidRPr="00253350">
        <w:rPr>
          <w:rStyle w:val="FootnoteReference"/>
        </w:rPr>
        <w:footnoteRef/>
      </w:r>
      <w:r w:rsidRPr="00253350">
        <w:t xml:space="preserve"> Bennett, pp. 128, 130. </w:t>
      </w:r>
    </w:p>
  </w:footnote>
  <w:footnote w:id="14">
    <w:p w14:paraId="2E13F0B9" w14:textId="672C1022" w:rsidR="00EA110E" w:rsidRPr="00253350" w:rsidRDefault="00EA110E">
      <w:pPr>
        <w:pStyle w:val="FootnoteText"/>
      </w:pPr>
      <w:r w:rsidRPr="00253350">
        <w:rPr>
          <w:rStyle w:val="FootnoteReference"/>
        </w:rPr>
        <w:footnoteRef/>
      </w:r>
      <w:r w:rsidRPr="00253350">
        <w:t xml:space="preserve"> Bennett, p. 129. </w:t>
      </w:r>
    </w:p>
  </w:footnote>
  <w:footnote w:id="15">
    <w:p w14:paraId="222E9401" w14:textId="69DDF6BE" w:rsidR="00EA110E" w:rsidRPr="00253350" w:rsidRDefault="00EA110E">
      <w:pPr>
        <w:pStyle w:val="FootnoteText"/>
      </w:pPr>
      <w:r w:rsidRPr="00253350">
        <w:rPr>
          <w:rStyle w:val="FootnoteReference"/>
        </w:rPr>
        <w:footnoteRef/>
      </w:r>
      <w:r w:rsidRPr="00253350">
        <w:t xml:space="preserve"> Bennett, p. 134. </w:t>
      </w:r>
    </w:p>
  </w:footnote>
  <w:footnote w:id="16">
    <w:p w14:paraId="60C44006" w14:textId="0F1ED90F" w:rsidR="00EA110E" w:rsidRPr="00253350" w:rsidRDefault="00EA110E">
      <w:pPr>
        <w:pStyle w:val="FootnoteText"/>
      </w:pPr>
      <w:r w:rsidRPr="00253350">
        <w:rPr>
          <w:rStyle w:val="FootnoteReference"/>
        </w:rPr>
        <w:footnoteRef/>
      </w:r>
      <w:r w:rsidRPr="00253350">
        <w:t xml:space="preserve"> Bennett, p. 132. </w:t>
      </w:r>
    </w:p>
  </w:footnote>
  <w:footnote w:id="17">
    <w:p w14:paraId="15668280" w14:textId="0A3F0D80" w:rsidR="00EA110E" w:rsidRPr="00253350" w:rsidRDefault="00EA110E">
      <w:pPr>
        <w:pStyle w:val="FootnoteText"/>
      </w:pPr>
      <w:r w:rsidRPr="00253350">
        <w:rPr>
          <w:rStyle w:val="FootnoteReference"/>
        </w:rPr>
        <w:footnoteRef/>
      </w:r>
      <w:r w:rsidRPr="00253350">
        <w:t xml:space="preserve"> Bennett, p. 133. </w:t>
      </w:r>
    </w:p>
  </w:footnote>
  <w:footnote w:id="18">
    <w:p w14:paraId="2C347EC2" w14:textId="11436574" w:rsidR="002862C8" w:rsidRPr="00253350" w:rsidRDefault="002862C8">
      <w:pPr>
        <w:pStyle w:val="FootnoteText"/>
      </w:pPr>
      <w:r w:rsidRPr="00253350">
        <w:rPr>
          <w:rStyle w:val="FootnoteReference"/>
        </w:rPr>
        <w:footnoteRef/>
      </w:r>
      <w:r w:rsidRPr="00253350">
        <w:t xml:space="preserve"> Bennett, p. 136. </w:t>
      </w:r>
    </w:p>
  </w:footnote>
  <w:footnote w:id="19">
    <w:p w14:paraId="4DE300AD" w14:textId="48B5312F" w:rsidR="002862C8" w:rsidRDefault="002862C8">
      <w:pPr>
        <w:pStyle w:val="FootnoteText"/>
      </w:pPr>
      <w:r>
        <w:rPr>
          <w:rStyle w:val="FootnoteReference"/>
        </w:rPr>
        <w:footnoteRef/>
      </w:r>
      <w:r>
        <w:t xml:space="preserve"> Bennett, p. 139. </w:t>
      </w:r>
    </w:p>
  </w:footnote>
  <w:footnote w:id="20">
    <w:p w14:paraId="3EEAB5B2" w14:textId="49F8D948" w:rsidR="00B03F29" w:rsidRDefault="00B03F29">
      <w:pPr>
        <w:pStyle w:val="FootnoteText"/>
      </w:pPr>
      <w:r>
        <w:rPr>
          <w:rStyle w:val="FootnoteReference"/>
        </w:rPr>
        <w:footnoteRef/>
      </w:r>
      <w:r>
        <w:t xml:space="preserve"> Blain, ‘Speaking </w:t>
      </w:r>
      <w:proofErr w:type="spellStart"/>
      <w:r>
        <w:t>Shamanistically</w:t>
      </w:r>
      <w:proofErr w:type="spellEnd"/>
      <w:r>
        <w:t xml:space="preserve">’, p. 5. [Page numbers </w:t>
      </w:r>
      <w:r w:rsidR="00504672">
        <w:t xml:space="preserve">for this article follow </w:t>
      </w:r>
      <w:r>
        <w:t xml:space="preserve">the pdf </w:t>
      </w:r>
      <w:r w:rsidR="00504672">
        <w:t>document’s numeric order.</w:t>
      </w:r>
      <w:r>
        <w:t>]</w:t>
      </w:r>
    </w:p>
  </w:footnote>
  <w:footnote w:id="21">
    <w:p w14:paraId="35303089" w14:textId="1AE4C8A1" w:rsidR="00504672" w:rsidRDefault="00504672">
      <w:pPr>
        <w:pStyle w:val="FootnoteText"/>
      </w:pPr>
      <w:r>
        <w:rPr>
          <w:rStyle w:val="FootnoteReference"/>
        </w:rPr>
        <w:footnoteRef/>
      </w:r>
      <w:r>
        <w:t xml:space="preserve"> Dowson, 1996, in Blain, p. 6. [Blain does not provide more information regarding her citation.}  </w:t>
      </w:r>
    </w:p>
  </w:footnote>
  <w:footnote w:id="22">
    <w:p w14:paraId="3DF8B3F7" w14:textId="595243B0" w:rsidR="00504672" w:rsidRDefault="00504672">
      <w:pPr>
        <w:pStyle w:val="FootnoteText"/>
      </w:pPr>
      <w:r>
        <w:rPr>
          <w:rStyle w:val="FootnoteReference"/>
        </w:rPr>
        <w:footnoteRef/>
      </w:r>
      <w:r>
        <w:t xml:space="preserve"> Blain, p. 1. </w:t>
      </w:r>
    </w:p>
  </w:footnote>
  <w:footnote w:id="23">
    <w:p w14:paraId="300380B9" w14:textId="56DD8310" w:rsidR="00504672" w:rsidRDefault="00504672">
      <w:pPr>
        <w:pStyle w:val="FootnoteText"/>
      </w:pPr>
      <w:r>
        <w:rPr>
          <w:rStyle w:val="FootnoteReference"/>
        </w:rPr>
        <w:footnoteRef/>
      </w:r>
      <w:r>
        <w:t xml:space="preserve"> Blain, p. 3. </w:t>
      </w:r>
    </w:p>
  </w:footnote>
  <w:footnote w:id="24">
    <w:p w14:paraId="529E188C" w14:textId="172BA35F" w:rsidR="00504672" w:rsidRDefault="00504672">
      <w:pPr>
        <w:pStyle w:val="FootnoteText"/>
      </w:pPr>
      <w:r>
        <w:rPr>
          <w:rStyle w:val="FootnoteReference"/>
        </w:rPr>
        <w:footnoteRef/>
      </w:r>
      <w:r>
        <w:t xml:space="preserve"> Blain, p. 1. </w:t>
      </w:r>
    </w:p>
  </w:footnote>
  <w:footnote w:id="25">
    <w:p w14:paraId="16F8878F" w14:textId="226DBEA7" w:rsidR="00504672" w:rsidRDefault="00504672">
      <w:pPr>
        <w:pStyle w:val="FootnoteText"/>
      </w:pPr>
      <w:r>
        <w:rPr>
          <w:rStyle w:val="FootnoteReference"/>
        </w:rPr>
        <w:footnoteRef/>
      </w:r>
      <w:r>
        <w:t xml:space="preserve"> Blain, p. 6. </w:t>
      </w:r>
    </w:p>
  </w:footnote>
  <w:footnote w:id="26">
    <w:p w14:paraId="67ABC1AB" w14:textId="36599092" w:rsidR="001D319B" w:rsidRDefault="001D319B">
      <w:pPr>
        <w:pStyle w:val="FootnoteText"/>
      </w:pPr>
      <w:r>
        <w:rPr>
          <w:rStyle w:val="FootnoteReference"/>
        </w:rPr>
        <w:footnoteRef/>
      </w:r>
      <w:r>
        <w:t xml:space="preserve"> Blain, p.2. [The concept </w:t>
      </w:r>
      <w:proofErr w:type="gramStart"/>
      <w:r>
        <w:t>of  ‘</w:t>
      </w:r>
      <w:proofErr w:type="gramEnd"/>
      <w:r>
        <w:t>multi-sited ethnography’ is credited to George Marcus but Blain provides no further reference.]</w:t>
      </w:r>
    </w:p>
  </w:footnote>
  <w:footnote w:id="27">
    <w:p w14:paraId="11515643" w14:textId="4C5C3D85" w:rsidR="00276906" w:rsidRDefault="00276906">
      <w:pPr>
        <w:pStyle w:val="FootnoteText"/>
      </w:pPr>
      <w:r>
        <w:rPr>
          <w:rStyle w:val="FootnoteReference"/>
        </w:rPr>
        <w:footnoteRef/>
      </w:r>
      <w:r>
        <w:t xml:space="preserve"> Blain, p. 3. </w:t>
      </w:r>
    </w:p>
  </w:footnote>
  <w:footnote w:id="28">
    <w:p w14:paraId="23E11DD6" w14:textId="5A18D69F" w:rsidR="00276906" w:rsidRDefault="00276906">
      <w:pPr>
        <w:pStyle w:val="FootnoteText"/>
      </w:pPr>
      <w:r>
        <w:rPr>
          <w:rStyle w:val="FootnoteReference"/>
        </w:rPr>
        <w:footnoteRef/>
      </w:r>
      <w:r>
        <w:t xml:space="preserve"> Blain, pp. 3/4. </w:t>
      </w:r>
    </w:p>
  </w:footnote>
  <w:footnote w:id="29">
    <w:p w14:paraId="1B344287" w14:textId="098067B7" w:rsidR="00324928" w:rsidRDefault="00324928">
      <w:pPr>
        <w:pStyle w:val="FootnoteText"/>
      </w:pPr>
      <w:r>
        <w:rPr>
          <w:rStyle w:val="FootnoteReference"/>
        </w:rPr>
        <w:footnoteRef/>
      </w:r>
      <w:r>
        <w:t xml:space="preserve"> Blain, pp. 3/4.</w:t>
      </w:r>
    </w:p>
  </w:footnote>
  <w:footnote w:id="30">
    <w:p w14:paraId="4C218160" w14:textId="3D88041D" w:rsidR="00324928" w:rsidRPr="00324928" w:rsidRDefault="00324928">
      <w:pPr>
        <w:pStyle w:val="FootnoteText"/>
      </w:pPr>
      <w:r w:rsidRPr="00324928">
        <w:rPr>
          <w:rStyle w:val="FootnoteReference"/>
        </w:rPr>
        <w:footnoteRef/>
      </w:r>
      <w:r w:rsidRPr="00324928">
        <w:t xml:space="preserve"> Blain, p. 5. </w:t>
      </w:r>
    </w:p>
  </w:footnote>
  <w:footnote w:id="31">
    <w:p w14:paraId="4918CB74" w14:textId="2FE63CA6" w:rsidR="00324928" w:rsidRPr="00324928" w:rsidRDefault="00324928">
      <w:pPr>
        <w:pStyle w:val="FootnoteText"/>
      </w:pPr>
      <w:r w:rsidRPr="00324928">
        <w:rPr>
          <w:rStyle w:val="FootnoteReference"/>
        </w:rPr>
        <w:footnoteRef/>
      </w:r>
      <w:r w:rsidRPr="00324928">
        <w:t xml:space="preserve"> Blain, p. 5. </w:t>
      </w:r>
    </w:p>
  </w:footnote>
  <w:footnote w:id="32">
    <w:p w14:paraId="45A97DA6" w14:textId="1B47256E" w:rsidR="00324928" w:rsidRPr="00324928" w:rsidRDefault="00324928">
      <w:pPr>
        <w:pStyle w:val="FootnoteText"/>
      </w:pPr>
      <w:r w:rsidRPr="00324928">
        <w:rPr>
          <w:rStyle w:val="FootnoteReference"/>
        </w:rPr>
        <w:footnoteRef/>
      </w:r>
      <w:r w:rsidRPr="00324928">
        <w:t xml:space="preserve"> Blain, pp. 7/8. </w:t>
      </w:r>
    </w:p>
  </w:footnote>
  <w:footnote w:id="33">
    <w:p w14:paraId="32CE7281" w14:textId="640CFC82" w:rsidR="00324928" w:rsidRPr="00324928" w:rsidRDefault="00324928">
      <w:pPr>
        <w:pStyle w:val="FootnoteText"/>
      </w:pPr>
      <w:r w:rsidRPr="00324928">
        <w:rPr>
          <w:rStyle w:val="FootnoteReference"/>
        </w:rPr>
        <w:footnoteRef/>
      </w:r>
      <w:r w:rsidRPr="00324928">
        <w:t xml:space="preserve"> Blain, p. 6. </w:t>
      </w:r>
    </w:p>
  </w:footnote>
  <w:footnote w:id="34">
    <w:p w14:paraId="5E153613" w14:textId="1BD220E8" w:rsidR="00324928" w:rsidRPr="00324928" w:rsidRDefault="00324928">
      <w:pPr>
        <w:pStyle w:val="FootnoteText"/>
      </w:pPr>
      <w:r w:rsidRPr="00324928">
        <w:rPr>
          <w:rStyle w:val="FootnoteReference"/>
        </w:rPr>
        <w:footnoteRef/>
      </w:r>
      <w:r w:rsidRPr="00324928">
        <w:t xml:space="preserve"> Blain, p. 8</w:t>
      </w:r>
      <w:r w:rsidR="00500455">
        <w:t>/9</w:t>
      </w:r>
      <w:r w:rsidRPr="00324928">
        <w:t xml:space="preserve">. </w:t>
      </w:r>
    </w:p>
  </w:footnote>
  <w:footnote w:id="35">
    <w:p w14:paraId="301E9825" w14:textId="2C80DF83" w:rsidR="00324928" w:rsidRPr="00324928" w:rsidRDefault="00324928">
      <w:pPr>
        <w:pStyle w:val="FootnoteText"/>
      </w:pPr>
      <w:r w:rsidRPr="00324928">
        <w:rPr>
          <w:rStyle w:val="FootnoteReference"/>
        </w:rPr>
        <w:footnoteRef/>
      </w:r>
      <w:r w:rsidRPr="00324928">
        <w:t xml:space="preserve"> Bennett, p. 139 ff. </w:t>
      </w:r>
    </w:p>
  </w:footnote>
  <w:footnote w:id="36">
    <w:p w14:paraId="6F409EBC" w14:textId="2422B9B7" w:rsidR="00324928" w:rsidRPr="00324928" w:rsidRDefault="00324928" w:rsidP="00324928">
      <w:pPr>
        <w:rPr>
          <w:sz w:val="20"/>
          <w:szCs w:val="20"/>
        </w:rPr>
      </w:pPr>
      <w:r w:rsidRPr="00324928">
        <w:rPr>
          <w:rStyle w:val="FootnoteReference"/>
          <w:sz w:val="20"/>
          <w:szCs w:val="20"/>
        </w:rPr>
        <w:footnoteRef/>
      </w:r>
      <w:r w:rsidRPr="00324928">
        <w:rPr>
          <w:sz w:val="20"/>
          <w:szCs w:val="20"/>
        </w:rPr>
        <w:t xml:space="preserve"> Linda Tuhiwai Smith, </w:t>
      </w:r>
      <w:r w:rsidRPr="00324928">
        <w:rPr>
          <w:i/>
          <w:iCs/>
          <w:sz w:val="20"/>
          <w:szCs w:val="20"/>
        </w:rPr>
        <w:t>Decolonizing Methodologies Research and Indigenous People</w:t>
      </w:r>
      <w:r w:rsidRPr="00324928">
        <w:rPr>
          <w:sz w:val="20"/>
          <w:szCs w:val="20"/>
        </w:rPr>
        <w:t xml:space="preserve"> (London and New York: </w:t>
      </w:r>
      <w:proofErr w:type="gramStart"/>
      <w:r w:rsidRPr="00324928">
        <w:rPr>
          <w:sz w:val="20"/>
          <w:szCs w:val="20"/>
        </w:rPr>
        <w:t>Bloomsbury  2021</w:t>
      </w:r>
      <w:r w:rsidRPr="00324928">
        <w:rPr>
          <w:sz w:val="20"/>
          <w:szCs w:val="20"/>
          <w:vertAlign w:val="superscript"/>
        </w:rPr>
        <w:t>3</w:t>
      </w:r>
      <w:proofErr w:type="gramEnd"/>
      <w:r w:rsidRPr="00324928">
        <w:rPr>
          <w:sz w:val="20"/>
          <w:szCs w:val="20"/>
        </w:rPr>
        <w:t xml:space="preserve">). </w:t>
      </w:r>
    </w:p>
    <w:p w14:paraId="7FEADCC7" w14:textId="1D167FC5" w:rsidR="00324928" w:rsidRDefault="00324928">
      <w:pPr>
        <w:pStyle w:val="FootnoteText"/>
      </w:pPr>
    </w:p>
  </w:footnote>
  <w:footnote w:id="37">
    <w:p w14:paraId="0EE674A2" w14:textId="004A591A" w:rsidR="00324928" w:rsidRPr="00253350" w:rsidRDefault="00324928">
      <w:pPr>
        <w:pStyle w:val="FootnoteText"/>
      </w:pPr>
      <w:r w:rsidRPr="00253350">
        <w:rPr>
          <w:rStyle w:val="FootnoteReference"/>
        </w:rPr>
        <w:footnoteRef/>
      </w:r>
      <w:r w:rsidRPr="00253350">
        <w:t xml:space="preserve"> </w:t>
      </w:r>
      <w:proofErr w:type="spellStart"/>
      <w:r w:rsidRPr="00253350">
        <w:t>Hennink</w:t>
      </w:r>
      <w:proofErr w:type="spellEnd"/>
      <w:r w:rsidRPr="00253350">
        <w:t xml:space="preserve">, </w:t>
      </w:r>
      <w:r w:rsidRPr="00253350">
        <w:rPr>
          <w:i/>
          <w:iCs/>
        </w:rPr>
        <w:t>Qualitative Research</w:t>
      </w:r>
      <w:r w:rsidRPr="00253350">
        <w:t xml:space="preserve">, p. 15. </w:t>
      </w:r>
    </w:p>
  </w:footnote>
  <w:footnote w:id="38">
    <w:p w14:paraId="21CE14E3" w14:textId="3D54F9A0" w:rsidR="00324928" w:rsidRPr="00253350" w:rsidRDefault="00324928">
      <w:pPr>
        <w:pStyle w:val="FootnoteText"/>
      </w:pPr>
      <w:r w:rsidRPr="00253350">
        <w:rPr>
          <w:rStyle w:val="FootnoteReference"/>
        </w:rPr>
        <w:footnoteRef/>
      </w:r>
      <w:r w:rsidRPr="00253350">
        <w:t xml:space="preserve"> </w:t>
      </w:r>
      <w:proofErr w:type="spellStart"/>
      <w:r w:rsidRPr="00253350">
        <w:t>Hennink</w:t>
      </w:r>
      <w:proofErr w:type="spellEnd"/>
      <w:r w:rsidRPr="00253350">
        <w:t xml:space="preserve">, p. 14. </w:t>
      </w:r>
    </w:p>
  </w:footnote>
  <w:footnote w:id="39">
    <w:p w14:paraId="57B14D70" w14:textId="76E43474" w:rsidR="00E9621C" w:rsidRPr="00253350" w:rsidRDefault="00E9621C">
      <w:pPr>
        <w:pStyle w:val="FootnoteText"/>
      </w:pPr>
      <w:r w:rsidRPr="00253350">
        <w:rPr>
          <w:rStyle w:val="FootnoteReference"/>
        </w:rPr>
        <w:footnoteRef/>
      </w:r>
      <w:r w:rsidRPr="00253350">
        <w:t xml:space="preserve"> Blain, p. 9. </w:t>
      </w:r>
    </w:p>
  </w:footnote>
  <w:footnote w:id="40">
    <w:p w14:paraId="6DB358AC" w14:textId="7CF67994" w:rsidR="00E9621C" w:rsidRPr="00253350" w:rsidRDefault="00E9621C">
      <w:pPr>
        <w:pStyle w:val="FootnoteText"/>
      </w:pPr>
      <w:r w:rsidRPr="00253350">
        <w:rPr>
          <w:rStyle w:val="FootnoteReference"/>
        </w:rPr>
        <w:footnoteRef/>
      </w:r>
      <w:r w:rsidRPr="00253350">
        <w:t xml:space="preserve"> Bennett, p. 136. </w:t>
      </w:r>
    </w:p>
  </w:footnote>
  <w:footnote w:id="41">
    <w:p w14:paraId="0B7AC3C6" w14:textId="2C039A1F" w:rsidR="00481FE5" w:rsidRPr="00253350" w:rsidRDefault="00481FE5" w:rsidP="00481FE5">
      <w:pPr>
        <w:spacing w:after="0"/>
        <w:rPr>
          <w:rFonts w:cstheme="minorHAnsi"/>
          <w:sz w:val="20"/>
          <w:szCs w:val="20"/>
        </w:rPr>
      </w:pPr>
      <w:r w:rsidRPr="00253350">
        <w:rPr>
          <w:rStyle w:val="FootnoteReference"/>
          <w:sz w:val="20"/>
          <w:szCs w:val="20"/>
        </w:rPr>
        <w:footnoteRef/>
      </w:r>
      <w:r w:rsidRPr="00253350">
        <w:rPr>
          <w:sz w:val="20"/>
          <w:szCs w:val="20"/>
        </w:rPr>
        <w:t xml:space="preserve"> Leonard, </w:t>
      </w:r>
      <w:r w:rsidRPr="00253350">
        <w:rPr>
          <w:rFonts w:cstheme="minorHAnsi"/>
          <w:color w:val="1A1A1A"/>
          <w:sz w:val="20"/>
          <w:szCs w:val="20"/>
        </w:rPr>
        <w:t>Lawlor, ‘Jacques Derrida’, </w:t>
      </w:r>
      <w:r w:rsidRPr="00253350">
        <w:rPr>
          <w:rStyle w:val="Emphasis"/>
          <w:rFonts w:cstheme="minorHAnsi"/>
          <w:color w:val="1A1A1A"/>
          <w:sz w:val="20"/>
          <w:szCs w:val="20"/>
        </w:rPr>
        <w:t>The Stanford Encyclopedia of Philosophy </w:t>
      </w:r>
      <w:r w:rsidRPr="00253350">
        <w:rPr>
          <w:rFonts w:cstheme="minorHAnsi"/>
          <w:color w:val="1A1A1A"/>
          <w:sz w:val="20"/>
          <w:szCs w:val="20"/>
        </w:rPr>
        <w:t>(Summer 2023 Edition), Edward N. Zalta &amp; Uri Nodelman (eds.), URL = &lt;</w:t>
      </w:r>
      <w:hyperlink r:id="rId3" w:history="1">
        <w:r w:rsidRPr="00253350">
          <w:rPr>
            <w:rStyle w:val="Hyperlink"/>
            <w:rFonts w:cstheme="minorHAnsi"/>
            <w:sz w:val="20"/>
            <w:szCs w:val="20"/>
          </w:rPr>
          <w:t>https://plato.stanford.edu/archives/sum2023/entries/derrida/</w:t>
        </w:r>
      </w:hyperlink>
      <w:r w:rsidRPr="00253350">
        <w:rPr>
          <w:rFonts w:cstheme="minorHAnsi"/>
          <w:color w:val="1A1A1A"/>
          <w:sz w:val="20"/>
          <w:szCs w:val="20"/>
        </w:rPr>
        <w:t xml:space="preserve">&gt; [accessed 2 March 2024]. </w:t>
      </w:r>
    </w:p>
  </w:footnote>
  <w:footnote w:id="42">
    <w:p w14:paraId="1F104B57" w14:textId="71642C4D" w:rsidR="00E93C83" w:rsidRPr="00253350" w:rsidRDefault="00E93C83" w:rsidP="00E93C83">
      <w:pPr>
        <w:spacing w:after="0"/>
        <w:rPr>
          <w:sz w:val="20"/>
          <w:szCs w:val="20"/>
        </w:rPr>
      </w:pPr>
      <w:r w:rsidRPr="00253350">
        <w:rPr>
          <w:rStyle w:val="FootnoteReference"/>
          <w:sz w:val="20"/>
          <w:szCs w:val="20"/>
        </w:rPr>
        <w:footnoteRef/>
      </w:r>
      <w:r w:rsidRPr="00253350">
        <w:rPr>
          <w:sz w:val="20"/>
          <w:szCs w:val="20"/>
        </w:rPr>
        <w:t xml:space="preserve"> Richard Evans, </w:t>
      </w:r>
      <w:r w:rsidRPr="00253350">
        <w:rPr>
          <w:i/>
          <w:iCs/>
          <w:sz w:val="20"/>
          <w:szCs w:val="20"/>
        </w:rPr>
        <w:t>In Defense of History</w:t>
      </w:r>
      <w:r w:rsidRPr="00253350">
        <w:rPr>
          <w:sz w:val="20"/>
          <w:szCs w:val="20"/>
        </w:rPr>
        <w:t xml:space="preserve"> (New York: Norton, 2000), pp. 128-130.</w:t>
      </w:r>
    </w:p>
  </w:footnote>
  <w:footnote w:id="43">
    <w:p w14:paraId="14B5791B" w14:textId="3F0B8227" w:rsidR="00E12E2C" w:rsidRPr="00253350" w:rsidRDefault="00E12E2C" w:rsidP="00E12E2C">
      <w:pPr>
        <w:spacing w:after="0"/>
        <w:rPr>
          <w:sz w:val="20"/>
          <w:szCs w:val="20"/>
        </w:rPr>
      </w:pPr>
      <w:r w:rsidRPr="00253350">
        <w:rPr>
          <w:rStyle w:val="FootnoteReference"/>
          <w:sz w:val="20"/>
          <w:szCs w:val="20"/>
        </w:rPr>
        <w:footnoteRef/>
      </w:r>
      <w:r w:rsidRPr="00253350">
        <w:rPr>
          <w:sz w:val="20"/>
          <w:szCs w:val="20"/>
        </w:rPr>
        <w:t xml:space="preserve"> Gilles Deleuze and Felix </w:t>
      </w:r>
      <w:proofErr w:type="spellStart"/>
      <w:r w:rsidRPr="00253350">
        <w:rPr>
          <w:sz w:val="20"/>
          <w:szCs w:val="20"/>
        </w:rPr>
        <w:t>Guattari</w:t>
      </w:r>
      <w:proofErr w:type="spellEnd"/>
      <w:r w:rsidRPr="00253350">
        <w:rPr>
          <w:sz w:val="20"/>
          <w:szCs w:val="20"/>
        </w:rPr>
        <w:t xml:space="preserve">, </w:t>
      </w:r>
      <w:r w:rsidRPr="00253350">
        <w:rPr>
          <w:i/>
          <w:iCs/>
          <w:sz w:val="20"/>
          <w:szCs w:val="20"/>
        </w:rPr>
        <w:t>On the Line</w:t>
      </w:r>
      <w:r w:rsidRPr="00253350">
        <w:rPr>
          <w:sz w:val="20"/>
          <w:szCs w:val="20"/>
        </w:rPr>
        <w:t xml:space="preserve">, edited by </w:t>
      </w:r>
      <w:proofErr w:type="spellStart"/>
      <w:r w:rsidRPr="00253350">
        <w:rPr>
          <w:sz w:val="20"/>
          <w:szCs w:val="20"/>
        </w:rPr>
        <w:t>Sylvere</w:t>
      </w:r>
      <w:proofErr w:type="spellEnd"/>
      <w:r w:rsidRPr="00253350">
        <w:rPr>
          <w:sz w:val="20"/>
          <w:szCs w:val="20"/>
        </w:rPr>
        <w:t xml:space="preserve"> </w:t>
      </w:r>
      <w:proofErr w:type="spellStart"/>
      <w:r w:rsidRPr="00253350">
        <w:rPr>
          <w:sz w:val="20"/>
          <w:szCs w:val="20"/>
        </w:rPr>
        <w:t>Lotringer</w:t>
      </w:r>
      <w:proofErr w:type="spellEnd"/>
      <w:r w:rsidRPr="00253350">
        <w:rPr>
          <w:sz w:val="20"/>
          <w:szCs w:val="20"/>
        </w:rPr>
        <w:t xml:space="preserve">, translated by John Johnston (New York, </w:t>
      </w:r>
      <w:proofErr w:type="spellStart"/>
      <w:r w:rsidRPr="00253350">
        <w:rPr>
          <w:sz w:val="20"/>
          <w:szCs w:val="20"/>
        </w:rPr>
        <w:t>Semiotext</w:t>
      </w:r>
      <w:proofErr w:type="spellEnd"/>
      <w:r w:rsidRPr="00253350">
        <w:rPr>
          <w:sz w:val="20"/>
          <w:szCs w:val="20"/>
        </w:rPr>
        <w:t xml:space="preserve"> 1983), p. 10ff.   </w:t>
      </w:r>
    </w:p>
    <w:p w14:paraId="7DEAC9FD" w14:textId="10F3C49F" w:rsidR="00E12E2C" w:rsidRDefault="00E12E2C">
      <w:pPr>
        <w:pStyle w:val="FootnoteText"/>
      </w:pPr>
    </w:p>
  </w:footnote>
  <w:footnote w:id="44">
    <w:p w14:paraId="46BFC154" w14:textId="7595ACED" w:rsidR="00E12E2C" w:rsidRPr="00647F68" w:rsidRDefault="00E12E2C">
      <w:pPr>
        <w:pStyle w:val="FootnoteText"/>
      </w:pPr>
      <w:r w:rsidRPr="00647F68">
        <w:rPr>
          <w:rStyle w:val="FootnoteReference"/>
        </w:rPr>
        <w:footnoteRef/>
      </w:r>
      <w:r w:rsidRPr="00647F68">
        <w:t xml:space="preserve"> Deleuze, </w:t>
      </w:r>
      <w:r w:rsidRPr="00647F68">
        <w:rPr>
          <w:i/>
          <w:iCs/>
        </w:rPr>
        <w:t>On the Line</w:t>
      </w:r>
      <w:r w:rsidRPr="00647F68">
        <w:t xml:space="preserve">, p. 11. </w:t>
      </w:r>
    </w:p>
  </w:footnote>
  <w:footnote w:id="45">
    <w:p w14:paraId="595CAE90" w14:textId="1618D84B" w:rsidR="00A363E3" w:rsidRPr="00647F68" w:rsidRDefault="00A363E3" w:rsidP="00A363E3">
      <w:pPr>
        <w:spacing w:after="0"/>
        <w:rPr>
          <w:sz w:val="20"/>
          <w:szCs w:val="20"/>
        </w:rPr>
      </w:pPr>
      <w:r w:rsidRPr="00647F68">
        <w:rPr>
          <w:rStyle w:val="FootnoteReference"/>
          <w:sz w:val="20"/>
          <w:szCs w:val="20"/>
        </w:rPr>
        <w:footnoteRef/>
      </w:r>
      <w:r w:rsidRPr="00647F68">
        <w:rPr>
          <w:sz w:val="20"/>
          <w:szCs w:val="20"/>
        </w:rPr>
        <w:t xml:space="preserve"> Kenneth Thompson, ‘Folklore and Sociology’, in </w:t>
      </w:r>
      <w:r w:rsidRPr="00647F68">
        <w:rPr>
          <w:i/>
          <w:iCs/>
          <w:sz w:val="20"/>
          <w:szCs w:val="20"/>
        </w:rPr>
        <w:t>Sociological Review</w:t>
      </w:r>
      <w:r w:rsidRPr="00647F68">
        <w:rPr>
          <w:sz w:val="20"/>
          <w:szCs w:val="20"/>
        </w:rPr>
        <w:t xml:space="preserve">, vol. 28, no. 2, 1980, 249- 275. </w:t>
      </w:r>
    </w:p>
  </w:footnote>
  <w:footnote w:id="46">
    <w:p w14:paraId="120E4803" w14:textId="57BFA52C" w:rsidR="00647F68" w:rsidRPr="00647F68" w:rsidRDefault="00647F68" w:rsidP="00647F68">
      <w:pPr>
        <w:spacing w:after="0" w:line="240" w:lineRule="auto"/>
        <w:rPr>
          <w:rFonts w:eastAsia="Times New Roman" w:cs="Arial"/>
          <w:sz w:val="20"/>
          <w:szCs w:val="20"/>
        </w:rPr>
      </w:pPr>
      <w:r w:rsidRPr="00647F68">
        <w:rPr>
          <w:rStyle w:val="FootnoteReference"/>
          <w:sz w:val="20"/>
          <w:szCs w:val="20"/>
        </w:rPr>
        <w:footnoteRef/>
      </w:r>
      <w:r w:rsidRPr="00647F68">
        <w:rPr>
          <w:sz w:val="20"/>
          <w:szCs w:val="20"/>
        </w:rPr>
        <w:t xml:space="preserve"> </w:t>
      </w:r>
      <w:r>
        <w:rPr>
          <w:sz w:val="20"/>
          <w:szCs w:val="20"/>
        </w:rPr>
        <w:t xml:space="preserve">Richard </w:t>
      </w:r>
      <w:r w:rsidRPr="00647F68">
        <w:rPr>
          <w:rFonts w:eastAsia="Times New Roman" w:cs="Arial"/>
          <w:sz w:val="20"/>
          <w:szCs w:val="20"/>
        </w:rPr>
        <w:t>Jenkins,</w:t>
      </w:r>
      <w:r>
        <w:rPr>
          <w:rFonts w:eastAsia="Times New Roman" w:cs="Arial"/>
          <w:sz w:val="20"/>
          <w:szCs w:val="20"/>
        </w:rPr>
        <w:t xml:space="preserve"> </w:t>
      </w:r>
      <w:r w:rsidRPr="00647F68">
        <w:rPr>
          <w:rFonts w:eastAsia="Times New Roman" w:cs="Arial"/>
          <w:sz w:val="20"/>
          <w:szCs w:val="20"/>
        </w:rPr>
        <w:t xml:space="preserve">‘Disenchantment, Enchantment and Re-Enchantment: Max Weber at the Millennium’, </w:t>
      </w:r>
      <w:r w:rsidRPr="00647F68">
        <w:rPr>
          <w:rFonts w:eastAsia="Times New Roman" w:cs="Arial"/>
          <w:i/>
          <w:iCs/>
          <w:sz w:val="20"/>
          <w:szCs w:val="20"/>
        </w:rPr>
        <w:t>Max Weber Studies</w:t>
      </w:r>
      <w:r w:rsidRPr="00647F68">
        <w:rPr>
          <w:rFonts w:eastAsia="Times New Roman" w:cs="Arial"/>
          <w:sz w:val="20"/>
          <w:szCs w:val="20"/>
        </w:rPr>
        <w:t xml:space="preserve"> vol. 1, 2000, 11–32</w:t>
      </w:r>
      <w:r>
        <w:rPr>
          <w:rFonts w:eastAsia="Times New Roman" w:cs="Arial"/>
          <w:sz w:val="20"/>
          <w:szCs w:val="20"/>
        </w:rPr>
        <w:t>, p. 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E90"/>
    <w:rsid w:val="00001E41"/>
    <w:rsid w:val="000026D6"/>
    <w:rsid w:val="00003347"/>
    <w:rsid w:val="00007014"/>
    <w:rsid w:val="0000799D"/>
    <w:rsid w:val="0002469A"/>
    <w:rsid w:val="000331F7"/>
    <w:rsid w:val="00041655"/>
    <w:rsid w:val="000446DF"/>
    <w:rsid w:val="000529B2"/>
    <w:rsid w:val="00067B0F"/>
    <w:rsid w:val="000702F5"/>
    <w:rsid w:val="0007564C"/>
    <w:rsid w:val="00076DA7"/>
    <w:rsid w:val="00083E38"/>
    <w:rsid w:val="000A0878"/>
    <w:rsid w:val="000A4725"/>
    <w:rsid w:val="000A4D34"/>
    <w:rsid w:val="000C685D"/>
    <w:rsid w:val="000E2438"/>
    <w:rsid w:val="000E6565"/>
    <w:rsid w:val="000F6462"/>
    <w:rsid w:val="000F6F8B"/>
    <w:rsid w:val="0010060E"/>
    <w:rsid w:val="00103D5A"/>
    <w:rsid w:val="001076FC"/>
    <w:rsid w:val="00117FA8"/>
    <w:rsid w:val="001310C0"/>
    <w:rsid w:val="00135CCF"/>
    <w:rsid w:val="00142E17"/>
    <w:rsid w:val="00152FFE"/>
    <w:rsid w:val="00170A86"/>
    <w:rsid w:val="00177496"/>
    <w:rsid w:val="001838BD"/>
    <w:rsid w:val="001843D4"/>
    <w:rsid w:val="001863FE"/>
    <w:rsid w:val="00197C26"/>
    <w:rsid w:val="001A0283"/>
    <w:rsid w:val="001A219D"/>
    <w:rsid w:val="001A3D9E"/>
    <w:rsid w:val="001B30E4"/>
    <w:rsid w:val="001B7E1B"/>
    <w:rsid w:val="001C0367"/>
    <w:rsid w:val="001D2A8A"/>
    <w:rsid w:val="001D2B07"/>
    <w:rsid w:val="001D319B"/>
    <w:rsid w:val="001E4C42"/>
    <w:rsid w:val="001F1365"/>
    <w:rsid w:val="001F1EED"/>
    <w:rsid w:val="001F4DF7"/>
    <w:rsid w:val="00206DFA"/>
    <w:rsid w:val="002072E2"/>
    <w:rsid w:val="002116B3"/>
    <w:rsid w:val="00214DBB"/>
    <w:rsid w:val="0021519A"/>
    <w:rsid w:val="002203D9"/>
    <w:rsid w:val="00222BFC"/>
    <w:rsid w:val="00222D06"/>
    <w:rsid w:val="00232888"/>
    <w:rsid w:val="00232BFC"/>
    <w:rsid w:val="00232F21"/>
    <w:rsid w:val="00233E98"/>
    <w:rsid w:val="002415EA"/>
    <w:rsid w:val="00245073"/>
    <w:rsid w:val="0024656B"/>
    <w:rsid w:val="00253350"/>
    <w:rsid w:val="0026671F"/>
    <w:rsid w:val="002677B0"/>
    <w:rsid w:val="00276906"/>
    <w:rsid w:val="002862C8"/>
    <w:rsid w:val="002959D4"/>
    <w:rsid w:val="002966E4"/>
    <w:rsid w:val="002B4208"/>
    <w:rsid w:val="002B4D3B"/>
    <w:rsid w:val="002B505E"/>
    <w:rsid w:val="002B6EE5"/>
    <w:rsid w:val="002C02A6"/>
    <w:rsid w:val="002C0DF9"/>
    <w:rsid w:val="002D5437"/>
    <w:rsid w:val="002D6640"/>
    <w:rsid w:val="002E02A9"/>
    <w:rsid w:val="002E06CD"/>
    <w:rsid w:val="002F0E71"/>
    <w:rsid w:val="003049A0"/>
    <w:rsid w:val="00304A60"/>
    <w:rsid w:val="003103A4"/>
    <w:rsid w:val="0031204A"/>
    <w:rsid w:val="00324928"/>
    <w:rsid w:val="003262F1"/>
    <w:rsid w:val="003424C2"/>
    <w:rsid w:val="00343D0E"/>
    <w:rsid w:val="00344F22"/>
    <w:rsid w:val="0034633C"/>
    <w:rsid w:val="003537D8"/>
    <w:rsid w:val="00366373"/>
    <w:rsid w:val="003854E9"/>
    <w:rsid w:val="00392DB5"/>
    <w:rsid w:val="00392E3E"/>
    <w:rsid w:val="003A1DC0"/>
    <w:rsid w:val="003A3EDC"/>
    <w:rsid w:val="003B1747"/>
    <w:rsid w:val="003B2EE1"/>
    <w:rsid w:val="003B4939"/>
    <w:rsid w:val="003B5EEC"/>
    <w:rsid w:val="003C591B"/>
    <w:rsid w:val="003F1496"/>
    <w:rsid w:val="004049C0"/>
    <w:rsid w:val="00405891"/>
    <w:rsid w:val="00406A98"/>
    <w:rsid w:val="00406BE0"/>
    <w:rsid w:val="00406E90"/>
    <w:rsid w:val="004113B6"/>
    <w:rsid w:val="00413300"/>
    <w:rsid w:val="00415D2F"/>
    <w:rsid w:val="00422509"/>
    <w:rsid w:val="00424423"/>
    <w:rsid w:val="00425547"/>
    <w:rsid w:val="00433A5C"/>
    <w:rsid w:val="00440188"/>
    <w:rsid w:val="004439FC"/>
    <w:rsid w:val="004506DB"/>
    <w:rsid w:val="004568C2"/>
    <w:rsid w:val="004614CB"/>
    <w:rsid w:val="00463C0C"/>
    <w:rsid w:val="004709BF"/>
    <w:rsid w:val="00472D38"/>
    <w:rsid w:val="00481FE5"/>
    <w:rsid w:val="004A1551"/>
    <w:rsid w:val="004A1DCC"/>
    <w:rsid w:val="004A70BD"/>
    <w:rsid w:val="004C0772"/>
    <w:rsid w:val="004C2327"/>
    <w:rsid w:val="004C525A"/>
    <w:rsid w:val="004C7012"/>
    <w:rsid w:val="004E5378"/>
    <w:rsid w:val="004E6F3F"/>
    <w:rsid w:val="004F75BB"/>
    <w:rsid w:val="00500455"/>
    <w:rsid w:val="00504672"/>
    <w:rsid w:val="00534A3C"/>
    <w:rsid w:val="005351BC"/>
    <w:rsid w:val="00540DE8"/>
    <w:rsid w:val="00542237"/>
    <w:rsid w:val="00543222"/>
    <w:rsid w:val="00544757"/>
    <w:rsid w:val="00545EB3"/>
    <w:rsid w:val="00550CD8"/>
    <w:rsid w:val="00553942"/>
    <w:rsid w:val="005560D2"/>
    <w:rsid w:val="00557130"/>
    <w:rsid w:val="00576214"/>
    <w:rsid w:val="005841EA"/>
    <w:rsid w:val="005909E5"/>
    <w:rsid w:val="00594AE0"/>
    <w:rsid w:val="005A606D"/>
    <w:rsid w:val="005C2590"/>
    <w:rsid w:val="005D5437"/>
    <w:rsid w:val="005D7ED4"/>
    <w:rsid w:val="005E345F"/>
    <w:rsid w:val="005F144C"/>
    <w:rsid w:val="005F408E"/>
    <w:rsid w:val="00603FF2"/>
    <w:rsid w:val="006046F8"/>
    <w:rsid w:val="00604B17"/>
    <w:rsid w:val="00611591"/>
    <w:rsid w:val="00612D2B"/>
    <w:rsid w:val="00620A81"/>
    <w:rsid w:val="00622CFD"/>
    <w:rsid w:val="00631ADF"/>
    <w:rsid w:val="00632525"/>
    <w:rsid w:val="00635DB6"/>
    <w:rsid w:val="006439FD"/>
    <w:rsid w:val="00646720"/>
    <w:rsid w:val="00647F68"/>
    <w:rsid w:val="00650D2C"/>
    <w:rsid w:val="0066012C"/>
    <w:rsid w:val="0066711E"/>
    <w:rsid w:val="006722C5"/>
    <w:rsid w:val="006736DA"/>
    <w:rsid w:val="00681BB4"/>
    <w:rsid w:val="00682BE7"/>
    <w:rsid w:val="0068495C"/>
    <w:rsid w:val="006856B1"/>
    <w:rsid w:val="00686357"/>
    <w:rsid w:val="00693C0B"/>
    <w:rsid w:val="00695A1E"/>
    <w:rsid w:val="00697E83"/>
    <w:rsid w:val="006B086E"/>
    <w:rsid w:val="006B1CAB"/>
    <w:rsid w:val="006B3B71"/>
    <w:rsid w:val="006B602C"/>
    <w:rsid w:val="006D5CB0"/>
    <w:rsid w:val="006D70CC"/>
    <w:rsid w:val="006E3CA8"/>
    <w:rsid w:val="006E7B0A"/>
    <w:rsid w:val="006F6A32"/>
    <w:rsid w:val="007006F9"/>
    <w:rsid w:val="00700F9C"/>
    <w:rsid w:val="007070BF"/>
    <w:rsid w:val="00707E27"/>
    <w:rsid w:val="00714D82"/>
    <w:rsid w:val="00720122"/>
    <w:rsid w:val="00724018"/>
    <w:rsid w:val="00725CC4"/>
    <w:rsid w:val="00732428"/>
    <w:rsid w:val="007349D4"/>
    <w:rsid w:val="00736F7B"/>
    <w:rsid w:val="00740331"/>
    <w:rsid w:val="0074735F"/>
    <w:rsid w:val="00754AE4"/>
    <w:rsid w:val="00757AD8"/>
    <w:rsid w:val="00770A59"/>
    <w:rsid w:val="0077255B"/>
    <w:rsid w:val="0078045F"/>
    <w:rsid w:val="00782E8F"/>
    <w:rsid w:val="00796C17"/>
    <w:rsid w:val="007A7C42"/>
    <w:rsid w:val="007A7EF4"/>
    <w:rsid w:val="007C08ED"/>
    <w:rsid w:val="007C20B6"/>
    <w:rsid w:val="007D38B6"/>
    <w:rsid w:val="007D476A"/>
    <w:rsid w:val="007E588B"/>
    <w:rsid w:val="007F34B1"/>
    <w:rsid w:val="00802B83"/>
    <w:rsid w:val="00811B7D"/>
    <w:rsid w:val="00815353"/>
    <w:rsid w:val="008250FA"/>
    <w:rsid w:val="00834B0C"/>
    <w:rsid w:val="00845B38"/>
    <w:rsid w:val="00847933"/>
    <w:rsid w:val="00855DA4"/>
    <w:rsid w:val="00861443"/>
    <w:rsid w:val="0087355E"/>
    <w:rsid w:val="008738C3"/>
    <w:rsid w:val="0088451E"/>
    <w:rsid w:val="00896E4D"/>
    <w:rsid w:val="00897747"/>
    <w:rsid w:val="008A217A"/>
    <w:rsid w:val="008A36E4"/>
    <w:rsid w:val="008A3C1E"/>
    <w:rsid w:val="008A5C27"/>
    <w:rsid w:val="008B0FD4"/>
    <w:rsid w:val="008B1DF6"/>
    <w:rsid w:val="008B4B15"/>
    <w:rsid w:val="008B5CF7"/>
    <w:rsid w:val="008C14AD"/>
    <w:rsid w:val="008C19E6"/>
    <w:rsid w:val="008C3C24"/>
    <w:rsid w:val="008C73F9"/>
    <w:rsid w:val="008D3DE1"/>
    <w:rsid w:val="008D67DE"/>
    <w:rsid w:val="008E040C"/>
    <w:rsid w:val="008E2CED"/>
    <w:rsid w:val="008E3261"/>
    <w:rsid w:val="008E566A"/>
    <w:rsid w:val="008E74C7"/>
    <w:rsid w:val="008F77DA"/>
    <w:rsid w:val="009133C4"/>
    <w:rsid w:val="0091345F"/>
    <w:rsid w:val="00917E05"/>
    <w:rsid w:val="00922EBD"/>
    <w:rsid w:val="00926DD1"/>
    <w:rsid w:val="00930441"/>
    <w:rsid w:val="00933D1E"/>
    <w:rsid w:val="00935030"/>
    <w:rsid w:val="00936A3C"/>
    <w:rsid w:val="00950244"/>
    <w:rsid w:val="00957454"/>
    <w:rsid w:val="00961A15"/>
    <w:rsid w:val="009632A0"/>
    <w:rsid w:val="00971DF5"/>
    <w:rsid w:val="00973603"/>
    <w:rsid w:val="00977226"/>
    <w:rsid w:val="00981438"/>
    <w:rsid w:val="00984F03"/>
    <w:rsid w:val="00985E44"/>
    <w:rsid w:val="00987AD1"/>
    <w:rsid w:val="009938DF"/>
    <w:rsid w:val="0099499D"/>
    <w:rsid w:val="00996CAF"/>
    <w:rsid w:val="009B0AEF"/>
    <w:rsid w:val="009C6187"/>
    <w:rsid w:val="009D0112"/>
    <w:rsid w:val="009E405C"/>
    <w:rsid w:val="009E4288"/>
    <w:rsid w:val="009F0859"/>
    <w:rsid w:val="00A07A68"/>
    <w:rsid w:val="00A1219D"/>
    <w:rsid w:val="00A17C64"/>
    <w:rsid w:val="00A225F5"/>
    <w:rsid w:val="00A22E3C"/>
    <w:rsid w:val="00A35DC5"/>
    <w:rsid w:val="00A363E3"/>
    <w:rsid w:val="00A37951"/>
    <w:rsid w:val="00A4485D"/>
    <w:rsid w:val="00A45C52"/>
    <w:rsid w:val="00A54E1E"/>
    <w:rsid w:val="00A55064"/>
    <w:rsid w:val="00A6105D"/>
    <w:rsid w:val="00A62F19"/>
    <w:rsid w:val="00A76A07"/>
    <w:rsid w:val="00A76AE4"/>
    <w:rsid w:val="00A8210F"/>
    <w:rsid w:val="00A869A4"/>
    <w:rsid w:val="00A94BAF"/>
    <w:rsid w:val="00A9628B"/>
    <w:rsid w:val="00A970AB"/>
    <w:rsid w:val="00AB6A77"/>
    <w:rsid w:val="00AC109C"/>
    <w:rsid w:val="00AC46CC"/>
    <w:rsid w:val="00AE18A2"/>
    <w:rsid w:val="00AE72B1"/>
    <w:rsid w:val="00AF44F4"/>
    <w:rsid w:val="00AF6481"/>
    <w:rsid w:val="00B0011B"/>
    <w:rsid w:val="00B01CFC"/>
    <w:rsid w:val="00B03D60"/>
    <w:rsid w:val="00B03F29"/>
    <w:rsid w:val="00B11360"/>
    <w:rsid w:val="00B122C7"/>
    <w:rsid w:val="00B15D37"/>
    <w:rsid w:val="00B2543A"/>
    <w:rsid w:val="00B25564"/>
    <w:rsid w:val="00B27564"/>
    <w:rsid w:val="00B33823"/>
    <w:rsid w:val="00B556CC"/>
    <w:rsid w:val="00B57580"/>
    <w:rsid w:val="00B57A2B"/>
    <w:rsid w:val="00B65B89"/>
    <w:rsid w:val="00B749DD"/>
    <w:rsid w:val="00B8785A"/>
    <w:rsid w:val="00B90073"/>
    <w:rsid w:val="00B937D8"/>
    <w:rsid w:val="00B93C1F"/>
    <w:rsid w:val="00BA4836"/>
    <w:rsid w:val="00BB2215"/>
    <w:rsid w:val="00BB3A76"/>
    <w:rsid w:val="00BC2A5D"/>
    <w:rsid w:val="00BC4E37"/>
    <w:rsid w:val="00BD3CD1"/>
    <w:rsid w:val="00BE082C"/>
    <w:rsid w:val="00BE25A9"/>
    <w:rsid w:val="00BF0580"/>
    <w:rsid w:val="00BF0DA9"/>
    <w:rsid w:val="00BF31E1"/>
    <w:rsid w:val="00C05C30"/>
    <w:rsid w:val="00C11B59"/>
    <w:rsid w:val="00C12893"/>
    <w:rsid w:val="00C32179"/>
    <w:rsid w:val="00C3359D"/>
    <w:rsid w:val="00C36D46"/>
    <w:rsid w:val="00C40CCF"/>
    <w:rsid w:val="00C40FC6"/>
    <w:rsid w:val="00C41154"/>
    <w:rsid w:val="00C42990"/>
    <w:rsid w:val="00C4310D"/>
    <w:rsid w:val="00C441D6"/>
    <w:rsid w:val="00C47655"/>
    <w:rsid w:val="00C51B65"/>
    <w:rsid w:val="00C55A69"/>
    <w:rsid w:val="00C63045"/>
    <w:rsid w:val="00C73CB6"/>
    <w:rsid w:val="00C82ED5"/>
    <w:rsid w:val="00C84C20"/>
    <w:rsid w:val="00C9070A"/>
    <w:rsid w:val="00CA3987"/>
    <w:rsid w:val="00CA488C"/>
    <w:rsid w:val="00CB1853"/>
    <w:rsid w:val="00CB414B"/>
    <w:rsid w:val="00CB7AB9"/>
    <w:rsid w:val="00CC47C1"/>
    <w:rsid w:val="00CD046D"/>
    <w:rsid w:val="00CF1837"/>
    <w:rsid w:val="00D04523"/>
    <w:rsid w:val="00D11256"/>
    <w:rsid w:val="00D172E5"/>
    <w:rsid w:val="00D33FF2"/>
    <w:rsid w:val="00D35869"/>
    <w:rsid w:val="00D37984"/>
    <w:rsid w:val="00D470B7"/>
    <w:rsid w:val="00D60607"/>
    <w:rsid w:val="00D628BA"/>
    <w:rsid w:val="00D6475A"/>
    <w:rsid w:val="00D658A6"/>
    <w:rsid w:val="00D71254"/>
    <w:rsid w:val="00D77357"/>
    <w:rsid w:val="00D81021"/>
    <w:rsid w:val="00D81187"/>
    <w:rsid w:val="00DA5A20"/>
    <w:rsid w:val="00DA6248"/>
    <w:rsid w:val="00DA7178"/>
    <w:rsid w:val="00DB1A17"/>
    <w:rsid w:val="00DC15BB"/>
    <w:rsid w:val="00DD0BD9"/>
    <w:rsid w:val="00DE0CA1"/>
    <w:rsid w:val="00DE1026"/>
    <w:rsid w:val="00DE72D0"/>
    <w:rsid w:val="00DE7543"/>
    <w:rsid w:val="00DF4592"/>
    <w:rsid w:val="00DF4594"/>
    <w:rsid w:val="00E12E2C"/>
    <w:rsid w:val="00E13F8A"/>
    <w:rsid w:val="00E2035B"/>
    <w:rsid w:val="00E2053D"/>
    <w:rsid w:val="00E22C27"/>
    <w:rsid w:val="00E2705E"/>
    <w:rsid w:val="00E33F31"/>
    <w:rsid w:val="00E37CE6"/>
    <w:rsid w:val="00E42D0A"/>
    <w:rsid w:val="00E42D8F"/>
    <w:rsid w:val="00E51C37"/>
    <w:rsid w:val="00E5722D"/>
    <w:rsid w:val="00E62582"/>
    <w:rsid w:val="00E771EF"/>
    <w:rsid w:val="00E820FE"/>
    <w:rsid w:val="00E91BEA"/>
    <w:rsid w:val="00E93C83"/>
    <w:rsid w:val="00E93E12"/>
    <w:rsid w:val="00E95249"/>
    <w:rsid w:val="00E95E4E"/>
    <w:rsid w:val="00E9621C"/>
    <w:rsid w:val="00E96330"/>
    <w:rsid w:val="00EA110E"/>
    <w:rsid w:val="00EA186D"/>
    <w:rsid w:val="00EA548F"/>
    <w:rsid w:val="00EB201F"/>
    <w:rsid w:val="00EB34C5"/>
    <w:rsid w:val="00EB3B9A"/>
    <w:rsid w:val="00EB7071"/>
    <w:rsid w:val="00EC177B"/>
    <w:rsid w:val="00EC1AFB"/>
    <w:rsid w:val="00EC460B"/>
    <w:rsid w:val="00ED6A9F"/>
    <w:rsid w:val="00EE160E"/>
    <w:rsid w:val="00EE2207"/>
    <w:rsid w:val="00EE41C9"/>
    <w:rsid w:val="00EE67A8"/>
    <w:rsid w:val="00EF17E8"/>
    <w:rsid w:val="00EF3AB8"/>
    <w:rsid w:val="00F0050F"/>
    <w:rsid w:val="00F00ADB"/>
    <w:rsid w:val="00F07287"/>
    <w:rsid w:val="00F10125"/>
    <w:rsid w:val="00F1541D"/>
    <w:rsid w:val="00F162DD"/>
    <w:rsid w:val="00F20C4D"/>
    <w:rsid w:val="00F216B1"/>
    <w:rsid w:val="00F36C6F"/>
    <w:rsid w:val="00F4083D"/>
    <w:rsid w:val="00F40E7D"/>
    <w:rsid w:val="00F571DC"/>
    <w:rsid w:val="00F62DEA"/>
    <w:rsid w:val="00F804CE"/>
    <w:rsid w:val="00F82226"/>
    <w:rsid w:val="00F82AE7"/>
    <w:rsid w:val="00F83BA5"/>
    <w:rsid w:val="00F84EC1"/>
    <w:rsid w:val="00F87869"/>
    <w:rsid w:val="00F945CD"/>
    <w:rsid w:val="00F95F9A"/>
    <w:rsid w:val="00F97EF9"/>
    <w:rsid w:val="00FA6424"/>
    <w:rsid w:val="00FB741C"/>
    <w:rsid w:val="00FC0BAF"/>
    <w:rsid w:val="00FC72BC"/>
    <w:rsid w:val="00FD4CCC"/>
    <w:rsid w:val="00FD7ED8"/>
    <w:rsid w:val="00FE4570"/>
    <w:rsid w:val="00FE6DD9"/>
    <w:rsid w:val="00FF1083"/>
    <w:rsid w:val="00FF1802"/>
    <w:rsid w:val="00FF3045"/>
    <w:rsid w:val="00FF3BF8"/>
    <w:rsid w:val="00FF78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F1A7DD"/>
  <w15:chartTrackingRefBased/>
  <w15:docId w15:val="{AA62854B-3A21-4AC7-94A2-645FA8ED2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741C"/>
    <w:rPr>
      <w:color w:val="0000FF"/>
      <w:u w:val="single"/>
    </w:rPr>
  </w:style>
  <w:style w:type="character" w:styleId="UnresolvedMention">
    <w:name w:val="Unresolved Mention"/>
    <w:basedOn w:val="DefaultParagraphFont"/>
    <w:uiPriority w:val="99"/>
    <w:semiHidden/>
    <w:unhideWhenUsed/>
    <w:rsid w:val="009133C4"/>
    <w:rPr>
      <w:color w:val="605E5C"/>
      <w:shd w:val="clear" w:color="auto" w:fill="E1DFDD"/>
    </w:rPr>
  </w:style>
  <w:style w:type="character" w:styleId="FollowedHyperlink">
    <w:name w:val="FollowedHyperlink"/>
    <w:basedOn w:val="DefaultParagraphFont"/>
    <w:uiPriority w:val="99"/>
    <w:semiHidden/>
    <w:unhideWhenUsed/>
    <w:rsid w:val="006722C5"/>
    <w:rPr>
      <w:color w:val="954F72" w:themeColor="followedHyperlink"/>
      <w:u w:val="single"/>
    </w:rPr>
  </w:style>
  <w:style w:type="paragraph" w:styleId="FootnoteText">
    <w:name w:val="footnote text"/>
    <w:basedOn w:val="Normal"/>
    <w:link w:val="FootnoteTextChar"/>
    <w:uiPriority w:val="99"/>
    <w:semiHidden/>
    <w:unhideWhenUsed/>
    <w:rsid w:val="00B001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011B"/>
    <w:rPr>
      <w:sz w:val="20"/>
      <w:szCs w:val="20"/>
    </w:rPr>
  </w:style>
  <w:style w:type="character" w:styleId="FootnoteReference">
    <w:name w:val="footnote reference"/>
    <w:basedOn w:val="DefaultParagraphFont"/>
    <w:uiPriority w:val="99"/>
    <w:semiHidden/>
    <w:unhideWhenUsed/>
    <w:rsid w:val="00B0011B"/>
    <w:rPr>
      <w:vertAlign w:val="superscript"/>
    </w:rPr>
  </w:style>
  <w:style w:type="character" w:styleId="Emphasis">
    <w:name w:val="Emphasis"/>
    <w:basedOn w:val="DefaultParagraphFont"/>
    <w:uiPriority w:val="20"/>
    <w:qFormat/>
    <w:rsid w:val="00481FE5"/>
    <w:rPr>
      <w:i/>
      <w:iCs/>
    </w:rPr>
  </w:style>
  <w:style w:type="paragraph" w:styleId="Header">
    <w:name w:val="header"/>
    <w:basedOn w:val="Normal"/>
    <w:link w:val="HeaderChar"/>
    <w:uiPriority w:val="99"/>
    <w:unhideWhenUsed/>
    <w:rsid w:val="008845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451E"/>
  </w:style>
  <w:style w:type="paragraph" w:styleId="Footer">
    <w:name w:val="footer"/>
    <w:basedOn w:val="Normal"/>
    <w:link w:val="FooterChar"/>
    <w:uiPriority w:val="99"/>
    <w:unhideWhenUsed/>
    <w:rsid w:val="008845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4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linkedin.com/in/jenny-blain-9b50833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plato.stanford.edu/archives/sum2023/entries/derrida/" TargetMode="External"/><Relationship Id="rId4" Type="http://schemas.openxmlformats.org/officeDocument/2006/relationships/webSettings" Target="webSettings.xml"/><Relationship Id="rId9" Type="http://schemas.openxmlformats.org/officeDocument/2006/relationships/hyperlink" Target="https://contemporarylegend.org/prizes-and-awards/linda-degh-lifetime-achievement-awar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lato.stanford.edu/archives/sum2023/entries/derrida/" TargetMode="External"/><Relationship Id="rId2" Type="http://schemas.openxmlformats.org/officeDocument/2006/relationships/hyperlink" Target="https://contemporarylegend.org/prizes-and-awards/linda-degh-lifetime-achievement-award/" TargetMode="External"/><Relationship Id="rId1" Type="http://schemas.openxmlformats.org/officeDocument/2006/relationships/hyperlink" Target="https://uk.linkedin.com/in/jenny-blain-9b5083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C1763-426B-4C0E-8266-5DB909E14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9</Pages>
  <Words>3210</Words>
  <Characters>18301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blwr71@outlook.com</dc:creator>
  <cp:keywords/>
  <dc:description/>
  <cp:lastModifiedBy>Barbara Werther-Rosenow</cp:lastModifiedBy>
  <cp:revision>9</cp:revision>
  <dcterms:created xsi:type="dcterms:W3CDTF">2024-03-15T18:50:00Z</dcterms:created>
  <dcterms:modified xsi:type="dcterms:W3CDTF">2024-03-15T20:13:00Z</dcterms:modified>
</cp:coreProperties>
</file>