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D02CE" w:rsidRDefault="00DD02CE" w:rsidP="00DD02CE">
      <w:pPr>
        <w:spacing w:line="360" w:lineRule="auto"/>
        <w:jc w:val="both"/>
        <w:rPr>
          <w:rFonts w:ascii="Times New Roman" w:hAnsi="Times New Roman" w:cs="Times New Roman"/>
        </w:rPr>
      </w:pPr>
      <w:r w:rsidRPr="00DD02CE">
        <w:rPr>
          <w:rFonts w:ascii="Times New Roman" w:hAnsi="Times New Roman" w:cs="Times New Roman"/>
        </w:rPr>
        <w:t>Title: Critically review Lightbown, P.M. and Spada, N (2000) ‘ Factors Affecting Second Language Learning.  In Candlin, C. N and Mercer, N (2000) English Language Teaching in its Social Context, Routledge London.</w:t>
      </w:r>
    </w:p>
    <w:p w:rsidR="00DD02CE" w:rsidRPr="00DD02CE" w:rsidRDefault="00DD02CE" w:rsidP="00DD02CE">
      <w:pPr>
        <w:spacing w:line="360" w:lineRule="auto"/>
        <w:jc w:val="both"/>
        <w:rPr>
          <w:rFonts w:ascii="Times New Roman" w:hAnsi="Times New Roman" w:cs="Times New Roman"/>
        </w:rPr>
      </w:pPr>
      <w:r w:rsidRPr="00DD02CE">
        <w:rPr>
          <w:rFonts w:ascii="Times New Roman" w:hAnsi="Times New Roman" w:cs="Times New Roman"/>
        </w:rPr>
        <w:t>Lecturer: Dr Jessica Clapham</w:t>
      </w:r>
    </w:p>
    <w:p w:rsidR="00DD02CE" w:rsidRPr="00DD02CE" w:rsidRDefault="00DD02CE" w:rsidP="00DD02CE">
      <w:pPr>
        <w:spacing w:line="360" w:lineRule="auto"/>
        <w:jc w:val="both"/>
        <w:rPr>
          <w:rFonts w:ascii="Times New Roman" w:hAnsi="Times New Roman" w:cs="Times New Roman"/>
        </w:rPr>
      </w:pPr>
      <w:r w:rsidRPr="00DD02CE">
        <w:rPr>
          <w:rFonts w:ascii="Times New Roman" w:hAnsi="Times New Roman" w:cs="Times New Roman"/>
        </w:rPr>
        <w:t>Student Name: Galen Atanasov</w:t>
      </w:r>
    </w:p>
    <w:p w:rsidR="00DD02CE" w:rsidRPr="00DD02CE" w:rsidRDefault="00DD02CE" w:rsidP="00DD02CE">
      <w:pPr>
        <w:spacing w:line="360" w:lineRule="auto"/>
        <w:jc w:val="both"/>
        <w:rPr>
          <w:rFonts w:ascii="Times New Roman" w:hAnsi="Times New Roman" w:cs="Times New Roman"/>
        </w:rPr>
      </w:pPr>
      <w:r w:rsidRPr="00DD02CE">
        <w:rPr>
          <w:rFonts w:ascii="Times New Roman" w:hAnsi="Times New Roman" w:cs="Times New Roman"/>
        </w:rPr>
        <w:t>Student Number: 2212026</w:t>
      </w:r>
    </w:p>
    <w:p w:rsidR="00DD02CE" w:rsidRPr="00DD02CE" w:rsidRDefault="00DD02CE" w:rsidP="00DD02CE">
      <w:pPr>
        <w:spacing w:line="360" w:lineRule="auto"/>
        <w:jc w:val="both"/>
        <w:rPr>
          <w:rFonts w:ascii="Times New Roman" w:hAnsi="Times New Roman" w:cs="Times New Roman"/>
        </w:rPr>
      </w:pPr>
      <w:r w:rsidRPr="00DD02CE">
        <w:rPr>
          <w:rFonts w:ascii="Times New Roman" w:hAnsi="Times New Roman" w:cs="Times New Roman"/>
        </w:rPr>
        <w:t>Module: English Language Teacher Education 7005</w:t>
      </w:r>
    </w:p>
    <w:p w:rsidR="00DD02CE" w:rsidRPr="00DD02CE" w:rsidRDefault="00DD02CE" w:rsidP="00DD02CE">
      <w:pPr>
        <w:spacing w:line="360" w:lineRule="auto"/>
        <w:jc w:val="both"/>
        <w:rPr>
          <w:rFonts w:ascii="Times New Roman" w:hAnsi="Times New Roman" w:cs="Times New Roman"/>
        </w:rPr>
      </w:pPr>
      <w:r w:rsidRPr="00DD02CE">
        <w:rPr>
          <w:rFonts w:ascii="Times New Roman" w:hAnsi="Times New Roman" w:cs="Times New Roman"/>
        </w:rPr>
        <w:t>Wordcount: 1973</w:t>
      </w:r>
    </w:p>
    <w:p w:rsidR="00DD02CE" w:rsidRP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DD02CE" w:rsidRP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DD02CE" w:rsidRP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DD02CE" w:rsidRP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DD02CE" w:rsidRP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DD02CE" w:rsidRP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DD02CE" w:rsidRP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DD02CE" w:rsidRP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DD02CE" w:rsidRP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DD02CE" w:rsidRP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DD02CE" w:rsidRP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DD02CE" w:rsidRP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DD02CE" w:rsidRP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DD02CE" w:rsidRP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DD02CE" w:rsidRDefault="00DD02CE"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CC1A3A" w:rsidRPr="00CC1A3A" w:rsidRDefault="00CC1A3A"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lastRenderedPageBreak/>
        <w:t>Introduction</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Lightbown and Spada explore why second language (L2) outcomes differ so widely across learners and contexts, arguing that success cannot be explained by one variable alone but by an interaction of learner characteristics, learning conditions, and wider social factors (Lightbown and Spada, 2000). Their chapter is especially useful in TESOL because it links research findings to classroom realities: learners vary in aptitude, age, personality, and motivation, but teachers can still shape conditions that support engagement and progress (Lightbown and Spada, 2000).</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This essay provides (1) a brief overview of the key factors the authors discuss and (2) a focused, critical discussion of </w:t>
      </w:r>
      <w:r w:rsidRPr="00631A12">
        <w:rPr>
          <w:rFonts w:ascii="Times New Roman" w:eastAsia="Times New Roman" w:hAnsi="Times New Roman" w:cs="Times New Roman"/>
          <w:color w:val="000000"/>
          <w:kern w:val="0"/>
          <w:lang w:eastAsia="en-GB"/>
          <w14:ligatures w14:val="none"/>
        </w:rPr>
        <w:t>motivation and attitudes</w:t>
      </w:r>
      <w:r w:rsidRPr="00CC1A3A">
        <w:rPr>
          <w:rFonts w:ascii="Times New Roman" w:eastAsia="Times New Roman" w:hAnsi="Times New Roman" w:cs="Times New Roman"/>
          <w:color w:val="000000"/>
          <w:kern w:val="0"/>
          <w:lang w:eastAsia="en-GB"/>
          <w14:ligatures w14:val="none"/>
        </w:rPr>
        <w:t> as one factor in depth, drawing on relevant SLA/TESOL theory and research (Gardner, 1985; Crookes and Schmidt, 1991; Dörnyei, 2001; Ushioda, 2011).</w:t>
      </w:r>
    </w:p>
    <w:p w:rsidR="00CC1A3A" w:rsidRPr="00CC1A3A" w:rsidRDefault="00CC1A3A"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What second language learning involves</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Second language learning is not a single skill. “Proficiency” includes multiple dimensions—pronunciation, vocabulary, grammar, fluency, and pragmatic appropriacy—developing at different rates depending on the learner and the context (Ellis, 1994; Ortega, 2009). Many TESOL theories emphasise that learning is shaped by exposure and attention to form–meaning relationships (Schmidt, 1990), opportunities for interaction and feedback (Long, 1996), and the need to produce language to test and refine hypotheses (Swain, 1985). At the same time, affect and willingness to communicate can constrain participation, limiting access to interaction even when input exists (Krashen, 1982; MacIntyre et al., 1998). Lightbown and Spada’s central message is consistent with this broader picture: individual differences matter, but they operate through the learning opportunities learners actually take up (Lightbown and Spada, 2000).</w:t>
      </w:r>
    </w:p>
    <w:p w:rsidR="00CC1A3A" w:rsidRPr="00CC1A3A" w:rsidRDefault="00CC1A3A"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Overview of the factors in Lightbown and Spada (2000)</w:t>
      </w:r>
    </w:p>
    <w:p w:rsidR="00CC1A3A" w:rsidRPr="00CC1A3A" w:rsidRDefault="00CC1A3A" w:rsidP="00DD02CE">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1) Research on “good language learners” and individual differences</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 xml:space="preserve">The authors begin by noting popular beliefs about “good language learners” (e.g., taking risks, practising often, starting young) and then explain how research commonly links individual variables to proficiency through correlational designs (Lightbown and Spada, 2000). They emphasise recurring limitations: key constructs (like motivation) can be difficult to define and </w:t>
      </w:r>
      <w:r w:rsidRPr="00CC1A3A">
        <w:rPr>
          <w:rFonts w:ascii="Times New Roman" w:eastAsia="Times New Roman" w:hAnsi="Times New Roman" w:cs="Times New Roman"/>
          <w:color w:val="000000"/>
          <w:kern w:val="0"/>
          <w:lang w:eastAsia="en-GB"/>
          <w14:ligatures w14:val="none"/>
        </w:rPr>
        <w:lastRenderedPageBreak/>
        <w:t>measure consistently, and different tests capture different aspects of proficiency, which complicates interpretation (Lightbown and Spada, 2000; Ellis, 1994).</w:t>
      </w:r>
    </w:p>
    <w:p w:rsidR="00CC1A3A" w:rsidRPr="00CC1A3A" w:rsidRDefault="00CC1A3A" w:rsidP="00DD02CE">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2) Intelligence</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They suggest that intelligence (often measured as IQ) tends to predict success more reliably in analytic and literacy-oriented outcomes (reading, grammar, vocabulary) than in oral production, echoing work showing different relationships depending on how achievement is measured (Genesee, 1976; Lightbown and Spada, 2000). This supports a TESOL point that “success” is not unitary: learners can be communicatively effective without matching academic measures of accuracy (Ortega, 2009).</w:t>
      </w:r>
    </w:p>
    <w:p w:rsidR="00CC1A3A" w:rsidRPr="00CC1A3A" w:rsidRDefault="00CC1A3A" w:rsidP="00DD02CE">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3) Aptitude</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Aptitude is described as a cluster of abilities related to language learning (e.g., phonemic coding, grammatical sensitivity, memory), historically measured with tests such as the MLAT (Skehan, 1989; Lightbown and Spada, 2000). The chapter highlights that aptitude findings may depend on instructional conditions, raising the practical question of how far teaching can adapt to different learner profiles (Lightbown and Spada, 2000; Dörnyei, 2005).</w:t>
      </w:r>
    </w:p>
    <w:p w:rsidR="00CC1A3A" w:rsidRPr="00CC1A3A" w:rsidRDefault="00CC1A3A" w:rsidP="00DD02CE">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4) Personality</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The authors review personality factors (e.g., extroversion, inhibition, self-esteem) but treat evidence as mixed and context-dependent, partly because personality may influence participation in interaction more than it directly determines acquisition (Lightbown and Spada, 2000; MacIntyre et al., 1998). From a TESOL perspective, this is plausible: classroom norms and task design can increase or reduce the pressure of speaking, thereby shaping how personality is “expressed” in learning behaviour (Dörnyei, 2001).</w:t>
      </w:r>
    </w:p>
    <w:p w:rsidR="00CC1A3A" w:rsidRPr="00CC1A3A" w:rsidRDefault="00CC1A3A" w:rsidP="00DD02CE">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5) Motivation and attitudes</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 xml:space="preserve">Motivation and attitudes are presented as consistently associated with L2 achievement, while the authors remain cautious about causality and measurement (Gardner, 1985; Skehan, 1989; Lightbown and Spada, 2000). They refer to integrative and instrumental orientations (Gardner and Lambert, 1972) and emphasise that social relationships between language groups can shape learners’ attitudes and opportunities to use the L2 (Lightbown and Spada, 2000). They also </w:t>
      </w:r>
      <w:r w:rsidRPr="00CC1A3A">
        <w:rPr>
          <w:rFonts w:ascii="Times New Roman" w:eastAsia="Times New Roman" w:hAnsi="Times New Roman" w:cs="Times New Roman"/>
          <w:color w:val="000000"/>
          <w:kern w:val="0"/>
          <w:lang w:eastAsia="en-GB"/>
          <w14:ligatures w14:val="none"/>
        </w:rPr>
        <w:lastRenderedPageBreak/>
        <w:t>note that teachers often influence </w:t>
      </w:r>
      <w:r w:rsidRPr="00CC1A3A">
        <w:rPr>
          <w:rFonts w:ascii="Times New Roman" w:eastAsia="Times New Roman" w:hAnsi="Times New Roman" w:cs="Times New Roman"/>
          <w:b/>
          <w:bCs/>
          <w:color w:val="000000"/>
          <w:kern w:val="0"/>
          <w:lang w:eastAsia="en-GB"/>
          <w14:ligatures w14:val="none"/>
        </w:rPr>
        <w:t>classroom motivation</w:t>
      </w:r>
      <w:r w:rsidRPr="00CC1A3A">
        <w:rPr>
          <w:rFonts w:ascii="Times New Roman" w:eastAsia="Times New Roman" w:hAnsi="Times New Roman" w:cs="Times New Roman"/>
          <w:color w:val="000000"/>
          <w:kern w:val="0"/>
          <w:lang w:eastAsia="en-GB"/>
          <w14:ligatures w14:val="none"/>
        </w:rPr>
        <w:t> most directly through goals, meaningful tasks, and a supportive environment (Crookes and Schmidt, 1991; Lightbown and Spada, 2000).</w:t>
      </w:r>
    </w:p>
    <w:p w:rsidR="00CC1A3A" w:rsidRPr="00CC1A3A" w:rsidRDefault="00CC1A3A" w:rsidP="00DD02CE">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6) Learner preferences and beliefs</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The chapter discusses learner preferences and beliefs about learning (e.g., expectations about grammar instruction), warning against simplistic “learning style” matching while still recognising that beliefs can affect engagement and persistence (Lightbown and Spada, 2000). This aligns with TESOL work that treats learner agency and classroom culture as mediating how instruction is received (Ushioda, 2011).</w:t>
      </w:r>
    </w:p>
    <w:p w:rsidR="00CC1A3A" w:rsidRPr="00CC1A3A" w:rsidRDefault="00CC1A3A" w:rsidP="00DD02CE">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7) Age</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Age is reviewed through debates about the critical period, noting that younger starters are more likely to reach native-like pronunciation and some grammatical intuitions, while older learners may progress faster in early stages under certain conditions (Johnson and Newport, 1989; Snow and Hoefnagel-Höhle, 1978; Lightbown and Spada, 2000). The authors argue that age effects interact with exposure, goals, and learning settings, so policy claims such as “the younger, the better” require careful qualification (Lightbown and Spada, 2000; Ortega, 2009).</w:t>
      </w:r>
    </w:p>
    <w:p w:rsidR="00CC1A3A" w:rsidRPr="00CC1A3A" w:rsidRDefault="00CC1A3A"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One factor in depth: motivation and attitudes</w:t>
      </w:r>
    </w:p>
    <w:p w:rsidR="00CC1A3A" w:rsidRPr="00CC1A3A" w:rsidRDefault="00CC1A3A" w:rsidP="00DD02CE">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1) What the authors argue</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Lightbown and Spada treat motivation as a major predictor of L2 success but highlight that it is not straightforward: motivation may lead to more practice and engagement, yet successful learning can also increase motivation (Skehan, 1989; Lightbown and Spada, 2000). This matters for TESOL practice because it shifts the teacher’s focus from trying to “create motivation” as a personality trait to designing learning conditions that make participation likely and progress visible (Crookes and Schmidt, 1991; Dörnyei, 2001).</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 xml:space="preserve">They also connect motivation to social context. Learners’ attitudes toward the target language and its speakers may depend on status, power relations, and community experiences, which can either encourage or discourage investment in the language (Gardner, 1985; Lightbown and Spada, 2000; Ushioda, 2011). In TESOL, this is important because L2 learning often occurs in </w:t>
      </w:r>
      <w:r w:rsidRPr="00CC1A3A">
        <w:rPr>
          <w:rFonts w:ascii="Times New Roman" w:eastAsia="Times New Roman" w:hAnsi="Times New Roman" w:cs="Times New Roman"/>
          <w:color w:val="000000"/>
          <w:kern w:val="0"/>
          <w:lang w:eastAsia="en-GB"/>
          <w14:ligatures w14:val="none"/>
        </w:rPr>
        <w:lastRenderedPageBreak/>
        <w:t>multilingual classrooms where learners may have unequal access to valued identities and opportunities to speak.</w:t>
      </w:r>
    </w:p>
    <w:p w:rsidR="00CC1A3A" w:rsidRPr="00CC1A3A" w:rsidRDefault="00CC1A3A" w:rsidP="00DD02CE">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2) Evaluating the evidence: strengths and limits</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Research linking motivation to achievement has strong historical foundations, particularly in socio-educational approaches (Gardner, 1985; Gardner and Lambert, 1972). However, Lightbown and Spada’s caution is justified: motivational constructs are measured indirectly (often via questionnaires), and measures can blur internal desire with external opportunity (Lightbown and Spada, 2000). For example, learners who report high willingness to interact may do so because they already have social access to L2 communities; their “motivation” may reflect inclusion rather than purely individual drive (Ushioda, 2011). This is a key TESOL issue because language classrooms often include migrants or minority students who may be motivated instrumentally but constrained by anxiety, discrimination, or limited opportunities for meaningful interaction outside class.</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A second limitation concerns outcome measures. Motivation may correlate more strongly with communicative outcomes (fluency, interactional competence) than with controlled accuracy tests, since motivated learners might prioritise communicative success (MacIntyre et al., 1998; Ortega, 2009). This supports Lightbown and Spada’s insistence that findings depend on how “achievement” is defined (Lightbown and Spada, 2000).</w:t>
      </w:r>
    </w:p>
    <w:p w:rsidR="00CC1A3A" w:rsidRPr="00CC1A3A" w:rsidRDefault="00CC1A3A" w:rsidP="00DD02CE">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3) Linking motivation to module theory</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Many TESOL frameworks help explain </w:t>
      </w:r>
      <w:r w:rsidRPr="00CC1A3A">
        <w:rPr>
          <w:rFonts w:ascii="Times New Roman" w:eastAsia="Times New Roman" w:hAnsi="Times New Roman" w:cs="Times New Roman"/>
          <w:i/>
          <w:iCs/>
          <w:color w:val="000000"/>
          <w:kern w:val="0"/>
          <w:lang w:eastAsia="en-GB"/>
          <w14:ligatures w14:val="none"/>
        </w:rPr>
        <w:t>how</w:t>
      </w:r>
      <w:r w:rsidRPr="00CC1A3A">
        <w:rPr>
          <w:rFonts w:ascii="Times New Roman" w:eastAsia="Times New Roman" w:hAnsi="Times New Roman" w:cs="Times New Roman"/>
          <w:color w:val="000000"/>
          <w:kern w:val="0"/>
          <w:lang w:eastAsia="en-GB"/>
          <w14:ligatures w14:val="none"/>
        </w:rPr>
        <w:t> motivation relates to learning:</w:t>
      </w:r>
    </w:p>
    <w:p w:rsidR="00CC1A3A" w:rsidRPr="00CC1A3A" w:rsidRDefault="00CC1A3A" w:rsidP="00DD02CE">
      <w:pPr>
        <w:numPr>
          <w:ilvl w:val="0"/>
          <w:numId w:val="1"/>
        </w:num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Affect and participation.</w:t>
      </w:r>
      <w:r w:rsidRPr="00CC1A3A">
        <w:rPr>
          <w:rFonts w:ascii="Times New Roman" w:eastAsia="Times New Roman" w:hAnsi="Times New Roman" w:cs="Times New Roman"/>
          <w:color w:val="000000"/>
          <w:kern w:val="0"/>
          <w:lang w:eastAsia="en-GB"/>
          <w14:ligatures w14:val="none"/>
        </w:rPr>
        <w:t> Anxiety and low confidence can reduce participation, limiting access to interaction and feedback. This resonates with affective accounts that propose emotional barriers can restrict the uptake of input (Krashen, 1982) and with models where willingness to communicate depends on situational confidence and classroom climate (MacIntyre et al., 1998).</w:t>
      </w:r>
    </w:p>
    <w:p w:rsidR="00CC1A3A" w:rsidRPr="00CC1A3A" w:rsidRDefault="00CC1A3A" w:rsidP="00DD02CE">
      <w:pPr>
        <w:numPr>
          <w:ilvl w:val="0"/>
          <w:numId w:val="1"/>
        </w:num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Noticing and attention.</w:t>
      </w:r>
      <w:r w:rsidRPr="00CC1A3A">
        <w:rPr>
          <w:rFonts w:ascii="Times New Roman" w:eastAsia="Times New Roman" w:hAnsi="Times New Roman" w:cs="Times New Roman"/>
          <w:color w:val="000000"/>
          <w:kern w:val="0"/>
          <w:lang w:eastAsia="en-GB"/>
          <w14:ligatures w14:val="none"/>
        </w:rPr>
        <w:t> Even motivated learners need to attend to relevant features of input for development to occur. Noticing perspectives argue that attention to form is a necessary condition for certain aspects of acquisition (Schmidt, 1990). Motivation may increase attention and persistence, but it cannot replace the cognitive work of noticing.</w:t>
      </w:r>
    </w:p>
    <w:p w:rsidR="00CC1A3A" w:rsidRPr="00CC1A3A" w:rsidRDefault="00CC1A3A" w:rsidP="00DD02CE">
      <w:pPr>
        <w:numPr>
          <w:ilvl w:val="0"/>
          <w:numId w:val="1"/>
        </w:num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lastRenderedPageBreak/>
        <w:t>Interaction and feedback.</w:t>
      </w:r>
      <w:r w:rsidRPr="00CC1A3A">
        <w:rPr>
          <w:rFonts w:ascii="Times New Roman" w:eastAsia="Times New Roman" w:hAnsi="Times New Roman" w:cs="Times New Roman"/>
          <w:color w:val="000000"/>
          <w:kern w:val="0"/>
          <w:lang w:eastAsia="en-GB"/>
          <w14:ligatures w14:val="none"/>
        </w:rPr>
        <w:t> Interactionist perspectives argue that negotiation of meaning and feedback support development by making input comprehensible and pushing learners to modify output (Long, 1996). Motivation can increase learners’ willingness to engage in such interaction, but classroom structure determines how much interaction is actually possible.</w:t>
      </w:r>
    </w:p>
    <w:p w:rsidR="00CC1A3A" w:rsidRPr="00CC1A3A" w:rsidRDefault="00CC1A3A" w:rsidP="00DD02CE">
      <w:pPr>
        <w:numPr>
          <w:ilvl w:val="0"/>
          <w:numId w:val="1"/>
        </w:num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Output and language development.</w:t>
      </w:r>
      <w:r w:rsidRPr="00CC1A3A">
        <w:rPr>
          <w:rFonts w:ascii="Times New Roman" w:eastAsia="Times New Roman" w:hAnsi="Times New Roman" w:cs="Times New Roman"/>
          <w:color w:val="000000"/>
          <w:kern w:val="0"/>
          <w:lang w:eastAsia="en-GB"/>
          <w14:ligatures w14:val="none"/>
        </w:rPr>
        <w:t> Producing language can “push” learners to clarify meaning and refine form, which may support development (Swain, 1985). Motivated learners may attempt more output, but again the classroom must provide tasks that demand meaningful language use rather than mere display.</w:t>
      </w:r>
    </w:p>
    <w:p w:rsidR="00CC1A3A" w:rsidRPr="00CC1A3A" w:rsidRDefault="00CC1A3A" w:rsidP="00DD02CE">
      <w:pPr>
        <w:numPr>
          <w:ilvl w:val="0"/>
          <w:numId w:val="1"/>
        </w:num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Self-determination and autonomy.</w:t>
      </w:r>
      <w:r w:rsidRPr="00CC1A3A">
        <w:rPr>
          <w:rFonts w:ascii="Times New Roman" w:eastAsia="Times New Roman" w:hAnsi="Times New Roman" w:cs="Times New Roman"/>
          <w:color w:val="000000"/>
          <w:kern w:val="0"/>
          <w:lang w:eastAsia="en-GB"/>
          <w14:ligatures w14:val="none"/>
        </w:rPr>
        <w:t> Motivation is also shaped by autonomy, competence, and relatedness (Deci and Ryan, 1985; Ryan and Deci, 2000). This fits Lightbown and Spada’s pedagogic emphasis on supportive environments and meaningful goals (Lightbown and Spada, 2000), and it connects to TESOL views of motivation as dynamic and socially situated rather than fixed (Ushioda, 2011).</w:t>
      </w:r>
    </w:p>
    <w:p w:rsidR="00CC1A3A" w:rsidRPr="00CC1A3A" w:rsidRDefault="00CC1A3A" w:rsidP="00DD02CE">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4) Classroom motivation: what teachers can realistically influence</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Lightbown and Spada highlight that classroom motivation is an area where teachers can have tangible impact through task design, goals, and learning atmosphere (Crookes and Schmidt, 1991; Lightbown and Spada, 2000). Dörnyei similarly argues that teachers can influence motivation by creating a motivational classroom climate, increasing task value, and supporting learner autonomy (Dörnyei, 2001). Yet a critical point is that “motivating activities” are not universally motivating. Learners’ prior schooling and beliefs about legitimate learning can affect how they interpret communicative tasks, especially if they expect teacher-led grammar instruction (Lightbown and Spada, 2000; Ushioda, 2011). This implies that teachers may need to make task purposes explicit, show how activities connect to assessment or real-world goals, and provide structured support so communicative work feels purposeful rather than random (Dörnyei, 2001).</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In addition, motivation is shaped by perceived progress. If learners experience repeated failure or cannot see improvement, motivation can drop—supporting the idea of a reciprocal relationship between motivation and achievement (Skehan, 1989; Lightbown and Spada, 2000). TESOL practice therefore benefits from frequent formative feedback that helps learners attribute improvement to effective strategies and effort, strengthening perceived competence (Ryan and Deci, 2000).</w:t>
      </w:r>
    </w:p>
    <w:p w:rsidR="00CC1A3A" w:rsidRPr="00CC1A3A" w:rsidRDefault="00CC1A3A" w:rsidP="00DD02CE">
      <w:pPr>
        <w:spacing w:line="360" w:lineRule="auto"/>
        <w:jc w:val="both"/>
        <w:rPr>
          <w:rFonts w:ascii="Times New Roman" w:eastAsia="Times New Roman" w:hAnsi="Times New Roman" w:cs="Times New Roman"/>
          <w:kern w:val="0"/>
          <w:lang w:eastAsia="en-GB"/>
          <w14:ligatures w14:val="none"/>
        </w:rPr>
      </w:pPr>
    </w:p>
    <w:p w:rsidR="00CC1A3A" w:rsidRPr="00CC1A3A" w:rsidRDefault="00CC1A3A"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Overall critical response and key TESOL issues</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A major strength of the chapter is its refusal to treat any single factor as determinative. Instead, Lightbown and Spada present a nuanced account that warns against overgeneralisation and encourages practitioners to interpret research in light of context and measurement choices (Lightbown and Spada, 2000; Ellis, 1994). This is valuable in TESOL, where policies and popular discourse often oversimplify: for example, treating early start age as a guarantee of success, or assuming motivation is purely a learner trait (Johnson and Newport, 1989; Snow and Hoefnagel-Höhle, 1978; Lightbown and Spada, 2000).</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At the same time, the chapter could be read as somewhat “trait-centred” because several sections organise learners by relatively stable attributes (intelligence, aptitude, personality). Contemporary TESOL discussions often push further toward dynamic views of motivation, identity, and participation—seeing them as shaped by classroom relations and social opportunities, not merely carried into the classroom by the learner (Dörnyei, 2005; Ushioda, 2011). The chapter does acknowledge social factors, but the implications could be developed more explicitly for equity: learners’ access to interaction, acceptance, and legitimate participation can be uneven, affecting both motivation and learning opportunities (Long, 1996; MacIntyre et al., 1998; Ushioda, 2011).</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Key TESOL issues highlighted include how to define “success” beyond native-likeness, how classroom practices mediate individual differences, and how social context shapes attitudes, participation, and access to meaningful language use (Lightbown and Spada, 2000; Ortega, 2009).</w:t>
      </w:r>
    </w:p>
    <w:p w:rsidR="00CC1A3A" w:rsidRPr="00CC1A3A" w:rsidRDefault="00CC1A3A" w:rsidP="00DD02CE">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CC1A3A">
        <w:rPr>
          <w:rFonts w:ascii="Times New Roman" w:eastAsia="Times New Roman" w:hAnsi="Times New Roman" w:cs="Times New Roman"/>
          <w:b/>
          <w:bCs/>
          <w:color w:val="000000"/>
          <w:kern w:val="0"/>
          <w:lang w:eastAsia="en-GB"/>
          <w14:ligatures w14:val="none"/>
        </w:rPr>
        <w:t>Conclusion</w:t>
      </w:r>
    </w:p>
    <w:p w:rsidR="00CC1A3A" w:rsidRPr="00CC1A3A" w:rsidRDefault="00CC1A3A" w:rsidP="00DD02CE">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C1A3A">
        <w:rPr>
          <w:rFonts w:ascii="Times New Roman" w:eastAsia="Times New Roman" w:hAnsi="Times New Roman" w:cs="Times New Roman"/>
          <w:color w:val="000000"/>
          <w:kern w:val="0"/>
          <w:lang w:eastAsia="en-GB"/>
          <w14:ligatures w14:val="none"/>
        </w:rPr>
        <w:t xml:space="preserve">Lightbown and Spada provide a clear, research-informed overview of factors affecting second language learning, while consistently emphasising that findings depend on definitions, measures, and context (Lightbown and Spada, 2000). Focusing on motivation and attitudes shows why this factor remains central in TESOL: it relates strongly to engagement, persistence, and opportunities for interaction, yet it is also shaped by identity, social context, classroom ecology, and perceived progress (Gardner, 1985; Crookes and Schmidt, 1991; Dörnyei, 2001; </w:t>
      </w:r>
      <w:r w:rsidRPr="00CC1A3A">
        <w:rPr>
          <w:rFonts w:ascii="Times New Roman" w:eastAsia="Times New Roman" w:hAnsi="Times New Roman" w:cs="Times New Roman"/>
          <w:color w:val="000000"/>
          <w:kern w:val="0"/>
          <w:lang w:eastAsia="en-GB"/>
          <w14:ligatures w14:val="none"/>
        </w:rPr>
        <w:lastRenderedPageBreak/>
        <w:t>Ushioda, 2011). For practice, the most defensible conclusion is that teachers cannot “install” motivation as a trait, but they can create conditions that support autonomy, competence, belonging, and meaningful participation—thereby strengthening the motivation–learning relationship through sustained engagement (Ryan and Deci, 2000; Long, 1996; Lightbown and Spada, 2000).</w:t>
      </w:r>
    </w:p>
    <w:p w:rsidR="00D742FD" w:rsidRPr="00DD02CE" w:rsidRDefault="00D742FD"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631A12" w:rsidRDefault="00631A12" w:rsidP="00DD02CE">
      <w:pPr>
        <w:spacing w:line="360" w:lineRule="auto"/>
        <w:jc w:val="both"/>
        <w:rPr>
          <w:rFonts w:ascii="Times New Roman" w:eastAsia="Times New Roman" w:hAnsi="Times New Roman" w:cs="Times New Roman"/>
          <w:color w:val="000000"/>
          <w:kern w:val="0"/>
          <w:lang w:eastAsia="en-GB"/>
          <w14:ligatures w14:val="none"/>
        </w:rPr>
      </w:pPr>
    </w:p>
    <w:p w:rsidR="00631A12" w:rsidRDefault="00631A12" w:rsidP="00DD02CE">
      <w:pPr>
        <w:spacing w:line="360" w:lineRule="auto"/>
        <w:jc w:val="both"/>
        <w:rPr>
          <w:rFonts w:ascii="Times New Roman" w:eastAsia="Times New Roman" w:hAnsi="Times New Roman" w:cs="Times New Roman"/>
          <w:color w:val="000000"/>
          <w:kern w:val="0"/>
          <w:lang w:eastAsia="en-GB"/>
          <w14:ligatures w14:val="none"/>
        </w:rPr>
      </w:pPr>
    </w:p>
    <w:p w:rsidR="00631A12" w:rsidRDefault="00631A12" w:rsidP="00DD02CE">
      <w:pPr>
        <w:spacing w:line="360" w:lineRule="auto"/>
        <w:jc w:val="both"/>
        <w:rPr>
          <w:rFonts w:ascii="Times New Roman" w:eastAsia="Times New Roman" w:hAnsi="Times New Roman" w:cs="Times New Roman"/>
          <w:color w:val="000000"/>
          <w:kern w:val="0"/>
          <w:lang w:eastAsia="en-GB"/>
          <w14:ligatures w14:val="none"/>
        </w:rPr>
      </w:pPr>
    </w:p>
    <w:p w:rsidR="00631A12" w:rsidRDefault="00631A12" w:rsidP="00DD02CE">
      <w:pPr>
        <w:spacing w:line="360" w:lineRule="auto"/>
        <w:jc w:val="both"/>
        <w:rPr>
          <w:rFonts w:ascii="Times New Roman" w:eastAsia="Times New Roman" w:hAnsi="Times New Roman" w:cs="Times New Roman"/>
          <w:color w:val="000000"/>
          <w:kern w:val="0"/>
          <w:lang w:eastAsia="en-GB"/>
          <w14:ligatures w14:val="none"/>
        </w:rPr>
      </w:pPr>
    </w:p>
    <w:p w:rsidR="00631A12" w:rsidRDefault="00631A12" w:rsidP="00DD02CE">
      <w:pPr>
        <w:spacing w:line="360" w:lineRule="auto"/>
        <w:jc w:val="both"/>
        <w:rPr>
          <w:rFonts w:ascii="Times New Roman" w:eastAsia="Times New Roman" w:hAnsi="Times New Roman" w:cs="Times New Roman"/>
          <w:color w:val="000000"/>
          <w:kern w:val="0"/>
          <w:lang w:eastAsia="en-GB"/>
          <w14:ligatures w14:val="none"/>
        </w:rPr>
      </w:pPr>
    </w:p>
    <w:p w:rsidR="00631A12" w:rsidRDefault="00631A12" w:rsidP="00DD02CE">
      <w:pPr>
        <w:spacing w:line="360" w:lineRule="auto"/>
        <w:jc w:val="both"/>
        <w:rPr>
          <w:rFonts w:ascii="Times New Roman" w:eastAsia="Times New Roman" w:hAnsi="Times New Roman" w:cs="Times New Roman"/>
          <w:color w:val="000000"/>
          <w:kern w:val="0"/>
          <w:lang w:eastAsia="en-GB"/>
          <w14:ligatures w14:val="none"/>
        </w:rPr>
      </w:pPr>
    </w:p>
    <w:p w:rsidR="00631A12" w:rsidRDefault="00631A12" w:rsidP="00DD02CE">
      <w:pPr>
        <w:spacing w:line="360" w:lineRule="auto"/>
        <w:jc w:val="both"/>
        <w:rPr>
          <w:rFonts w:ascii="Times New Roman" w:eastAsia="Times New Roman" w:hAnsi="Times New Roman" w:cs="Times New Roman"/>
          <w:color w:val="000000"/>
          <w:kern w:val="0"/>
          <w:lang w:eastAsia="en-GB"/>
          <w14:ligatures w14:val="none"/>
        </w:rPr>
      </w:pPr>
    </w:p>
    <w:p w:rsidR="00631A12" w:rsidRDefault="00631A12" w:rsidP="00DD02CE">
      <w:pPr>
        <w:spacing w:line="360" w:lineRule="auto"/>
        <w:jc w:val="both"/>
        <w:rPr>
          <w:rFonts w:ascii="Times New Roman" w:eastAsia="Times New Roman" w:hAnsi="Times New Roman" w:cs="Times New Roman"/>
          <w:color w:val="000000"/>
          <w:kern w:val="0"/>
          <w:lang w:eastAsia="en-GB"/>
          <w14:ligatures w14:val="none"/>
        </w:rPr>
      </w:pPr>
    </w:p>
    <w:p w:rsidR="00631A12" w:rsidRDefault="00631A12" w:rsidP="00DD02CE">
      <w:pPr>
        <w:spacing w:line="360" w:lineRule="auto"/>
        <w:jc w:val="both"/>
        <w:rPr>
          <w:rFonts w:ascii="Times New Roman" w:eastAsia="Times New Roman" w:hAnsi="Times New Roman" w:cs="Times New Roman"/>
          <w:color w:val="000000"/>
          <w:kern w:val="0"/>
          <w:lang w:eastAsia="en-GB"/>
          <w14:ligatures w14:val="none"/>
        </w:rPr>
      </w:pPr>
    </w:p>
    <w:p w:rsidR="00631A12" w:rsidRDefault="00631A12" w:rsidP="00DD02CE">
      <w:pPr>
        <w:spacing w:line="360" w:lineRule="auto"/>
        <w:jc w:val="both"/>
        <w:rPr>
          <w:rFonts w:ascii="Times New Roman" w:eastAsia="Times New Roman" w:hAnsi="Times New Roman" w:cs="Times New Roman"/>
          <w:color w:val="000000"/>
          <w:kern w:val="0"/>
          <w:lang w:eastAsia="en-GB"/>
          <w14:ligatures w14:val="none"/>
        </w:rPr>
      </w:pPr>
    </w:p>
    <w:p w:rsidR="00631A12" w:rsidRDefault="00631A12" w:rsidP="00DD02CE">
      <w:pPr>
        <w:spacing w:line="360" w:lineRule="auto"/>
        <w:jc w:val="both"/>
        <w:rPr>
          <w:rFonts w:ascii="Times New Roman" w:eastAsia="Times New Roman" w:hAnsi="Times New Roman" w:cs="Times New Roman"/>
          <w:color w:val="000000"/>
          <w:kern w:val="0"/>
          <w:lang w:eastAsia="en-GB"/>
          <w14:ligatures w14:val="none"/>
        </w:rPr>
      </w:pPr>
    </w:p>
    <w:p w:rsidR="00631A12" w:rsidRDefault="00631A12" w:rsidP="00DD02CE">
      <w:pPr>
        <w:spacing w:line="360" w:lineRule="auto"/>
        <w:jc w:val="both"/>
        <w:rPr>
          <w:rFonts w:ascii="Times New Roman" w:eastAsia="Times New Roman" w:hAnsi="Times New Roman" w:cs="Times New Roman"/>
          <w:color w:val="000000"/>
          <w:kern w:val="0"/>
          <w:lang w:eastAsia="en-GB"/>
          <w14:ligatures w14:val="none"/>
        </w:rPr>
      </w:pP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r w:rsidRPr="00DD02CE">
        <w:rPr>
          <w:rFonts w:ascii="Times New Roman" w:eastAsia="Times New Roman" w:hAnsi="Times New Roman" w:cs="Times New Roman"/>
          <w:color w:val="000000"/>
          <w:kern w:val="0"/>
          <w:lang w:eastAsia="en-GB"/>
          <w14:ligatures w14:val="none"/>
        </w:rPr>
        <w:lastRenderedPageBreak/>
        <w:t>References:</w:t>
      </w:r>
    </w:p>
    <w:p w:rsidR="00CC1A3A" w:rsidRPr="00DD02CE" w:rsidRDefault="00CC1A3A" w:rsidP="00DD02CE">
      <w:pPr>
        <w:spacing w:line="360" w:lineRule="auto"/>
        <w:jc w:val="both"/>
        <w:rPr>
          <w:rFonts w:ascii="Times New Roman" w:eastAsia="Times New Roman" w:hAnsi="Times New Roman" w:cs="Times New Roman"/>
          <w:color w:val="000000"/>
          <w:kern w:val="0"/>
          <w:lang w:eastAsia="en-GB"/>
          <w14:ligatures w14:val="none"/>
        </w:rPr>
      </w:pPr>
    </w:p>
    <w:p w:rsidR="006F1484" w:rsidRPr="00DD02CE" w:rsidRDefault="006F1484" w:rsidP="00DD02CE">
      <w:pPr>
        <w:pStyle w:val="NormalWeb"/>
        <w:spacing w:line="360" w:lineRule="auto"/>
        <w:jc w:val="both"/>
      </w:pPr>
      <w:r w:rsidRPr="00DD02CE">
        <w:rPr>
          <w:rStyle w:val="Strong"/>
        </w:rPr>
        <w:t>Crookes, G. and Schmidt, R.W. (1991)</w:t>
      </w:r>
      <w:r w:rsidRPr="00DD02CE">
        <w:t>. Motivation: Reopening the Research Agenda.</w:t>
      </w:r>
      <w:r w:rsidRPr="00DD02CE">
        <w:rPr>
          <w:rStyle w:val="apple-converted-space"/>
        </w:rPr>
        <w:t> </w:t>
      </w:r>
      <w:r w:rsidRPr="00DD02CE">
        <w:rPr>
          <w:rStyle w:val="Emphasis"/>
        </w:rPr>
        <w:t>Language Learning</w:t>
      </w:r>
      <w:r w:rsidRPr="00DD02CE">
        <w:t>, 41(4), 469–512.</w:t>
      </w:r>
      <w:r w:rsidRPr="00DD02CE">
        <w:rPr>
          <w:rStyle w:val="apple-converted-space"/>
        </w:rPr>
        <w:t> </w:t>
      </w:r>
      <w:hyperlink r:id="rId5" w:tgtFrame="_new" w:history="1">
        <w:r w:rsidRPr="00DD02CE">
          <w:rPr>
            <w:rStyle w:val="Hyperlink"/>
          </w:rPr>
          <w:t>https://onlinelibrary.wiley.com/doi/abs/10.1111/j.1467-17</w:t>
        </w:r>
        <w:r w:rsidRPr="00DD02CE">
          <w:rPr>
            <w:rStyle w:val="Hyperlink"/>
          </w:rPr>
          <w:t>7</w:t>
        </w:r>
        <w:r w:rsidRPr="00DD02CE">
          <w:rPr>
            <w:rStyle w:val="Hyperlink"/>
          </w:rPr>
          <w:t>0.1991.tb00690.x</w:t>
        </w:r>
      </w:hyperlink>
    </w:p>
    <w:p w:rsidR="006F1484" w:rsidRPr="00DD02CE" w:rsidRDefault="006F1484" w:rsidP="00DD02CE">
      <w:pPr>
        <w:pStyle w:val="NormalWeb"/>
        <w:spacing w:line="360" w:lineRule="auto"/>
        <w:jc w:val="both"/>
      </w:pPr>
      <w:r w:rsidRPr="00DD02CE">
        <w:rPr>
          <w:rStyle w:val="Strong"/>
        </w:rPr>
        <w:t>Deci, E.L. and Ryan, R.M. (1985)</w:t>
      </w:r>
      <w:r w:rsidRPr="00DD02CE">
        <w:t>.</w:t>
      </w:r>
      <w:r w:rsidRPr="00DD02CE">
        <w:rPr>
          <w:rStyle w:val="apple-converted-space"/>
        </w:rPr>
        <w:t> </w:t>
      </w:r>
      <w:r w:rsidRPr="00DD02CE">
        <w:rPr>
          <w:rStyle w:val="Emphasis"/>
        </w:rPr>
        <w:t>Intrinsic Motivation and Self-Determination in Human Behavior</w:t>
      </w:r>
      <w:r w:rsidRPr="00DD02CE">
        <w:t>. New York: Plenum/Springer.</w:t>
      </w:r>
      <w:r w:rsidRPr="00DD02CE">
        <w:rPr>
          <w:rStyle w:val="apple-converted-space"/>
        </w:rPr>
        <w:t> </w:t>
      </w:r>
      <w:hyperlink r:id="rId6" w:tgtFrame="_new" w:history="1">
        <w:r w:rsidRPr="00DD02CE">
          <w:rPr>
            <w:rStyle w:val="Hyperlink"/>
          </w:rPr>
          <w:t>https://link.springer.com/boo</w:t>
        </w:r>
        <w:r w:rsidRPr="00DD02CE">
          <w:rPr>
            <w:rStyle w:val="Hyperlink"/>
          </w:rPr>
          <w:t>k</w:t>
        </w:r>
        <w:r w:rsidRPr="00DD02CE">
          <w:rPr>
            <w:rStyle w:val="Hyperlink"/>
          </w:rPr>
          <w:t>/10.1007/978-1-4899-2271-7</w:t>
        </w:r>
      </w:hyperlink>
    </w:p>
    <w:p w:rsidR="006F1484" w:rsidRPr="00DD02CE" w:rsidRDefault="006F1484" w:rsidP="00DD02CE">
      <w:pPr>
        <w:pStyle w:val="NormalWeb"/>
        <w:spacing w:line="360" w:lineRule="auto"/>
        <w:jc w:val="both"/>
      </w:pPr>
      <w:r w:rsidRPr="00DD02CE">
        <w:rPr>
          <w:rStyle w:val="Strong"/>
        </w:rPr>
        <w:t>Dörnyei, Z. (2001)</w:t>
      </w:r>
      <w:r w:rsidRPr="00DD02CE">
        <w:t>.</w:t>
      </w:r>
      <w:r w:rsidRPr="00DD02CE">
        <w:rPr>
          <w:rStyle w:val="apple-converted-space"/>
        </w:rPr>
        <w:t> </w:t>
      </w:r>
      <w:r w:rsidRPr="00DD02CE">
        <w:rPr>
          <w:rStyle w:val="Emphasis"/>
        </w:rPr>
        <w:t>Teaching and Researching Motivation</w:t>
      </w:r>
      <w:r w:rsidRPr="00DD02CE">
        <w:t>. Harlow: Longman/Pearson.</w:t>
      </w:r>
      <w:r w:rsidRPr="00DD02CE">
        <w:rPr>
          <w:rStyle w:val="apple-converted-space"/>
        </w:rPr>
        <w:t> </w:t>
      </w:r>
      <w:r w:rsidRPr="00DD02CE">
        <w:t>https://books.google.com/books?id=KUPx7-bPJaAC</w:t>
      </w:r>
    </w:p>
    <w:p w:rsidR="006F1484" w:rsidRPr="00DD02CE" w:rsidRDefault="006F1484" w:rsidP="00DD02CE">
      <w:pPr>
        <w:pStyle w:val="NormalWeb"/>
        <w:spacing w:line="360" w:lineRule="auto"/>
        <w:jc w:val="both"/>
      </w:pPr>
      <w:r w:rsidRPr="00DD02CE">
        <w:rPr>
          <w:rStyle w:val="Strong"/>
        </w:rPr>
        <w:t>Dörnyei, Z. (2005)</w:t>
      </w:r>
      <w:r w:rsidRPr="00DD02CE">
        <w:t>.</w:t>
      </w:r>
      <w:r w:rsidRPr="00DD02CE">
        <w:rPr>
          <w:rStyle w:val="apple-converted-space"/>
        </w:rPr>
        <w:t> </w:t>
      </w:r>
      <w:r w:rsidRPr="00DD02CE">
        <w:rPr>
          <w:rStyle w:val="Emphasis"/>
        </w:rPr>
        <w:t>The Psychology of the Language Learner: Individual Differences in Second Language Acquisition</w:t>
      </w:r>
      <w:r w:rsidRPr="00DD02CE">
        <w:t>. Mahwah, NJ: Lawrence Erlbaum.</w:t>
      </w:r>
      <w:r w:rsidRPr="00DD02CE">
        <w:rPr>
          <w:rStyle w:val="apple-converted-space"/>
        </w:rPr>
        <w:t> </w:t>
      </w:r>
      <w:hyperlink r:id="rId7" w:tgtFrame="_new" w:history="1">
        <w:r w:rsidRPr="00DD02CE">
          <w:rPr>
            <w:rStyle w:val="Hyperlink"/>
          </w:rPr>
          <w:t>https://www.routledge.com/The-Psychology</w:t>
        </w:r>
        <w:r w:rsidRPr="00DD02CE">
          <w:rPr>
            <w:rStyle w:val="Hyperlink"/>
          </w:rPr>
          <w:t>-</w:t>
        </w:r>
        <w:r w:rsidRPr="00DD02CE">
          <w:rPr>
            <w:rStyle w:val="Hyperlink"/>
          </w:rPr>
          <w:t>of-the-Language-Learner-Individual-Differences-in-Second-Language-Acquisition/Dornyei/p/book/9780805860184</w:t>
        </w:r>
      </w:hyperlink>
    </w:p>
    <w:p w:rsidR="006F1484" w:rsidRPr="00DD02CE" w:rsidRDefault="006F1484" w:rsidP="00DD02CE">
      <w:pPr>
        <w:pStyle w:val="NormalWeb"/>
        <w:spacing w:line="360" w:lineRule="auto"/>
        <w:jc w:val="both"/>
      </w:pPr>
      <w:r w:rsidRPr="00DD02CE">
        <w:rPr>
          <w:rStyle w:val="Strong"/>
        </w:rPr>
        <w:t>Ellis, R. (1994)</w:t>
      </w:r>
      <w:r w:rsidRPr="00DD02CE">
        <w:t>.</w:t>
      </w:r>
      <w:r w:rsidRPr="00DD02CE">
        <w:rPr>
          <w:rStyle w:val="apple-converted-space"/>
        </w:rPr>
        <w:t> </w:t>
      </w:r>
      <w:r w:rsidRPr="00DD02CE">
        <w:rPr>
          <w:rStyle w:val="Emphasis"/>
        </w:rPr>
        <w:t>The Study of Second Language Acquisition</w:t>
      </w:r>
      <w:r w:rsidRPr="00DD02CE">
        <w:t>. Oxford: Oxford University Press.</w:t>
      </w:r>
      <w:r w:rsidRPr="00DD02CE">
        <w:rPr>
          <w:rStyle w:val="apple-converted-space"/>
        </w:rPr>
        <w:t> </w:t>
      </w:r>
      <w:hyperlink r:id="rId8" w:tgtFrame="_new" w:history="1">
        <w:r w:rsidRPr="00DD02CE">
          <w:rPr>
            <w:rStyle w:val="Hyperlink"/>
          </w:rPr>
          <w:t>https://archive.org/details/studyofsecond</w:t>
        </w:r>
        <w:r w:rsidRPr="00DD02CE">
          <w:rPr>
            <w:rStyle w:val="Hyperlink"/>
          </w:rPr>
          <w:t>l</w:t>
        </w:r>
        <w:r w:rsidRPr="00DD02CE">
          <w:rPr>
            <w:rStyle w:val="Hyperlink"/>
          </w:rPr>
          <w:t>an0000elli</w:t>
        </w:r>
      </w:hyperlink>
    </w:p>
    <w:p w:rsidR="006F1484" w:rsidRPr="00DD02CE" w:rsidRDefault="006F1484" w:rsidP="00DD02CE">
      <w:pPr>
        <w:pStyle w:val="NormalWeb"/>
        <w:spacing w:line="360" w:lineRule="auto"/>
        <w:jc w:val="both"/>
      </w:pPr>
      <w:r w:rsidRPr="00DD02CE">
        <w:rPr>
          <w:rStyle w:val="Strong"/>
        </w:rPr>
        <w:t>Gardner, R.C. (1985)</w:t>
      </w:r>
      <w:r w:rsidRPr="00DD02CE">
        <w:t>.</w:t>
      </w:r>
      <w:r w:rsidRPr="00DD02CE">
        <w:rPr>
          <w:rStyle w:val="apple-converted-space"/>
        </w:rPr>
        <w:t> </w:t>
      </w:r>
      <w:r w:rsidRPr="00DD02CE">
        <w:rPr>
          <w:rStyle w:val="Emphasis"/>
        </w:rPr>
        <w:t>Social Psychology and Second Language Learning: The Role of Attitudes and Motivation</w:t>
      </w:r>
      <w:r w:rsidRPr="00DD02CE">
        <w:t>. London: Edward Arnold.</w:t>
      </w:r>
      <w:r w:rsidRPr="00DD02CE">
        <w:rPr>
          <w:rStyle w:val="apple-converted-space"/>
        </w:rPr>
        <w:t> </w:t>
      </w:r>
      <w:r w:rsidRPr="00DD02CE">
        <w:t>https://books.google.com/books?id=VcBitAEACAAJ</w:t>
      </w:r>
    </w:p>
    <w:p w:rsidR="006F1484" w:rsidRPr="00DD02CE" w:rsidRDefault="006F1484" w:rsidP="00DD02CE">
      <w:pPr>
        <w:pStyle w:val="NormalWeb"/>
        <w:spacing w:line="360" w:lineRule="auto"/>
        <w:jc w:val="both"/>
      </w:pPr>
      <w:r w:rsidRPr="00DD02CE">
        <w:rPr>
          <w:rStyle w:val="Strong"/>
        </w:rPr>
        <w:t>Gardner, R.C. and Lambert, W.E. (1972)</w:t>
      </w:r>
      <w:r w:rsidRPr="00DD02CE">
        <w:t>.</w:t>
      </w:r>
      <w:r w:rsidRPr="00DD02CE">
        <w:rPr>
          <w:rStyle w:val="apple-converted-space"/>
        </w:rPr>
        <w:t> </w:t>
      </w:r>
      <w:r w:rsidRPr="00DD02CE">
        <w:rPr>
          <w:rStyle w:val="Emphasis"/>
        </w:rPr>
        <w:t>Attitudes and Motivation in Second Language Learning</w:t>
      </w:r>
      <w:r w:rsidRPr="00DD02CE">
        <w:t>. Rowley, MA: Newbury House.</w:t>
      </w:r>
      <w:r w:rsidRPr="00DD02CE">
        <w:rPr>
          <w:rStyle w:val="apple-converted-space"/>
        </w:rPr>
        <w:t> </w:t>
      </w:r>
      <w:r w:rsidRPr="00DD02CE">
        <w:t>https://books.google.com/books?id=tQLmAAAAIAAJ</w:t>
      </w:r>
    </w:p>
    <w:p w:rsidR="006F1484" w:rsidRPr="00DD02CE" w:rsidRDefault="006F1484" w:rsidP="00DD02CE">
      <w:pPr>
        <w:pStyle w:val="NormalWeb"/>
        <w:spacing w:line="360" w:lineRule="auto"/>
        <w:jc w:val="both"/>
      </w:pPr>
      <w:r w:rsidRPr="00DD02CE">
        <w:rPr>
          <w:rStyle w:val="Strong"/>
        </w:rPr>
        <w:t>Genesee, F. (1976)</w:t>
      </w:r>
      <w:r w:rsidRPr="00DD02CE">
        <w:t>. The Role of Intelligence in Second Language Learning.</w:t>
      </w:r>
      <w:r w:rsidRPr="00DD02CE">
        <w:rPr>
          <w:rStyle w:val="apple-converted-space"/>
        </w:rPr>
        <w:t> </w:t>
      </w:r>
      <w:r w:rsidRPr="00DD02CE">
        <w:rPr>
          <w:rStyle w:val="Emphasis"/>
        </w:rPr>
        <w:t>Language Learning</w:t>
      </w:r>
      <w:r w:rsidRPr="00DD02CE">
        <w:t>, 26(2), 267–280.</w:t>
      </w:r>
      <w:r w:rsidRPr="00DD02CE">
        <w:rPr>
          <w:rStyle w:val="apple-converted-space"/>
        </w:rPr>
        <w:t> </w:t>
      </w:r>
      <w:r w:rsidRPr="00DD02CE">
        <w:t xml:space="preserve"> </w:t>
      </w:r>
    </w:p>
    <w:p w:rsidR="006F1484" w:rsidRPr="00DD02CE" w:rsidRDefault="006F1484" w:rsidP="00DD02CE">
      <w:pPr>
        <w:pStyle w:val="NormalWeb"/>
        <w:spacing w:line="360" w:lineRule="auto"/>
        <w:jc w:val="both"/>
      </w:pPr>
      <w:r w:rsidRPr="00DD02CE">
        <w:rPr>
          <w:rStyle w:val="Strong"/>
        </w:rPr>
        <w:t>Johnson, J.S. and Newport, E.L. (1989)</w:t>
      </w:r>
      <w:r w:rsidRPr="00DD02CE">
        <w:t xml:space="preserve">. Critical period effects in second language learning: The influence of maturational state on the acquisition of English as a second </w:t>
      </w:r>
      <w:r w:rsidRPr="00DD02CE">
        <w:lastRenderedPageBreak/>
        <w:t>language.</w:t>
      </w:r>
      <w:r w:rsidRPr="00DD02CE">
        <w:rPr>
          <w:rStyle w:val="apple-converted-space"/>
        </w:rPr>
        <w:t> </w:t>
      </w:r>
      <w:r w:rsidRPr="00DD02CE">
        <w:rPr>
          <w:rStyle w:val="Emphasis"/>
        </w:rPr>
        <w:t>Cognitive Psychology</w:t>
      </w:r>
      <w:r w:rsidRPr="00DD02CE">
        <w:t>, 21(1), 60–99.</w:t>
      </w:r>
      <w:r w:rsidRPr="00DD02CE">
        <w:rPr>
          <w:rStyle w:val="apple-converted-space"/>
        </w:rPr>
        <w:t> </w:t>
      </w:r>
      <w:r w:rsidRPr="00631A12">
        <w:rPr>
          <w:rStyle w:val="apple-converted-space"/>
        </w:rPr>
        <w:t>https://www.sciencedirect.com/science/article/abs/pii/0010028589900030?utm_source</w:t>
      </w:r>
    </w:p>
    <w:p w:rsidR="006F1484" w:rsidRPr="00DD02CE" w:rsidRDefault="006F1484" w:rsidP="00DD02CE">
      <w:pPr>
        <w:pStyle w:val="NormalWeb"/>
        <w:spacing w:line="360" w:lineRule="auto"/>
        <w:jc w:val="both"/>
      </w:pPr>
      <w:r w:rsidRPr="00DD02CE">
        <w:rPr>
          <w:rStyle w:val="Strong"/>
        </w:rPr>
        <w:t>Krashen, S.D. (1982)</w:t>
      </w:r>
      <w:r w:rsidRPr="00DD02CE">
        <w:t>.</w:t>
      </w:r>
      <w:r w:rsidRPr="00DD02CE">
        <w:rPr>
          <w:rStyle w:val="apple-converted-space"/>
        </w:rPr>
        <w:t> </w:t>
      </w:r>
      <w:r w:rsidRPr="00DD02CE">
        <w:rPr>
          <w:rStyle w:val="Emphasis"/>
        </w:rPr>
        <w:t>Principles and Practice in Second Language Acquisition</w:t>
      </w:r>
      <w:r w:rsidRPr="00DD02CE">
        <w:t>. Oxford: Pergamon.</w:t>
      </w:r>
      <w:r w:rsidRPr="00DD02CE">
        <w:rPr>
          <w:rStyle w:val="apple-converted-space"/>
        </w:rPr>
        <w:t> </w:t>
      </w:r>
      <w:hyperlink r:id="rId9" w:tgtFrame="_new" w:history="1">
        <w:r w:rsidRPr="00DD02CE">
          <w:rPr>
            <w:rStyle w:val="Hyperlink"/>
          </w:rPr>
          <w:t>https://www.sdkrashen.com/content/books/principles_and</w:t>
        </w:r>
        <w:r w:rsidRPr="00DD02CE">
          <w:rPr>
            <w:rStyle w:val="Hyperlink"/>
          </w:rPr>
          <w:t>_</w:t>
        </w:r>
        <w:r w:rsidRPr="00DD02CE">
          <w:rPr>
            <w:rStyle w:val="Hyperlink"/>
          </w:rPr>
          <w:t>practice.pdf</w:t>
        </w:r>
      </w:hyperlink>
    </w:p>
    <w:p w:rsidR="006F1484" w:rsidRPr="00DD02CE" w:rsidRDefault="006F1484" w:rsidP="00DD02CE">
      <w:pPr>
        <w:pStyle w:val="NormalWeb"/>
        <w:spacing w:line="360" w:lineRule="auto"/>
        <w:jc w:val="both"/>
      </w:pPr>
      <w:r w:rsidRPr="00DD02CE">
        <w:rPr>
          <w:rStyle w:val="Strong"/>
        </w:rPr>
        <w:t>Lightbown, P.M. and Spada, N. (2000)</w:t>
      </w:r>
      <w:r w:rsidRPr="00DD02CE">
        <w:t>. Factors Affecting Second Language Learning. In: Candlin, C.N. and Mercer, N. (eds)</w:t>
      </w:r>
      <w:r w:rsidRPr="00DD02CE">
        <w:rPr>
          <w:rStyle w:val="apple-converted-space"/>
        </w:rPr>
        <w:t> </w:t>
      </w:r>
      <w:r w:rsidRPr="00DD02CE">
        <w:rPr>
          <w:rStyle w:val="Emphasis"/>
        </w:rPr>
        <w:t>English Language Teaching in its Social Context</w:t>
      </w:r>
      <w:r w:rsidRPr="00DD02CE">
        <w:t>. London: Routledge.</w:t>
      </w:r>
      <w:r w:rsidRPr="00DD02CE">
        <w:rPr>
          <w:rStyle w:val="apple-converted-space"/>
        </w:rPr>
        <w:t> </w:t>
      </w:r>
    </w:p>
    <w:p w:rsidR="006F1484" w:rsidRPr="00DD02CE" w:rsidRDefault="006F1484" w:rsidP="00DD02CE">
      <w:pPr>
        <w:pStyle w:val="NormalWeb"/>
        <w:spacing w:line="360" w:lineRule="auto"/>
        <w:jc w:val="both"/>
      </w:pPr>
      <w:r w:rsidRPr="00DD02CE">
        <w:rPr>
          <w:rStyle w:val="Strong"/>
        </w:rPr>
        <w:t>Long, M.H. (1996)</w:t>
      </w:r>
      <w:r w:rsidRPr="00DD02CE">
        <w:t>. The role of the linguistic environment in second language acquisition. In: Ritchie, W.C. and Bhatia, T.K. (eds)</w:t>
      </w:r>
      <w:r w:rsidRPr="00DD02CE">
        <w:rPr>
          <w:rStyle w:val="apple-converted-space"/>
        </w:rPr>
        <w:t> </w:t>
      </w:r>
      <w:r w:rsidRPr="00DD02CE">
        <w:rPr>
          <w:rStyle w:val="Emphasis"/>
        </w:rPr>
        <w:t>Handbook of Second Language Acquisition</w:t>
      </w:r>
      <w:r w:rsidRPr="00DD02CE">
        <w:t>. San Diego, CA: Academic Press. (Commonly accessed chapter PDF)</w:t>
      </w:r>
      <w:r w:rsidRPr="00DD02CE">
        <w:rPr>
          <w:rStyle w:val="apple-converted-space"/>
        </w:rPr>
        <w:t> </w:t>
      </w:r>
      <w:hyperlink r:id="rId10" w:tgtFrame="_new" w:history="1">
        <w:r w:rsidRPr="00DD02CE">
          <w:rPr>
            <w:rStyle w:val="Hyperlink"/>
          </w:rPr>
          <w:t>https://www.library.brawnblog.com/Long1996-Ling%2</w:t>
        </w:r>
        <w:r w:rsidRPr="00DD02CE">
          <w:rPr>
            <w:rStyle w:val="Hyperlink"/>
          </w:rPr>
          <w:t>0</w:t>
        </w:r>
        <w:r w:rsidRPr="00DD02CE">
          <w:rPr>
            <w:rStyle w:val="Hyperlink"/>
          </w:rPr>
          <w:t>Env%20L2%20Acq.pdf</w:t>
        </w:r>
      </w:hyperlink>
    </w:p>
    <w:p w:rsidR="006F1484" w:rsidRPr="00DD02CE" w:rsidRDefault="006F1484" w:rsidP="00DD02CE">
      <w:pPr>
        <w:pStyle w:val="NormalWeb"/>
        <w:spacing w:line="360" w:lineRule="auto"/>
        <w:jc w:val="both"/>
      </w:pPr>
      <w:r w:rsidRPr="00DD02CE">
        <w:rPr>
          <w:rStyle w:val="Strong"/>
        </w:rPr>
        <w:t>MacIntyre, P.D., Dörnyei, Z., Clément, R. and Noels, K.A. (1998)</w:t>
      </w:r>
      <w:r w:rsidRPr="00DD02CE">
        <w:t>. Conceptualizing Willingness to Communicate in a L2: A Situational Model of L2 Confidence and Affiliation.</w:t>
      </w:r>
      <w:r w:rsidRPr="00DD02CE">
        <w:rPr>
          <w:rStyle w:val="apple-converted-space"/>
        </w:rPr>
        <w:t> </w:t>
      </w:r>
      <w:r w:rsidRPr="00DD02CE">
        <w:rPr>
          <w:rStyle w:val="Emphasis"/>
        </w:rPr>
        <w:t>The Modern Language Journal</w:t>
      </w:r>
      <w:r w:rsidRPr="00DD02CE">
        <w:t>, 82(4), 545–562.</w:t>
      </w:r>
      <w:r w:rsidRPr="00DD02CE">
        <w:rPr>
          <w:rStyle w:val="apple-converted-space"/>
        </w:rPr>
        <w:t> </w:t>
      </w:r>
      <w:hyperlink r:id="rId11" w:tgtFrame="_new" w:history="1">
        <w:r w:rsidRPr="00DD02CE">
          <w:rPr>
            <w:rStyle w:val="Hyperlink"/>
          </w:rPr>
          <w:t>https://onlinelibrary.wiley.com/doi/10.111</w:t>
        </w:r>
        <w:r w:rsidRPr="00DD02CE">
          <w:rPr>
            <w:rStyle w:val="Hyperlink"/>
          </w:rPr>
          <w:t>1</w:t>
        </w:r>
        <w:r w:rsidRPr="00DD02CE">
          <w:rPr>
            <w:rStyle w:val="Hyperlink"/>
          </w:rPr>
          <w:t>/j.1540-4781.1998.tb05543.x</w:t>
        </w:r>
      </w:hyperlink>
    </w:p>
    <w:p w:rsidR="006F1484" w:rsidRPr="00DD02CE" w:rsidRDefault="006F1484" w:rsidP="00DD02CE">
      <w:pPr>
        <w:pStyle w:val="NormalWeb"/>
        <w:spacing w:line="360" w:lineRule="auto"/>
        <w:jc w:val="both"/>
      </w:pPr>
      <w:r w:rsidRPr="00DD02CE">
        <w:rPr>
          <w:rStyle w:val="Strong"/>
        </w:rPr>
        <w:t>Ortega, L. (2009)</w:t>
      </w:r>
      <w:r w:rsidRPr="00DD02CE">
        <w:t>.</w:t>
      </w:r>
      <w:r w:rsidRPr="00DD02CE">
        <w:rPr>
          <w:rStyle w:val="apple-converted-space"/>
        </w:rPr>
        <w:t> </w:t>
      </w:r>
      <w:r w:rsidRPr="00DD02CE">
        <w:rPr>
          <w:rStyle w:val="Emphasis"/>
        </w:rPr>
        <w:t>Understanding Second Language Acquisition</w:t>
      </w:r>
      <w:r w:rsidRPr="00DD02CE">
        <w:t>. London: Routledge.</w:t>
      </w:r>
      <w:r w:rsidRPr="00DD02CE">
        <w:rPr>
          <w:rStyle w:val="apple-converted-space"/>
        </w:rPr>
        <w:t> </w:t>
      </w:r>
      <w:hyperlink r:id="rId12" w:tgtFrame="_new" w:history="1">
        <w:r w:rsidRPr="00DD02CE">
          <w:rPr>
            <w:rStyle w:val="Hyperlink"/>
          </w:rPr>
          <w:t>https://www.routledge.com</w:t>
        </w:r>
        <w:r w:rsidRPr="00DD02CE">
          <w:rPr>
            <w:rStyle w:val="Hyperlink"/>
          </w:rPr>
          <w:t>/</w:t>
        </w:r>
        <w:r w:rsidRPr="00DD02CE">
          <w:rPr>
            <w:rStyle w:val="Hyperlink"/>
          </w:rPr>
          <w:t>Understanding-Second-Language-Acquisition/Ortega/p/book/9780340905593</w:t>
        </w:r>
      </w:hyperlink>
    </w:p>
    <w:p w:rsidR="006F1484" w:rsidRPr="00DD02CE" w:rsidRDefault="006F1484" w:rsidP="00DD02CE">
      <w:pPr>
        <w:pStyle w:val="NormalWeb"/>
        <w:spacing w:line="360" w:lineRule="auto"/>
        <w:jc w:val="both"/>
      </w:pPr>
      <w:r w:rsidRPr="00DD02CE">
        <w:rPr>
          <w:rStyle w:val="Strong"/>
        </w:rPr>
        <w:t>Ryan, R.M. and Deci, E.L. (2000)</w:t>
      </w:r>
      <w:r w:rsidRPr="00DD02CE">
        <w:t>. Self-determination theory and the facilitation of intrinsic motivation, social development, and well-being.</w:t>
      </w:r>
      <w:r w:rsidRPr="00DD02CE">
        <w:rPr>
          <w:rStyle w:val="apple-converted-space"/>
        </w:rPr>
        <w:t> </w:t>
      </w:r>
      <w:r w:rsidRPr="00DD02CE">
        <w:rPr>
          <w:rStyle w:val="Emphasis"/>
        </w:rPr>
        <w:t>American Psychologist</w:t>
      </w:r>
      <w:r w:rsidRPr="00DD02CE">
        <w:t>, 55(1), 68–78.</w:t>
      </w:r>
      <w:r w:rsidRPr="00DD02CE">
        <w:rPr>
          <w:rStyle w:val="apple-converted-space"/>
        </w:rPr>
        <w:t> </w:t>
      </w:r>
      <w:hyperlink r:id="rId13" w:tgtFrame="_new" w:history="1">
        <w:r w:rsidRPr="00DD02CE">
          <w:rPr>
            <w:rStyle w:val="Hyperlink"/>
          </w:rPr>
          <w:t>https://selfdeterminationtheory.org/SDT/documen</w:t>
        </w:r>
        <w:r w:rsidRPr="00DD02CE">
          <w:rPr>
            <w:rStyle w:val="Hyperlink"/>
          </w:rPr>
          <w:t>t</w:t>
        </w:r>
        <w:r w:rsidRPr="00DD02CE">
          <w:rPr>
            <w:rStyle w:val="Hyperlink"/>
          </w:rPr>
          <w:t>s/2000_RyanDeci_SDT.pdf</w:t>
        </w:r>
      </w:hyperlink>
    </w:p>
    <w:p w:rsidR="006F1484" w:rsidRPr="00DD02CE" w:rsidRDefault="006F1484" w:rsidP="00DD02CE">
      <w:pPr>
        <w:pStyle w:val="NormalWeb"/>
        <w:spacing w:line="360" w:lineRule="auto"/>
        <w:jc w:val="both"/>
      </w:pPr>
      <w:r w:rsidRPr="00DD02CE">
        <w:rPr>
          <w:rStyle w:val="Strong"/>
        </w:rPr>
        <w:t>Schmidt, R.W. (1990)</w:t>
      </w:r>
      <w:r w:rsidRPr="00DD02CE">
        <w:t>. The Role of Consciousness in Second Language Learning.</w:t>
      </w:r>
      <w:r w:rsidRPr="00DD02CE">
        <w:rPr>
          <w:rStyle w:val="apple-converted-space"/>
        </w:rPr>
        <w:t> </w:t>
      </w:r>
      <w:r w:rsidRPr="00DD02CE">
        <w:rPr>
          <w:rStyle w:val="Emphasis"/>
        </w:rPr>
        <w:t>Applied Linguistics</w:t>
      </w:r>
      <w:r w:rsidRPr="00DD02CE">
        <w:t>, 11(2), 129–158.</w:t>
      </w:r>
      <w:r w:rsidRPr="00DD02CE">
        <w:rPr>
          <w:rStyle w:val="apple-converted-space"/>
        </w:rPr>
        <w:t> </w:t>
      </w:r>
      <w:hyperlink r:id="rId14" w:tgtFrame="_new" w:history="1">
        <w:r w:rsidRPr="00DD02CE">
          <w:rPr>
            <w:rStyle w:val="Hyperlink"/>
          </w:rPr>
          <w:t>https://academic.</w:t>
        </w:r>
        <w:r w:rsidRPr="00DD02CE">
          <w:rPr>
            <w:rStyle w:val="Hyperlink"/>
          </w:rPr>
          <w:t>o</w:t>
        </w:r>
        <w:r w:rsidRPr="00DD02CE">
          <w:rPr>
            <w:rStyle w:val="Hyperlink"/>
          </w:rPr>
          <w:t>up.com/applij/article-abstract/11/2/129/163482</w:t>
        </w:r>
      </w:hyperlink>
    </w:p>
    <w:p w:rsidR="006F1484" w:rsidRPr="00DD02CE" w:rsidRDefault="006F1484" w:rsidP="00DD02CE">
      <w:pPr>
        <w:pStyle w:val="NormalWeb"/>
        <w:spacing w:line="360" w:lineRule="auto"/>
        <w:jc w:val="both"/>
      </w:pPr>
      <w:r w:rsidRPr="00DD02CE">
        <w:rPr>
          <w:rStyle w:val="Strong"/>
        </w:rPr>
        <w:t>Skehan, P. (1989)</w:t>
      </w:r>
      <w:r w:rsidRPr="00DD02CE">
        <w:t>.</w:t>
      </w:r>
      <w:r w:rsidRPr="00DD02CE">
        <w:rPr>
          <w:rStyle w:val="apple-converted-space"/>
        </w:rPr>
        <w:t> </w:t>
      </w:r>
      <w:r w:rsidRPr="00DD02CE">
        <w:rPr>
          <w:rStyle w:val="Emphasis"/>
        </w:rPr>
        <w:t>Individual Differences in Second Language Learning</w:t>
      </w:r>
      <w:r w:rsidRPr="00DD02CE">
        <w:t>. London: Edward Arnold.</w:t>
      </w:r>
      <w:r w:rsidRPr="00DD02CE">
        <w:rPr>
          <w:rStyle w:val="apple-converted-space"/>
        </w:rPr>
        <w:t> </w:t>
      </w:r>
      <w:hyperlink r:id="rId15" w:tgtFrame="_new" w:history="1">
        <w:r w:rsidRPr="00DD02CE">
          <w:rPr>
            <w:rStyle w:val="Hyperlink"/>
          </w:rPr>
          <w:t>https://www.routledge.com/Individual-Di</w:t>
        </w:r>
        <w:r w:rsidRPr="00DD02CE">
          <w:rPr>
            <w:rStyle w:val="Hyperlink"/>
          </w:rPr>
          <w:t>f</w:t>
        </w:r>
        <w:r w:rsidRPr="00DD02CE">
          <w:rPr>
            <w:rStyle w:val="Hyperlink"/>
          </w:rPr>
          <w:t>ferences-in-Second-Language-Learning/Skehan/p/book/9780713166026</w:t>
        </w:r>
      </w:hyperlink>
    </w:p>
    <w:p w:rsidR="006F1484" w:rsidRPr="00DD02CE" w:rsidRDefault="006F1484" w:rsidP="00DD02CE">
      <w:pPr>
        <w:pStyle w:val="NormalWeb"/>
        <w:spacing w:line="360" w:lineRule="auto"/>
        <w:jc w:val="both"/>
      </w:pPr>
      <w:r w:rsidRPr="00DD02CE">
        <w:rPr>
          <w:rStyle w:val="Strong"/>
        </w:rPr>
        <w:lastRenderedPageBreak/>
        <w:t>Snow, C.E. and Hoefnagel-Höhle, M. (1978)</w:t>
      </w:r>
      <w:r w:rsidRPr="00DD02CE">
        <w:t>. The Critical Period for Language Acquisition: Evidence from Second Language Learning.</w:t>
      </w:r>
      <w:r w:rsidRPr="00DD02CE">
        <w:rPr>
          <w:rStyle w:val="apple-converted-space"/>
        </w:rPr>
        <w:t> </w:t>
      </w:r>
      <w:r w:rsidRPr="00DD02CE">
        <w:rPr>
          <w:rStyle w:val="Emphasis"/>
        </w:rPr>
        <w:t>Child Development</w:t>
      </w:r>
      <w:r w:rsidRPr="00DD02CE">
        <w:t xml:space="preserve">, 49(4), 1114–1128. </w:t>
      </w:r>
    </w:p>
    <w:p w:rsidR="006F1484" w:rsidRPr="00DD02CE" w:rsidRDefault="006F1484" w:rsidP="00DD02CE">
      <w:pPr>
        <w:pStyle w:val="NormalWeb"/>
        <w:spacing w:line="360" w:lineRule="auto"/>
        <w:jc w:val="both"/>
      </w:pPr>
      <w:r w:rsidRPr="00DD02CE">
        <w:rPr>
          <w:rStyle w:val="Strong"/>
        </w:rPr>
        <w:t>Swain, M. (1985)</w:t>
      </w:r>
      <w:r w:rsidRPr="00DD02CE">
        <w:t>. Communicative competence: Some roles of comprehensible input and comprehensible output in its development. In: Gass, S. and Madden, C. (eds)</w:t>
      </w:r>
      <w:r w:rsidRPr="00DD02CE">
        <w:rPr>
          <w:rStyle w:val="apple-converted-space"/>
        </w:rPr>
        <w:t> </w:t>
      </w:r>
      <w:r w:rsidRPr="00DD02CE">
        <w:rPr>
          <w:rStyle w:val="Emphasis"/>
        </w:rPr>
        <w:t>Input in Second Language Acquisition</w:t>
      </w:r>
      <w:r w:rsidRPr="00DD02CE">
        <w:t>. Rowley, MA: Newbury House, pp. 235–253.</w:t>
      </w:r>
      <w:r w:rsidRPr="00DD02CE">
        <w:rPr>
          <w:rStyle w:val="apple-converted-space"/>
        </w:rPr>
        <w:t> </w:t>
      </w:r>
      <w:hyperlink r:id="rId16" w:tgtFrame="_new" w:history="1">
        <w:r w:rsidRPr="00DD02CE">
          <w:rPr>
            <w:rStyle w:val="Hyperlink"/>
          </w:rPr>
          <w:t>https://cdm20098.contentdm.oclc.org/digital/api/collec</w:t>
        </w:r>
        <w:r w:rsidRPr="00DD02CE">
          <w:rPr>
            <w:rStyle w:val="Hyperlink"/>
          </w:rPr>
          <w:t>t</w:t>
        </w:r>
        <w:r w:rsidRPr="00DD02CE">
          <w:rPr>
            <w:rStyle w:val="Hyperlink"/>
          </w:rPr>
          <w:t>ion/vra/id/523/download</w:t>
        </w:r>
      </w:hyperlink>
    </w:p>
    <w:p w:rsidR="006F1484" w:rsidRPr="00DD02CE" w:rsidRDefault="006F1484" w:rsidP="00DD02CE">
      <w:pPr>
        <w:pStyle w:val="NormalWeb"/>
        <w:spacing w:line="360" w:lineRule="auto"/>
        <w:jc w:val="both"/>
      </w:pPr>
      <w:r w:rsidRPr="00DD02CE">
        <w:rPr>
          <w:rStyle w:val="Strong"/>
        </w:rPr>
        <w:t>Ushioda, E. (2011)</w:t>
      </w:r>
      <w:r w:rsidRPr="00DD02CE">
        <w:t>. Language learning motivation, self and identity: Current theoretical perspectives.</w:t>
      </w:r>
      <w:r w:rsidRPr="00DD02CE">
        <w:rPr>
          <w:rStyle w:val="apple-converted-space"/>
        </w:rPr>
        <w:t> </w:t>
      </w:r>
      <w:r w:rsidRPr="00DD02CE">
        <w:rPr>
          <w:rStyle w:val="Emphasis"/>
        </w:rPr>
        <w:t>Computer Assisted Language Learning</w:t>
      </w:r>
      <w:r w:rsidRPr="00DD02CE">
        <w:t>, 24(3), 199–210.</w:t>
      </w:r>
      <w:r w:rsidRPr="00DD02CE">
        <w:rPr>
          <w:rStyle w:val="apple-converted-space"/>
        </w:rPr>
        <w:t> </w:t>
      </w:r>
      <w:hyperlink r:id="rId17" w:tgtFrame="_new" w:history="1">
        <w:r w:rsidRPr="00DD02CE">
          <w:rPr>
            <w:rStyle w:val="Hyperlink"/>
          </w:rPr>
          <w:t>https://wrap.warwick.ac.uk</w:t>
        </w:r>
        <w:r w:rsidRPr="00DD02CE">
          <w:rPr>
            <w:rStyle w:val="Hyperlink"/>
          </w:rPr>
          <w:t>/</w:t>
        </w:r>
        <w:r w:rsidRPr="00DD02CE">
          <w:rPr>
            <w:rStyle w:val="Hyperlink"/>
          </w:rPr>
          <w:t>id/eprint/36939/</w:t>
        </w:r>
      </w:hyperlink>
    </w:p>
    <w:p w:rsidR="00CC1A3A" w:rsidRPr="00DD02CE" w:rsidRDefault="00CC1A3A" w:rsidP="00DD02CE">
      <w:pPr>
        <w:spacing w:line="360" w:lineRule="auto"/>
        <w:jc w:val="both"/>
        <w:rPr>
          <w:rFonts w:ascii="Times New Roman" w:hAnsi="Times New Roman" w:cs="Times New Roman"/>
        </w:rPr>
      </w:pPr>
    </w:p>
    <w:sectPr w:rsidR="00CC1A3A" w:rsidRPr="00DD02CE" w:rsidSect="00B727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615244"/>
    <w:multiLevelType w:val="multilevel"/>
    <w:tmpl w:val="67FC9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4745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A3A"/>
    <w:rsid w:val="00631A12"/>
    <w:rsid w:val="006F1484"/>
    <w:rsid w:val="00932997"/>
    <w:rsid w:val="009578AD"/>
    <w:rsid w:val="00B7271A"/>
    <w:rsid w:val="00CC1A3A"/>
    <w:rsid w:val="00D742FD"/>
    <w:rsid w:val="00DD0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626F6"/>
  <w15:chartTrackingRefBased/>
  <w15:docId w15:val="{9D4B43FA-5DFB-744E-A28B-7495F5722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2C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C1A3A"/>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CC1A3A"/>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C1A3A"/>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CC1A3A"/>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CC1A3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C1A3A"/>
  </w:style>
  <w:style w:type="character" w:styleId="Strong">
    <w:name w:val="Strong"/>
    <w:basedOn w:val="DefaultParagraphFont"/>
    <w:uiPriority w:val="22"/>
    <w:qFormat/>
    <w:rsid w:val="00CC1A3A"/>
    <w:rPr>
      <w:b/>
      <w:bCs/>
    </w:rPr>
  </w:style>
  <w:style w:type="character" w:styleId="Emphasis">
    <w:name w:val="Emphasis"/>
    <w:basedOn w:val="DefaultParagraphFont"/>
    <w:uiPriority w:val="20"/>
    <w:qFormat/>
    <w:rsid w:val="00CC1A3A"/>
    <w:rPr>
      <w:i/>
      <w:iCs/>
    </w:rPr>
  </w:style>
  <w:style w:type="character" w:styleId="Hyperlink">
    <w:name w:val="Hyperlink"/>
    <w:basedOn w:val="DefaultParagraphFont"/>
    <w:uiPriority w:val="99"/>
    <w:semiHidden/>
    <w:unhideWhenUsed/>
    <w:rsid w:val="00CC1A3A"/>
    <w:rPr>
      <w:color w:val="0000FF"/>
      <w:u w:val="single"/>
    </w:rPr>
  </w:style>
  <w:style w:type="character" w:customStyle="1" w:styleId="Heading1Char">
    <w:name w:val="Heading 1 Char"/>
    <w:basedOn w:val="DefaultParagraphFont"/>
    <w:link w:val="Heading1"/>
    <w:uiPriority w:val="9"/>
    <w:rsid w:val="00DD02CE"/>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631A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862171">
      <w:bodyDiv w:val="1"/>
      <w:marLeft w:val="0"/>
      <w:marRight w:val="0"/>
      <w:marTop w:val="0"/>
      <w:marBottom w:val="0"/>
      <w:divBdr>
        <w:top w:val="none" w:sz="0" w:space="0" w:color="auto"/>
        <w:left w:val="none" w:sz="0" w:space="0" w:color="auto"/>
        <w:bottom w:val="none" w:sz="0" w:space="0" w:color="auto"/>
        <w:right w:val="none" w:sz="0" w:space="0" w:color="auto"/>
      </w:divBdr>
    </w:div>
    <w:div w:id="931819730">
      <w:bodyDiv w:val="1"/>
      <w:marLeft w:val="0"/>
      <w:marRight w:val="0"/>
      <w:marTop w:val="0"/>
      <w:marBottom w:val="0"/>
      <w:divBdr>
        <w:top w:val="none" w:sz="0" w:space="0" w:color="auto"/>
        <w:left w:val="none" w:sz="0" w:space="0" w:color="auto"/>
        <w:bottom w:val="none" w:sz="0" w:space="0" w:color="auto"/>
        <w:right w:val="none" w:sz="0" w:space="0" w:color="auto"/>
      </w:divBdr>
    </w:div>
    <w:div w:id="1791583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studyofsecondlan0000elli?utm_source" TargetMode="External"/><Relationship Id="rId13" Type="http://schemas.openxmlformats.org/officeDocument/2006/relationships/hyperlink" Target="https://selfdeterminationtheory.org/SDT/documents/2000_RyanDeci_SDT.pdf?utm_sourc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outledge.com/The-Psychology-of-the-Language-Learner-Individual-Differences-in-Second-Language-Acquisition/Dornyei/p/book/9780805860184?utm_source" TargetMode="External"/><Relationship Id="rId12" Type="http://schemas.openxmlformats.org/officeDocument/2006/relationships/hyperlink" Target="https://www.routledge.com/Understanding-Second-Language-Acquisition/Ortega/p/book/9780340905593?utm_source" TargetMode="External"/><Relationship Id="rId17" Type="http://schemas.openxmlformats.org/officeDocument/2006/relationships/hyperlink" Target="https://wrap.warwick.ac.uk/id/eprint/36939/?utm_source" TargetMode="External"/><Relationship Id="rId2" Type="http://schemas.openxmlformats.org/officeDocument/2006/relationships/styles" Target="styles.xml"/><Relationship Id="rId16" Type="http://schemas.openxmlformats.org/officeDocument/2006/relationships/hyperlink" Target="https://cdm20098.contentdm.oclc.org/digital/api/collection/vra/id/523/download?utm_source" TargetMode="External"/><Relationship Id="rId1" Type="http://schemas.openxmlformats.org/officeDocument/2006/relationships/numbering" Target="numbering.xml"/><Relationship Id="rId6" Type="http://schemas.openxmlformats.org/officeDocument/2006/relationships/hyperlink" Target="https://link.springer.com/book/10.1007/978-1-4899-2271-7?utm_source" TargetMode="External"/><Relationship Id="rId11" Type="http://schemas.openxmlformats.org/officeDocument/2006/relationships/hyperlink" Target="https://onlinelibrary.wiley.com/doi/10.1111/j.1540-4781.1998.tb05543.x?utm_source" TargetMode="External"/><Relationship Id="rId5" Type="http://schemas.openxmlformats.org/officeDocument/2006/relationships/hyperlink" Target="https://onlinelibrary.wiley.com/doi/abs/10.1111/j.1467-1770.1991.tb00690.x?utm_source" TargetMode="External"/><Relationship Id="rId15" Type="http://schemas.openxmlformats.org/officeDocument/2006/relationships/hyperlink" Target="https://www.routledge.com/Individual-Differences-in-Second-Language-Learning/Skehan/p/book/9780713166026?utm_source" TargetMode="External"/><Relationship Id="rId10" Type="http://schemas.openxmlformats.org/officeDocument/2006/relationships/hyperlink" Target="https://www.library.brawnblog.com/Long1996-Ling%20Env%20L2%20Acq.pdf?utm_sourc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dkrashen.com/content/books/principles_and_practice.pdf?utm_source" TargetMode="External"/><Relationship Id="rId14" Type="http://schemas.openxmlformats.org/officeDocument/2006/relationships/hyperlink" Target="https://academic.oup.com/applij/article-abstract/11/2/129/163482?utm_sou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11</Pages>
  <Words>2996</Words>
  <Characters>17081</Characters>
  <Application>Microsoft Office Word</Application>
  <DocSecurity>0</DocSecurity>
  <Lines>142</Lines>
  <Paragraphs>40</Paragraphs>
  <ScaleCrop>false</ScaleCrop>
  <Company/>
  <LinksUpToDate>false</LinksUpToDate>
  <CharactersWithSpaces>20037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2026-02-05T10:52:00Z</dcterms:created>
  <dcterms:modified xsi:type="dcterms:W3CDTF">2026-03-12T10:38:00Z</dcterms:modified>
</cp:coreProperties>
</file>