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E2372" w14:textId="48C2ABA6" w:rsidR="00466206" w:rsidRPr="00F144A6" w:rsidRDefault="00466206" w:rsidP="00466206">
      <w:pPr>
        <w:rPr>
          <w:rFonts w:cstheme="minorHAnsi"/>
          <w:sz w:val="28"/>
        </w:rPr>
      </w:pPr>
      <w:r w:rsidRPr="00F144A6">
        <w:rPr>
          <w:rFonts w:cstheme="minorHAnsi"/>
          <w:sz w:val="28"/>
        </w:rPr>
        <w:t>Making use of funerary evidence associated with one individual pre-Roman Iron Age site of your choice, discuss how the evidence can be used to identify changes in social status display during the 5th-1st century BC.</w:t>
      </w:r>
    </w:p>
    <w:p w14:paraId="69DB6927" w14:textId="77777777" w:rsidR="00376591" w:rsidRDefault="00376591" w:rsidP="00466206">
      <w:pPr>
        <w:rPr>
          <w:rFonts w:cstheme="minorHAnsi"/>
        </w:rPr>
      </w:pPr>
    </w:p>
    <w:p w14:paraId="6F3FD3F9" w14:textId="4F238C03" w:rsidR="00466206" w:rsidRDefault="0081058E" w:rsidP="00466206">
      <w:pPr>
        <w:rPr>
          <w:rFonts w:cstheme="minorHAnsi"/>
        </w:rPr>
      </w:pPr>
      <w:r w:rsidRPr="00376591">
        <w:rPr>
          <w:rFonts w:cstheme="minorHAnsi"/>
        </w:rPr>
        <w:t>The</w:t>
      </w:r>
      <w:r w:rsidR="00EB27C6">
        <w:rPr>
          <w:rFonts w:cstheme="minorHAnsi"/>
        </w:rPr>
        <w:t xml:space="preserve"> British archaeological site of Wetwang Slack is known to be one of great significance in the study of Iron age funerary traditions. The site was first uncovered and the Yorkshire </w:t>
      </w:r>
      <w:r w:rsidR="00832A4B">
        <w:rPr>
          <w:rFonts w:cstheme="minorHAnsi"/>
        </w:rPr>
        <w:t>Wolds</w:t>
      </w:r>
      <w:r w:rsidR="00EB27C6">
        <w:rPr>
          <w:rFonts w:cstheme="minorHAnsi"/>
        </w:rPr>
        <w:t xml:space="preserve">, and </w:t>
      </w:r>
      <w:r w:rsidR="006E1C85">
        <w:rPr>
          <w:rFonts w:cstheme="minorHAnsi"/>
        </w:rPr>
        <w:t xml:space="preserve">was the subject of a large- scale excavation and had been widely discussed in recent years. This paper will be </w:t>
      </w:r>
      <w:r w:rsidR="0005465F">
        <w:rPr>
          <w:rFonts w:cstheme="minorHAnsi"/>
        </w:rPr>
        <w:t>focussing on</w:t>
      </w:r>
      <w:r w:rsidR="006E1C85">
        <w:rPr>
          <w:rFonts w:cstheme="minorHAnsi"/>
        </w:rPr>
        <w:t xml:space="preserve"> a small amount of the</w:t>
      </w:r>
      <w:r w:rsidR="0005465F">
        <w:rPr>
          <w:rFonts w:cstheme="minorHAnsi"/>
        </w:rPr>
        <w:t xml:space="preserve"> funerary</w:t>
      </w:r>
      <w:r w:rsidR="006E1C85">
        <w:rPr>
          <w:rFonts w:cstheme="minorHAnsi"/>
        </w:rPr>
        <w:t xml:space="preserve"> evidence derived from this site and </w:t>
      </w:r>
      <w:r w:rsidR="0005465F">
        <w:rPr>
          <w:rFonts w:cstheme="minorHAnsi"/>
        </w:rPr>
        <w:t>analysing whether any social status changes can be identified from the different phases of the site’s chronology from the 5</w:t>
      </w:r>
      <w:r w:rsidR="0005465F" w:rsidRPr="0005465F">
        <w:rPr>
          <w:rFonts w:cstheme="minorHAnsi"/>
          <w:vertAlign w:val="superscript"/>
        </w:rPr>
        <w:t>th</w:t>
      </w:r>
      <w:r w:rsidR="0005465F">
        <w:rPr>
          <w:rFonts w:cstheme="minorHAnsi"/>
        </w:rPr>
        <w:t xml:space="preserve"> to the 1</w:t>
      </w:r>
      <w:r w:rsidR="0005465F" w:rsidRPr="0005465F">
        <w:rPr>
          <w:rFonts w:cstheme="minorHAnsi"/>
          <w:vertAlign w:val="superscript"/>
        </w:rPr>
        <w:t>st</w:t>
      </w:r>
      <w:r w:rsidR="0005465F">
        <w:rPr>
          <w:rFonts w:cstheme="minorHAnsi"/>
        </w:rPr>
        <w:t xml:space="preserve"> century BC.</w:t>
      </w:r>
    </w:p>
    <w:p w14:paraId="36586CFC" w14:textId="06DC48EC" w:rsidR="0005465F" w:rsidRPr="005222D4" w:rsidRDefault="0005465F" w:rsidP="00466206">
      <w:pPr>
        <w:rPr>
          <w:rFonts w:cstheme="minorHAnsi"/>
        </w:rPr>
      </w:pPr>
      <w:r>
        <w:rPr>
          <w:rFonts w:cstheme="minorHAnsi"/>
        </w:rPr>
        <w:t>What has to be considered first is the layout of cemetery</w:t>
      </w:r>
      <w:r w:rsidR="0019312E">
        <w:rPr>
          <w:rFonts w:cstheme="minorHAnsi"/>
        </w:rPr>
        <w:t xml:space="preserve"> and burials</w:t>
      </w:r>
      <w:r>
        <w:rPr>
          <w:rFonts w:cstheme="minorHAnsi"/>
        </w:rPr>
        <w:t xml:space="preserve"> </w:t>
      </w:r>
      <w:r w:rsidR="0019312E">
        <w:rPr>
          <w:rFonts w:cstheme="minorHAnsi"/>
        </w:rPr>
        <w:t>themselves</w:t>
      </w:r>
      <w:r>
        <w:rPr>
          <w:rFonts w:cstheme="minorHAnsi"/>
        </w:rPr>
        <w:t xml:space="preserve"> and how this shows different stages of the site’s development. The excavation identified 3 </w:t>
      </w:r>
      <w:r w:rsidR="0019312E">
        <w:rPr>
          <w:rFonts w:cstheme="minorHAnsi"/>
        </w:rPr>
        <w:t xml:space="preserve">areas of high frequency of burials </w:t>
      </w:r>
      <w:r>
        <w:rPr>
          <w:rFonts w:cstheme="minorHAnsi"/>
        </w:rPr>
        <w:t>and they are set out at the centre and to the west and east of the cemetery.</w:t>
      </w:r>
      <w:r w:rsidR="00D65E71">
        <w:rPr>
          <w:rStyle w:val="FootnoteReference"/>
          <w:rFonts w:cstheme="minorHAnsi"/>
        </w:rPr>
        <w:footnoteReference w:id="1"/>
      </w:r>
      <w:r>
        <w:rPr>
          <w:rFonts w:cstheme="minorHAnsi"/>
        </w:rPr>
        <w:t xml:space="preserve"> This indicates that the main</w:t>
      </w:r>
      <w:r w:rsidR="0019312E">
        <w:rPr>
          <w:rFonts w:cstheme="minorHAnsi"/>
        </w:rPr>
        <w:t xml:space="preserve"> periods of population growth in this area happened during the times that is represented in these areas.</w:t>
      </w:r>
      <w:r w:rsidR="00CE0507">
        <w:rPr>
          <w:rFonts w:cstheme="minorHAnsi"/>
        </w:rPr>
        <w:t xml:space="preserve"> The stages of development in which</w:t>
      </w:r>
      <w:r w:rsidR="008D5A23">
        <w:rPr>
          <w:rFonts w:cstheme="minorHAnsi"/>
        </w:rPr>
        <w:t xml:space="preserve"> there was increased activity seem to be the </w:t>
      </w:r>
      <w:r w:rsidR="00381255">
        <w:rPr>
          <w:rFonts w:cstheme="minorHAnsi"/>
        </w:rPr>
        <w:t xml:space="preserve">second and third phases, </w:t>
      </w:r>
      <w:r w:rsidR="008D5A23">
        <w:rPr>
          <w:rFonts w:cstheme="minorHAnsi"/>
        </w:rPr>
        <w:t>where the cemetery was populated at the centre</w:t>
      </w:r>
      <w:r w:rsidR="00762DB0">
        <w:rPr>
          <w:rFonts w:cstheme="minorHAnsi"/>
        </w:rPr>
        <w:t xml:space="preserve"> and it is here that over half of the burials occur which then continues relatively </w:t>
      </w:r>
      <w:r w:rsidR="00A0785C">
        <w:rPr>
          <w:rFonts w:cstheme="minorHAnsi"/>
        </w:rPr>
        <w:t>steadily towards the west to east</w:t>
      </w:r>
      <w:r w:rsidR="008D5A23">
        <w:rPr>
          <w:rFonts w:cstheme="minorHAnsi"/>
        </w:rPr>
        <w:t>.</w:t>
      </w:r>
      <w:r w:rsidR="00B34C61">
        <w:rPr>
          <w:rFonts w:cstheme="minorHAnsi"/>
        </w:rPr>
        <w:t xml:space="preserve"> Whereas there is not as many burials taking place in the first phase of the site and the last stage appears to be the gradual end of the community’s settlement there.</w:t>
      </w:r>
      <w:r w:rsidR="008D5A23">
        <w:rPr>
          <w:rStyle w:val="FootnoteReference"/>
          <w:rFonts w:cstheme="minorHAnsi"/>
        </w:rPr>
        <w:footnoteReference w:id="2"/>
      </w:r>
      <w:r w:rsidR="008D5A23">
        <w:rPr>
          <w:rFonts w:cstheme="minorHAnsi"/>
        </w:rPr>
        <w:t xml:space="preserve"> </w:t>
      </w:r>
      <w:r w:rsidR="00B34C61">
        <w:rPr>
          <w:rFonts w:cstheme="minorHAnsi"/>
        </w:rPr>
        <w:t xml:space="preserve"> It can be said that this shows </w:t>
      </w:r>
      <w:r w:rsidR="00306F0A">
        <w:rPr>
          <w:rFonts w:cstheme="minorHAnsi"/>
        </w:rPr>
        <w:t xml:space="preserve">some changes in social status because it is possible to conclude that there is an ‘increase’ in the status of the community because of the higher population. Seeing as there would be more opportunity for the development of specialism and trade, as well as the hierarchy within the community itself. </w:t>
      </w:r>
      <w:r w:rsidR="00970D5D">
        <w:rPr>
          <w:rFonts w:cstheme="minorHAnsi"/>
        </w:rPr>
        <w:t xml:space="preserve">Although, it has been argued more recently through means like isotopic analysis and radio carbon dating that the </w:t>
      </w:r>
      <w:r w:rsidR="005222D4">
        <w:rPr>
          <w:rFonts w:cstheme="minorHAnsi"/>
        </w:rPr>
        <w:t>main period of burials took place during only the third and second centuries BC</w:t>
      </w:r>
      <w:r w:rsidR="005222D4">
        <w:rPr>
          <w:rStyle w:val="FootnoteReference"/>
          <w:rFonts w:cstheme="minorHAnsi"/>
        </w:rPr>
        <w:footnoteReference w:id="3"/>
      </w:r>
      <w:r w:rsidR="005222D4">
        <w:rPr>
          <w:rFonts w:cstheme="minorHAnsi"/>
        </w:rPr>
        <w:t xml:space="preserve">which could, if it is true, mean that a lot of the artefacts and other evidence found could have been produced at a later date than originally thought. Which would mean that the community that lived there had a shorter period of development and that there was possibly a bigger population which could show that they were quite powerful, as a bigger community would indicate. </w:t>
      </w:r>
      <w:r w:rsidR="00B34C61">
        <w:rPr>
          <w:rFonts w:cstheme="minorHAnsi"/>
        </w:rPr>
        <w:t>In addition to this,</w:t>
      </w:r>
      <w:r w:rsidR="0019312E">
        <w:rPr>
          <w:rFonts w:cstheme="minorHAnsi"/>
        </w:rPr>
        <w:t xml:space="preserve"> </w:t>
      </w:r>
      <w:r w:rsidR="00B34C61">
        <w:rPr>
          <w:rFonts w:cstheme="minorHAnsi"/>
        </w:rPr>
        <w:t>p</w:t>
      </w:r>
      <w:r w:rsidR="0019312E">
        <w:rPr>
          <w:rFonts w:cstheme="minorHAnsi"/>
        </w:rPr>
        <w:t xml:space="preserve">ractically all the </w:t>
      </w:r>
      <w:r w:rsidR="00942F5A">
        <w:rPr>
          <w:rFonts w:cstheme="minorHAnsi"/>
        </w:rPr>
        <w:t>bodies appear to be placed in the graves in the same pose; that being “</w:t>
      </w:r>
      <w:r w:rsidR="00942F5A">
        <w:t>in a crouched or contracted position, sometimes in a coffin, and buried in a north-south alignment”</w:t>
      </w:r>
      <w:r w:rsidR="00942F5A">
        <w:rPr>
          <w:rStyle w:val="FootnoteReference"/>
        </w:rPr>
        <w:footnoteReference w:id="4"/>
      </w:r>
      <w:r w:rsidR="00CB29E4">
        <w:t xml:space="preserve">. This appears to be showing an ongoing tradition throughout the course of cemetery’s development, which can be said that it shows that the culture in the </w:t>
      </w:r>
      <w:r w:rsidR="00D65E71">
        <w:t xml:space="preserve">community of Wetwang Slack </w:t>
      </w:r>
      <w:r w:rsidR="00FC52DB">
        <w:t xml:space="preserve">was </w:t>
      </w:r>
      <w:r w:rsidR="00FD33DA">
        <w:t>relatively unchanged up until the Cemeteries abandonment</w:t>
      </w:r>
      <w:r w:rsidR="00711D2A">
        <w:t xml:space="preserve">. As well as this, there is evidence in other sites in the east Yorkshire region of similar burials which could indicate shared culture between the separate settlements, which could then again be linked to </w:t>
      </w:r>
      <w:r w:rsidR="006F79CF">
        <w:t>social status because it is a stereotype that the larger the community, the more powerful that they could potentially be. There are, of course, several arguments against this.</w:t>
      </w:r>
    </w:p>
    <w:p w14:paraId="4C4DCD26" w14:textId="58261ADC" w:rsidR="007F7A2A" w:rsidRDefault="009E5318" w:rsidP="007F7A2A">
      <w:r w:rsidRPr="007F7A2A">
        <w:rPr>
          <w:rFonts w:cstheme="minorHAnsi"/>
        </w:rPr>
        <w:t xml:space="preserve">When it comes to analysing the grave goods, it has to be remembered that </w:t>
      </w:r>
      <w:r w:rsidR="003B6C4E" w:rsidRPr="007F7A2A">
        <w:rPr>
          <w:rFonts w:cstheme="minorHAnsi"/>
        </w:rPr>
        <w:t>“only 96 burials were accompanied by grave goods”</w:t>
      </w:r>
      <w:r w:rsidR="003B6C4E">
        <w:rPr>
          <w:rStyle w:val="FootnoteReference"/>
          <w:rFonts w:cstheme="minorHAnsi"/>
        </w:rPr>
        <w:footnoteReference w:id="5"/>
      </w:r>
      <w:r w:rsidR="002B7A4F" w:rsidRPr="007F7A2A">
        <w:rPr>
          <w:rFonts w:cstheme="minorHAnsi"/>
        </w:rPr>
        <w:t xml:space="preserve">, which means that the volume of artefacts compared to the burials are low which has to be taken into consideration when exploring the possible </w:t>
      </w:r>
      <w:r w:rsidR="00FD4FEC" w:rsidRPr="007F7A2A">
        <w:rPr>
          <w:rFonts w:cstheme="minorHAnsi"/>
        </w:rPr>
        <w:t>things,</w:t>
      </w:r>
      <w:r w:rsidR="00B77EE0" w:rsidRPr="007F7A2A">
        <w:rPr>
          <w:rFonts w:cstheme="minorHAnsi"/>
        </w:rPr>
        <w:t xml:space="preserve"> </w:t>
      </w:r>
      <w:r w:rsidR="002B7A4F" w:rsidRPr="007F7A2A">
        <w:rPr>
          <w:rFonts w:cstheme="minorHAnsi"/>
        </w:rPr>
        <w:t xml:space="preserve">they may </w:t>
      </w:r>
      <w:r w:rsidR="002B7A4F" w:rsidRPr="007F7A2A">
        <w:rPr>
          <w:rFonts w:cstheme="minorHAnsi"/>
        </w:rPr>
        <w:lastRenderedPageBreak/>
        <w:t>present.</w:t>
      </w:r>
      <w:r w:rsidR="00B77EE0" w:rsidRPr="007F7A2A">
        <w:rPr>
          <w:rFonts w:cstheme="minorHAnsi"/>
        </w:rPr>
        <w:t xml:space="preserve"> </w:t>
      </w:r>
      <w:r w:rsidR="006C3A0C" w:rsidRPr="007F7A2A">
        <w:rPr>
          <w:rFonts w:cstheme="minorHAnsi"/>
        </w:rPr>
        <w:t xml:space="preserve"> </w:t>
      </w:r>
      <w:r w:rsidR="008A3AB7" w:rsidRPr="007F7A2A">
        <w:rPr>
          <w:rFonts w:cstheme="minorHAnsi"/>
        </w:rPr>
        <w:t xml:space="preserve">One of the objects that appears to be most significant when it comes to social status is the brooch. </w:t>
      </w:r>
      <w:r w:rsidR="00685590" w:rsidRPr="007F7A2A">
        <w:rPr>
          <w:rFonts w:cstheme="minorHAnsi"/>
        </w:rPr>
        <w:t>The earliest examples are “</w:t>
      </w:r>
      <w:r w:rsidR="00685590">
        <w:t>3 straight bow types, clearly derived from the low arched formed”</w:t>
      </w:r>
      <w:r w:rsidR="008D10CF">
        <w:rPr>
          <w:rStyle w:val="FootnoteReference"/>
        </w:rPr>
        <w:footnoteReference w:id="6"/>
      </w:r>
      <w:r w:rsidR="00D06926">
        <w:t xml:space="preserve">, it is thought that they could have been manufactured </w:t>
      </w:r>
      <w:r w:rsidR="008D10CF">
        <w:t>before 250 BC which is towards the end of the La Tene B to the beginning of La Tene C period.</w:t>
      </w:r>
      <w:r w:rsidR="008D10CF">
        <w:rPr>
          <w:rStyle w:val="FootnoteReference"/>
        </w:rPr>
        <w:footnoteReference w:id="7"/>
      </w:r>
      <w:r w:rsidR="008D10CF">
        <w:t xml:space="preserve">  This estimated time shows that the brooches were produced around the mid-point in which the cemetery was being used</w:t>
      </w:r>
      <w:r w:rsidR="006106C5">
        <w:t xml:space="preserve">. In turn this indicates the possibility that the overall social status of the people buried in the cemetery increased from the beginning years. Although what with the earliest graves being significantly </w:t>
      </w:r>
      <w:r w:rsidR="00FD4FEC">
        <w:t>shallower</w:t>
      </w:r>
      <w:r w:rsidR="006106C5">
        <w:t xml:space="preserve"> compared to the later graves</w:t>
      </w:r>
      <w:r w:rsidR="006106C5">
        <w:rPr>
          <w:rStyle w:val="FootnoteReference"/>
        </w:rPr>
        <w:footnoteReference w:id="8"/>
      </w:r>
      <w:r w:rsidR="006106C5">
        <w:t>, so there is the possibility that any evidence could have been destroyed hundreds of years before the excavation of the site took place.</w:t>
      </w:r>
      <w:r w:rsidR="00FD4FEC">
        <w:t xml:space="preserve"> leading on from this, the latest brooch w</w:t>
      </w:r>
      <w:r w:rsidR="00073A99">
        <w:t xml:space="preserve">as designed to a more La Tene D design </w:t>
      </w:r>
      <w:r w:rsidR="008D2BFA">
        <w:t xml:space="preserve">which would place it to have been manufactured around the first century BC </w:t>
      </w:r>
      <w:r w:rsidR="00073A99">
        <w:t xml:space="preserve">because of the </w:t>
      </w:r>
      <w:r w:rsidR="00105175">
        <w:t>“catch plate being hammered out flat”</w:t>
      </w:r>
      <w:r w:rsidR="00105175">
        <w:rPr>
          <w:rStyle w:val="FootnoteReference"/>
        </w:rPr>
        <w:footnoteReference w:id="9"/>
      </w:r>
      <w:r w:rsidR="008D2BFA">
        <w:t xml:space="preserve"> although other parts of the design appear to be earlier than that. This means that </w:t>
      </w:r>
      <w:r w:rsidR="002503EB">
        <w:t xml:space="preserve">the </w:t>
      </w:r>
      <w:r w:rsidR="00A65366">
        <w:t xml:space="preserve">brooch could have been an anomaly and could have potentially dated around the first century BC or earlier. </w:t>
      </w:r>
      <w:r w:rsidR="006A0131">
        <w:t>As well as this, other jewellery pieces that are found at the site are bracelets and necklaces and the objects are found together in multiple instances.</w:t>
      </w:r>
      <w:r w:rsidR="006A0131">
        <w:rPr>
          <w:rStyle w:val="FootnoteReference"/>
        </w:rPr>
        <w:footnoteReference w:id="10"/>
      </w:r>
      <w:r w:rsidR="009440A2">
        <w:t xml:space="preserve"> This could be an indication that </w:t>
      </w:r>
      <w:r w:rsidR="009B07DC">
        <w:t xml:space="preserve">grave goods such as this could have been some kind of status symbol for the wealthy members of the community, seeing as there were only a few graves that had such combinations of objects. Although in contrast to this, there is also </w:t>
      </w:r>
      <w:r w:rsidR="007F7A2A">
        <w:t>“four cases an incomplete pottery vessel accompanied the bones and two other burials contained broken pots”</w:t>
      </w:r>
      <w:r w:rsidR="007F7A2A">
        <w:rPr>
          <w:rStyle w:val="FootnoteReference"/>
        </w:rPr>
        <w:footnoteReference w:id="11"/>
      </w:r>
      <w:r w:rsidR="008B3EFC">
        <w:t xml:space="preserve"> which could either show that having an incomplete vessel was also a</w:t>
      </w:r>
      <w:r w:rsidR="00225360">
        <w:t xml:space="preserve"> ritualistic sign of high status during this time or it could also be possible that the evidence of both disappeared over time, which is quite unlikely because the Yorkshire </w:t>
      </w:r>
      <w:r w:rsidR="00832A4B">
        <w:t>Wolds</w:t>
      </w:r>
      <w:r w:rsidR="00225360">
        <w:t xml:space="preserve"> is a salty terrain, which are known to be very good for archaeological preservation.</w:t>
      </w:r>
      <w:r w:rsidR="00225360">
        <w:rPr>
          <w:rStyle w:val="FootnoteReference"/>
        </w:rPr>
        <w:footnoteReference w:id="12"/>
      </w:r>
      <w:r w:rsidR="003A5B19">
        <w:t xml:space="preserve"> </w:t>
      </w:r>
      <w:r w:rsidR="001A089B">
        <w:t xml:space="preserve"> Along with this, it has been shown in chemical analysis of the teeth of the skeletons showed little difference in the </w:t>
      </w:r>
      <w:r w:rsidR="001D2317">
        <w:t>dietary</w:t>
      </w:r>
      <w:r w:rsidR="001A089B">
        <w:t xml:space="preserve"> habits in all of the members of the society so the concept that there was a clear elite can be debated.</w:t>
      </w:r>
      <w:r w:rsidR="001A089B">
        <w:rPr>
          <w:rStyle w:val="FootnoteReference"/>
        </w:rPr>
        <w:footnoteReference w:id="13"/>
      </w:r>
    </w:p>
    <w:p w14:paraId="2FDF77E8" w14:textId="05E2B253" w:rsidR="007D3D26" w:rsidRDefault="003518A4" w:rsidP="007F7A2A">
      <w:r>
        <w:t>As well as this</w:t>
      </w:r>
      <w:r w:rsidR="003A5B19">
        <w:t xml:space="preserve">, there is also an example of a warrior burial at Wetwang Slack, </w:t>
      </w:r>
      <w:r w:rsidR="00915199">
        <w:t xml:space="preserve">this burial also had the “motif of unmaking” which was “performed before </w:t>
      </w:r>
      <w:r w:rsidR="007D3D26">
        <w:t>the funeral audience”</w:t>
      </w:r>
      <w:r w:rsidR="00E13363">
        <w:rPr>
          <w:rStyle w:val="FootnoteReference"/>
        </w:rPr>
        <w:footnoteReference w:id="14"/>
      </w:r>
      <w:r w:rsidR="007C5A22">
        <w:t>. Such as a section of the chariot was placed in front of the body</w:t>
      </w:r>
      <w:r w:rsidR="001A7E9D">
        <w:rPr>
          <w:rStyle w:val="FootnoteReference"/>
        </w:rPr>
        <w:footnoteReference w:id="15"/>
      </w:r>
      <w:r w:rsidR="001A7E9D">
        <w:t>, this shows that deliberate thought was put into the placing of artefacts. Because of this it is possible to con</w:t>
      </w:r>
      <w:r w:rsidR="003E081D">
        <w:t>c</w:t>
      </w:r>
      <w:r w:rsidR="001A7E9D">
        <w:t xml:space="preserve">lude </w:t>
      </w:r>
      <w:r w:rsidR="007C5A22">
        <w:t xml:space="preserve">that there was some kind of ritualistic routine for the burial of warriors, who are stereotypically known to have been high status individuals by Ancient authors </w:t>
      </w:r>
      <w:r w:rsidR="003A6475">
        <w:t xml:space="preserve">like </w:t>
      </w:r>
      <w:r w:rsidR="001A089B">
        <w:t xml:space="preserve">accounts of Caesar and Polybus </w:t>
      </w:r>
      <w:r w:rsidR="007C5A22">
        <w:t xml:space="preserve">as well as modern ones. </w:t>
      </w:r>
      <w:r w:rsidR="00192614">
        <w:t xml:space="preserve">Other objects found in this chariot burial is parts of weaponry, a common trait in others around Britain, </w:t>
      </w:r>
      <w:r w:rsidR="00E55BF3">
        <w:t xml:space="preserve">and it has been argued </w:t>
      </w:r>
      <w:r w:rsidR="00B95391">
        <w:t xml:space="preserve">in the past </w:t>
      </w:r>
      <w:r w:rsidR="00E55BF3">
        <w:t xml:space="preserve">that </w:t>
      </w:r>
      <w:r w:rsidR="00B95391">
        <w:t>this kind of burials</w:t>
      </w:r>
      <w:r w:rsidR="00216B28">
        <w:t xml:space="preserve"> </w:t>
      </w:r>
      <w:r w:rsidR="00B95391">
        <w:t>was specifically for males. Because “swords are markers for elite males”</w:t>
      </w:r>
      <w:r w:rsidR="00B95391">
        <w:rPr>
          <w:rStyle w:val="FootnoteReference"/>
        </w:rPr>
        <w:footnoteReference w:id="16"/>
      </w:r>
      <w:r w:rsidR="00791100">
        <w:t>. Of course</w:t>
      </w:r>
      <w:r w:rsidR="00C343E2">
        <w:t>,</w:t>
      </w:r>
      <w:r w:rsidR="00791100">
        <w:t xml:space="preserve"> following this train of thought, it can be said that jewellery like the brooches, necklaces and </w:t>
      </w:r>
      <w:r w:rsidR="00832A4B">
        <w:t>bracelets must be an overall feminine concept. It is stated by both Dent and Jordan that at least eleven necklaces and multiple mirrors are found in iron age burials.</w:t>
      </w:r>
      <w:r w:rsidR="00832A4B">
        <w:rPr>
          <w:rStyle w:val="FootnoteReference"/>
        </w:rPr>
        <w:footnoteReference w:id="17"/>
      </w:r>
      <w:r w:rsidR="00C343E2">
        <w:t xml:space="preserve"> This </w:t>
      </w:r>
      <w:r w:rsidR="00C343E2">
        <w:lastRenderedPageBreak/>
        <w:t>presents the idea that items that are seen as somewhat ‘shallow’ and less practical were only associated with</w:t>
      </w:r>
      <w:r w:rsidR="00B215CE">
        <w:t xml:space="preserve"> more elite</w:t>
      </w:r>
      <w:r w:rsidR="00C343E2">
        <w:t xml:space="preserve"> women whereas</w:t>
      </w:r>
      <w:r w:rsidR="006F11F1">
        <w:t xml:space="preserve"> elite</w:t>
      </w:r>
      <w:r w:rsidR="00C343E2">
        <w:t xml:space="preserve"> men </w:t>
      </w:r>
      <w:r w:rsidR="00970D5D">
        <w:t>are primarily linked to weaponry and combat. This is obviously not proven, seeing as there have been female chariot burials discovered and that patriarchal views of ancient writers cannot not be trusted in terms of accuracy.</w:t>
      </w:r>
      <w:r w:rsidR="006F11F1">
        <w:t xml:space="preserve"> </w:t>
      </w:r>
      <w:r w:rsidR="00060DF2">
        <w:t>Also</w:t>
      </w:r>
      <w:r w:rsidR="003A2053">
        <w:t>,</w:t>
      </w:r>
      <w:r w:rsidR="00060DF2">
        <w:t xml:space="preserve"> there is an example of a female chariot burial at Wetwang Slack</w:t>
      </w:r>
      <w:r w:rsidR="00DC173B">
        <w:rPr>
          <w:rStyle w:val="FootnoteReference"/>
        </w:rPr>
        <w:footnoteReference w:id="18"/>
      </w:r>
      <w:r w:rsidR="00060DF2">
        <w:t xml:space="preserve"> </w:t>
      </w:r>
      <w:r w:rsidR="00DC173B">
        <w:t>which disproves to an extent that gender had anything to do with status.</w:t>
      </w:r>
    </w:p>
    <w:p w14:paraId="7243F36A" w14:textId="66685A46" w:rsidR="006F11F1" w:rsidRDefault="006F11F1" w:rsidP="007F7A2A">
      <w:r>
        <w:t xml:space="preserve">Another debate is whether the burials showed any indication of trade with other places, it is shown from the burials that it is likely that importing did take place in the beginning and latter stages of the culture. By which there is an indication that “foreign exchange was strong” during the </w:t>
      </w:r>
      <w:r w:rsidR="000B4060">
        <w:t xml:space="preserve">beginning of the La Tene </w:t>
      </w:r>
      <w:r w:rsidR="00F008AF">
        <w:t xml:space="preserve">period and that it is lost in the </w:t>
      </w:r>
      <w:r w:rsidR="000B4060">
        <w:t>middle</w:t>
      </w:r>
      <w:r w:rsidR="00F008AF">
        <w:t xml:space="preserve"> period until it is re-established “as the cemetery was passing out of use”</w:t>
      </w:r>
      <w:r w:rsidR="00F008AF">
        <w:rPr>
          <w:rStyle w:val="FootnoteReference"/>
        </w:rPr>
        <w:footnoteReference w:id="19"/>
      </w:r>
      <w:r w:rsidR="00F008AF">
        <w:t xml:space="preserve">.  This could be argued in multiple ways, one being that the importing of goods was not needed in the middle stages of the community’s development because they were becoming self sufficient in their production and were possibly exporting goods more often than importing which would show that their influence and therefore status would have been higher. However, on the other hand </w:t>
      </w:r>
      <w:r w:rsidR="001A089B">
        <w:t xml:space="preserve">it is also a possible conclusion that the lack of import evidence and therefore trade, may show that the relations with other places were poor which could show that they did not have the influence they did at the beginning and that they had to rely on their own production. </w:t>
      </w:r>
      <w:r w:rsidR="001D2317">
        <w:t xml:space="preserve">This is shown in artefacts such as the beads, because the ones that </w:t>
      </w:r>
      <w:r w:rsidR="006B2E22">
        <w:t>have been recovered are predominantly blue glass and that they were distributed in the area that is thought to be in the middle of the site’s development period.</w:t>
      </w:r>
      <w:r w:rsidR="006B2E22">
        <w:rPr>
          <w:rStyle w:val="FootnoteReference"/>
        </w:rPr>
        <w:footnoteReference w:id="20"/>
      </w:r>
      <w:r w:rsidR="006B2E22">
        <w:t xml:space="preserve"> This does show that there was not a lot of differences in the goods during the time that it was thought that foreign relations were bad. Because it can be thought that societies of higher status would have had a wide range of grave goods in order to show the wealth. Although the beads as an entity could be a symbol of status in itself.</w:t>
      </w:r>
      <w:r w:rsidR="00AE217F">
        <w:t xml:space="preserve"> </w:t>
      </w:r>
    </w:p>
    <w:p w14:paraId="53BFD783" w14:textId="43A1EC6F" w:rsidR="00E72A81" w:rsidRDefault="0079523E" w:rsidP="007F7A2A">
      <w:r>
        <w:t>Overall</w:t>
      </w:r>
      <w:r w:rsidR="00E72A81">
        <w:t>,</w:t>
      </w:r>
      <w:r w:rsidR="00DD2027">
        <w:t xml:space="preserve"> </w:t>
      </w:r>
      <w:r>
        <w:t>the layout of the bodies within the cemetery and the burial itself does seem to show the development of the community at Wetwang Slack. T</w:t>
      </w:r>
      <w:r w:rsidR="00AE217F">
        <w:t xml:space="preserve">he funerary evidence can be said to show social status change in that there were valuable objects such as brooches and other jewellery that is found in a small number of graves from the middle phase of the development which could indicate </w:t>
      </w:r>
      <w:r w:rsidR="002720CF">
        <w:t xml:space="preserve">a rise in social status. However, </w:t>
      </w:r>
      <w:r w:rsidR="00F33F4B">
        <w:t>the evidence of brooches and other jewellery may have been used as burial goods sooner, but the earlier graves may have been damage over the years. As well as this, although there is no obvious evidence of it, there is a slight possibility that any grave goods could have been stolen in the years since the development. It also has to be said that the evidence of jewellery that there is</w:t>
      </w:r>
      <w:r w:rsidR="003A2053">
        <w:t xml:space="preserve">, is in a small amount in general as well as in relation to the cemetery, the lack of evidence can be seen as evidence. Because the fewer the number of ‘rich’ burials such as the number of chariot burials and those with status symbols like brooches, can be an indication that there was high status burials and they mainly took place mid- development of the site. But it can also be argued that it could show that the overall status of the community </w:t>
      </w:r>
      <w:r w:rsidR="008B3156">
        <w:t>is possibly pretty low, considering the valuable goods are not wide-spread.</w:t>
      </w:r>
      <w:r>
        <w:t xml:space="preserve"> Isotopic and other chemical analyses also show that the main area of the cemetery may have been developed over a shorter period of time and that they diet of majority of the bodies are relatively similar, which could show that there was not a clear elite, which is seen to be an important part of the structure of a complex society. </w:t>
      </w:r>
    </w:p>
    <w:p w14:paraId="14544DAA" w14:textId="77777777" w:rsidR="004149AE" w:rsidRDefault="004149AE" w:rsidP="0076743A"/>
    <w:p w14:paraId="49359743" w14:textId="77777777" w:rsidR="004149AE" w:rsidRDefault="004149AE" w:rsidP="0076743A">
      <w:pPr>
        <w:rPr>
          <w:sz w:val="28"/>
          <w:szCs w:val="28"/>
        </w:rPr>
      </w:pPr>
      <w:bookmarkStart w:id="0" w:name="_GoBack"/>
      <w:bookmarkEnd w:id="0"/>
    </w:p>
    <w:p w14:paraId="74E8757F" w14:textId="013429D6" w:rsidR="0076743A" w:rsidRPr="0076743A" w:rsidRDefault="0076743A" w:rsidP="0076743A">
      <w:pPr>
        <w:rPr>
          <w:sz w:val="28"/>
          <w:szCs w:val="28"/>
        </w:rPr>
      </w:pPr>
      <w:r w:rsidRPr="0076743A">
        <w:rPr>
          <w:sz w:val="28"/>
          <w:szCs w:val="28"/>
        </w:rPr>
        <w:lastRenderedPageBreak/>
        <w:t>Bibliography:</w:t>
      </w:r>
    </w:p>
    <w:p w14:paraId="3AF88B8D" w14:textId="14F08C44" w:rsidR="0076743A" w:rsidRPr="0076743A" w:rsidRDefault="0076743A" w:rsidP="0076743A">
      <w:pPr>
        <w:rPr>
          <w:sz w:val="24"/>
        </w:rPr>
      </w:pPr>
      <w:r w:rsidRPr="0076743A">
        <w:rPr>
          <w:sz w:val="24"/>
        </w:rPr>
        <w:t>Journals:</w:t>
      </w:r>
    </w:p>
    <w:p w14:paraId="718DA747" w14:textId="77777777" w:rsidR="001C0207" w:rsidRDefault="001C0207" w:rsidP="001C0207">
      <w:pPr>
        <w:spacing w:after="0" w:line="240" w:lineRule="auto"/>
        <w:textAlignment w:val="baseline"/>
      </w:pPr>
      <w:r>
        <w:t xml:space="preserve">Giles, M. (2015). ‘Performing Pain, Performing Beauty: Dealing With Difficult Death in The Iron Age’, </w:t>
      </w:r>
      <w:r>
        <w:rPr>
          <w:i/>
        </w:rPr>
        <w:t>Cambridge Archaeological Journal</w:t>
      </w:r>
      <w:r>
        <w:t xml:space="preserve">, 25(3), pp.539-550. </w:t>
      </w:r>
      <w:r>
        <w:rPr>
          <w:rFonts w:cstheme="minorHAnsi"/>
        </w:rPr>
        <w:t>DOI:10.1017/S0959774314001036</w:t>
      </w:r>
    </w:p>
    <w:p w14:paraId="48031B0A" w14:textId="77777777" w:rsidR="001C0207" w:rsidRDefault="001C0207" w:rsidP="0076743A">
      <w:pPr>
        <w:spacing w:after="0" w:line="240" w:lineRule="auto"/>
        <w:textAlignment w:val="baseline"/>
      </w:pPr>
    </w:p>
    <w:p w14:paraId="6C0E8200" w14:textId="62573E6F" w:rsidR="0076743A" w:rsidRDefault="0076743A" w:rsidP="0076743A">
      <w:pPr>
        <w:spacing w:after="0" w:line="240" w:lineRule="auto"/>
        <w:textAlignment w:val="baseline"/>
        <w:rPr>
          <w:rFonts w:eastAsia="Times New Roman" w:cstheme="minorHAnsi"/>
          <w:szCs w:val="20"/>
          <w:lang w:eastAsia="en-GB"/>
        </w:rPr>
      </w:pPr>
      <w:r>
        <w:t xml:space="preserve">Jay, M et al. (2012). ‘Chariots and Context: New Radiocarbon Dates From Wetwang and the Chronology of Iron Age Burials and Brooches in East Yorkshire’, </w:t>
      </w:r>
      <w:r>
        <w:rPr>
          <w:i/>
        </w:rPr>
        <w:t xml:space="preserve">Oxford Journal of Archaeology, </w:t>
      </w:r>
      <w:r>
        <w:t xml:space="preserve">31(2), pp.161-189. DOI: </w:t>
      </w:r>
      <w:r>
        <w:rPr>
          <w:rFonts w:eastAsia="Times New Roman" w:cstheme="minorHAnsi"/>
          <w:szCs w:val="20"/>
          <w:lang w:eastAsia="en-GB"/>
        </w:rPr>
        <w:t>10.1111/j.1468-0092.2012.00384.x</w:t>
      </w:r>
    </w:p>
    <w:p w14:paraId="039E3BC8" w14:textId="77777777" w:rsidR="0076743A" w:rsidRDefault="0076743A" w:rsidP="0076743A">
      <w:pPr>
        <w:spacing w:after="0" w:line="240" w:lineRule="auto"/>
        <w:textAlignment w:val="baseline"/>
        <w:rPr>
          <w:rFonts w:ascii="Helvetica" w:eastAsia="Times New Roman" w:hAnsi="Helvetica" w:cs="Helvetica"/>
          <w:sz w:val="20"/>
          <w:szCs w:val="20"/>
          <w:lang w:eastAsia="en-GB"/>
        </w:rPr>
      </w:pPr>
    </w:p>
    <w:p w14:paraId="6F646DAE" w14:textId="75CFCA54" w:rsidR="001C0207" w:rsidRDefault="001C0207" w:rsidP="001C0207">
      <w:pPr>
        <w:spacing w:after="0" w:line="240" w:lineRule="auto"/>
        <w:textAlignment w:val="baseline"/>
        <w:rPr>
          <w:rFonts w:cstheme="minorHAnsi"/>
          <w:szCs w:val="20"/>
        </w:rPr>
      </w:pPr>
      <w:r>
        <w:rPr>
          <w:rFonts w:cstheme="minorHAnsi"/>
        </w:rPr>
        <w:t xml:space="preserve">Jay, M et al. (2013). ‘British Iron Age Chariot Burials of the Arras Culture: </w:t>
      </w:r>
      <w:r w:rsidR="000A75F7">
        <w:rPr>
          <w:rFonts w:cstheme="minorHAnsi"/>
        </w:rPr>
        <w:t>A</w:t>
      </w:r>
      <w:r>
        <w:rPr>
          <w:rFonts w:cstheme="minorHAnsi"/>
        </w:rPr>
        <w:t xml:space="preserve"> Multi-Isotope Approach to Investigating Mobility Levels and Subsistence Practices’, </w:t>
      </w:r>
      <w:r>
        <w:rPr>
          <w:rFonts w:cstheme="minorHAnsi"/>
          <w:i/>
        </w:rPr>
        <w:t xml:space="preserve">World Archaeology, </w:t>
      </w:r>
      <w:r>
        <w:rPr>
          <w:rFonts w:cstheme="minorHAnsi"/>
        </w:rPr>
        <w:t xml:space="preserve">45(3), pp.473-492.  DOI: </w:t>
      </w:r>
      <w:r>
        <w:rPr>
          <w:rFonts w:cstheme="minorHAnsi"/>
          <w:szCs w:val="20"/>
        </w:rPr>
        <w:t>10.1080/00438243.2013.820647</w:t>
      </w:r>
    </w:p>
    <w:p w14:paraId="2BA84503" w14:textId="77777777" w:rsidR="001C0207" w:rsidRDefault="001C0207" w:rsidP="0076743A">
      <w:pPr>
        <w:spacing w:after="0" w:line="240" w:lineRule="auto"/>
        <w:textAlignment w:val="baseline"/>
        <w:rPr>
          <w:rFonts w:eastAsia="Times New Roman" w:cstheme="minorHAnsi"/>
          <w:szCs w:val="20"/>
          <w:lang w:eastAsia="en-GB"/>
        </w:rPr>
      </w:pPr>
    </w:p>
    <w:p w14:paraId="68680BD8" w14:textId="5ECAF866" w:rsidR="0076743A" w:rsidRDefault="0076743A" w:rsidP="0076743A">
      <w:pPr>
        <w:spacing w:after="0" w:line="240" w:lineRule="auto"/>
        <w:textAlignment w:val="baseline"/>
        <w:rPr>
          <w:rFonts w:cstheme="minorHAnsi"/>
        </w:rPr>
      </w:pPr>
      <w:r>
        <w:rPr>
          <w:rFonts w:eastAsia="Times New Roman" w:cstheme="minorHAnsi"/>
          <w:szCs w:val="20"/>
          <w:lang w:eastAsia="en-GB"/>
        </w:rPr>
        <w:t xml:space="preserve">Jordan, A M. (2016). ‘Her Mirror, His Sword: Unbinding Binary Gender and Sex Assumptions in Iron Age British Mortuary Traditions’, </w:t>
      </w:r>
      <w:r>
        <w:rPr>
          <w:rFonts w:eastAsia="Times New Roman" w:cstheme="minorHAnsi"/>
          <w:i/>
          <w:szCs w:val="20"/>
          <w:lang w:eastAsia="en-GB"/>
        </w:rPr>
        <w:t xml:space="preserve">Journal of Archaeological Method and Theory, </w:t>
      </w:r>
      <w:r>
        <w:rPr>
          <w:rFonts w:eastAsia="Times New Roman" w:cstheme="minorHAnsi"/>
          <w:szCs w:val="20"/>
          <w:lang w:eastAsia="en-GB"/>
        </w:rPr>
        <w:t xml:space="preserve">23(3), pp.870-899. </w:t>
      </w:r>
      <w:r>
        <w:rPr>
          <w:rFonts w:cstheme="minorHAnsi"/>
        </w:rPr>
        <w:t>DOI:10.1007/s10816-016-9295-x</w:t>
      </w:r>
    </w:p>
    <w:p w14:paraId="7A9B5367" w14:textId="77777777" w:rsidR="0076743A" w:rsidRDefault="0076743A" w:rsidP="0076743A">
      <w:pPr>
        <w:spacing w:after="0" w:line="240" w:lineRule="auto"/>
        <w:textAlignment w:val="baseline"/>
        <w:rPr>
          <w:rFonts w:cstheme="minorHAnsi"/>
        </w:rPr>
      </w:pPr>
    </w:p>
    <w:p w14:paraId="1D54640E" w14:textId="77777777" w:rsidR="0076743A" w:rsidRDefault="0076743A" w:rsidP="0076743A">
      <w:pPr>
        <w:spacing w:after="0" w:line="240" w:lineRule="auto"/>
        <w:rPr>
          <w:rFonts w:ascii="Helvetica" w:eastAsia="Times New Roman" w:hAnsi="Helvetica" w:cs="Helvetica"/>
          <w:color w:val="555555"/>
          <w:sz w:val="21"/>
          <w:szCs w:val="21"/>
          <w:lang w:eastAsia="en-GB"/>
        </w:rPr>
      </w:pPr>
      <w:r>
        <w:rPr>
          <w:rFonts w:cstheme="minorHAnsi"/>
          <w:szCs w:val="20"/>
        </w:rPr>
        <w:t xml:space="preserve">Linderholm, A et al. (2008). ‘Diet and Status Isotopes and Grave Goods Compared’, </w:t>
      </w:r>
      <w:r>
        <w:rPr>
          <w:rFonts w:cstheme="minorHAnsi"/>
          <w:i/>
          <w:szCs w:val="20"/>
        </w:rPr>
        <w:t xml:space="preserve">Antiquity, </w:t>
      </w:r>
      <w:r>
        <w:rPr>
          <w:rFonts w:cstheme="minorHAnsi"/>
          <w:szCs w:val="20"/>
        </w:rPr>
        <w:t>82, pp.446-461. URL:</w:t>
      </w:r>
      <w:r>
        <w:rPr>
          <w:rFonts w:ascii="Helvetica" w:eastAsia="Times New Roman" w:hAnsi="Helvetica" w:cs="Helvetica"/>
          <w:color w:val="555555"/>
          <w:sz w:val="21"/>
          <w:szCs w:val="21"/>
          <w:lang w:eastAsia="en-GB"/>
        </w:rPr>
        <w:t xml:space="preserve"> </w:t>
      </w:r>
      <w:r>
        <w:rPr>
          <w:rFonts w:eastAsia="Times New Roman" w:cstheme="minorHAnsi"/>
          <w:lang w:eastAsia="en-GB"/>
        </w:rPr>
        <w:t>https://search.proquest.com/docview/217546937?accountid=130472</w:t>
      </w:r>
    </w:p>
    <w:p w14:paraId="498F2475" w14:textId="77777777" w:rsidR="0076743A" w:rsidRDefault="0076743A" w:rsidP="0076743A">
      <w:pPr>
        <w:spacing w:after="0" w:line="240" w:lineRule="auto"/>
        <w:textAlignment w:val="baseline"/>
        <w:rPr>
          <w:rFonts w:cstheme="minorHAnsi"/>
          <w:szCs w:val="20"/>
        </w:rPr>
      </w:pPr>
    </w:p>
    <w:p w14:paraId="13767F43" w14:textId="1F8319BE" w:rsidR="0076743A" w:rsidRDefault="0076743A" w:rsidP="0076743A">
      <w:pPr>
        <w:spacing w:after="0" w:line="240" w:lineRule="auto"/>
        <w:textAlignment w:val="baseline"/>
      </w:pPr>
      <w:r>
        <w:rPr>
          <w:rFonts w:cstheme="minorHAnsi"/>
          <w:szCs w:val="20"/>
        </w:rPr>
        <w:t xml:space="preserve">Peck, J, J. (2013). ‘Status, Health, and Lifestyle in the Middle Iron Age Britain: A Bioarcheology Study of Elites and Non-Elites From East Yorkshire, Northern England’, </w:t>
      </w:r>
      <w:r>
        <w:rPr>
          <w:rFonts w:cstheme="minorHAnsi"/>
          <w:i/>
          <w:szCs w:val="20"/>
        </w:rPr>
        <w:t xml:space="preserve">International Journal of </w:t>
      </w:r>
      <w:r w:rsidR="001C0207">
        <w:rPr>
          <w:rFonts w:cstheme="minorHAnsi"/>
          <w:i/>
          <w:szCs w:val="20"/>
        </w:rPr>
        <w:t>Paleopathology</w:t>
      </w:r>
      <w:r>
        <w:rPr>
          <w:rFonts w:cstheme="minorHAnsi"/>
          <w:i/>
          <w:szCs w:val="20"/>
        </w:rPr>
        <w:t xml:space="preserve">, </w:t>
      </w:r>
      <w:r>
        <w:rPr>
          <w:rFonts w:cstheme="minorHAnsi"/>
          <w:szCs w:val="20"/>
        </w:rPr>
        <w:t xml:space="preserve">Vol.3(2), pp.83-94. URL: </w:t>
      </w:r>
      <w:hyperlink r:id="rId8" w:tgtFrame="_blank" w:tooltip="Persistent link using digital object identifier" w:history="1">
        <w:r>
          <w:rPr>
            <w:rStyle w:val="Hyperlink"/>
            <w:rFonts w:ascii="Arial" w:hAnsi="Arial" w:cs="Arial"/>
            <w:color w:val="007398"/>
            <w:sz w:val="20"/>
            <w:szCs w:val="20"/>
          </w:rPr>
          <w:t>https://doi.org/10.1016/j.ijpp.2013.03.005</w:t>
        </w:r>
      </w:hyperlink>
    </w:p>
    <w:p w14:paraId="43FCF040" w14:textId="77777777" w:rsidR="0076743A" w:rsidRDefault="0076743A" w:rsidP="0076743A">
      <w:pPr>
        <w:spacing w:after="0" w:line="240" w:lineRule="auto"/>
        <w:textAlignment w:val="baseline"/>
      </w:pPr>
    </w:p>
    <w:p w14:paraId="76F39372" w14:textId="77777777" w:rsidR="0076743A" w:rsidRDefault="0076743A" w:rsidP="0076743A">
      <w:pPr>
        <w:spacing w:after="0" w:line="240" w:lineRule="auto"/>
        <w:textAlignment w:val="baseline"/>
        <w:rPr>
          <w:rFonts w:cstheme="minorHAnsi"/>
          <w:szCs w:val="20"/>
        </w:rPr>
      </w:pPr>
    </w:p>
    <w:p w14:paraId="796C7173" w14:textId="77777777" w:rsidR="0076743A" w:rsidRPr="0076743A" w:rsidRDefault="0076743A" w:rsidP="0076743A">
      <w:pPr>
        <w:spacing w:after="0" w:line="240" w:lineRule="auto"/>
        <w:textAlignment w:val="baseline"/>
        <w:rPr>
          <w:rFonts w:cstheme="minorHAnsi"/>
          <w:sz w:val="24"/>
          <w:szCs w:val="20"/>
        </w:rPr>
      </w:pPr>
      <w:r w:rsidRPr="0076743A">
        <w:rPr>
          <w:rFonts w:cstheme="minorHAnsi"/>
          <w:sz w:val="24"/>
          <w:szCs w:val="20"/>
        </w:rPr>
        <w:t>Reviews</w:t>
      </w:r>
    </w:p>
    <w:p w14:paraId="50493E7D" w14:textId="77777777" w:rsidR="0076743A" w:rsidRDefault="0076743A" w:rsidP="0076743A">
      <w:pPr>
        <w:spacing w:after="0" w:line="240" w:lineRule="auto"/>
        <w:textAlignment w:val="baseline"/>
        <w:rPr>
          <w:rFonts w:cstheme="minorHAnsi"/>
          <w:szCs w:val="20"/>
        </w:rPr>
      </w:pPr>
    </w:p>
    <w:p w14:paraId="24EF290A" w14:textId="5E12AF70" w:rsidR="0076743A" w:rsidRDefault="0076743A" w:rsidP="0076743A">
      <w:pPr>
        <w:textAlignment w:val="top"/>
        <w:rPr>
          <w:rFonts w:eastAsia="Times New Roman" w:cstheme="minorHAnsi"/>
          <w:lang w:eastAsia="en-GB"/>
        </w:rPr>
      </w:pPr>
      <w:r>
        <w:rPr>
          <w:rFonts w:cstheme="minorHAnsi"/>
          <w:szCs w:val="20"/>
        </w:rPr>
        <w:t>Moore, T. (2013</w:t>
      </w:r>
      <w:r w:rsidR="00552080">
        <w:rPr>
          <w:rFonts w:cstheme="minorHAnsi"/>
          <w:szCs w:val="20"/>
        </w:rPr>
        <w:t>) ‘</w:t>
      </w:r>
      <w:r>
        <w:rPr>
          <w:rFonts w:cstheme="minorHAnsi"/>
          <w:szCs w:val="42"/>
        </w:rPr>
        <w:t>A forged glamour: landscape, identity and material culture in the Iron Age</w:t>
      </w:r>
      <w:r>
        <w:t xml:space="preserve">’ a review of </w:t>
      </w:r>
      <w:r>
        <w:rPr>
          <w:i/>
        </w:rPr>
        <w:t xml:space="preserve">A forged glamour: landscape, identity and material culture in the Iron Age, </w:t>
      </w:r>
      <w:r>
        <w:t xml:space="preserve">By Melanie Giles. </w:t>
      </w:r>
      <w:r>
        <w:rPr>
          <w:i/>
        </w:rPr>
        <w:t xml:space="preserve"> Antiquity,</w:t>
      </w:r>
      <w:r>
        <w:t xml:space="preserve"> 87, 1238-1239.</w:t>
      </w:r>
      <w:r>
        <w:rPr>
          <w:rFonts w:ascii="Helvetica" w:eastAsia="Times New Roman" w:hAnsi="Helvetica" w:cs="Helvetica"/>
          <w:color w:val="555555"/>
          <w:sz w:val="21"/>
          <w:szCs w:val="21"/>
          <w:lang w:eastAsia="en-GB"/>
        </w:rPr>
        <w:t xml:space="preserve"> </w:t>
      </w:r>
      <w:r>
        <w:rPr>
          <w:rFonts w:eastAsia="Times New Roman" w:cstheme="minorHAnsi"/>
          <w:lang w:eastAsia="en-GB"/>
        </w:rPr>
        <w:t>URL: https://search.proquest.com/docview/1500941406?accountid=130472</w:t>
      </w:r>
    </w:p>
    <w:p w14:paraId="06062021" w14:textId="77777777" w:rsidR="0076743A" w:rsidRDefault="0076743A" w:rsidP="0076743A">
      <w:pPr>
        <w:spacing w:after="0" w:line="240" w:lineRule="auto"/>
        <w:textAlignment w:val="baseline"/>
        <w:rPr>
          <w:rFonts w:cstheme="minorHAnsi"/>
          <w:szCs w:val="20"/>
        </w:rPr>
      </w:pPr>
    </w:p>
    <w:p w14:paraId="471B19D8" w14:textId="58EDFE29" w:rsidR="0076743A" w:rsidRDefault="0076743A" w:rsidP="0076743A">
      <w:pPr>
        <w:rPr>
          <w:rFonts w:cstheme="minorHAnsi"/>
          <w:sz w:val="24"/>
          <w:szCs w:val="24"/>
        </w:rPr>
      </w:pPr>
      <w:r w:rsidRPr="0076743A">
        <w:rPr>
          <w:rFonts w:cstheme="minorHAnsi"/>
          <w:sz w:val="24"/>
          <w:szCs w:val="24"/>
        </w:rPr>
        <w:t>Thes</w:t>
      </w:r>
      <w:r w:rsidR="0061264B">
        <w:rPr>
          <w:rFonts w:cstheme="minorHAnsi"/>
          <w:sz w:val="24"/>
          <w:szCs w:val="24"/>
        </w:rPr>
        <w:t>i</w:t>
      </w:r>
      <w:r w:rsidRPr="0076743A">
        <w:rPr>
          <w:rFonts w:cstheme="minorHAnsi"/>
          <w:sz w:val="24"/>
          <w:szCs w:val="24"/>
        </w:rPr>
        <w:t xml:space="preserve">s: </w:t>
      </w:r>
    </w:p>
    <w:p w14:paraId="71F20B9D" w14:textId="13008A58" w:rsidR="0061264B" w:rsidRPr="0061264B" w:rsidRDefault="0061264B" w:rsidP="0076743A">
      <w:pPr>
        <w:rPr>
          <w:rFonts w:cstheme="minorHAnsi"/>
          <w:szCs w:val="24"/>
        </w:rPr>
      </w:pPr>
      <w:r w:rsidRPr="0061264B">
        <w:rPr>
          <w:rFonts w:cstheme="minorHAnsi"/>
          <w:szCs w:val="24"/>
        </w:rPr>
        <w:t xml:space="preserve">Dent, J, S. (1984) </w:t>
      </w:r>
      <w:r>
        <w:rPr>
          <w:rFonts w:cstheme="minorHAnsi"/>
          <w:i/>
          <w:szCs w:val="24"/>
        </w:rPr>
        <w:t xml:space="preserve">Wet Wang Slack: An Iron Age Cemetery on the Yorkshire Wolds. </w:t>
      </w:r>
      <w:r>
        <w:rPr>
          <w:rFonts w:cstheme="minorHAnsi"/>
          <w:szCs w:val="24"/>
        </w:rPr>
        <w:t>Published Masters Thesis. University of Sheffield. Available at:</w:t>
      </w:r>
      <w:r w:rsidRPr="0061264B">
        <w:t xml:space="preserve"> </w:t>
      </w:r>
      <w:r w:rsidRPr="0061264B">
        <w:rPr>
          <w:rFonts w:cstheme="minorHAnsi"/>
          <w:szCs w:val="24"/>
        </w:rPr>
        <w:t>http://etheses.whiterose.ac.uk/1819/1/DX190573.pdf</w:t>
      </w:r>
    </w:p>
    <w:p w14:paraId="5BBCCD58" w14:textId="17FFBA2B" w:rsidR="0076743A" w:rsidRDefault="0076743A" w:rsidP="0076743A">
      <w:pPr>
        <w:rPr>
          <w:rFonts w:cstheme="minorHAnsi"/>
        </w:rPr>
      </w:pPr>
    </w:p>
    <w:p w14:paraId="33798868" w14:textId="77777777" w:rsidR="0076743A" w:rsidRPr="00791100" w:rsidRDefault="0076743A" w:rsidP="007F7A2A"/>
    <w:p w14:paraId="16CFA4CF" w14:textId="77777777" w:rsidR="00051CAF" w:rsidRDefault="00051CAF" w:rsidP="007F7A2A"/>
    <w:p w14:paraId="671B4E73" w14:textId="1F484B02" w:rsidR="000D691F" w:rsidRPr="00376591" w:rsidRDefault="000D691F" w:rsidP="00466206">
      <w:pPr>
        <w:rPr>
          <w:rFonts w:cstheme="minorHAnsi"/>
        </w:rPr>
      </w:pPr>
    </w:p>
    <w:p w14:paraId="54E6D18B" w14:textId="32585A82" w:rsidR="00466206" w:rsidRPr="00466206" w:rsidRDefault="00466206" w:rsidP="00466206">
      <w:pPr>
        <w:rPr>
          <w:rFonts w:cstheme="minorHAnsi"/>
        </w:rPr>
      </w:pPr>
    </w:p>
    <w:p w14:paraId="4656A80E" w14:textId="77777777" w:rsidR="00466206" w:rsidRDefault="00466206"/>
    <w:sectPr w:rsidR="004662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34001" w14:textId="77777777" w:rsidR="00902459" w:rsidRDefault="00902459" w:rsidP="00942F5A">
      <w:pPr>
        <w:spacing w:after="0" w:line="240" w:lineRule="auto"/>
      </w:pPr>
      <w:r>
        <w:separator/>
      </w:r>
    </w:p>
  </w:endnote>
  <w:endnote w:type="continuationSeparator" w:id="0">
    <w:p w14:paraId="2C4CEAF0" w14:textId="77777777" w:rsidR="00902459" w:rsidRDefault="00902459" w:rsidP="00942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AA3AB" w14:textId="77777777" w:rsidR="00902459" w:rsidRDefault="00902459" w:rsidP="00942F5A">
      <w:pPr>
        <w:spacing w:after="0" w:line="240" w:lineRule="auto"/>
      </w:pPr>
      <w:r>
        <w:separator/>
      </w:r>
    </w:p>
  </w:footnote>
  <w:footnote w:type="continuationSeparator" w:id="0">
    <w:p w14:paraId="13ACDF4D" w14:textId="77777777" w:rsidR="00902459" w:rsidRDefault="00902459" w:rsidP="00942F5A">
      <w:pPr>
        <w:spacing w:after="0" w:line="240" w:lineRule="auto"/>
      </w:pPr>
      <w:r>
        <w:continuationSeparator/>
      </w:r>
    </w:p>
  </w:footnote>
  <w:footnote w:id="1">
    <w:p w14:paraId="597DDAC5" w14:textId="06ABF705" w:rsidR="00D06926" w:rsidRDefault="00D06926">
      <w:pPr>
        <w:pStyle w:val="FootnoteText"/>
      </w:pPr>
      <w:r>
        <w:rPr>
          <w:rStyle w:val="FootnoteReference"/>
        </w:rPr>
        <w:footnoteRef/>
      </w:r>
      <w:r>
        <w:t xml:space="preserve"> Dent</w:t>
      </w:r>
      <w:r w:rsidR="00C0691C">
        <w:t>,</w:t>
      </w:r>
      <w:r>
        <w:t xml:space="preserve"> 1984</w:t>
      </w:r>
    </w:p>
  </w:footnote>
  <w:footnote w:id="2">
    <w:p w14:paraId="53698D44" w14:textId="0E302AB3" w:rsidR="00D06926" w:rsidRDefault="00D06926">
      <w:pPr>
        <w:pStyle w:val="FootnoteText"/>
      </w:pPr>
      <w:r>
        <w:rPr>
          <w:rStyle w:val="FootnoteReference"/>
        </w:rPr>
        <w:footnoteRef/>
      </w:r>
      <w:r>
        <w:t xml:space="preserve"> Dent</w:t>
      </w:r>
      <w:r w:rsidR="00C0691C">
        <w:t>,</w:t>
      </w:r>
      <w:r>
        <w:t xml:space="preserve"> 1984</w:t>
      </w:r>
    </w:p>
  </w:footnote>
  <w:footnote w:id="3">
    <w:p w14:paraId="2D29F5E6" w14:textId="78022E02" w:rsidR="005222D4" w:rsidRDefault="005222D4">
      <w:pPr>
        <w:pStyle w:val="FootnoteText"/>
      </w:pPr>
      <w:r>
        <w:rPr>
          <w:rStyle w:val="FootnoteReference"/>
        </w:rPr>
        <w:footnoteRef/>
      </w:r>
      <w:r>
        <w:t xml:space="preserve"> Jay et al</w:t>
      </w:r>
      <w:r w:rsidR="00C0691C">
        <w:t>.</w:t>
      </w:r>
      <w:r>
        <w:t xml:space="preserve"> 2013</w:t>
      </w:r>
    </w:p>
  </w:footnote>
  <w:footnote w:id="4">
    <w:p w14:paraId="7CE2EF5D" w14:textId="05F275D1" w:rsidR="00D06926" w:rsidRDefault="00D06926">
      <w:pPr>
        <w:pStyle w:val="FootnoteText"/>
      </w:pPr>
      <w:r>
        <w:rPr>
          <w:rStyle w:val="FootnoteReference"/>
        </w:rPr>
        <w:footnoteRef/>
      </w:r>
      <w:r>
        <w:t xml:space="preserve"> Peck</w:t>
      </w:r>
      <w:r w:rsidR="005D620F">
        <w:t>, 2013 and Dent, 1984 mentio</w:t>
      </w:r>
      <w:r w:rsidR="000F44B8">
        <w:t>ns this.</w:t>
      </w:r>
    </w:p>
  </w:footnote>
  <w:footnote w:id="5">
    <w:p w14:paraId="039E5549" w14:textId="68E2CB20" w:rsidR="00D06926" w:rsidRDefault="00D06926">
      <w:pPr>
        <w:pStyle w:val="FootnoteText"/>
      </w:pPr>
      <w:r>
        <w:rPr>
          <w:rStyle w:val="FootnoteReference"/>
        </w:rPr>
        <w:footnoteRef/>
      </w:r>
      <w:r>
        <w:t xml:space="preserve"> Dent</w:t>
      </w:r>
      <w:r w:rsidR="00C0691C">
        <w:t>,</w:t>
      </w:r>
      <w:r>
        <w:t xml:space="preserve"> 1984</w:t>
      </w:r>
    </w:p>
  </w:footnote>
  <w:footnote w:id="6">
    <w:p w14:paraId="10C8B72E" w14:textId="50C358EE" w:rsidR="008D10CF" w:rsidRDefault="008D10CF">
      <w:pPr>
        <w:pStyle w:val="FootnoteText"/>
      </w:pPr>
      <w:r>
        <w:rPr>
          <w:rStyle w:val="FootnoteReference"/>
        </w:rPr>
        <w:footnoteRef/>
      </w:r>
      <w:r>
        <w:t xml:space="preserve"> Jay et al</w:t>
      </w:r>
      <w:r w:rsidR="00C0691C">
        <w:t>.</w:t>
      </w:r>
      <w:r w:rsidR="00216B28">
        <w:t xml:space="preserve"> 2012</w:t>
      </w:r>
    </w:p>
  </w:footnote>
  <w:footnote w:id="7">
    <w:p w14:paraId="528221EB" w14:textId="1CBFFF72" w:rsidR="008D10CF" w:rsidRDefault="008D10CF">
      <w:pPr>
        <w:pStyle w:val="FootnoteText"/>
      </w:pPr>
      <w:r>
        <w:rPr>
          <w:rStyle w:val="FootnoteReference"/>
        </w:rPr>
        <w:footnoteRef/>
      </w:r>
      <w:r>
        <w:t xml:space="preserve"> Jay</w:t>
      </w:r>
      <w:r w:rsidR="00C0691C">
        <w:t xml:space="preserve"> et al. </w:t>
      </w:r>
      <w:r w:rsidR="00216B28">
        <w:t>2012</w:t>
      </w:r>
    </w:p>
  </w:footnote>
  <w:footnote w:id="8">
    <w:p w14:paraId="2F43674B" w14:textId="02619AA4" w:rsidR="006106C5" w:rsidRDefault="006106C5">
      <w:pPr>
        <w:pStyle w:val="FootnoteText"/>
      </w:pPr>
      <w:r>
        <w:rPr>
          <w:rStyle w:val="FootnoteReference"/>
        </w:rPr>
        <w:footnoteRef/>
      </w:r>
      <w:r>
        <w:t xml:space="preserve"> Dent</w:t>
      </w:r>
      <w:r w:rsidR="005E5564">
        <w:t xml:space="preserve">, </w:t>
      </w:r>
      <w:r>
        <w:t>1984</w:t>
      </w:r>
    </w:p>
  </w:footnote>
  <w:footnote w:id="9">
    <w:p w14:paraId="24A1B7F1" w14:textId="77E5EB21" w:rsidR="00105175" w:rsidRDefault="00105175">
      <w:pPr>
        <w:pStyle w:val="FootnoteText"/>
      </w:pPr>
      <w:r>
        <w:rPr>
          <w:rStyle w:val="FootnoteReference"/>
        </w:rPr>
        <w:footnoteRef/>
      </w:r>
      <w:r>
        <w:t xml:space="preserve"> Jay et al</w:t>
      </w:r>
      <w:r w:rsidR="00C0691C">
        <w:t>.</w:t>
      </w:r>
      <w:r w:rsidR="00216B28">
        <w:t xml:space="preserve"> 2012</w:t>
      </w:r>
    </w:p>
  </w:footnote>
  <w:footnote w:id="10">
    <w:p w14:paraId="07E16852" w14:textId="049FD340" w:rsidR="006A0131" w:rsidRDefault="006A0131">
      <w:pPr>
        <w:pStyle w:val="FootnoteText"/>
      </w:pPr>
      <w:r>
        <w:rPr>
          <w:rStyle w:val="FootnoteReference"/>
        </w:rPr>
        <w:footnoteRef/>
      </w:r>
      <w:r>
        <w:t xml:space="preserve"> Dent</w:t>
      </w:r>
      <w:r w:rsidR="005E5564">
        <w:t xml:space="preserve">, </w:t>
      </w:r>
      <w:r>
        <w:t>1984</w:t>
      </w:r>
    </w:p>
  </w:footnote>
  <w:footnote w:id="11">
    <w:p w14:paraId="528C8491" w14:textId="48EAA69C" w:rsidR="007F7A2A" w:rsidRDefault="007F7A2A">
      <w:pPr>
        <w:pStyle w:val="FootnoteText"/>
      </w:pPr>
      <w:r>
        <w:rPr>
          <w:rStyle w:val="FootnoteReference"/>
        </w:rPr>
        <w:footnoteRef/>
      </w:r>
      <w:r>
        <w:t xml:space="preserve"> Dent</w:t>
      </w:r>
      <w:r w:rsidR="005E5564">
        <w:t xml:space="preserve">, </w:t>
      </w:r>
      <w:r>
        <w:t>1984</w:t>
      </w:r>
    </w:p>
  </w:footnote>
  <w:footnote w:id="12">
    <w:p w14:paraId="69FE7283" w14:textId="492506A8" w:rsidR="00225360" w:rsidRDefault="00225360">
      <w:pPr>
        <w:pStyle w:val="FootnoteText"/>
      </w:pPr>
      <w:r>
        <w:rPr>
          <w:rStyle w:val="FootnoteReference"/>
        </w:rPr>
        <w:footnoteRef/>
      </w:r>
      <w:r>
        <w:t xml:space="preserve"> Jordan</w:t>
      </w:r>
      <w:r w:rsidR="005E5564">
        <w:t>, 2016</w:t>
      </w:r>
    </w:p>
    <w:p w14:paraId="089FDC4A" w14:textId="77777777" w:rsidR="00B30C73" w:rsidRDefault="00B30C73" w:rsidP="00B30C73">
      <w:pPr>
        <w:pStyle w:val="FootnoteText"/>
      </w:pPr>
    </w:p>
    <w:p w14:paraId="6A851F8A" w14:textId="77777777" w:rsidR="00225360" w:rsidRDefault="00225360">
      <w:pPr>
        <w:pStyle w:val="FootnoteText"/>
      </w:pPr>
    </w:p>
  </w:footnote>
  <w:footnote w:id="13">
    <w:p w14:paraId="143A519E" w14:textId="70759891" w:rsidR="001A089B" w:rsidRDefault="001A089B">
      <w:pPr>
        <w:pStyle w:val="FootnoteText"/>
      </w:pPr>
      <w:r>
        <w:rPr>
          <w:rStyle w:val="FootnoteReference"/>
        </w:rPr>
        <w:footnoteRef/>
      </w:r>
      <w:r>
        <w:t xml:space="preserve"> Peck</w:t>
      </w:r>
      <w:r w:rsidR="00C0691C">
        <w:t>, 2013</w:t>
      </w:r>
      <w:r>
        <w:t xml:space="preserve"> and Linderholm</w:t>
      </w:r>
      <w:r w:rsidR="00C0691C">
        <w:t>, 2008</w:t>
      </w:r>
    </w:p>
  </w:footnote>
  <w:footnote w:id="14">
    <w:p w14:paraId="4B56F7D9" w14:textId="4E2E24DE" w:rsidR="00E13363" w:rsidRDefault="00E13363">
      <w:pPr>
        <w:pStyle w:val="FootnoteText"/>
      </w:pPr>
      <w:r>
        <w:rPr>
          <w:rStyle w:val="FootnoteReference"/>
        </w:rPr>
        <w:footnoteRef/>
      </w:r>
      <w:r>
        <w:t xml:space="preserve"> Giles</w:t>
      </w:r>
      <w:r w:rsidR="00C0691C">
        <w:t>, 2013</w:t>
      </w:r>
    </w:p>
  </w:footnote>
  <w:footnote w:id="15">
    <w:p w14:paraId="2656369F" w14:textId="69EEF7A9" w:rsidR="001A7E9D" w:rsidRDefault="001A7E9D">
      <w:pPr>
        <w:pStyle w:val="FootnoteText"/>
      </w:pPr>
      <w:r>
        <w:rPr>
          <w:rStyle w:val="FootnoteReference"/>
        </w:rPr>
        <w:footnoteRef/>
      </w:r>
      <w:r>
        <w:t xml:space="preserve"> Giles</w:t>
      </w:r>
      <w:r w:rsidR="00C0691C">
        <w:t>, 2013</w:t>
      </w:r>
    </w:p>
  </w:footnote>
  <w:footnote w:id="16">
    <w:p w14:paraId="3A1724A1" w14:textId="6F24091F" w:rsidR="00B95391" w:rsidRDefault="00B95391">
      <w:pPr>
        <w:pStyle w:val="FootnoteText"/>
      </w:pPr>
      <w:r>
        <w:rPr>
          <w:rStyle w:val="FootnoteReference"/>
        </w:rPr>
        <w:footnoteRef/>
      </w:r>
      <w:r>
        <w:t xml:space="preserve"> Jordan</w:t>
      </w:r>
      <w:r w:rsidR="005E5564">
        <w:t>, 2016</w:t>
      </w:r>
    </w:p>
  </w:footnote>
  <w:footnote w:id="17">
    <w:p w14:paraId="3D56CBF5" w14:textId="419E9563" w:rsidR="00832A4B" w:rsidRDefault="00832A4B">
      <w:pPr>
        <w:pStyle w:val="FootnoteText"/>
      </w:pPr>
      <w:r>
        <w:rPr>
          <w:rStyle w:val="FootnoteReference"/>
        </w:rPr>
        <w:footnoteRef/>
      </w:r>
      <w:r>
        <w:t xml:space="preserve"> Dent</w:t>
      </w:r>
      <w:r w:rsidR="005E5564">
        <w:t>,</w:t>
      </w:r>
      <w:r>
        <w:t xml:space="preserve"> 1984</w:t>
      </w:r>
      <w:r w:rsidR="00482855">
        <w:t xml:space="preserve"> writing about Wetwang Slack and</w:t>
      </w:r>
      <w:r>
        <w:t xml:space="preserve"> Jordan</w:t>
      </w:r>
      <w:r w:rsidR="00482855">
        <w:t>, 2016</w:t>
      </w:r>
      <w:r>
        <w:t xml:space="preserve"> </w:t>
      </w:r>
      <w:r w:rsidR="00482855">
        <w:t>using another site as an example</w:t>
      </w:r>
    </w:p>
  </w:footnote>
  <w:footnote w:id="18">
    <w:p w14:paraId="07466B02" w14:textId="5075A2F6" w:rsidR="00DC173B" w:rsidRDefault="00DC173B">
      <w:pPr>
        <w:pStyle w:val="FootnoteText"/>
      </w:pPr>
      <w:r>
        <w:rPr>
          <w:rStyle w:val="FootnoteReference"/>
        </w:rPr>
        <w:footnoteRef/>
      </w:r>
      <w:r>
        <w:t xml:space="preserve"> Moore</w:t>
      </w:r>
      <w:r w:rsidR="00C0691C">
        <w:t>,</w:t>
      </w:r>
      <w:r>
        <w:t xml:space="preserve"> 2013</w:t>
      </w:r>
    </w:p>
  </w:footnote>
  <w:footnote w:id="19">
    <w:p w14:paraId="6D60251C" w14:textId="21887A95" w:rsidR="00F008AF" w:rsidRDefault="00F008AF">
      <w:pPr>
        <w:pStyle w:val="FootnoteText"/>
      </w:pPr>
      <w:r>
        <w:rPr>
          <w:rStyle w:val="FootnoteReference"/>
        </w:rPr>
        <w:footnoteRef/>
      </w:r>
      <w:r>
        <w:t xml:space="preserve"> Dent</w:t>
      </w:r>
      <w:r w:rsidR="005E5564">
        <w:t>,</w:t>
      </w:r>
      <w:r>
        <w:t xml:space="preserve"> 1984</w:t>
      </w:r>
    </w:p>
  </w:footnote>
  <w:footnote w:id="20">
    <w:p w14:paraId="6E92E6F1" w14:textId="0BD361A0" w:rsidR="006B2E22" w:rsidRDefault="006B2E22">
      <w:pPr>
        <w:pStyle w:val="FootnoteText"/>
      </w:pPr>
      <w:r>
        <w:rPr>
          <w:rStyle w:val="FootnoteReference"/>
        </w:rPr>
        <w:footnoteRef/>
      </w:r>
      <w:r>
        <w:t xml:space="preserve"> Dent</w:t>
      </w:r>
      <w:r w:rsidR="005E5564">
        <w:t>,</w:t>
      </w:r>
      <w:r>
        <w:t xml:space="preserve"> 1984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F10D40"/>
    <w:multiLevelType w:val="hybridMultilevel"/>
    <w:tmpl w:val="176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206"/>
    <w:rsid w:val="00051CAF"/>
    <w:rsid w:val="0005465F"/>
    <w:rsid w:val="00060DF2"/>
    <w:rsid w:val="00073A99"/>
    <w:rsid w:val="000A75F7"/>
    <w:rsid w:val="000B4060"/>
    <w:rsid w:val="000D691F"/>
    <w:rsid w:val="000F44B8"/>
    <w:rsid w:val="00105175"/>
    <w:rsid w:val="00192614"/>
    <w:rsid w:val="0019312E"/>
    <w:rsid w:val="001A089B"/>
    <w:rsid w:val="001A7E9D"/>
    <w:rsid w:val="001C0207"/>
    <w:rsid w:val="001D2317"/>
    <w:rsid w:val="00216B28"/>
    <w:rsid w:val="00225360"/>
    <w:rsid w:val="002503EB"/>
    <w:rsid w:val="002720CF"/>
    <w:rsid w:val="00295568"/>
    <w:rsid w:val="002B7A4F"/>
    <w:rsid w:val="00306F0A"/>
    <w:rsid w:val="003518A4"/>
    <w:rsid w:val="00373FC7"/>
    <w:rsid w:val="00376591"/>
    <w:rsid w:val="00381255"/>
    <w:rsid w:val="003A2053"/>
    <w:rsid w:val="003A5B19"/>
    <w:rsid w:val="003A6475"/>
    <w:rsid w:val="003B6C4E"/>
    <w:rsid w:val="003E081D"/>
    <w:rsid w:val="004149AE"/>
    <w:rsid w:val="00466206"/>
    <w:rsid w:val="00473AD8"/>
    <w:rsid w:val="00482855"/>
    <w:rsid w:val="005222D4"/>
    <w:rsid w:val="00552080"/>
    <w:rsid w:val="005B5747"/>
    <w:rsid w:val="005D3EF0"/>
    <w:rsid w:val="005D620F"/>
    <w:rsid w:val="005E07C5"/>
    <w:rsid w:val="005E5564"/>
    <w:rsid w:val="006106C5"/>
    <w:rsid w:val="0061264B"/>
    <w:rsid w:val="00641EAD"/>
    <w:rsid w:val="00685590"/>
    <w:rsid w:val="006A0131"/>
    <w:rsid w:val="006B2E22"/>
    <w:rsid w:val="006C3A0C"/>
    <w:rsid w:val="006E1C85"/>
    <w:rsid w:val="006F11F1"/>
    <w:rsid w:val="006F79CF"/>
    <w:rsid w:val="00711D2A"/>
    <w:rsid w:val="0072057B"/>
    <w:rsid w:val="00762DB0"/>
    <w:rsid w:val="0076743A"/>
    <w:rsid w:val="00791100"/>
    <w:rsid w:val="0079523E"/>
    <w:rsid w:val="007C5A22"/>
    <w:rsid w:val="007D3D26"/>
    <w:rsid w:val="007F7A2A"/>
    <w:rsid w:val="00804C2B"/>
    <w:rsid w:val="0081058E"/>
    <w:rsid w:val="00832A4B"/>
    <w:rsid w:val="00845509"/>
    <w:rsid w:val="008A3AB7"/>
    <w:rsid w:val="008B3156"/>
    <w:rsid w:val="008B3EFC"/>
    <w:rsid w:val="008D10CF"/>
    <w:rsid w:val="008D2BFA"/>
    <w:rsid w:val="008D3656"/>
    <w:rsid w:val="008D5A23"/>
    <w:rsid w:val="00900679"/>
    <w:rsid w:val="00902459"/>
    <w:rsid w:val="00915199"/>
    <w:rsid w:val="00942F5A"/>
    <w:rsid w:val="009440A2"/>
    <w:rsid w:val="00970D5D"/>
    <w:rsid w:val="009B07DC"/>
    <w:rsid w:val="009E5318"/>
    <w:rsid w:val="00A0785C"/>
    <w:rsid w:val="00A65366"/>
    <w:rsid w:val="00AE217F"/>
    <w:rsid w:val="00B215CE"/>
    <w:rsid w:val="00B30C73"/>
    <w:rsid w:val="00B34C61"/>
    <w:rsid w:val="00B77EE0"/>
    <w:rsid w:val="00B95391"/>
    <w:rsid w:val="00BB64A7"/>
    <w:rsid w:val="00C0691C"/>
    <w:rsid w:val="00C343E2"/>
    <w:rsid w:val="00C81851"/>
    <w:rsid w:val="00CB29E4"/>
    <w:rsid w:val="00CE0507"/>
    <w:rsid w:val="00D06926"/>
    <w:rsid w:val="00D1188F"/>
    <w:rsid w:val="00D65E71"/>
    <w:rsid w:val="00DC173B"/>
    <w:rsid w:val="00DC390F"/>
    <w:rsid w:val="00DD2027"/>
    <w:rsid w:val="00E13363"/>
    <w:rsid w:val="00E2555B"/>
    <w:rsid w:val="00E55BF3"/>
    <w:rsid w:val="00E72A81"/>
    <w:rsid w:val="00EA0918"/>
    <w:rsid w:val="00EB27C6"/>
    <w:rsid w:val="00F008AF"/>
    <w:rsid w:val="00F144A6"/>
    <w:rsid w:val="00F33F4B"/>
    <w:rsid w:val="00FC52DB"/>
    <w:rsid w:val="00FD33DA"/>
    <w:rsid w:val="00FD4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D2087"/>
  <w15:chartTrackingRefBased/>
  <w15:docId w15:val="{17224263-F7A8-4BF5-8CD8-F05A2ED9C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6206"/>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42F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2F5A"/>
    <w:rPr>
      <w:sz w:val="20"/>
      <w:szCs w:val="20"/>
    </w:rPr>
  </w:style>
  <w:style w:type="character" w:styleId="FootnoteReference">
    <w:name w:val="footnote reference"/>
    <w:basedOn w:val="DefaultParagraphFont"/>
    <w:uiPriority w:val="99"/>
    <w:semiHidden/>
    <w:unhideWhenUsed/>
    <w:rsid w:val="00942F5A"/>
    <w:rPr>
      <w:vertAlign w:val="superscript"/>
    </w:rPr>
  </w:style>
  <w:style w:type="paragraph" w:styleId="ListParagraph">
    <w:name w:val="List Paragraph"/>
    <w:basedOn w:val="Normal"/>
    <w:uiPriority w:val="34"/>
    <w:qFormat/>
    <w:rsid w:val="007F7A2A"/>
    <w:pPr>
      <w:spacing w:line="259" w:lineRule="auto"/>
      <w:ind w:left="720"/>
      <w:contextualSpacing/>
    </w:pPr>
  </w:style>
  <w:style w:type="character" w:styleId="Hyperlink">
    <w:name w:val="Hyperlink"/>
    <w:basedOn w:val="DefaultParagraphFont"/>
    <w:uiPriority w:val="99"/>
    <w:semiHidden/>
    <w:unhideWhenUsed/>
    <w:rsid w:val="007674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601771">
      <w:bodyDiv w:val="1"/>
      <w:marLeft w:val="0"/>
      <w:marRight w:val="0"/>
      <w:marTop w:val="0"/>
      <w:marBottom w:val="0"/>
      <w:divBdr>
        <w:top w:val="none" w:sz="0" w:space="0" w:color="auto"/>
        <w:left w:val="none" w:sz="0" w:space="0" w:color="auto"/>
        <w:bottom w:val="none" w:sz="0" w:space="0" w:color="auto"/>
        <w:right w:val="none" w:sz="0" w:space="0" w:color="auto"/>
      </w:divBdr>
    </w:div>
    <w:div w:id="19843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pp.2013.03.00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518FF-3553-4324-950A-DE92A18C8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2300</TotalTime>
  <Pages>4</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dc:creator>
  <cp:keywords/>
  <dc:description/>
  <cp:lastModifiedBy>Sofie</cp:lastModifiedBy>
  <cp:revision>84</cp:revision>
  <dcterms:created xsi:type="dcterms:W3CDTF">2019-01-18T14:35:00Z</dcterms:created>
  <dcterms:modified xsi:type="dcterms:W3CDTF">2019-01-25T10:44:00Z</dcterms:modified>
</cp:coreProperties>
</file>