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F88D1" w14:textId="77777777" w:rsidR="009144BA" w:rsidRDefault="009144BA" w:rsidP="009144BA">
      <w:pPr>
        <w:jc w:val="center"/>
        <w:rPr>
          <w:rFonts w:ascii="Arial" w:hAnsi="Arial" w:cs="Arial"/>
          <w:sz w:val="24"/>
          <w:szCs w:val="24"/>
          <w:u w:val="single"/>
        </w:rPr>
      </w:pPr>
      <w:r>
        <w:rPr>
          <w:rFonts w:ascii="Arial" w:hAnsi="Arial" w:cs="Arial"/>
          <w:sz w:val="24"/>
          <w:szCs w:val="24"/>
          <w:u w:val="single"/>
        </w:rPr>
        <w:t>Leadership of systems of quality: Reflection</w:t>
      </w:r>
    </w:p>
    <w:p w14:paraId="7D00B1F5" w14:textId="77777777" w:rsidR="009144BA" w:rsidRPr="004656BC" w:rsidRDefault="009144BA" w:rsidP="009144BA">
      <w:pPr>
        <w:jc w:val="center"/>
        <w:rPr>
          <w:rFonts w:ascii="Arial" w:hAnsi="Arial" w:cs="Arial"/>
          <w:sz w:val="24"/>
          <w:szCs w:val="24"/>
          <w:u w:val="single"/>
        </w:rPr>
      </w:pPr>
    </w:p>
    <w:p w14:paraId="1EB803C2" w14:textId="77777777" w:rsidR="009144BA" w:rsidRPr="004656BC" w:rsidRDefault="009144BA" w:rsidP="009144BA">
      <w:pPr>
        <w:spacing w:before="100" w:beforeAutospacing="1" w:after="100" w:afterAutospacing="1" w:line="360" w:lineRule="auto"/>
        <w:outlineLvl w:val="1"/>
        <w:rPr>
          <w:rFonts w:ascii="Arial" w:eastAsia="Times New Roman" w:hAnsi="Arial" w:cs="Arial"/>
          <w:b/>
          <w:bCs/>
          <w:kern w:val="0"/>
          <w:sz w:val="24"/>
          <w:szCs w:val="24"/>
          <w:u w:val="single"/>
          <w:lang w:eastAsia="en-GB"/>
          <w14:ligatures w14:val="none"/>
        </w:rPr>
      </w:pPr>
      <w:r w:rsidRPr="004656BC">
        <w:rPr>
          <w:rFonts w:ascii="Arial" w:hAnsi="Arial" w:cs="Arial"/>
          <w:sz w:val="24"/>
          <w:szCs w:val="24"/>
          <w:u w:val="single"/>
        </w:rPr>
        <w:t>Concept of quality</w:t>
      </w:r>
    </w:p>
    <w:p w14:paraId="1474F7C8" w14:textId="77777777" w:rsidR="009144BA" w:rsidRPr="004A30F6"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r w:rsidRPr="004A30F6">
        <w:rPr>
          <w:rFonts w:ascii="Arial" w:eastAsiaTheme="minorEastAsia" w:hAnsi="Arial" w:cs="Arial"/>
          <w:kern w:val="0"/>
          <w:sz w:val="24"/>
          <w:szCs w:val="24"/>
          <w:lang w:eastAsia="en-GB"/>
          <w14:ligatures w14:val="none"/>
        </w:rPr>
        <w:t>Quality is often defined as meeting or exceeding the needs and expectation of those receiving a service (Martin, Elg and Gremyr, 2020; De Giovanni, 2024). Additionally, it can also be understood as how well a service achieves and increases positive outcomes (Atkinson et al., 2010). Furthermore, quality in early years is linked to the ability of settings to support positive developmental outcomes through effective professional practice (OECD, 2018). This suggests that quality is not defined in one way but can include both meeting expectations and achieving effective outcomes. In early years practice this may refers to the standard of care, learning opportunities, and support provided to children within a setting and systems in place to continuously improve practice.  However, Moss (2016) argues that the concept of quality can be an issue, as it is influenced by values and perspectives. This suggests that quality may be understood differently depending on the values and priorities of those defining it. This can be mitigated by considering multiple perspectives, including the views of children, families and practitioners, to ensure that quality reflects a wider range of experiences (Moss, 2016). According to Eadie et al. (2022) quality in early years is often understood through three main areas: structural, process and system quality. Structural quality refers to the policies and regulation within settings, including staff qualification, adult to child ratio and group sizes (Slot, 2018). Similarly, systems quality relates to wider policy and system level supports, such as funding and regulatory standards (Eadie et al., 2022). However, process quality focuses on the experiences children have within the setting, particularly the interactions between practitioners and children (Edwards, 2021). REPEY study highlights that high quality adult and child interaction is key to learning and development (Siraj-Blatchford et al., 2002). This shows that quality in early years is influenced by both policy and regulations and the children’s day to day experiences within an early year’s setting.</w:t>
      </w:r>
    </w:p>
    <w:p w14:paraId="66526003" w14:textId="77777777" w:rsidR="009144BA" w:rsidRPr="004A30F6" w:rsidRDefault="009144BA" w:rsidP="009144BA">
      <w:pPr>
        <w:spacing w:before="100" w:beforeAutospacing="1" w:after="100" w:afterAutospacing="1" w:line="360" w:lineRule="auto"/>
        <w:rPr>
          <w:rFonts w:ascii="Arial" w:eastAsiaTheme="minorEastAsia" w:hAnsi="Arial" w:cs="Arial"/>
          <w:kern w:val="0"/>
          <w:sz w:val="24"/>
          <w:szCs w:val="24"/>
          <w:u w:val="single"/>
          <w:lang w:eastAsia="en-GB"/>
          <w14:ligatures w14:val="none"/>
        </w:rPr>
      </w:pPr>
      <w:r w:rsidRPr="004A30F6">
        <w:rPr>
          <w:rFonts w:ascii="Arial" w:eastAsiaTheme="minorEastAsia" w:hAnsi="Arial" w:cs="Arial"/>
          <w:kern w:val="0"/>
          <w:sz w:val="24"/>
          <w:szCs w:val="24"/>
          <w:u w:val="single"/>
          <w:lang w:eastAsia="en-GB"/>
          <w14:ligatures w14:val="none"/>
        </w:rPr>
        <w:t>Why quality is important</w:t>
      </w:r>
    </w:p>
    <w:p w14:paraId="013A4150" w14:textId="77777777" w:rsidR="009144BA" w:rsidRPr="004A30F6"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r w:rsidRPr="004A30F6">
        <w:rPr>
          <w:rFonts w:ascii="Arial" w:eastAsiaTheme="minorEastAsia" w:hAnsi="Arial" w:cs="Arial"/>
          <w:kern w:val="0"/>
          <w:sz w:val="24"/>
          <w:szCs w:val="24"/>
          <w:lang w:eastAsia="en-GB"/>
          <w14:ligatures w14:val="none"/>
        </w:rPr>
        <w:lastRenderedPageBreak/>
        <w:t xml:space="preserve">Quality is important in early years practice because it shapes how settings operate and supports the maintenance and improvement of standards across the sector (Palaiologou, 2023) a clear focus on quality is important as it helps to set clear professionals standards within early years setting. </w:t>
      </w:r>
      <w:proofErr w:type="spellStart"/>
      <w:r w:rsidRPr="004A30F6">
        <w:rPr>
          <w:rFonts w:ascii="Arial" w:eastAsiaTheme="minorEastAsia" w:hAnsi="Arial" w:cs="Arial"/>
          <w:kern w:val="0"/>
          <w:sz w:val="24"/>
          <w:szCs w:val="24"/>
          <w:lang w:eastAsia="en-GB"/>
          <w14:ligatures w14:val="none"/>
        </w:rPr>
        <w:t>Suchodoletz</w:t>
      </w:r>
      <w:proofErr w:type="spellEnd"/>
      <w:r w:rsidRPr="004A30F6">
        <w:rPr>
          <w:rFonts w:ascii="Arial" w:eastAsiaTheme="minorEastAsia" w:hAnsi="Arial" w:cs="Arial"/>
          <w:kern w:val="0"/>
          <w:sz w:val="24"/>
          <w:szCs w:val="24"/>
          <w:lang w:eastAsia="en-GB"/>
          <w14:ligatures w14:val="none"/>
        </w:rPr>
        <w:t xml:space="preserve"> et al. (2023) highlights that quality in early years is understood through structural and process elements, which reflect expected professional practices within setting. In Wales, quality is closely linked to regulation and accountability through Care Inspectorate Wales (CIW), which is responsible for monitoring and inspecting early years settings. CIW uses quality frameworks to assess whether settings meet required standards and to identify areas for improvement, highlighting the role of quality in maintaining public confidence in early years provision (Care Inspectorate Wales, 2026; Welsh Government, 2024a). Similarly, quality is important in relation to legislation as early years setting must meet statutory requirements (Slot, 2018). Legal requirements are designed to safeguard children’s welfare, promote inclusive practice, and ensure appropriate learning environments (Welsh Government, 2024a). This highlights that by prioritising quality, settings can demonstrate compliance with legislation and show that they can meet regulatory expectations. In contrast, Edwards (2021) highlights that quality should also be understood through relationships and experiences. This highlights that quality in early years setting is not only influenced by regulations but also by the daily practices and relationships that shapes children experiences. Overall, this suggests that quality is important because it influences the environment and experiences children are exposed to and consideration of both structural and interactions that occur in early years setting.</w:t>
      </w:r>
    </w:p>
    <w:p w14:paraId="32E854F5" w14:textId="77777777" w:rsidR="009144BA" w:rsidRPr="004A30F6" w:rsidRDefault="009144BA" w:rsidP="009144BA">
      <w:pPr>
        <w:spacing w:before="100" w:beforeAutospacing="1" w:after="100" w:afterAutospacing="1" w:line="360" w:lineRule="auto"/>
        <w:rPr>
          <w:rFonts w:ascii="Arial" w:eastAsiaTheme="minorEastAsia" w:hAnsi="Arial" w:cs="Arial"/>
          <w:kern w:val="0"/>
          <w:sz w:val="24"/>
          <w:szCs w:val="24"/>
          <w:u w:val="single"/>
          <w:lang w:eastAsia="en-GB"/>
          <w14:ligatures w14:val="none"/>
        </w:rPr>
      </w:pPr>
      <w:r w:rsidRPr="004A30F6">
        <w:rPr>
          <w:rFonts w:ascii="Arial" w:eastAsiaTheme="minorEastAsia" w:hAnsi="Arial" w:cs="Arial"/>
          <w:kern w:val="0"/>
          <w:sz w:val="24"/>
          <w:szCs w:val="24"/>
          <w:u w:val="single"/>
          <w:lang w:eastAsia="en-GB"/>
          <w14:ligatures w14:val="none"/>
        </w:rPr>
        <w:t>Importance of children access to high quality settings</w:t>
      </w:r>
    </w:p>
    <w:p w14:paraId="16100C01" w14:textId="77777777" w:rsidR="009144BA" w:rsidRPr="004A30F6"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r w:rsidRPr="004A30F6">
        <w:rPr>
          <w:rFonts w:ascii="Arial" w:eastAsiaTheme="minorEastAsia" w:hAnsi="Arial" w:cs="Arial"/>
          <w:kern w:val="0"/>
          <w:sz w:val="24"/>
          <w:szCs w:val="24"/>
          <w:lang w:eastAsia="en-GB"/>
          <w14:ligatures w14:val="none"/>
        </w:rPr>
        <w:t xml:space="preserve">A study by Rossbach et al. (2024) found that quality matters as children experience different learning opportunities depending on the quality of their learning environment. According to Welsh Government (2024b) high quality early years provision should be child centred and based on rights, ensuring that children’s needs, interest and voice shape their experiences. This aligns with The United Nations Convention on the Rights of the Child: Article 12, 19, 24, 29 and 31 which emphasises children’s right to be heard, protected from harm, supported in their health and development and able to play and participate freely to reach their </w:t>
      </w:r>
      <w:r w:rsidRPr="004A30F6">
        <w:rPr>
          <w:rFonts w:ascii="Arial" w:eastAsiaTheme="minorEastAsia" w:hAnsi="Arial" w:cs="Arial"/>
          <w:kern w:val="0"/>
          <w:sz w:val="24"/>
          <w:szCs w:val="24"/>
          <w:lang w:eastAsia="en-GB"/>
          <w14:ligatures w14:val="none"/>
        </w:rPr>
        <w:lastRenderedPageBreak/>
        <w:t>potential (UNICEF, 1989). This shows that access to high quality provision is important as it supports children’s wellbeing, development and opportunities to learn through play. During the early years, children develop foundational skills that influence later learning (Brodie, 2018). This is supported by the EPPE and EPPSE study which found that high quality early years settings have long term benefits for children’s learning (Sylva et al., 2004; Sylva et al., 2014).</w:t>
      </w:r>
    </w:p>
    <w:p w14:paraId="00A94EE8" w14:textId="77777777" w:rsidR="009144BA"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r w:rsidRPr="004A30F6">
        <w:rPr>
          <w:rFonts w:ascii="Arial" w:eastAsiaTheme="minorEastAsia" w:hAnsi="Arial" w:cs="Arial"/>
          <w:kern w:val="0"/>
          <w:sz w:val="24"/>
          <w:szCs w:val="24"/>
          <w:lang w:eastAsia="en-GB"/>
          <w14:ligatures w14:val="none"/>
        </w:rPr>
        <w:t>However, research by Rossbach et al. (2024) shows that process quality varies across early years setting, meaning children experience different learning and developmental opportunities. To reduce variations in quality, effective quality assurance methods are required. These include regular inspection, self</w:t>
      </w:r>
      <w:r w:rsidRPr="004A30F6">
        <w:rPr>
          <w:rFonts w:ascii="Arial" w:eastAsiaTheme="minorEastAsia" w:hAnsi="Arial" w:cs="Arial"/>
          <w:kern w:val="0"/>
          <w:sz w:val="24"/>
          <w:szCs w:val="24"/>
          <w:lang w:eastAsia="en-GB"/>
          <w14:ligatures w14:val="none"/>
        </w:rPr>
        <w:noBreakHyphen/>
        <w:t>evaluation, audits, and reflective practice to monitor standards. Ongoing professional development and clear regulatory frameworks support continuous improvement and help ensure more consistent, high</w:t>
      </w:r>
      <w:r w:rsidRPr="004A30F6">
        <w:rPr>
          <w:rFonts w:ascii="Arial" w:eastAsiaTheme="minorEastAsia" w:hAnsi="Arial" w:cs="Arial"/>
          <w:kern w:val="0"/>
          <w:sz w:val="24"/>
          <w:szCs w:val="24"/>
          <w:lang w:eastAsia="en-GB"/>
          <w14:ligatures w14:val="none"/>
        </w:rPr>
        <w:noBreakHyphen/>
        <w:t>quality early years provision ((CSSIW, 2016a; CSSIW, 2016b). In practice the Quality-of-Care Review is used to reflect on practice, gather evidence and identify areas for improvement. It informs improvement plans and provides evidence for CIW inspections.</w:t>
      </w:r>
    </w:p>
    <w:p w14:paraId="7A44CF84" w14:textId="77777777" w:rsidR="009144BA"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p>
    <w:p w14:paraId="3CD9EA1C" w14:textId="77777777" w:rsidR="009144BA" w:rsidRDefault="009144BA" w:rsidP="009144BA">
      <w:pPr>
        <w:spacing w:before="100" w:beforeAutospacing="1" w:after="100" w:afterAutospacing="1" w:line="360" w:lineRule="auto"/>
        <w:rPr>
          <w:rFonts w:ascii="Arial" w:eastAsiaTheme="minorEastAsia" w:hAnsi="Arial" w:cs="Arial"/>
          <w:kern w:val="0"/>
          <w:sz w:val="24"/>
          <w:szCs w:val="24"/>
          <w:u w:val="single"/>
          <w:lang w:eastAsia="en-GB"/>
          <w14:ligatures w14:val="none"/>
        </w:rPr>
      </w:pPr>
      <w:r>
        <w:rPr>
          <w:rFonts w:ascii="Arial" w:eastAsiaTheme="minorEastAsia" w:hAnsi="Arial" w:cs="Arial"/>
          <w:kern w:val="0"/>
          <w:sz w:val="24"/>
          <w:szCs w:val="24"/>
          <w:u w:val="single"/>
          <w:lang w:eastAsia="en-GB"/>
          <w14:ligatures w14:val="none"/>
        </w:rPr>
        <w:t>Critical analysis of two q</w:t>
      </w:r>
      <w:r w:rsidRPr="00E345E1">
        <w:rPr>
          <w:rFonts w:ascii="Arial" w:eastAsiaTheme="minorEastAsia" w:hAnsi="Arial" w:cs="Arial"/>
          <w:kern w:val="0"/>
          <w:sz w:val="24"/>
          <w:szCs w:val="24"/>
          <w:u w:val="single"/>
          <w:lang w:eastAsia="en-GB"/>
          <w14:ligatures w14:val="none"/>
        </w:rPr>
        <w:t xml:space="preserve">uality assurance </w:t>
      </w:r>
      <w:r>
        <w:rPr>
          <w:rFonts w:ascii="Arial" w:eastAsiaTheme="minorEastAsia" w:hAnsi="Arial" w:cs="Arial"/>
          <w:kern w:val="0"/>
          <w:sz w:val="24"/>
          <w:szCs w:val="24"/>
          <w:u w:val="single"/>
          <w:lang w:eastAsia="en-GB"/>
          <w14:ligatures w14:val="none"/>
        </w:rPr>
        <w:t>tools</w:t>
      </w:r>
    </w:p>
    <w:p w14:paraId="0EF71834" w14:textId="77777777" w:rsidR="009144BA"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r w:rsidRPr="00562C14">
        <w:rPr>
          <w:rFonts w:ascii="Arial" w:eastAsiaTheme="minorEastAsia" w:hAnsi="Arial" w:cs="Arial"/>
          <w:kern w:val="0"/>
          <w:sz w:val="24"/>
          <w:szCs w:val="24"/>
          <w:lang w:eastAsia="en-GB"/>
          <w14:ligatures w14:val="none"/>
        </w:rPr>
        <w:t>The Early Childhood Environment Rating Scale (ECERS) is an observational tool used to assess the quality of learning environments in early years settings (Neitzel et al., 2019).</w:t>
      </w:r>
      <w:r>
        <w:rPr>
          <w:rFonts w:ascii="Arial" w:eastAsiaTheme="minorEastAsia" w:hAnsi="Arial" w:cs="Arial"/>
          <w:kern w:val="0"/>
          <w:sz w:val="24"/>
          <w:szCs w:val="24"/>
          <w:lang w:eastAsia="en-GB"/>
          <w14:ligatures w14:val="none"/>
        </w:rPr>
        <w:t xml:space="preserve"> </w:t>
      </w:r>
      <w:proofErr w:type="gramStart"/>
      <w:r w:rsidRPr="00562C14">
        <w:rPr>
          <w:rFonts w:ascii="Arial" w:eastAsiaTheme="minorEastAsia" w:hAnsi="Arial" w:cs="Arial"/>
          <w:kern w:val="0"/>
          <w:sz w:val="24"/>
          <w:szCs w:val="24"/>
          <w:lang w:eastAsia="en-GB"/>
          <w14:ligatures w14:val="none"/>
        </w:rPr>
        <w:t>ECERS</w:t>
      </w:r>
      <w:r w:rsidRPr="00562C14">
        <w:rPr>
          <w:rFonts w:ascii="Arial" w:eastAsiaTheme="minorEastAsia" w:hAnsi="Arial" w:cs="Arial"/>
          <w:kern w:val="0"/>
          <w:sz w:val="24"/>
          <w:szCs w:val="24"/>
          <w:lang w:eastAsia="en-GB"/>
          <w14:ligatures w14:val="none"/>
        </w:rPr>
        <w:noBreakHyphen/>
        <w:t>R,</w:t>
      </w:r>
      <w:proofErr w:type="gramEnd"/>
      <w:r w:rsidRPr="00562C14">
        <w:rPr>
          <w:rFonts w:ascii="Arial" w:eastAsiaTheme="minorEastAsia" w:hAnsi="Arial" w:cs="Arial"/>
          <w:kern w:val="0"/>
          <w:sz w:val="24"/>
          <w:szCs w:val="24"/>
          <w:lang w:eastAsia="en-GB"/>
          <w14:ligatures w14:val="none"/>
        </w:rPr>
        <w:t xml:space="preserve"> has been widely used in early years provision since its introduction in the 1990s and has informed quality assessment, inspection, and research in many settings (Neitzel et al., 2019; Gordon et al., 2015). ECERS</w:t>
      </w:r>
      <w:r w:rsidRPr="00562C14">
        <w:rPr>
          <w:rFonts w:ascii="Arial" w:eastAsiaTheme="minorEastAsia" w:hAnsi="Arial" w:cs="Arial"/>
          <w:kern w:val="0"/>
          <w:sz w:val="24"/>
          <w:szCs w:val="24"/>
          <w:lang w:eastAsia="en-GB"/>
          <w14:ligatures w14:val="none"/>
        </w:rPr>
        <w:noBreakHyphen/>
        <w:t>R rates quality on a scale from inadequate to excellent, based on structured observations of the setting and practice (Neitzel et al., 2019). This has made it a popular tool for providing a consistent and standardised way of judging quality across different early years environments.</w:t>
      </w:r>
      <w:r>
        <w:rPr>
          <w:rFonts w:ascii="Arial" w:eastAsiaTheme="minorEastAsia" w:hAnsi="Arial" w:cs="Arial"/>
          <w:kern w:val="0"/>
          <w:sz w:val="24"/>
          <w:szCs w:val="24"/>
          <w:lang w:eastAsia="en-GB"/>
          <w14:ligatures w14:val="none"/>
        </w:rPr>
        <w:t xml:space="preserve"> </w:t>
      </w:r>
      <w:r w:rsidRPr="0077697E">
        <w:rPr>
          <w:rFonts w:ascii="Arial" w:eastAsiaTheme="minorEastAsia" w:hAnsi="Arial" w:cs="Arial"/>
          <w:kern w:val="0"/>
          <w:sz w:val="24"/>
          <w:szCs w:val="24"/>
          <w:lang w:eastAsia="en-GB"/>
          <w14:ligatures w14:val="none"/>
        </w:rPr>
        <w:t>This links with the National Minimum Standards for Regulated Childcare in Wales, which focus on safe, suitable environments, staffing and routines, areas that are also emphasised within ECERS</w:t>
      </w:r>
      <w:r w:rsidRPr="0077697E">
        <w:rPr>
          <w:rFonts w:ascii="Arial" w:eastAsiaTheme="minorEastAsia" w:hAnsi="Arial" w:cs="Arial"/>
          <w:kern w:val="0"/>
          <w:sz w:val="24"/>
          <w:szCs w:val="24"/>
          <w:lang w:eastAsia="en-GB"/>
          <w14:ligatures w14:val="none"/>
        </w:rPr>
        <w:noBreakHyphen/>
        <w:t xml:space="preserve">R. Care Inspectorate Wales (CIW) uses these standards during inspection to judge whether settings meet minimum requirements </w:t>
      </w:r>
      <w:r w:rsidRPr="0077697E">
        <w:rPr>
          <w:rFonts w:ascii="Arial" w:hAnsi="Arial" w:cs="Arial"/>
          <w:sz w:val="24"/>
          <w:szCs w:val="24"/>
        </w:rPr>
        <w:t>Welsh Government (2023).</w:t>
      </w:r>
      <w:r>
        <w:rPr>
          <w:rFonts w:ascii="Arial" w:eastAsiaTheme="minorEastAsia" w:hAnsi="Arial" w:cs="Arial"/>
          <w:kern w:val="0"/>
          <w:sz w:val="24"/>
          <w:szCs w:val="24"/>
          <w:lang w:eastAsia="en-GB"/>
          <w14:ligatures w14:val="none"/>
        </w:rPr>
        <w:t xml:space="preserve"> </w:t>
      </w:r>
    </w:p>
    <w:p w14:paraId="3868492D" w14:textId="77777777" w:rsidR="009144BA"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r w:rsidRPr="00562C14">
        <w:rPr>
          <w:rFonts w:ascii="Arial" w:eastAsiaTheme="minorEastAsia" w:hAnsi="Arial" w:cs="Arial"/>
          <w:kern w:val="0"/>
          <w:sz w:val="24"/>
          <w:szCs w:val="24"/>
          <w:lang w:eastAsia="en-GB"/>
          <w14:ligatures w14:val="none"/>
        </w:rPr>
        <w:lastRenderedPageBreak/>
        <w:t>However, research has raised concerns about relying on ECERS</w:t>
      </w:r>
      <w:r w:rsidRPr="00562C14">
        <w:rPr>
          <w:rFonts w:ascii="Arial" w:eastAsiaTheme="minorEastAsia" w:hAnsi="Arial" w:cs="Arial"/>
          <w:kern w:val="0"/>
          <w:sz w:val="24"/>
          <w:szCs w:val="24"/>
          <w:lang w:eastAsia="en-GB"/>
          <w14:ligatures w14:val="none"/>
        </w:rPr>
        <w:noBreakHyphen/>
        <w:t xml:space="preserve">R as a sole measure of quality. </w:t>
      </w:r>
      <w:proofErr w:type="spellStart"/>
      <w:r w:rsidRPr="00562C14">
        <w:rPr>
          <w:rFonts w:ascii="Arial" w:eastAsiaTheme="minorEastAsia" w:hAnsi="Arial" w:cs="Arial"/>
          <w:kern w:val="0"/>
          <w:sz w:val="24"/>
          <w:szCs w:val="24"/>
          <w:lang w:eastAsia="en-GB"/>
          <w14:ligatures w14:val="none"/>
        </w:rPr>
        <w:t>Setodji</w:t>
      </w:r>
      <w:proofErr w:type="spellEnd"/>
      <w:r w:rsidRPr="00562C14">
        <w:rPr>
          <w:rFonts w:ascii="Arial" w:eastAsiaTheme="minorEastAsia" w:hAnsi="Arial" w:cs="Arial"/>
          <w:kern w:val="0"/>
          <w:sz w:val="24"/>
          <w:szCs w:val="24"/>
          <w:lang w:eastAsia="en-GB"/>
          <w14:ligatures w14:val="none"/>
        </w:rPr>
        <w:t>, Schaack and Le (2018) highlight issues with the use of ECERS</w:t>
      </w:r>
      <w:r w:rsidRPr="00562C14">
        <w:rPr>
          <w:rFonts w:ascii="Arial" w:eastAsiaTheme="minorEastAsia" w:hAnsi="Arial" w:cs="Arial"/>
          <w:kern w:val="0"/>
          <w:sz w:val="24"/>
          <w:szCs w:val="24"/>
          <w:lang w:eastAsia="en-GB"/>
          <w14:ligatures w14:val="none"/>
        </w:rPr>
        <w:noBreakHyphen/>
        <w:t>R in high</w:t>
      </w:r>
      <w:r w:rsidRPr="00562C14">
        <w:rPr>
          <w:rFonts w:ascii="Arial" w:eastAsiaTheme="minorEastAsia" w:hAnsi="Arial" w:cs="Arial"/>
          <w:kern w:val="0"/>
          <w:sz w:val="24"/>
          <w:szCs w:val="24"/>
          <w:lang w:eastAsia="en-GB"/>
          <w14:ligatures w14:val="none"/>
        </w:rPr>
        <w:noBreakHyphen/>
        <w:t>stakes situations, such as accountability and funding decisions, as evidence linking ECERS</w:t>
      </w:r>
      <w:r w:rsidRPr="00562C14">
        <w:rPr>
          <w:rFonts w:ascii="Arial" w:eastAsiaTheme="minorEastAsia" w:hAnsi="Arial" w:cs="Arial"/>
          <w:kern w:val="0"/>
          <w:sz w:val="24"/>
          <w:szCs w:val="24"/>
          <w:lang w:eastAsia="en-GB"/>
          <w14:ligatures w14:val="none"/>
        </w:rPr>
        <w:noBreakHyphen/>
        <w:t>R scores to children’s learning outcomes is limited. This suggests that while ECERS</w:t>
      </w:r>
      <w:r w:rsidRPr="00562C14">
        <w:rPr>
          <w:rFonts w:ascii="Arial" w:eastAsiaTheme="minorEastAsia" w:hAnsi="Arial" w:cs="Arial"/>
          <w:kern w:val="0"/>
          <w:sz w:val="24"/>
          <w:szCs w:val="24"/>
          <w:lang w:eastAsia="en-GB"/>
          <w14:ligatures w14:val="none"/>
        </w:rPr>
        <w:noBreakHyphen/>
        <w:t>R can provide a broad overview of quality, it may not fully reflect the aspects of provision that most strongly support children’s learning and development.</w:t>
      </w:r>
      <w:r>
        <w:rPr>
          <w:rFonts w:ascii="Arial" w:eastAsiaTheme="minorEastAsia" w:hAnsi="Arial" w:cs="Arial"/>
          <w:kern w:val="0"/>
          <w:sz w:val="24"/>
          <w:szCs w:val="24"/>
          <w:lang w:eastAsia="en-GB"/>
          <w14:ligatures w14:val="none"/>
        </w:rPr>
        <w:t xml:space="preserve"> </w:t>
      </w:r>
      <w:r w:rsidRPr="00562C14">
        <w:rPr>
          <w:rFonts w:ascii="Arial" w:eastAsiaTheme="minorEastAsia" w:hAnsi="Arial" w:cs="Arial"/>
          <w:kern w:val="0"/>
          <w:sz w:val="24"/>
          <w:szCs w:val="24"/>
          <w:lang w:eastAsia="en-GB"/>
          <w14:ligatures w14:val="none"/>
        </w:rPr>
        <w:t xml:space="preserve">One </w:t>
      </w:r>
      <w:r>
        <w:rPr>
          <w:rFonts w:ascii="Arial" w:eastAsiaTheme="minorEastAsia" w:hAnsi="Arial" w:cs="Arial"/>
          <w:kern w:val="0"/>
          <w:sz w:val="24"/>
          <w:szCs w:val="24"/>
          <w:lang w:eastAsia="en-GB"/>
          <w14:ligatures w14:val="none"/>
        </w:rPr>
        <w:t>limitation</w:t>
      </w:r>
      <w:r w:rsidRPr="00562C14">
        <w:rPr>
          <w:rFonts w:ascii="Arial" w:eastAsiaTheme="minorEastAsia" w:hAnsi="Arial" w:cs="Arial"/>
          <w:kern w:val="0"/>
          <w:sz w:val="24"/>
          <w:szCs w:val="24"/>
          <w:lang w:eastAsia="en-GB"/>
          <w14:ligatures w14:val="none"/>
        </w:rPr>
        <w:t xml:space="preserve"> of ECERS</w:t>
      </w:r>
      <w:r w:rsidRPr="00562C14">
        <w:rPr>
          <w:rFonts w:ascii="Arial" w:eastAsiaTheme="minorEastAsia" w:hAnsi="Arial" w:cs="Arial"/>
          <w:kern w:val="0"/>
          <w:sz w:val="24"/>
          <w:szCs w:val="24"/>
          <w:lang w:eastAsia="en-GB"/>
          <w14:ligatures w14:val="none"/>
        </w:rPr>
        <w:noBreakHyphen/>
        <w:t>R is that it may not fully capture process quality, particularly teaching practices and adult–child interactions that support children’s development (Gordon et al., 2015). Gordon et al. (2015) found that measuring structural quality alone, such as resources, space, and routines, does not fully reflect the quality of provision that supports children’s learning outcomes. This is important for practice, as a setting may score well on environmental features while still offering limited opportunities for meaningful interaction and learning.</w:t>
      </w:r>
      <w:r>
        <w:rPr>
          <w:rFonts w:ascii="Arial" w:eastAsiaTheme="minorEastAsia" w:hAnsi="Arial" w:cs="Arial"/>
          <w:kern w:val="0"/>
          <w:sz w:val="24"/>
          <w:szCs w:val="24"/>
          <w:lang w:eastAsia="en-GB"/>
          <w14:ligatures w14:val="none"/>
        </w:rPr>
        <w:t xml:space="preserve"> </w:t>
      </w:r>
      <w:r w:rsidRPr="00D378C3">
        <w:rPr>
          <w:rFonts w:ascii="Arial" w:eastAsiaTheme="minorEastAsia" w:hAnsi="Arial" w:cs="Arial"/>
          <w:kern w:val="0"/>
          <w:sz w:val="24"/>
          <w:szCs w:val="24"/>
          <w:lang w:eastAsia="en-GB"/>
          <w14:ligatures w14:val="none"/>
        </w:rPr>
        <w:t>While ECERS</w:t>
      </w:r>
      <w:r w:rsidRPr="00D378C3">
        <w:rPr>
          <w:rFonts w:ascii="Arial" w:eastAsiaTheme="minorEastAsia" w:hAnsi="Arial" w:cs="Arial"/>
          <w:kern w:val="0"/>
          <w:sz w:val="24"/>
          <w:szCs w:val="24"/>
          <w:lang w:eastAsia="en-GB"/>
          <w14:ligatures w14:val="none"/>
        </w:rPr>
        <w:noBreakHyphen/>
        <w:t>R supports aspects of quality required by the National Minimum Standards, CIW guidance also highlights the importance of children’s learning experiences and interactions</w:t>
      </w:r>
      <w:r w:rsidRPr="009A3DA6">
        <w:rPr>
          <w:rFonts w:ascii="Arial" w:eastAsiaTheme="minorEastAsia" w:hAnsi="Arial" w:cs="Arial"/>
          <w:kern w:val="0"/>
          <w:sz w:val="24"/>
          <w:szCs w:val="24"/>
          <w:lang w:eastAsia="en-GB"/>
          <w14:ligatures w14:val="none"/>
        </w:rPr>
        <w:t xml:space="preserve"> </w:t>
      </w:r>
      <w:r w:rsidRPr="009A3DA6">
        <w:rPr>
          <w:rFonts w:ascii="Arial" w:hAnsi="Arial" w:cs="Arial"/>
          <w:sz w:val="24"/>
          <w:szCs w:val="24"/>
        </w:rPr>
        <w:t>Welsh Government (2023).</w:t>
      </w:r>
      <w:r w:rsidRPr="00D378C3">
        <w:rPr>
          <w:rFonts w:ascii="Arial" w:eastAsiaTheme="minorEastAsia" w:hAnsi="Arial" w:cs="Arial"/>
          <w:kern w:val="0"/>
          <w:sz w:val="24"/>
          <w:szCs w:val="24"/>
          <w:lang w:eastAsia="en-GB"/>
          <w14:ligatures w14:val="none"/>
        </w:rPr>
        <w:t xml:space="preserve"> </w:t>
      </w:r>
      <w:r w:rsidRPr="009A3DA6">
        <w:rPr>
          <w:rFonts w:ascii="Arial" w:eastAsiaTheme="minorEastAsia" w:hAnsi="Arial" w:cs="Arial"/>
          <w:kern w:val="0"/>
          <w:sz w:val="24"/>
          <w:szCs w:val="24"/>
          <w:lang w:eastAsia="en-GB"/>
          <w14:ligatures w14:val="none"/>
        </w:rPr>
        <w:t xml:space="preserve">This </w:t>
      </w:r>
      <w:r w:rsidRPr="00D378C3">
        <w:rPr>
          <w:rFonts w:ascii="Arial" w:eastAsiaTheme="minorEastAsia" w:hAnsi="Arial" w:cs="Arial"/>
          <w:kern w:val="0"/>
          <w:sz w:val="24"/>
          <w:szCs w:val="24"/>
          <w:lang w:eastAsia="en-GB"/>
          <w14:ligatures w14:val="none"/>
        </w:rPr>
        <w:t>suggest</w:t>
      </w:r>
      <w:r w:rsidRPr="009A3DA6">
        <w:rPr>
          <w:rFonts w:ascii="Arial" w:eastAsiaTheme="minorEastAsia" w:hAnsi="Arial" w:cs="Arial"/>
          <w:kern w:val="0"/>
          <w:sz w:val="24"/>
          <w:szCs w:val="24"/>
          <w:lang w:eastAsia="en-GB"/>
          <w14:ligatures w14:val="none"/>
        </w:rPr>
        <w:t>s</w:t>
      </w:r>
      <w:r w:rsidRPr="00D378C3">
        <w:rPr>
          <w:rFonts w:ascii="Arial" w:eastAsiaTheme="minorEastAsia" w:hAnsi="Arial" w:cs="Arial"/>
          <w:kern w:val="0"/>
          <w:sz w:val="24"/>
          <w:szCs w:val="24"/>
          <w:lang w:eastAsia="en-GB"/>
          <w14:ligatures w14:val="none"/>
        </w:rPr>
        <w:t xml:space="preserve"> that meeting environmental standards alone does not fully demonstrate high</w:t>
      </w:r>
      <w:r w:rsidRPr="00D378C3">
        <w:rPr>
          <w:rFonts w:ascii="Arial" w:eastAsiaTheme="minorEastAsia" w:hAnsi="Arial" w:cs="Arial"/>
          <w:kern w:val="0"/>
          <w:sz w:val="24"/>
          <w:szCs w:val="24"/>
          <w:lang w:eastAsia="en-GB"/>
          <w14:ligatures w14:val="none"/>
        </w:rPr>
        <w:noBreakHyphen/>
        <w:t>quality practice.</w:t>
      </w:r>
      <w:r>
        <w:rPr>
          <w:rFonts w:ascii="Arial" w:eastAsiaTheme="minorEastAsia" w:hAnsi="Arial" w:cs="Arial"/>
          <w:kern w:val="0"/>
          <w:sz w:val="24"/>
          <w:szCs w:val="24"/>
          <w:lang w:eastAsia="en-GB"/>
          <w14:ligatures w14:val="none"/>
        </w:rPr>
        <w:t xml:space="preserve"> </w:t>
      </w:r>
    </w:p>
    <w:p w14:paraId="13CC055D" w14:textId="77777777" w:rsidR="009144BA"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To mitigate</w:t>
      </w:r>
      <w:r w:rsidRPr="00562C14">
        <w:rPr>
          <w:rFonts w:ascii="Arial" w:eastAsiaTheme="minorEastAsia" w:hAnsi="Arial" w:cs="Arial"/>
          <w:kern w:val="0"/>
          <w:sz w:val="24"/>
          <w:szCs w:val="24"/>
          <w:lang w:eastAsia="en-GB"/>
          <w14:ligatures w14:val="none"/>
        </w:rPr>
        <w:t xml:space="preserve"> these concerns, a more recent version of the scale, ECERS</w:t>
      </w:r>
      <w:r w:rsidRPr="00562C14">
        <w:rPr>
          <w:rFonts w:ascii="Arial" w:eastAsiaTheme="minorEastAsia" w:hAnsi="Arial" w:cs="Arial"/>
          <w:kern w:val="0"/>
          <w:sz w:val="24"/>
          <w:szCs w:val="24"/>
          <w:lang w:eastAsia="en-GB"/>
          <w14:ligatures w14:val="none"/>
        </w:rPr>
        <w:noBreakHyphen/>
        <w:t>3, was developed. ECERS</w:t>
      </w:r>
      <w:r w:rsidRPr="00562C14">
        <w:rPr>
          <w:rFonts w:ascii="Arial" w:eastAsiaTheme="minorEastAsia" w:hAnsi="Arial" w:cs="Arial"/>
          <w:kern w:val="0"/>
          <w:sz w:val="24"/>
          <w:szCs w:val="24"/>
          <w:lang w:eastAsia="en-GB"/>
          <w14:ligatures w14:val="none"/>
        </w:rPr>
        <w:noBreakHyphen/>
        <w:t>3 measures different areas of quality, including learning opportunities, teacher–child interactions, maths activities, and gross motor provision (Early et al., 2018). Compared to ECERS</w:t>
      </w:r>
      <w:r w:rsidRPr="00562C14">
        <w:rPr>
          <w:rFonts w:ascii="Arial" w:eastAsiaTheme="minorEastAsia" w:hAnsi="Arial" w:cs="Arial"/>
          <w:kern w:val="0"/>
          <w:sz w:val="24"/>
          <w:szCs w:val="24"/>
          <w:lang w:eastAsia="en-GB"/>
          <w14:ligatures w14:val="none"/>
        </w:rPr>
        <w:noBreakHyphen/>
        <w:t>R, ECERS</w:t>
      </w:r>
      <w:r w:rsidRPr="00562C14">
        <w:rPr>
          <w:rFonts w:ascii="Arial" w:eastAsiaTheme="minorEastAsia" w:hAnsi="Arial" w:cs="Arial"/>
          <w:kern w:val="0"/>
          <w:sz w:val="24"/>
          <w:szCs w:val="24"/>
          <w:lang w:eastAsia="en-GB"/>
          <w14:ligatures w14:val="none"/>
        </w:rPr>
        <w:noBreakHyphen/>
        <w:t xml:space="preserve">3 places a greater focus on children’s experiences within the setting and on how practitioners actively support learning, rather than focusing mainly on the physical environment (Neitzel et al., 2019). This </w:t>
      </w:r>
      <w:r>
        <w:rPr>
          <w:rFonts w:ascii="Arial" w:eastAsiaTheme="minorEastAsia" w:hAnsi="Arial" w:cs="Arial"/>
          <w:kern w:val="0"/>
          <w:sz w:val="24"/>
          <w:szCs w:val="24"/>
          <w:lang w:eastAsia="en-GB"/>
          <w14:ligatures w14:val="none"/>
        </w:rPr>
        <w:t>suggests</w:t>
      </w:r>
      <w:r w:rsidRPr="00562C14">
        <w:rPr>
          <w:rFonts w:ascii="Arial" w:eastAsiaTheme="minorEastAsia" w:hAnsi="Arial" w:cs="Arial"/>
          <w:kern w:val="0"/>
          <w:sz w:val="24"/>
          <w:szCs w:val="24"/>
          <w:lang w:eastAsia="en-GB"/>
          <w14:ligatures w14:val="none"/>
        </w:rPr>
        <w:t xml:space="preserve"> a </w:t>
      </w:r>
      <w:r>
        <w:rPr>
          <w:rFonts w:ascii="Arial" w:eastAsiaTheme="minorEastAsia" w:hAnsi="Arial" w:cs="Arial"/>
          <w:kern w:val="0"/>
          <w:sz w:val="24"/>
          <w:szCs w:val="24"/>
          <w:lang w:eastAsia="en-GB"/>
          <w14:ligatures w14:val="none"/>
        </w:rPr>
        <w:t>change</w:t>
      </w:r>
      <w:r w:rsidRPr="00562C14">
        <w:rPr>
          <w:rFonts w:ascii="Arial" w:eastAsiaTheme="minorEastAsia" w:hAnsi="Arial" w:cs="Arial"/>
          <w:kern w:val="0"/>
          <w:sz w:val="24"/>
          <w:szCs w:val="24"/>
          <w:lang w:eastAsia="en-GB"/>
          <w14:ligatures w14:val="none"/>
        </w:rPr>
        <w:t xml:space="preserve"> towards understanding quality as something shaped by practice, not just by resources.</w:t>
      </w:r>
      <w:r>
        <w:rPr>
          <w:rFonts w:ascii="Arial" w:eastAsiaTheme="minorEastAsia" w:hAnsi="Arial" w:cs="Arial"/>
          <w:kern w:val="0"/>
          <w:sz w:val="24"/>
          <w:szCs w:val="24"/>
          <w:lang w:eastAsia="en-GB"/>
          <w14:ligatures w14:val="none"/>
        </w:rPr>
        <w:t xml:space="preserve"> </w:t>
      </w:r>
      <w:r w:rsidRPr="00D378C3">
        <w:rPr>
          <w:rFonts w:ascii="Arial" w:eastAsiaTheme="minorEastAsia" w:hAnsi="Arial" w:cs="Arial"/>
          <w:kern w:val="0"/>
          <w:sz w:val="24"/>
          <w:szCs w:val="24"/>
          <w:lang w:eastAsia="en-GB"/>
          <w14:ligatures w14:val="none"/>
        </w:rPr>
        <w:t>This reflects CIW expectations that quality goes beyond meeting National Minimum Standards and includes how practitioners support children’s learning and wellbeing through everyday interactions</w:t>
      </w:r>
      <w:r w:rsidRPr="0077697E">
        <w:rPr>
          <w:rFonts w:ascii="Arial" w:eastAsiaTheme="minorEastAsia" w:hAnsi="Arial" w:cs="Arial"/>
          <w:kern w:val="0"/>
          <w:sz w:val="24"/>
          <w:szCs w:val="24"/>
          <w:lang w:eastAsia="en-GB"/>
          <w14:ligatures w14:val="none"/>
        </w:rPr>
        <w:t xml:space="preserve"> </w:t>
      </w:r>
      <w:r>
        <w:rPr>
          <w:rFonts w:ascii="Arial" w:eastAsiaTheme="minorEastAsia" w:hAnsi="Arial" w:cs="Arial"/>
          <w:kern w:val="0"/>
          <w:sz w:val="24"/>
          <w:szCs w:val="24"/>
          <w:lang w:eastAsia="en-GB"/>
          <w14:ligatures w14:val="none"/>
        </w:rPr>
        <w:t>(</w:t>
      </w:r>
      <w:r w:rsidRPr="0077697E">
        <w:rPr>
          <w:rFonts w:ascii="Arial" w:hAnsi="Arial" w:cs="Arial"/>
          <w:sz w:val="24"/>
          <w:szCs w:val="24"/>
        </w:rPr>
        <w:t>Welsh Government</w:t>
      </w:r>
      <w:r>
        <w:rPr>
          <w:rFonts w:ascii="Arial" w:hAnsi="Arial" w:cs="Arial"/>
          <w:sz w:val="24"/>
          <w:szCs w:val="24"/>
        </w:rPr>
        <w:t xml:space="preserve">, </w:t>
      </w:r>
      <w:r w:rsidRPr="0077697E">
        <w:rPr>
          <w:rFonts w:ascii="Arial" w:hAnsi="Arial" w:cs="Arial"/>
          <w:sz w:val="24"/>
          <w:szCs w:val="24"/>
        </w:rPr>
        <w:t>2023).</w:t>
      </w:r>
      <w:r>
        <w:rPr>
          <w:rFonts w:ascii="Arial" w:eastAsiaTheme="minorEastAsia" w:hAnsi="Arial" w:cs="Arial"/>
          <w:kern w:val="0"/>
          <w:sz w:val="24"/>
          <w:szCs w:val="24"/>
          <w:lang w:eastAsia="en-GB"/>
          <w14:ligatures w14:val="none"/>
        </w:rPr>
        <w:t xml:space="preserve"> </w:t>
      </w:r>
      <w:r w:rsidRPr="00562C14">
        <w:rPr>
          <w:rFonts w:ascii="Arial" w:eastAsiaTheme="minorEastAsia" w:hAnsi="Arial" w:cs="Arial"/>
          <w:kern w:val="0"/>
          <w:sz w:val="24"/>
          <w:szCs w:val="24"/>
          <w:lang w:eastAsia="en-GB"/>
          <w14:ligatures w14:val="none"/>
        </w:rPr>
        <w:t>In practice, this highlights that quality in early years settings is not only influenced by the availability of space and materials, but by how practitioners use the environment to support children’s learning and development (Neitzel et al., 2019). Research also shows that ECERS</w:t>
      </w:r>
      <w:r w:rsidRPr="00562C14">
        <w:rPr>
          <w:rFonts w:ascii="Arial" w:eastAsiaTheme="minorEastAsia" w:hAnsi="Arial" w:cs="Arial"/>
          <w:kern w:val="0"/>
          <w:sz w:val="24"/>
          <w:szCs w:val="24"/>
          <w:lang w:eastAsia="en-GB"/>
          <w14:ligatures w14:val="none"/>
        </w:rPr>
        <w:noBreakHyphen/>
        <w:t>R and ECERS</w:t>
      </w:r>
      <w:r w:rsidRPr="00562C14">
        <w:rPr>
          <w:rFonts w:ascii="Arial" w:eastAsiaTheme="minorEastAsia" w:hAnsi="Arial" w:cs="Arial"/>
          <w:kern w:val="0"/>
          <w:sz w:val="24"/>
          <w:szCs w:val="24"/>
          <w:lang w:eastAsia="en-GB"/>
          <w14:ligatures w14:val="none"/>
        </w:rPr>
        <w:noBreakHyphen/>
        <w:t xml:space="preserve">3 do not always rate the same setting in the same way, suggesting that judgements about quality can vary depending on which version of the scale is used (Neitzel et al., 2019). This reinforces </w:t>
      </w:r>
      <w:r w:rsidRPr="00562C14">
        <w:rPr>
          <w:rFonts w:ascii="Arial" w:eastAsiaTheme="minorEastAsia" w:hAnsi="Arial" w:cs="Arial"/>
          <w:kern w:val="0"/>
          <w:sz w:val="24"/>
          <w:szCs w:val="24"/>
          <w:lang w:eastAsia="en-GB"/>
          <w14:ligatures w14:val="none"/>
        </w:rPr>
        <w:lastRenderedPageBreak/>
        <w:t>the idea that quality is complex and that assessment tools should be used alongside professional judgement and reflective practice when evaluating early years provision.</w:t>
      </w:r>
    </w:p>
    <w:p w14:paraId="14F6753D" w14:textId="77777777" w:rsidR="009144BA" w:rsidRPr="00E050EC" w:rsidRDefault="009144BA" w:rsidP="009144BA">
      <w:pPr>
        <w:spacing w:before="100" w:beforeAutospacing="1" w:after="100" w:afterAutospacing="1" w:line="360" w:lineRule="auto"/>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t xml:space="preserve">The Sustained Shared Thinking and Emotional Wellbeing (SSTEW) scale is an observational tool used to assess process quality in early years, with a </w:t>
      </w:r>
      <w:r w:rsidRPr="00E36156">
        <w:rPr>
          <w:rFonts w:ascii="Arial" w:eastAsiaTheme="minorEastAsia" w:hAnsi="Arial" w:cs="Arial"/>
          <w:kern w:val="0"/>
          <w:sz w:val="24"/>
          <w:szCs w:val="24"/>
          <w:lang w:eastAsia="en-GB"/>
          <w14:ligatures w14:val="none"/>
        </w:rPr>
        <w:t>focus on quality of adult child</w:t>
      </w:r>
      <w:r>
        <w:rPr>
          <w:rFonts w:ascii="Arial" w:eastAsiaTheme="minorEastAsia" w:hAnsi="Arial" w:cs="Arial"/>
          <w:kern w:val="0"/>
          <w:sz w:val="24"/>
          <w:szCs w:val="24"/>
          <w:lang w:eastAsia="en-GB"/>
          <w14:ligatures w14:val="none"/>
        </w:rPr>
        <w:t xml:space="preserve"> </w:t>
      </w:r>
      <w:r w:rsidRPr="00E36156">
        <w:rPr>
          <w:rFonts w:ascii="Arial" w:eastAsiaTheme="minorEastAsia" w:hAnsi="Arial" w:cs="Arial"/>
          <w:kern w:val="0"/>
          <w:sz w:val="24"/>
          <w:szCs w:val="24"/>
          <w:lang w:eastAsia="en-GB"/>
          <w14:ligatures w14:val="none"/>
        </w:rPr>
        <w:t>interactions</w:t>
      </w:r>
      <w:r>
        <w:rPr>
          <w:rFonts w:ascii="Arial" w:eastAsiaTheme="minorEastAsia" w:hAnsi="Arial" w:cs="Arial"/>
          <w:kern w:val="0"/>
          <w:sz w:val="24"/>
          <w:szCs w:val="24"/>
          <w:lang w:eastAsia="en-GB"/>
          <w14:ligatures w14:val="none"/>
        </w:rPr>
        <w:t xml:space="preserve">, emotional wellbeing and pedagogy </w:t>
      </w:r>
      <w:r w:rsidRPr="00E36156">
        <w:rPr>
          <w:rFonts w:ascii="Arial" w:eastAsiaTheme="minorEastAsia" w:hAnsi="Arial" w:cs="Arial"/>
          <w:kern w:val="0"/>
          <w:sz w:val="24"/>
          <w:szCs w:val="24"/>
          <w:lang w:eastAsia="en-GB"/>
          <w14:ligatures w14:val="none"/>
        </w:rPr>
        <w:t>(Howard et al., 2018</w:t>
      </w:r>
      <w:r>
        <w:rPr>
          <w:rFonts w:ascii="Arial" w:eastAsiaTheme="minorEastAsia" w:hAnsi="Arial" w:cs="Arial"/>
          <w:kern w:val="0"/>
          <w:sz w:val="24"/>
          <w:szCs w:val="24"/>
          <w:lang w:eastAsia="en-GB"/>
          <w14:ligatures w14:val="none"/>
        </w:rPr>
        <w:t xml:space="preserve">; </w:t>
      </w:r>
      <w:r w:rsidRPr="004F53AD">
        <w:rPr>
          <w:rFonts w:ascii="Arial" w:eastAsiaTheme="minorEastAsia" w:hAnsi="Arial" w:cs="Arial"/>
          <w:kern w:val="0"/>
          <w:sz w:val="24"/>
          <w:szCs w:val="24"/>
          <w:lang w:eastAsia="en-GB"/>
          <w14:ligatures w14:val="none"/>
        </w:rPr>
        <w:t>Siraj, Kingston and Melhuish, 2023)</w:t>
      </w:r>
      <w:r>
        <w:rPr>
          <w:rFonts w:ascii="Arial" w:eastAsiaTheme="minorEastAsia" w:hAnsi="Arial" w:cs="Arial"/>
          <w:kern w:val="0"/>
          <w:sz w:val="24"/>
          <w:szCs w:val="24"/>
          <w:lang w:eastAsia="en-GB"/>
          <w14:ligatures w14:val="none"/>
        </w:rPr>
        <w:t xml:space="preserve">. </w:t>
      </w:r>
      <w:r w:rsidRPr="0015055A">
        <w:rPr>
          <w:rFonts w:ascii="Arial" w:eastAsiaTheme="minorEastAsia" w:hAnsi="Arial" w:cs="Arial"/>
          <w:kern w:val="0"/>
          <w:sz w:val="24"/>
          <w:szCs w:val="24"/>
          <w:lang w:eastAsia="en-GB"/>
          <w14:ligatures w14:val="none"/>
        </w:rPr>
        <w:t xml:space="preserve">The REPEY study by </w:t>
      </w:r>
      <w:r w:rsidRPr="0015055A">
        <w:rPr>
          <w:rStyle w:val="normaltextrun"/>
          <w:rFonts w:ascii="Arial" w:hAnsi="Arial" w:cs="Arial"/>
          <w:sz w:val="24"/>
          <w:szCs w:val="24"/>
        </w:rPr>
        <w:t>Siraj-Blatchford et al. (2002)</w:t>
      </w:r>
      <w:r w:rsidRPr="0015055A">
        <w:rPr>
          <w:rFonts w:ascii="Arial" w:eastAsiaTheme="minorEastAsia" w:hAnsi="Arial" w:cs="Arial"/>
          <w:kern w:val="0"/>
          <w:sz w:val="24"/>
          <w:szCs w:val="24"/>
          <w:lang w:eastAsia="en-GB"/>
          <w14:ligatures w14:val="none"/>
        </w:rPr>
        <w:t xml:space="preserve"> influenced the development of SSTEW </w:t>
      </w:r>
      <w:r w:rsidRPr="00E050EC">
        <w:rPr>
          <w:rFonts w:ascii="Arial" w:eastAsiaTheme="minorEastAsia" w:hAnsi="Arial" w:cs="Arial"/>
          <w:kern w:val="0"/>
          <w:sz w:val="24"/>
          <w:szCs w:val="24"/>
          <w:lang w:eastAsia="en-GB"/>
          <w14:ligatures w14:val="none"/>
        </w:rPr>
        <w:t>which highlighted that high quality adult</w:t>
      </w:r>
      <w:r w:rsidRPr="0015055A">
        <w:rPr>
          <w:rFonts w:ascii="Arial" w:eastAsiaTheme="minorEastAsia" w:hAnsi="Arial" w:cs="Arial"/>
          <w:kern w:val="0"/>
          <w:sz w:val="24"/>
          <w:szCs w:val="24"/>
          <w:lang w:eastAsia="en-GB"/>
          <w14:ligatures w14:val="none"/>
        </w:rPr>
        <w:t xml:space="preserve"> and </w:t>
      </w:r>
      <w:r w:rsidRPr="00E050EC">
        <w:rPr>
          <w:rFonts w:ascii="Arial" w:eastAsiaTheme="minorEastAsia" w:hAnsi="Arial" w:cs="Arial"/>
          <w:kern w:val="0"/>
          <w:sz w:val="24"/>
          <w:szCs w:val="24"/>
          <w:lang w:eastAsia="en-GB"/>
          <w14:ligatures w14:val="none"/>
        </w:rPr>
        <w:t>child interactions have a strong impact on children’s learning and long-term outcomes.</w:t>
      </w:r>
      <w:r>
        <w:rPr>
          <w:rFonts w:ascii="Arial" w:eastAsiaTheme="minorEastAsia" w:hAnsi="Arial" w:cs="Arial"/>
          <w:kern w:val="0"/>
          <w:sz w:val="24"/>
          <w:szCs w:val="24"/>
          <w:lang w:eastAsia="en-GB"/>
          <w14:ligatures w14:val="none"/>
        </w:rPr>
        <w:t xml:space="preserve"> Additionally, research from the EPPE study identified sustained shared thinking as a key feature of effective early years provision (Sylva et al., 2004). Furthermore, </w:t>
      </w:r>
      <w:r w:rsidRPr="002611DF">
        <w:rPr>
          <w:rFonts w:ascii="Arial" w:eastAsiaTheme="minorEastAsia" w:hAnsi="Arial" w:cs="Arial"/>
          <w:kern w:val="0"/>
          <w:sz w:val="24"/>
          <w:szCs w:val="24"/>
          <w:lang w:eastAsia="en-GB"/>
          <w14:ligatures w14:val="none"/>
        </w:rPr>
        <w:t>Howard et al.</w:t>
      </w:r>
      <w:r w:rsidRPr="00E36156">
        <w:rPr>
          <w:rFonts w:ascii="Arial" w:eastAsiaTheme="minorEastAsia" w:hAnsi="Arial" w:cs="Arial"/>
          <w:kern w:val="0"/>
          <w:sz w:val="24"/>
          <w:szCs w:val="24"/>
          <w:lang w:eastAsia="en-GB"/>
          <w14:ligatures w14:val="none"/>
        </w:rPr>
        <w:t xml:space="preserve"> (</w:t>
      </w:r>
      <w:r w:rsidRPr="002611DF">
        <w:rPr>
          <w:rFonts w:ascii="Arial" w:eastAsiaTheme="minorEastAsia" w:hAnsi="Arial" w:cs="Arial"/>
          <w:kern w:val="0"/>
          <w:sz w:val="24"/>
          <w:szCs w:val="24"/>
          <w:lang w:eastAsia="en-GB"/>
          <w14:ligatures w14:val="none"/>
        </w:rPr>
        <w:t>2018)</w:t>
      </w:r>
      <w:r w:rsidRPr="00E36156">
        <w:rPr>
          <w:rFonts w:ascii="Arial" w:eastAsiaTheme="minorEastAsia" w:hAnsi="Arial" w:cs="Arial"/>
          <w:kern w:val="0"/>
          <w:sz w:val="24"/>
          <w:szCs w:val="24"/>
          <w:lang w:eastAsia="en-GB"/>
          <w14:ligatures w14:val="none"/>
        </w:rPr>
        <w:t xml:space="preserve"> study found that higher scores on the SSTEW scale are associated with stronger learning outcomes, emphasising the importance of high-quality interactions in early years practice.</w:t>
      </w:r>
      <w:r w:rsidRPr="00E050EC">
        <w:rPr>
          <w:rFonts w:ascii="Arial" w:eastAsiaTheme="minorEastAsia" w:hAnsi="Arial" w:cs="Arial"/>
          <w:kern w:val="0"/>
          <w:sz w:val="24"/>
          <w:szCs w:val="24"/>
          <w:lang w:eastAsia="en-GB"/>
          <w14:ligatures w14:val="none"/>
        </w:rPr>
        <w:t xml:space="preserve"> This suggests that, unlike ECERS, SSTEW places </w:t>
      </w:r>
      <w:r>
        <w:rPr>
          <w:rFonts w:ascii="Arial" w:eastAsiaTheme="minorEastAsia" w:hAnsi="Arial" w:cs="Arial"/>
          <w:kern w:val="0"/>
          <w:sz w:val="24"/>
          <w:szCs w:val="24"/>
          <w:lang w:eastAsia="en-GB"/>
          <w14:ligatures w14:val="none"/>
        </w:rPr>
        <w:t xml:space="preserve">more </w:t>
      </w:r>
      <w:r w:rsidRPr="00E050EC">
        <w:rPr>
          <w:rFonts w:ascii="Arial" w:eastAsiaTheme="minorEastAsia" w:hAnsi="Arial" w:cs="Arial"/>
          <w:kern w:val="0"/>
          <w:sz w:val="24"/>
          <w:szCs w:val="24"/>
          <w:lang w:eastAsia="en-GB"/>
          <w14:ligatures w14:val="none"/>
        </w:rPr>
        <w:t>emphasis on process quality, particularly how practitioners support children’s thinking, language, and emotional development through everyday interactions.</w:t>
      </w:r>
      <w:r>
        <w:rPr>
          <w:rFonts w:ascii="Arial" w:eastAsiaTheme="minorEastAsia" w:hAnsi="Arial" w:cs="Arial"/>
          <w:kern w:val="0"/>
          <w:sz w:val="24"/>
          <w:szCs w:val="24"/>
          <w:lang w:eastAsia="en-GB"/>
          <w14:ligatures w14:val="none"/>
        </w:rPr>
        <w:t xml:space="preserve"> </w:t>
      </w:r>
    </w:p>
    <w:p w14:paraId="4DFC5E54" w14:textId="77777777" w:rsidR="009144BA" w:rsidRDefault="009144BA" w:rsidP="009144BA">
      <w:pPr>
        <w:spacing w:before="100" w:beforeAutospacing="1" w:after="100" w:afterAutospacing="1" w:line="360" w:lineRule="auto"/>
        <w:rPr>
          <w:rFonts w:ascii="Arial" w:hAnsi="Arial" w:cs="Arial"/>
          <w:sz w:val="24"/>
          <w:szCs w:val="24"/>
        </w:rPr>
      </w:pPr>
      <w:r>
        <w:rPr>
          <w:rFonts w:ascii="Arial" w:eastAsiaTheme="minorEastAsia" w:hAnsi="Arial" w:cs="Arial"/>
          <w:kern w:val="0"/>
          <w:sz w:val="24"/>
          <w:szCs w:val="24"/>
          <w:lang w:eastAsia="en-GB"/>
          <w14:ligatures w14:val="none"/>
        </w:rPr>
        <w:t>However, as SSTEW relies on structured observation and professional judgement to assess quality (</w:t>
      </w:r>
      <w:r w:rsidRPr="002611DF">
        <w:rPr>
          <w:rFonts w:ascii="Arial" w:eastAsiaTheme="minorEastAsia" w:hAnsi="Arial" w:cs="Arial"/>
          <w:kern w:val="0"/>
          <w:sz w:val="24"/>
          <w:szCs w:val="24"/>
          <w:lang w:eastAsia="en-GB"/>
          <w14:ligatures w14:val="none"/>
        </w:rPr>
        <w:t>Howard et al.</w:t>
      </w:r>
      <w:r>
        <w:rPr>
          <w:rFonts w:ascii="Arial" w:eastAsiaTheme="minorEastAsia" w:hAnsi="Arial" w:cs="Arial"/>
          <w:kern w:val="0"/>
          <w:sz w:val="24"/>
          <w:szCs w:val="24"/>
          <w:lang w:eastAsia="en-GB"/>
          <w14:ligatures w14:val="none"/>
        </w:rPr>
        <w:t>,</w:t>
      </w:r>
      <w:r w:rsidRPr="002611DF">
        <w:rPr>
          <w:rFonts w:ascii="Arial" w:eastAsiaTheme="minorEastAsia" w:hAnsi="Arial" w:cs="Arial"/>
          <w:kern w:val="0"/>
          <w:sz w:val="24"/>
          <w:szCs w:val="24"/>
          <w:lang w:eastAsia="en-GB"/>
          <w14:ligatures w14:val="none"/>
        </w:rPr>
        <w:t>2018)</w:t>
      </w:r>
      <w:r>
        <w:rPr>
          <w:rFonts w:ascii="Arial" w:eastAsiaTheme="minorEastAsia" w:hAnsi="Arial" w:cs="Arial"/>
          <w:kern w:val="0"/>
          <w:sz w:val="24"/>
          <w:szCs w:val="24"/>
          <w:lang w:eastAsia="en-GB"/>
          <w14:ligatures w14:val="none"/>
        </w:rPr>
        <w:t>, in practice there is a potential for variation in how it is interpreted.</w:t>
      </w:r>
      <w:r w:rsidRPr="00E36156">
        <w:rPr>
          <w:rFonts w:ascii="Arial" w:eastAsiaTheme="minorEastAsia" w:hAnsi="Arial" w:cs="Arial"/>
          <w:kern w:val="0"/>
          <w:sz w:val="24"/>
          <w:szCs w:val="24"/>
          <w:lang w:eastAsia="en-GB"/>
          <w14:ligatures w14:val="none"/>
        </w:rPr>
        <w:t xml:space="preserve"> </w:t>
      </w:r>
      <w:r w:rsidRPr="00B67ECE">
        <w:rPr>
          <w:rFonts w:ascii="Arial" w:eastAsiaTheme="minorEastAsia" w:hAnsi="Arial" w:cs="Arial"/>
          <w:kern w:val="0"/>
          <w:sz w:val="24"/>
          <w:szCs w:val="24"/>
          <w:lang w:eastAsia="en-GB"/>
          <w14:ligatures w14:val="none"/>
        </w:rPr>
        <w:t xml:space="preserve">Waters and MacDonald, </w:t>
      </w:r>
      <w:r w:rsidRPr="00E36156">
        <w:rPr>
          <w:rFonts w:ascii="Arial" w:eastAsiaTheme="minorEastAsia" w:hAnsi="Arial" w:cs="Arial"/>
          <w:kern w:val="0"/>
          <w:sz w:val="24"/>
          <w:szCs w:val="24"/>
          <w:lang w:eastAsia="en-GB"/>
          <w14:ligatures w14:val="none"/>
        </w:rPr>
        <w:t>(</w:t>
      </w:r>
      <w:r w:rsidRPr="00B67ECE">
        <w:rPr>
          <w:rFonts w:ascii="Arial" w:eastAsiaTheme="minorEastAsia" w:hAnsi="Arial" w:cs="Arial"/>
          <w:kern w:val="0"/>
          <w:sz w:val="24"/>
          <w:szCs w:val="24"/>
          <w:lang w:eastAsia="en-GB"/>
          <w14:ligatures w14:val="none"/>
        </w:rPr>
        <w:t>2020)</w:t>
      </w:r>
      <w:r w:rsidRPr="00E36156">
        <w:rPr>
          <w:rFonts w:ascii="Arial" w:eastAsiaTheme="minorEastAsia" w:hAnsi="Arial" w:cs="Arial"/>
          <w:kern w:val="0"/>
          <w:sz w:val="24"/>
          <w:szCs w:val="24"/>
          <w:lang w:eastAsia="en-GB"/>
          <w14:ligatures w14:val="none"/>
        </w:rPr>
        <w:t xml:space="preserve"> raise concerns that rating scales can encourage performative behaviour. </w:t>
      </w:r>
      <w:r>
        <w:rPr>
          <w:rFonts w:ascii="Arial" w:eastAsiaTheme="minorEastAsia" w:hAnsi="Arial" w:cs="Arial"/>
          <w:kern w:val="0"/>
          <w:sz w:val="24"/>
          <w:szCs w:val="24"/>
          <w:lang w:eastAsia="en-GB"/>
          <w14:ligatures w14:val="none"/>
        </w:rPr>
        <w:t xml:space="preserve">Additionally, </w:t>
      </w:r>
      <w:r w:rsidRPr="00E050EC">
        <w:rPr>
          <w:rFonts w:ascii="Arial" w:eastAsiaTheme="minorEastAsia" w:hAnsi="Arial" w:cs="Arial"/>
          <w:kern w:val="0"/>
          <w:sz w:val="24"/>
          <w:szCs w:val="24"/>
          <w:lang w:eastAsia="en-GB"/>
          <w14:ligatures w14:val="none"/>
        </w:rPr>
        <w:t>SSTEW requires a deeper understanding of child development and effective interaction strategies, meaning that practitioners may need specific training to use the tool reliably</w:t>
      </w:r>
      <w:r>
        <w:rPr>
          <w:rFonts w:ascii="Arial" w:eastAsiaTheme="minorEastAsia" w:hAnsi="Arial" w:cs="Arial"/>
          <w:kern w:val="0"/>
          <w:sz w:val="24"/>
          <w:szCs w:val="24"/>
          <w:lang w:eastAsia="en-GB"/>
          <w14:ligatures w14:val="none"/>
        </w:rPr>
        <w:t xml:space="preserve"> (</w:t>
      </w:r>
      <w:r w:rsidRPr="004F53AD">
        <w:rPr>
          <w:rFonts w:ascii="Arial" w:eastAsiaTheme="minorEastAsia" w:hAnsi="Arial" w:cs="Arial"/>
          <w:kern w:val="0"/>
          <w:sz w:val="24"/>
          <w:szCs w:val="24"/>
          <w:lang w:eastAsia="en-GB"/>
          <w14:ligatures w14:val="none"/>
        </w:rPr>
        <w:t>Siraj, Kingston and Melhuish, 2023)</w:t>
      </w:r>
      <w:r w:rsidRPr="00E050EC">
        <w:rPr>
          <w:rFonts w:ascii="Arial" w:eastAsiaTheme="minorEastAsia" w:hAnsi="Arial" w:cs="Arial"/>
          <w:kern w:val="0"/>
          <w:sz w:val="24"/>
          <w:szCs w:val="24"/>
          <w:lang w:eastAsia="en-GB"/>
          <w14:ligatures w14:val="none"/>
        </w:rPr>
        <w:t xml:space="preserve"> Without this, there is a risk that the tool is not used effectively, limiting its impact on improving practice.</w:t>
      </w:r>
      <w:r>
        <w:rPr>
          <w:rFonts w:ascii="Arial" w:eastAsiaTheme="minorEastAsia" w:hAnsi="Arial" w:cs="Arial"/>
          <w:kern w:val="0"/>
          <w:sz w:val="24"/>
          <w:szCs w:val="24"/>
          <w:lang w:eastAsia="en-GB"/>
          <w14:ligatures w14:val="none"/>
        </w:rPr>
        <w:t xml:space="preserve"> This suggests that while SSTEW is useful, its reliance on professional judgement means it may not be used effectively without proper training. This may encourage </w:t>
      </w:r>
      <w:r w:rsidRPr="00E36156">
        <w:rPr>
          <w:rFonts w:ascii="Arial" w:eastAsiaTheme="minorEastAsia" w:hAnsi="Arial" w:cs="Arial"/>
          <w:kern w:val="0"/>
          <w:sz w:val="24"/>
          <w:szCs w:val="24"/>
          <w:lang w:eastAsia="en-GB"/>
          <w14:ligatures w14:val="none"/>
        </w:rPr>
        <w:t xml:space="preserve">practitioners </w:t>
      </w:r>
      <w:r>
        <w:rPr>
          <w:rFonts w:ascii="Arial" w:eastAsiaTheme="minorEastAsia" w:hAnsi="Arial" w:cs="Arial"/>
          <w:kern w:val="0"/>
          <w:sz w:val="24"/>
          <w:szCs w:val="24"/>
          <w:lang w:eastAsia="en-GB"/>
          <w14:ligatures w14:val="none"/>
        </w:rPr>
        <w:t>to</w:t>
      </w:r>
      <w:r w:rsidRPr="00E36156">
        <w:rPr>
          <w:rFonts w:ascii="Arial" w:eastAsiaTheme="minorEastAsia" w:hAnsi="Arial" w:cs="Arial"/>
          <w:kern w:val="0"/>
          <w:sz w:val="24"/>
          <w:szCs w:val="24"/>
          <w:lang w:eastAsia="en-GB"/>
          <w14:ligatures w14:val="none"/>
        </w:rPr>
        <w:t xml:space="preserve"> focus on scoring well rather than genuine changes to practice</w:t>
      </w:r>
      <w:r>
        <w:rPr>
          <w:rFonts w:ascii="Arial" w:eastAsiaTheme="minorEastAsia" w:hAnsi="Arial" w:cs="Arial"/>
          <w:kern w:val="0"/>
          <w:sz w:val="24"/>
          <w:szCs w:val="24"/>
          <w:lang w:eastAsia="en-GB"/>
          <w14:ligatures w14:val="none"/>
        </w:rPr>
        <w:t xml:space="preserve">. Furthermore, </w:t>
      </w:r>
      <w:r w:rsidRPr="00E050EC">
        <w:rPr>
          <w:rFonts w:ascii="Arial" w:eastAsiaTheme="minorEastAsia" w:hAnsi="Arial" w:cs="Arial"/>
          <w:kern w:val="0"/>
          <w:sz w:val="24"/>
          <w:szCs w:val="24"/>
          <w:lang w:eastAsia="en-GB"/>
          <w14:ligatures w14:val="none"/>
        </w:rPr>
        <w:t>SSTEW focuses less on structural aspects of quality</w:t>
      </w:r>
      <w:r>
        <w:rPr>
          <w:rFonts w:ascii="Arial" w:eastAsiaTheme="minorEastAsia" w:hAnsi="Arial" w:cs="Arial"/>
          <w:kern w:val="0"/>
          <w:sz w:val="24"/>
          <w:szCs w:val="24"/>
          <w:lang w:eastAsia="en-GB"/>
          <w14:ligatures w14:val="none"/>
        </w:rPr>
        <w:t xml:space="preserve"> (</w:t>
      </w:r>
      <w:r w:rsidRPr="002611DF">
        <w:rPr>
          <w:rFonts w:ascii="Arial" w:eastAsiaTheme="minorEastAsia" w:hAnsi="Arial" w:cs="Arial"/>
          <w:kern w:val="0"/>
          <w:sz w:val="24"/>
          <w:szCs w:val="24"/>
          <w:lang w:eastAsia="en-GB"/>
          <w14:ligatures w14:val="none"/>
        </w:rPr>
        <w:t>Howard et al.</w:t>
      </w:r>
      <w:r>
        <w:rPr>
          <w:rFonts w:ascii="Arial" w:eastAsiaTheme="minorEastAsia" w:hAnsi="Arial" w:cs="Arial"/>
          <w:kern w:val="0"/>
          <w:sz w:val="24"/>
          <w:szCs w:val="24"/>
          <w:lang w:eastAsia="en-GB"/>
          <w14:ligatures w14:val="none"/>
        </w:rPr>
        <w:t>,</w:t>
      </w:r>
      <w:r w:rsidRPr="002611DF">
        <w:rPr>
          <w:rFonts w:ascii="Arial" w:eastAsiaTheme="minorEastAsia" w:hAnsi="Arial" w:cs="Arial"/>
          <w:kern w:val="0"/>
          <w:sz w:val="24"/>
          <w:szCs w:val="24"/>
          <w:lang w:eastAsia="en-GB"/>
          <w14:ligatures w14:val="none"/>
        </w:rPr>
        <w:t>2018)</w:t>
      </w:r>
      <w:r>
        <w:rPr>
          <w:rFonts w:ascii="Arial" w:eastAsiaTheme="minorEastAsia" w:hAnsi="Arial" w:cs="Arial"/>
          <w:kern w:val="0"/>
          <w:sz w:val="24"/>
          <w:szCs w:val="24"/>
          <w:lang w:eastAsia="en-GB"/>
          <w14:ligatures w14:val="none"/>
        </w:rPr>
        <w:t>. SSTEW</w:t>
      </w:r>
      <w:r w:rsidRPr="00B628F6">
        <w:rPr>
          <w:rFonts w:ascii="Arial" w:eastAsiaTheme="minorEastAsia" w:hAnsi="Arial" w:cs="Arial"/>
          <w:kern w:val="0"/>
          <w:sz w:val="24"/>
          <w:szCs w:val="24"/>
          <w:lang w:eastAsia="en-GB"/>
          <w14:ligatures w14:val="none"/>
        </w:rPr>
        <w:t xml:space="preserve"> was designed to build on tools such as ECERS by shifting the focus towards pedagogy and adult–child interactions rather than the physical environment (Siraj, Kingston and Melhuish, 2023).</w:t>
      </w:r>
      <w:r>
        <w:rPr>
          <w:rFonts w:ascii="Arial" w:eastAsiaTheme="minorEastAsia" w:hAnsi="Arial" w:cs="Arial"/>
          <w:kern w:val="0"/>
          <w:sz w:val="24"/>
          <w:szCs w:val="24"/>
          <w:lang w:eastAsia="en-GB"/>
          <w14:ligatures w14:val="none"/>
        </w:rPr>
        <w:t xml:space="preserve"> This </w:t>
      </w:r>
      <w:r w:rsidRPr="00E90E8E">
        <w:rPr>
          <w:rFonts w:ascii="Arial" w:eastAsiaTheme="minorEastAsia" w:hAnsi="Arial" w:cs="Arial"/>
          <w:kern w:val="0"/>
          <w:sz w:val="24"/>
          <w:szCs w:val="24"/>
          <w:lang w:eastAsia="en-GB"/>
          <w14:ligatures w14:val="none"/>
        </w:rPr>
        <w:t xml:space="preserve">means </w:t>
      </w:r>
      <w:r w:rsidRPr="00E050EC">
        <w:rPr>
          <w:rFonts w:ascii="Arial" w:eastAsiaTheme="minorEastAsia" w:hAnsi="Arial" w:cs="Arial"/>
          <w:kern w:val="0"/>
          <w:sz w:val="24"/>
          <w:szCs w:val="24"/>
          <w:lang w:eastAsia="en-GB"/>
          <w14:ligatures w14:val="none"/>
        </w:rPr>
        <w:t xml:space="preserve">it may not fully capture whether a setting meets basic standards required for safety and organisation. For example, a setting may demonstrate strong </w:t>
      </w:r>
      <w:r w:rsidRPr="00E050EC">
        <w:rPr>
          <w:rFonts w:ascii="Arial" w:eastAsiaTheme="minorEastAsia" w:hAnsi="Arial" w:cs="Arial"/>
          <w:kern w:val="0"/>
          <w:sz w:val="24"/>
          <w:szCs w:val="24"/>
          <w:lang w:eastAsia="en-GB"/>
          <w14:ligatures w14:val="none"/>
        </w:rPr>
        <w:lastRenderedPageBreak/>
        <w:t>practitioner–child interactions but still lack appropriate resources or suitable environments, which are also important for children’s development.</w:t>
      </w:r>
      <w:r>
        <w:rPr>
          <w:rFonts w:ascii="Arial" w:eastAsiaTheme="minorEastAsia" w:hAnsi="Arial" w:cs="Arial"/>
          <w:kern w:val="0"/>
          <w:sz w:val="24"/>
          <w:szCs w:val="24"/>
          <w:lang w:eastAsia="en-GB"/>
          <w14:ligatures w14:val="none"/>
        </w:rPr>
        <w:t xml:space="preserve"> </w:t>
      </w:r>
      <w:r w:rsidRPr="00B77B53">
        <w:rPr>
          <w:rFonts w:ascii="Arial" w:eastAsiaTheme="minorEastAsia" w:hAnsi="Arial" w:cs="Arial"/>
          <w:kern w:val="0"/>
          <w:sz w:val="24"/>
          <w:szCs w:val="24"/>
          <w:lang w:eastAsia="en-GB"/>
          <w14:ligatures w14:val="none"/>
        </w:rPr>
        <w:t>Under the National Minimum Standards for Regulated Childcare in Wales, settings are required to meet statutory requirements relating to safety, staffing, premises and organisation</w:t>
      </w:r>
      <w:r>
        <w:rPr>
          <w:rFonts w:ascii="Arial" w:eastAsiaTheme="minorEastAsia" w:hAnsi="Arial" w:cs="Arial"/>
          <w:kern w:val="0"/>
          <w:sz w:val="24"/>
          <w:szCs w:val="24"/>
          <w:lang w:eastAsia="en-GB"/>
          <w14:ligatures w14:val="none"/>
        </w:rPr>
        <w:t xml:space="preserve"> (</w:t>
      </w:r>
      <w:r w:rsidRPr="0077697E">
        <w:rPr>
          <w:rFonts w:ascii="Arial" w:hAnsi="Arial" w:cs="Arial"/>
          <w:sz w:val="24"/>
          <w:szCs w:val="24"/>
        </w:rPr>
        <w:t>Welsh Government</w:t>
      </w:r>
      <w:r>
        <w:rPr>
          <w:rFonts w:ascii="Arial" w:hAnsi="Arial" w:cs="Arial"/>
          <w:sz w:val="24"/>
          <w:szCs w:val="24"/>
        </w:rPr>
        <w:t xml:space="preserve">, </w:t>
      </w:r>
      <w:r w:rsidRPr="0077697E">
        <w:rPr>
          <w:rFonts w:ascii="Arial" w:hAnsi="Arial" w:cs="Arial"/>
          <w:sz w:val="24"/>
          <w:szCs w:val="24"/>
        </w:rPr>
        <w:t>2023)</w:t>
      </w:r>
      <w:r>
        <w:rPr>
          <w:rFonts w:ascii="Arial" w:hAnsi="Arial" w:cs="Arial"/>
          <w:sz w:val="24"/>
          <w:szCs w:val="24"/>
        </w:rPr>
        <w:t>,</w:t>
      </w:r>
      <w:r>
        <w:rPr>
          <w:rFonts w:ascii="Arial" w:eastAsiaTheme="minorEastAsia" w:hAnsi="Arial" w:cs="Arial"/>
          <w:kern w:val="0"/>
          <w:sz w:val="24"/>
          <w:szCs w:val="24"/>
          <w:lang w:eastAsia="en-GB"/>
          <w14:ligatures w14:val="none"/>
        </w:rPr>
        <w:t xml:space="preserve"> </w:t>
      </w:r>
      <w:r w:rsidRPr="00B77B53">
        <w:rPr>
          <w:rFonts w:ascii="Arial" w:eastAsiaTheme="minorEastAsia" w:hAnsi="Arial" w:cs="Arial"/>
          <w:kern w:val="0"/>
          <w:sz w:val="24"/>
          <w:szCs w:val="24"/>
          <w:lang w:eastAsia="en-GB"/>
          <w14:ligatures w14:val="none"/>
        </w:rPr>
        <w:t>which are not the primary focus of SSTEW.</w:t>
      </w:r>
      <w:r>
        <w:rPr>
          <w:rFonts w:ascii="Arial" w:hAnsi="Arial" w:cs="Arial"/>
          <w:sz w:val="24"/>
          <w:szCs w:val="24"/>
        </w:rPr>
        <w:t xml:space="preserve"> </w:t>
      </w:r>
      <w:r w:rsidRPr="00E050EC">
        <w:rPr>
          <w:rFonts w:ascii="Arial" w:eastAsiaTheme="minorEastAsia" w:hAnsi="Arial" w:cs="Arial"/>
          <w:kern w:val="0"/>
          <w:sz w:val="24"/>
          <w:szCs w:val="24"/>
          <w:lang w:eastAsia="en-GB"/>
          <w14:ligatures w14:val="none"/>
        </w:rPr>
        <w:t>This highlights that SSTEW alone may not provide a complete picture of quality.</w:t>
      </w:r>
    </w:p>
    <w:p w14:paraId="65BBAD0E" w14:textId="77777777" w:rsidR="009144BA" w:rsidRPr="001C2FEE" w:rsidRDefault="009144BA" w:rsidP="009144BA">
      <w:pPr>
        <w:spacing w:before="100" w:beforeAutospacing="1" w:after="100" w:afterAutospacing="1" w:line="360" w:lineRule="auto"/>
        <w:rPr>
          <w:rFonts w:ascii="Arial" w:hAnsi="Arial" w:cs="Arial"/>
          <w:sz w:val="24"/>
          <w:szCs w:val="24"/>
        </w:rPr>
      </w:pPr>
      <w:r w:rsidRPr="001C2FEE">
        <w:rPr>
          <w:rFonts w:ascii="Arial" w:eastAsiaTheme="minorEastAsia" w:hAnsi="Arial" w:cs="Arial"/>
          <w:kern w:val="0"/>
          <w:sz w:val="24"/>
          <w:szCs w:val="24"/>
          <w:lang w:eastAsia="en-GB"/>
          <w14:ligatures w14:val="none"/>
        </w:rPr>
        <w:t>Both ECERS and SSTEW are tools that aim to assess quality in early years settings, but they place emphasis on different aspects of provision. Earlier versions of ECERS focused largely on structural quality, such as the physical environment, resources, routines and organisation (Neitzel et al., 2019; Gordon et al., 2015), which aligns closely with the National Minimum Standards for Regulated Childcare and supports Care Inspectorate Wales (CIW) in judging whether settings meet basic requirements for safety and organisation (Welsh Government, 2023).</w:t>
      </w:r>
      <w:r w:rsidRPr="001C2FEE">
        <w:rPr>
          <w:rFonts w:ascii="Arial" w:hAnsi="Arial" w:cs="Arial"/>
          <w:sz w:val="24"/>
          <w:szCs w:val="24"/>
        </w:rPr>
        <w:t xml:space="preserve"> </w:t>
      </w:r>
      <w:r w:rsidRPr="001C2FEE">
        <w:rPr>
          <w:rFonts w:ascii="Arial" w:eastAsiaTheme="minorEastAsia" w:hAnsi="Arial" w:cs="Arial"/>
          <w:kern w:val="0"/>
          <w:sz w:val="24"/>
          <w:szCs w:val="24"/>
          <w:lang w:eastAsia="en-GB"/>
          <w14:ligatures w14:val="none"/>
        </w:rPr>
        <w:t xml:space="preserve">More recent version, known as ECERS 3, place a greater emphasis on children’s experiences and adult–child interactions, reflecting a change towards process quality (Early et al., 2018; Neitzel et al., 2019). However, ECERS 3 continues to assess interactions within the wider context of the environment and </w:t>
      </w:r>
      <w:proofErr w:type="gramStart"/>
      <w:r w:rsidRPr="001C2FEE">
        <w:rPr>
          <w:rFonts w:ascii="Arial" w:eastAsiaTheme="minorEastAsia" w:hAnsi="Arial" w:cs="Arial"/>
          <w:kern w:val="0"/>
          <w:sz w:val="24"/>
          <w:szCs w:val="24"/>
          <w:lang w:eastAsia="en-GB"/>
          <w14:ligatures w14:val="none"/>
        </w:rPr>
        <w:t>provision as a whole</w:t>
      </w:r>
      <w:proofErr w:type="gramEnd"/>
      <w:r w:rsidRPr="001C2FEE">
        <w:rPr>
          <w:rFonts w:ascii="Arial" w:eastAsiaTheme="minorEastAsia" w:hAnsi="Arial" w:cs="Arial"/>
          <w:kern w:val="0"/>
          <w:sz w:val="24"/>
          <w:szCs w:val="24"/>
          <w:lang w:eastAsia="en-GB"/>
          <w14:ligatures w14:val="none"/>
        </w:rPr>
        <w:t xml:space="preserve">. In contrast, SSTEW is more focused on interaction and pedagogy, specifically how practitioners support children’s thinking, language development and emotional wellbeing through sustained shared thinking and responsive practice (Howard et al., 2018; Siraj, Kingston and Melhuish, 2023). A key difference between the two tools is that ECERS offers a wider overview of structural quality, making it useful for inspection and comparison across settings, but it may still not fully capture the depth of everyday interactions (Gordon et al., 2015). SSTEW, on the other hand, provides a more detailed insight into practice, particularly the process quality in ways adult and child interact (Sylva et al., 2004; Howard et al., 2018). However, this reliance on professional judgement means SSTEW can be more subjective and requires appropriate training to be used consistently (Siraj, Kingston and Melhuish, 2023). Despite these differences, both tools have limitations when used in isolation. ECERS, even in its updated form, may not fully capture process quality, while SSTEW does not assess whether settings meet essential structural and system requirements set out in the National Minimum Standards (Welsh Government, 2023). This suggests that neither tool alone provides a complete picture of quality. Used </w:t>
      </w:r>
      <w:r w:rsidRPr="001C2FEE">
        <w:rPr>
          <w:rFonts w:ascii="Arial" w:eastAsiaTheme="minorEastAsia" w:hAnsi="Arial" w:cs="Arial"/>
          <w:kern w:val="0"/>
          <w:sz w:val="24"/>
          <w:szCs w:val="24"/>
          <w:lang w:eastAsia="en-GB"/>
          <w14:ligatures w14:val="none"/>
        </w:rPr>
        <w:lastRenderedPageBreak/>
        <w:t>together, ECERS and SSTEW provide a balanced view of quality, linking standards with children’s experiences.</w:t>
      </w:r>
    </w:p>
    <w:p w14:paraId="6BEAEB8B" w14:textId="77777777" w:rsidR="009144BA" w:rsidRPr="00E050EC" w:rsidRDefault="009144BA" w:rsidP="009144BA">
      <w:pPr>
        <w:spacing w:before="100" w:beforeAutospacing="1" w:after="100" w:afterAutospacing="1" w:line="360" w:lineRule="auto"/>
        <w:rPr>
          <w:rFonts w:ascii="Times New Roman" w:eastAsiaTheme="minorEastAsia" w:hAnsi="Times New Roman" w:cs="Times New Roman"/>
          <w:kern w:val="0"/>
          <w:sz w:val="24"/>
          <w:szCs w:val="24"/>
          <w:lang w:eastAsia="en-GB"/>
          <w14:ligatures w14:val="none"/>
        </w:rPr>
      </w:pPr>
    </w:p>
    <w:p w14:paraId="26F15544" w14:textId="77777777" w:rsidR="004C486B" w:rsidRDefault="004C486B"/>
    <w:sectPr w:rsidR="004C4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4BA"/>
    <w:rsid w:val="0010059F"/>
    <w:rsid w:val="004C486B"/>
    <w:rsid w:val="00754BC4"/>
    <w:rsid w:val="00914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B824A"/>
  <w15:chartTrackingRefBased/>
  <w15:docId w15:val="{3457FB56-8BD9-410D-8049-3BFE9070F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4BA"/>
  </w:style>
  <w:style w:type="paragraph" w:styleId="Heading1">
    <w:name w:val="heading 1"/>
    <w:basedOn w:val="Normal"/>
    <w:next w:val="Normal"/>
    <w:link w:val="Heading1Char"/>
    <w:uiPriority w:val="9"/>
    <w:qFormat/>
    <w:rsid w:val="00914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4BA"/>
    <w:rPr>
      <w:rFonts w:eastAsiaTheme="majorEastAsia" w:cstheme="majorBidi"/>
      <w:color w:val="272727" w:themeColor="text1" w:themeTint="D8"/>
    </w:rPr>
  </w:style>
  <w:style w:type="paragraph" w:styleId="Title">
    <w:name w:val="Title"/>
    <w:basedOn w:val="Normal"/>
    <w:next w:val="Normal"/>
    <w:link w:val="TitleChar"/>
    <w:uiPriority w:val="10"/>
    <w:qFormat/>
    <w:rsid w:val="00914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4BA"/>
    <w:pPr>
      <w:spacing w:before="160"/>
      <w:jc w:val="center"/>
    </w:pPr>
    <w:rPr>
      <w:i/>
      <w:iCs/>
      <w:color w:val="404040" w:themeColor="text1" w:themeTint="BF"/>
    </w:rPr>
  </w:style>
  <w:style w:type="character" w:customStyle="1" w:styleId="QuoteChar">
    <w:name w:val="Quote Char"/>
    <w:basedOn w:val="DefaultParagraphFont"/>
    <w:link w:val="Quote"/>
    <w:uiPriority w:val="29"/>
    <w:rsid w:val="009144BA"/>
    <w:rPr>
      <w:i/>
      <w:iCs/>
      <w:color w:val="404040" w:themeColor="text1" w:themeTint="BF"/>
    </w:rPr>
  </w:style>
  <w:style w:type="paragraph" w:styleId="ListParagraph">
    <w:name w:val="List Paragraph"/>
    <w:basedOn w:val="Normal"/>
    <w:uiPriority w:val="34"/>
    <w:qFormat/>
    <w:rsid w:val="009144BA"/>
    <w:pPr>
      <w:ind w:left="720"/>
      <w:contextualSpacing/>
    </w:pPr>
  </w:style>
  <w:style w:type="character" w:styleId="IntenseEmphasis">
    <w:name w:val="Intense Emphasis"/>
    <w:basedOn w:val="DefaultParagraphFont"/>
    <w:uiPriority w:val="21"/>
    <w:qFormat/>
    <w:rsid w:val="009144BA"/>
    <w:rPr>
      <w:i/>
      <w:iCs/>
      <w:color w:val="0F4761" w:themeColor="accent1" w:themeShade="BF"/>
    </w:rPr>
  </w:style>
  <w:style w:type="paragraph" w:styleId="IntenseQuote">
    <w:name w:val="Intense Quote"/>
    <w:basedOn w:val="Normal"/>
    <w:next w:val="Normal"/>
    <w:link w:val="IntenseQuoteChar"/>
    <w:uiPriority w:val="30"/>
    <w:qFormat/>
    <w:rsid w:val="00914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4BA"/>
    <w:rPr>
      <w:i/>
      <w:iCs/>
      <w:color w:val="0F4761" w:themeColor="accent1" w:themeShade="BF"/>
    </w:rPr>
  </w:style>
  <w:style w:type="character" w:styleId="IntenseReference">
    <w:name w:val="Intense Reference"/>
    <w:basedOn w:val="DefaultParagraphFont"/>
    <w:uiPriority w:val="32"/>
    <w:qFormat/>
    <w:rsid w:val="009144BA"/>
    <w:rPr>
      <w:b/>
      <w:bCs/>
      <w:smallCaps/>
      <w:color w:val="0F4761" w:themeColor="accent1" w:themeShade="BF"/>
      <w:spacing w:val="5"/>
    </w:rPr>
  </w:style>
  <w:style w:type="character" w:customStyle="1" w:styleId="normaltextrun">
    <w:name w:val="normaltextrun"/>
    <w:basedOn w:val="DefaultParagraphFont"/>
    <w:rsid w:val="009144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2183</Words>
  <Characters>12927</Characters>
  <Application>Microsoft Office Word</Application>
  <DocSecurity>0</DocSecurity>
  <Lines>211</Lines>
  <Paragraphs>24</Paragraphs>
  <ScaleCrop>false</ScaleCrop>
  <Company/>
  <LinksUpToDate>false</LinksUpToDate>
  <CharactersWithSpaces>15086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1</cp:revision>
  <dcterms:created xsi:type="dcterms:W3CDTF">2026-03-23T12:25:00Z</dcterms:created>
  <dcterms:modified xsi:type="dcterms:W3CDTF">2026-03-23T12:26:00Z</dcterms:modified>
</cp:coreProperties>
</file>