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D551F" w:rsidRPr="00EB0D2C" w:rsidRDefault="007D551F" w:rsidP="007D551F">
      <w:pPr>
        <w:jc w:val="center"/>
        <w:rPr>
          <w:rFonts w:ascii="Times New Roman" w:hAnsi="Times New Roman" w:cs="Times New Roman"/>
          <w:b/>
          <w:sz w:val="24"/>
          <w:szCs w:val="24"/>
        </w:rPr>
      </w:pPr>
      <w:r w:rsidRPr="00EB0D2C">
        <w:rPr>
          <w:rFonts w:ascii="Times New Roman" w:hAnsi="Times New Roman" w:cs="Times New Roman"/>
          <w:b/>
          <w:sz w:val="24"/>
          <w:szCs w:val="24"/>
        </w:rPr>
        <w:t>Assignment - ECSP7002</w:t>
      </w:r>
    </w:p>
    <w:p w:rsidR="007D551F" w:rsidRDefault="007D551F" w:rsidP="007D551F">
      <w:pPr>
        <w:spacing w:after="0" w:line="240" w:lineRule="auto"/>
        <w:rPr>
          <w:rFonts w:ascii="Times New Roman" w:eastAsia="Times New Roman" w:hAnsi="Times New Roman" w:cs="Times New Roman"/>
          <w:b/>
          <w:sz w:val="24"/>
          <w:szCs w:val="24"/>
          <w:lang w:eastAsia="en-GB"/>
        </w:rPr>
      </w:pPr>
      <w:r w:rsidRPr="00EB0D2C">
        <w:rPr>
          <w:rFonts w:ascii="Times New Roman" w:eastAsia="Times New Roman" w:hAnsi="Times New Roman" w:cs="Times New Roman"/>
          <w:b/>
          <w:sz w:val="24"/>
          <w:szCs w:val="24"/>
          <w:lang w:eastAsia="en-GB"/>
        </w:rPr>
        <w:t>Introduction</w:t>
      </w:r>
    </w:p>
    <w:p w:rsidR="007D551F" w:rsidRDefault="007D551F" w:rsidP="007D551F">
      <w:pPr>
        <w:spacing w:after="0" w:line="240" w:lineRule="auto"/>
        <w:rPr>
          <w:rFonts w:ascii="Times New Roman" w:eastAsia="Times New Roman" w:hAnsi="Times New Roman" w:cs="Times New Roman"/>
          <w:b/>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purpose of this research is to present exploratory teaching strategies I have used in the classroom with the aim of optimising learning outcomes for all pupils and providing the practitioner, myself, with opportunity to self-evaluate my own teaching practice. Through a process of pre-testing with selected PISA questions, interventions and post testing, I have critically analysed, discussed and reflected upon the methods used and results obtained. A conclusion was drawn from the data collated and suggested the viability of the strategies used.</w:t>
      </w:r>
    </w:p>
    <w:p w:rsidR="007D551F"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My research took place in my first placement school (School A) – a mixed secondary school with an approximate roll of 700 pupils, located on the east side of West Glamorgan. More than half of the attending pupils live in 20% of the most deprived areas in Wales, and indicators for FSM and special needs are higher than the national average for Wales. The school may have faced social challenges and financial hardships, however Estyn, (2015) awarded standards of excellence for current performance and prospects for improvement and the school continues to show encouraging progression. </w:t>
      </w:r>
    </w:p>
    <w:p w:rsidR="007D551F"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 chose a year 9 group for this research. This mixed class of 29 pupils had global target grades ranging from A-C (top set), and approximately 62% FSM and 51% with some statement of special needs. They were a lively class who demonstrated an eagerness to learn and positively engaged in previous topics that I had taught. As a class, their general attitude towards learning indicated resourcefulness for seeking answers outside of the classroom. It is primarily for this reason that I chose this class to participate with my research. The subject </w:t>
      </w: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 chose was ‘acid rain’. It coordinated sequentially within the sequence of lessons double science award curriculum that I was working through. I had planned to introduce environmental issues associated with global warming so this felt to be an ideal opportunity to present the acid rain PISA question and beginning my interventions. </w:t>
      </w:r>
    </w:p>
    <w:p w:rsidR="007D551F"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spacing w:after="0" w:line="240" w:lineRule="auto"/>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Literature Review</w:t>
      </w:r>
    </w:p>
    <w:p w:rsidR="007D551F" w:rsidRDefault="007D551F" w:rsidP="007D551F">
      <w:pPr>
        <w:spacing w:after="0" w:line="240" w:lineRule="auto"/>
        <w:rPr>
          <w:rFonts w:ascii="Times New Roman" w:eastAsia="Times New Roman" w:hAnsi="Times New Roman" w:cs="Times New Roman"/>
          <w:b/>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r w:rsidRPr="001C7E63">
        <w:rPr>
          <w:rFonts w:ascii="Times New Roman" w:eastAsia="Times New Roman" w:hAnsi="Times New Roman" w:cs="Times New Roman"/>
          <w:sz w:val="24"/>
          <w:szCs w:val="24"/>
          <w:lang w:eastAsia="en-GB"/>
        </w:rPr>
        <w:t>In order to con</w:t>
      </w:r>
      <w:r>
        <w:rPr>
          <w:rFonts w:ascii="Times New Roman" w:eastAsia="Times New Roman" w:hAnsi="Times New Roman" w:cs="Times New Roman"/>
          <w:sz w:val="24"/>
          <w:szCs w:val="24"/>
          <w:lang w:eastAsia="en-GB"/>
        </w:rPr>
        <w:t>duct research in any field, it wa</w:t>
      </w:r>
      <w:r w:rsidRPr="001C7E63">
        <w:rPr>
          <w:rFonts w:ascii="Times New Roman" w:eastAsia="Times New Roman" w:hAnsi="Times New Roman" w:cs="Times New Roman"/>
          <w:sz w:val="24"/>
          <w:szCs w:val="24"/>
          <w:lang w:eastAsia="en-GB"/>
        </w:rPr>
        <w:t xml:space="preserve">s essential to firstly understand </w:t>
      </w:r>
      <w:r>
        <w:rPr>
          <w:rFonts w:ascii="Times New Roman" w:eastAsia="Times New Roman" w:hAnsi="Times New Roman" w:cs="Times New Roman"/>
          <w:sz w:val="24"/>
          <w:szCs w:val="24"/>
          <w:lang w:eastAsia="en-GB"/>
        </w:rPr>
        <w:t>the purpose of the study, the criteria of the focus group and the reasoning behind the methods chosen to obtain results.</w:t>
      </w:r>
    </w:p>
    <w:p w:rsidR="007D551F" w:rsidRPr="001C7E63"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PISA (Programme for International Student Assessment) is a process used to globally assess the knowledge of 15 year olds within a subject and how they can apply their subject related problem solving skills in real life situations. In addition to testing scientific literacy, PISA explores the competency of pupils within the following categories:-</w:t>
      </w:r>
    </w:p>
    <w:p w:rsidR="007D551F"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The identification of scientific issues</w:t>
      </w: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(ii) The ability to explain scientific phenomena</w:t>
      </w: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(iii) The ability to use and apply scientific evidence</w:t>
      </w:r>
    </w:p>
    <w:p w:rsidR="007D551F"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 addition, there is a section of questions that assesses the attitudes of pupils towards science based activities.</w:t>
      </w:r>
    </w:p>
    <w:p w:rsidR="007D551F"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The tests are given to 15 year olds as this is the maximum attainment level reached for almost all compulsory education, hence the test results reflecting the best potential achieved in all pupils before beginning leaving school.</w:t>
      </w:r>
    </w:p>
    <w:p w:rsidR="007D551F"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PISA is specifically built around scientific literacy and acknowledges the importance of science education in the community and internationally</w:t>
      </w:r>
      <w:r>
        <w:rPr>
          <w:rFonts w:ascii="Times New Roman" w:eastAsia="Times New Roman" w:hAnsi="Times New Roman" w:cs="Times New Roman"/>
          <w:b/>
          <w:sz w:val="24"/>
          <w:szCs w:val="24"/>
          <w:lang w:eastAsia="en-GB"/>
        </w:rPr>
        <w:t xml:space="preserve"> (</w:t>
      </w:r>
      <w:r w:rsidRPr="001C7E63">
        <w:rPr>
          <w:rFonts w:ascii="Times New Roman" w:eastAsia="Times New Roman" w:hAnsi="Times New Roman" w:cs="Times New Roman"/>
          <w:sz w:val="24"/>
          <w:szCs w:val="24"/>
          <w:lang w:eastAsia="en-GB"/>
        </w:rPr>
        <w:t>Bybee, R., Fensham, P. and Laurie, R.,</w:t>
      </w:r>
      <w:r>
        <w:rPr>
          <w:rFonts w:ascii="Times New Roman" w:eastAsia="Times New Roman" w:hAnsi="Times New Roman" w:cs="Times New Roman"/>
          <w:sz w:val="24"/>
          <w:szCs w:val="24"/>
          <w:lang w:eastAsia="en-GB"/>
        </w:rPr>
        <w:t xml:space="preserve"> </w:t>
      </w:r>
      <w:r w:rsidRPr="001C7E63">
        <w:rPr>
          <w:rFonts w:ascii="Times New Roman" w:eastAsia="Times New Roman" w:hAnsi="Times New Roman" w:cs="Times New Roman"/>
          <w:sz w:val="24"/>
          <w:szCs w:val="24"/>
          <w:lang w:eastAsia="en-GB"/>
        </w:rPr>
        <w:t>2009</w:t>
      </w:r>
      <w:r>
        <w:rPr>
          <w:rFonts w:ascii="Times New Roman" w:eastAsia="Times New Roman" w:hAnsi="Times New Roman" w:cs="Times New Roman"/>
          <w:sz w:val="24"/>
          <w:szCs w:val="24"/>
          <w:lang w:eastAsia="en-GB"/>
        </w:rPr>
        <w:t xml:space="preserve">). Furthermore, Bybee et al stated that there was uniqueness to PISA for science. The questions required answers that demonstrated a foundational scientific knowledge that could be adapted to logically resolve life related situations of a scientific nature. This form of analysis differed markedly from other national and international testing methods by offering a greater insight into the purpose of science education. </w:t>
      </w:r>
    </w:p>
    <w:p w:rsidR="007D551F"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Some critics (Dall A., 2011), have argued against the use of PISA in favour of a more informal and holistic approach to educational testing. According to </w:t>
      </w:r>
      <w:r w:rsidRPr="00231A21">
        <w:rPr>
          <w:rFonts w:ascii="Times New Roman" w:eastAsia="Times New Roman" w:hAnsi="Times New Roman" w:cs="Times New Roman"/>
          <w:sz w:val="24"/>
          <w:szCs w:val="24"/>
          <w:lang w:eastAsia="en-GB"/>
        </w:rPr>
        <w:t>Sahlberg</w:t>
      </w:r>
      <w:r>
        <w:rPr>
          <w:rFonts w:ascii="Times New Roman" w:eastAsia="Times New Roman" w:hAnsi="Times New Roman" w:cs="Times New Roman"/>
          <w:sz w:val="24"/>
          <w:szCs w:val="24"/>
          <w:lang w:eastAsia="en-GB"/>
        </w:rPr>
        <w:t xml:space="preserve"> and Mitchell et al (2009), formative assessments have been associated with amenable responses from pupils and teachers, whilst summative testing through PISA style questions brings an accompanying dread and pressure to perform well on both parties. Studies have shown </w:t>
      </w:r>
      <w:r w:rsidRPr="00B450E9">
        <w:rPr>
          <w:rFonts w:ascii="Times New Roman" w:eastAsia="Times New Roman" w:hAnsi="Times New Roman" w:cs="Times New Roman"/>
          <w:sz w:val="24"/>
          <w:szCs w:val="24"/>
          <w:lang w:eastAsia="en-GB"/>
        </w:rPr>
        <w:t>(Cassaday, Helen J.</w:t>
      </w:r>
      <w:r>
        <w:rPr>
          <w:rFonts w:ascii="Times New Roman" w:eastAsia="Times New Roman" w:hAnsi="Times New Roman" w:cs="Times New Roman"/>
          <w:sz w:val="24"/>
          <w:szCs w:val="24"/>
          <w:lang w:eastAsia="en-GB"/>
        </w:rPr>
        <w:t xml:space="preserve">, </w:t>
      </w:r>
      <w:r w:rsidRPr="00B450E9">
        <w:rPr>
          <w:rFonts w:ascii="Times New Roman" w:eastAsia="Times New Roman" w:hAnsi="Times New Roman" w:cs="Times New Roman"/>
          <w:sz w:val="24"/>
          <w:szCs w:val="24"/>
          <w:lang w:eastAsia="en-GB"/>
        </w:rPr>
        <w:t>2002</w:t>
      </w:r>
      <w:r>
        <w:rPr>
          <w:rFonts w:ascii="Times New Roman" w:eastAsia="Times New Roman" w:hAnsi="Times New Roman" w:cs="Times New Roman"/>
          <w:sz w:val="24"/>
          <w:szCs w:val="24"/>
          <w:lang w:eastAsia="en-GB"/>
        </w:rPr>
        <w:t>), that setting the scene for peaceful surroundings reduces the stresses and anxieties often associated with pre-exam nerves. Cognitive thought processes and memory recall were seen to improve with primary school pupils and undergraduates when the learning surroundings were much less ordered. Although this referenced research used techniques that introduced familiar aromas and visuals to induce a sense of calmness and security, the same principle can be applied to standard classroom. Body language, tone of voice and the words used by the teacher have an impact on the pupils perception of what is about to happen. I explained the purpose of my research to the class in an almost casual yet friendly manner and in a way that was suggestive of a request for help by their input. I expressed the value of their honest answers with a positive reassurance that there were no right or wrong answers. I attempted to minimise any pupil apprehension by refraining from using terms such as ‘exam’; ‘test’ etc. My sole aim was to create a calm and relaxed atmosphere in the classroom. Of course, there are some requirements for a ‘testing’ environment to ensure that the pupils are not tempted to share answers with close sitting class mates. This is not always possible to setup in a large classroom and the attempts to change the classroom layout instantly raises alarm bells for the pupils, which completely negates any attempts to instil calmness. However, my subject class did not react in a way to suggest apprehension towards the question papers. Any attempt by pupils to share answers was hopefully eliminated by vigilant adjudication throughout the testing time.</w:t>
      </w:r>
    </w:p>
    <w:p w:rsidR="007D551F"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A further factor contributed by the same authors (Sahlberg et al., 2007), suggest that PISA test results may not truly reflect the effectiveness of the educational system as pupils may have enhanced their own knowledge and capacity to learn through external influences such as private tutoring. In answer to this, I would praise the pupil who chooses to improve their own education by sourcing out an additional learning environment. Surely, this form of learning behaviour demonstrates a proactive response from a pupil taking responsibility for their own independent learning. This could be seen as ‘thinking outside the box’ which supports the PISA question structure. I considered the possible external influences to learning with my group and I posed the question to my class as to whether homework was completed independently at home or with help from tutors. The responses received suggested that pupils preferred to complete homework set within school during break and lunchtimes and they did not have assisted tutoring outside of school.</w:t>
      </w:r>
    </w:p>
    <w:p w:rsidR="007D551F"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This led me to consider whether pupils in socially deprived areas would be at a disadvantage in producing positive results achieved from PISA questions. According to PISA 2009 data (</w:t>
      </w:r>
      <w:r w:rsidRPr="00000E7C">
        <w:rPr>
          <w:rFonts w:ascii="Times New Roman" w:eastAsia="Times New Roman" w:hAnsi="Times New Roman" w:cs="Times New Roman"/>
          <w:sz w:val="24"/>
          <w:szCs w:val="24"/>
          <w:lang w:eastAsia="en-GB"/>
        </w:rPr>
        <w:t>Bradshaw, J., Ager, R., Burge, B. and Wheatear, R.,</w:t>
      </w:r>
      <w:r>
        <w:rPr>
          <w:rFonts w:ascii="Times New Roman" w:eastAsia="Times New Roman" w:hAnsi="Times New Roman" w:cs="Times New Roman"/>
          <w:sz w:val="24"/>
          <w:szCs w:val="24"/>
          <w:lang w:eastAsia="en-GB"/>
        </w:rPr>
        <w:t xml:space="preserve"> </w:t>
      </w:r>
      <w:r w:rsidRPr="00000E7C">
        <w:rPr>
          <w:rFonts w:ascii="Times New Roman" w:eastAsia="Times New Roman" w:hAnsi="Times New Roman" w:cs="Times New Roman"/>
          <w:sz w:val="24"/>
          <w:szCs w:val="24"/>
          <w:lang w:eastAsia="en-GB"/>
        </w:rPr>
        <w:t>2010</w:t>
      </w:r>
      <w:r>
        <w:rPr>
          <w:rFonts w:ascii="Times New Roman" w:eastAsia="Times New Roman" w:hAnsi="Times New Roman" w:cs="Times New Roman"/>
          <w:sz w:val="24"/>
          <w:szCs w:val="24"/>
          <w:lang w:eastAsia="en-GB"/>
        </w:rPr>
        <w:t xml:space="preserve">), the mean score for science in Wales was not significantly different to the OECD (Organisation of Economic and Corporation Development), whereas the spread of attainment was broader than the OECD average and boys out performed girls. </w:t>
      </w:r>
    </w:p>
    <w:p w:rsidR="007D551F"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Studies by Alegre</w:t>
      </w:r>
      <w:r w:rsidRPr="00A4007D">
        <w:rPr>
          <w:rFonts w:ascii="Times New Roman" w:eastAsia="Times New Roman" w:hAnsi="Times New Roman" w:cs="Times New Roman"/>
          <w:sz w:val="24"/>
          <w:szCs w:val="24"/>
          <w:lang w:eastAsia="en-GB"/>
        </w:rPr>
        <w:t xml:space="preserve">, M.À. and Ferrer, G., </w:t>
      </w:r>
      <w:r>
        <w:rPr>
          <w:rFonts w:ascii="Times New Roman" w:eastAsia="Times New Roman" w:hAnsi="Times New Roman" w:cs="Times New Roman"/>
          <w:sz w:val="24"/>
          <w:szCs w:val="24"/>
          <w:lang w:eastAsia="en-GB"/>
        </w:rPr>
        <w:t>(</w:t>
      </w:r>
      <w:r w:rsidRPr="00A4007D">
        <w:rPr>
          <w:rFonts w:ascii="Times New Roman" w:eastAsia="Times New Roman" w:hAnsi="Times New Roman" w:cs="Times New Roman"/>
          <w:sz w:val="24"/>
          <w:szCs w:val="24"/>
          <w:lang w:eastAsia="en-GB"/>
        </w:rPr>
        <w:t>2010</w:t>
      </w:r>
      <w:r>
        <w:rPr>
          <w:rFonts w:ascii="Times New Roman" w:eastAsia="Times New Roman" w:hAnsi="Times New Roman" w:cs="Times New Roman"/>
          <w:sz w:val="24"/>
          <w:szCs w:val="24"/>
          <w:lang w:eastAsia="en-GB"/>
        </w:rPr>
        <w:t>), have determined that indicators to pupil performance are not significantly related to social economic factors. In fact, they determined that the relevant criteria that reflected in academic achievement included the size of the school, the size of the average class i.e. the average number of pupils to one teacher etc. In summary, anything related to the specific school rather than the school’s location and community environment were seen as the main factors towards pupils achieving academic success. Hence, as my research was conducted in one school only, with no comparative data from other schools, I comfortably eliminated any variance from social economic influences as my study was relative to one sample group.</w:t>
      </w:r>
    </w:p>
    <w:p w:rsidR="007D551F"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By considering the effects of external influences on pupils learning, I may equally reflect upon the subject question of my research i.e. acid rain (see appendix C). This is not an unfamiliar subject to most pupils in the PISA age group selected. Due to current news and media coverage of world events, climate control, global warming etc., it is inevitable that pre-test results will provide a reasonable estimation of a ‘general environmental knowledge’ and any earlier recall or processing of information gathered from earlier lessons.</w:t>
      </w:r>
    </w:p>
    <w:p w:rsidR="007D551F"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Research (</w:t>
      </w:r>
      <w:r w:rsidRPr="00B67EF7">
        <w:rPr>
          <w:rFonts w:ascii="Times New Roman" w:eastAsia="Times New Roman" w:hAnsi="Times New Roman" w:cs="Times New Roman"/>
          <w:sz w:val="24"/>
          <w:szCs w:val="24"/>
          <w:lang w:eastAsia="en-GB"/>
        </w:rPr>
        <w:t>Abrahams, I. and Millar, R., 2008</w:t>
      </w:r>
      <w:r>
        <w:rPr>
          <w:rFonts w:ascii="Times New Roman" w:eastAsia="Times New Roman" w:hAnsi="Times New Roman" w:cs="Times New Roman"/>
          <w:sz w:val="24"/>
          <w:szCs w:val="24"/>
          <w:lang w:eastAsia="en-GB"/>
        </w:rPr>
        <w:t>), has shown that practical and visual demonstrations in the science classroom have been influential to improved learning and memory recall of scientific principles. They observed practical classes and teaching strategies used to develop pupils understanding of scientific processes. Their results surprisingly suggested that pupils found difficulty in linking observations with science ideas. Feedback from lesson observations was that teachers were inclined to allow ideas to ‘emerge’ from practical sessions rather than directing the lesson objectives towards the science involved. Pupils needed specific guidance and pointers to establish practical links to theoretical scientific processes.</w:t>
      </w:r>
    </w:p>
    <w:p w:rsidR="007D551F"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In support of these findings, </w:t>
      </w:r>
      <w:r w:rsidRPr="00853A0A">
        <w:rPr>
          <w:rFonts w:ascii="Times New Roman" w:eastAsia="Times New Roman" w:hAnsi="Times New Roman" w:cs="Times New Roman"/>
          <w:sz w:val="24"/>
          <w:szCs w:val="24"/>
          <w:lang w:eastAsia="en-GB"/>
        </w:rPr>
        <w:t xml:space="preserve">Lunetta, V.N., Hofstein, A. and Clough, M.P., </w:t>
      </w:r>
      <w:r>
        <w:rPr>
          <w:rFonts w:ascii="Times New Roman" w:eastAsia="Times New Roman" w:hAnsi="Times New Roman" w:cs="Times New Roman"/>
          <w:sz w:val="24"/>
          <w:szCs w:val="24"/>
          <w:lang w:eastAsia="en-GB"/>
        </w:rPr>
        <w:t>(</w:t>
      </w:r>
      <w:r w:rsidRPr="00853A0A">
        <w:rPr>
          <w:rFonts w:ascii="Times New Roman" w:eastAsia="Times New Roman" w:hAnsi="Times New Roman" w:cs="Times New Roman"/>
          <w:sz w:val="24"/>
          <w:szCs w:val="24"/>
          <w:lang w:eastAsia="en-GB"/>
        </w:rPr>
        <w:t>2007</w:t>
      </w:r>
      <w:r>
        <w:rPr>
          <w:rFonts w:ascii="Times New Roman" w:eastAsia="Times New Roman" w:hAnsi="Times New Roman" w:cs="Times New Roman"/>
          <w:sz w:val="24"/>
          <w:szCs w:val="24"/>
          <w:lang w:eastAsia="en-GB"/>
        </w:rPr>
        <w:t xml:space="preserve">), also noted that teaching methods were ‘dominated by tasks and activities rather than conceptual structures and scientific reasoning.’ It seemed pupils were routinely and methodically completing regular practical laboratory experiments to confirm a science process that was already concluded in a text book. This did not give pupils the opportunity to engage in their own hypotheses and predictions. Despite the developments in science teachings since this time, the process of teaching science in the ‘laboratory classroom’ still appears to come across as one of presenting scientific information and hoping that pupils are able to ‘fill in the missing links’ (Ramsey, G. A., &amp; Howe, R. W., </w:t>
      </w:r>
      <w:r w:rsidRPr="007B4941">
        <w:rPr>
          <w:rFonts w:ascii="Times New Roman" w:eastAsia="Times New Roman" w:hAnsi="Times New Roman" w:cs="Times New Roman"/>
          <w:sz w:val="24"/>
          <w:szCs w:val="24"/>
          <w:lang w:eastAsia="en-GB"/>
        </w:rPr>
        <w:t>1969).</w:t>
      </w:r>
      <w:r>
        <w:rPr>
          <w:rFonts w:ascii="Times New Roman" w:eastAsia="Times New Roman" w:hAnsi="Times New Roman" w:cs="Times New Roman"/>
          <w:sz w:val="24"/>
          <w:szCs w:val="24"/>
          <w:lang w:eastAsia="en-GB"/>
        </w:rPr>
        <w:t xml:space="preserve"> </w:t>
      </w:r>
    </w:p>
    <w:p w:rsidR="007D551F"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 presented three PISA questions on the topic of ‘acid rain’ to my sample group. The first question required a response from the candidate when presented with a photograph of marble statues that had suffered corrosion from the effects of acid rain. Whilst some scientific information was given in the text, foundation knowledge and comprehension of the terminology used was needed to ‘explain the phenomena scientifically’. The second question required ‘using the scientific evidence’ presented to choose the correct response from four </w:t>
      </w:r>
      <w:r>
        <w:rPr>
          <w:rFonts w:ascii="Times New Roman" w:eastAsia="Times New Roman" w:hAnsi="Times New Roman" w:cs="Times New Roman"/>
          <w:sz w:val="24"/>
          <w:szCs w:val="24"/>
          <w:lang w:eastAsia="en-GB"/>
        </w:rPr>
        <w:lastRenderedPageBreak/>
        <w:t>multiple choice options. The final question needed ‘scientific issues to be identified’ for a correct explanation.</w:t>
      </w:r>
    </w:p>
    <w:p w:rsidR="007D551F"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Teaching methods have acknowledged that ‘inferential thinking’ is a key skill that pupils need in all subjects (</w:t>
      </w:r>
      <w:r w:rsidRPr="005935EB">
        <w:rPr>
          <w:rFonts w:ascii="Times New Roman" w:hAnsi="Times New Roman" w:cs="Times New Roman"/>
          <w:sz w:val="24"/>
          <w:szCs w:val="24"/>
        </w:rPr>
        <w:t>Marzano, R.J., 2010</w:t>
      </w:r>
      <w:r>
        <w:rPr>
          <w:rFonts w:ascii="Times New Roman" w:hAnsi="Times New Roman" w:cs="Times New Roman"/>
          <w:sz w:val="24"/>
          <w:szCs w:val="24"/>
        </w:rPr>
        <w:t>)</w:t>
      </w:r>
      <w:r w:rsidRPr="005935EB">
        <w:rPr>
          <w:rFonts w:ascii="Times New Roman" w:hAnsi="Times New Roman" w:cs="Times New Roman"/>
          <w:sz w:val="24"/>
          <w:szCs w:val="24"/>
        </w:rPr>
        <w:t xml:space="preserve">. </w:t>
      </w:r>
      <w:r>
        <w:rPr>
          <w:rFonts w:ascii="Times New Roman" w:eastAsia="Times New Roman" w:hAnsi="Times New Roman" w:cs="Times New Roman"/>
          <w:sz w:val="24"/>
          <w:szCs w:val="24"/>
          <w:lang w:eastAsia="en-GB"/>
        </w:rPr>
        <w:t>Being able to understand information that is presented through observation or drawn from experience and is therefore implied and not directly stated, means that conclusions can be drawn through independent thinking processes. This links to the structure of PISA style questions presented to my group, particularly question 3 which requires using and applying scientific knowledge.</w:t>
      </w:r>
    </w:p>
    <w:p w:rsidR="007D551F"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rPr>
          <w:rFonts w:ascii="Times New Roman" w:eastAsia="Times New Roman" w:hAnsi="Times New Roman" w:cs="Times New Roman"/>
          <w:sz w:val="23"/>
          <w:szCs w:val="23"/>
          <w:lang w:eastAsia="en-GB"/>
        </w:rPr>
      </w:pPr>
      <w:r>
        <w:rPr>
          <w:rFonts w:ascii="Times New Roman" w:eastAsia="Times New Roman" w:hAnsi="Times New Roman" w:cs="Times New Roman"/>
          <w:sz w:val="24"/>
          <w:szCs w:val="24"/>
          <w:lang w:eastAsia="en-GB"/>
        </w:rPr>
        <w:t>According to Marzano et al (2010), high order problem solving and decision making skills are essential for progressive students of the 21</w:t>
      </w:r>
      <w:r w:rsidRPr="009D79D1">
        <w:rPr>
          <w:rFonts w:ascii="Times New Roman" w:eastAsia="Times New Roman" w:hAnsi="Times New Roman" w:cs="Times New Roman"/>
          <w:sz w:val="24"/>
          <w:szCs w:val="24"/>
          <w:vertAlign w:val="superscript"/>
          <w:lang w:eastAsia="en-GB"/>
        </w:rPr>
        <w:t>st</w:t>
      </w:r>
      <w:r>
        <w:rPr>
          <w:rFonts w:ascii="Times New Roman" w:eastAsia="Times New Roman" w:hAnsi="Times New Roman" w:cs="Times New Roman"/>
          <w:sz w:val="24"/>
          <w:szCs w:val="24"/>
          <w:lang w:eastAsia="en-GB"/>
        </w:rPr>
        <w:t xml:space="preserve"> century. Identifying the foundational phase is the first step of the ladder towards developing this cognitive thought process – inference being one of these steps. In his paper ‘Teaching Inference’, Marzano states how using four probing questions derived from ‘elaborative interrogation’ (</w:t>
      </w:r>
      <w:r w:rsidRPr="00F21295">
        <w:rPr>
          <w:rFonts w:ascii="Times New Roman" w:eastAsia="Times New Roman" w:hAnsi="Times New Roman" w:cs="Times New Roman"/>
          <w:sz w:val="23"/>
          <w:szCs w:val="23"/>
          <w:lang w:eastAsia="en-GB"/>
        </w:rPr>
        <w:t>Ozgung</w:t>
      </w:r>
      <w:r>
        <w:rPr>
          <w:rFonts w:ascii="Times New Roman" w:eastAsia="Times New Roman" w:hAnsi="Times New Roman" w:cs="Times New Roman"/>
          <w:sz w:val="23"/>
          <w:szCs w:val="23"/>
          <w:lang w:eastAsia="en-GB"/>
        </w:rPr>
        <w:t>or, S., &amp; Guthrie, J. T., 2004),</w:t>
      </w:r>
      <w:r w:rsidRPr="00F21295">
        <w:rPr>
          <w:rFonts w:ascii="Times New Roman" w:eastAsia="Times New Roman" w:hAnsi="Times New Roman" w:cs="Times New Roman"/>
          <w:sz w:val="23"/>
          <w:szCs w:val="23"/>
          <w:lang w:eastAsia="en-GB"/>
        </w:rPr>
        <w:t xml:space="preserve"> </w:t>
      </w:r>
      <w:r>
        <w:rPr>
          <w:rFonts w:ascii="Times New Roman" w:eastAsia="Times New Roman" w:hAnsi="Times New Roman" w:cs="Times New Roman"/>
          <w:sz w:val="23"/>
          <w:szCs w:val="23"/>
          <w:lang w:eastAsia="en-GB"/>
        </w:rPr>
        <w:t xml:space="preserve">is an effective teaching tool to encourage pupils to expand their cognitive skills. The teacher poses the questions whilst also interactively engaging with them with further probing questions. The first question is to determine what the inference actually is i.e. the source. This may be a presented image, comprehension or assumption made from a previous experience. Considering the information used would be the second question i.e. is it a credible worthy source? The third question would be to engage pupils to examine alternative outcomes; the fourth and final question being to arrive at a logical conclusion. </w:t>
      </w:r>
    </w:p>
    <w:p w:rsidR="007D551F" w:rsidRDefault="007D551F" w:rsidP="007D551F">
      <w:pPr>
        <w:rPr>
          <w:rFonts w:ascii="Times New Roman" w:eastAsia="Times New Roman" w:hAnsi="Times New Roman" w:cs="Times New Roman"/>
          <w:sz w:val="23"/>
          <w:szCs w:val="23"/>
          <w:lang w:eastAsia="en-GB"/>
        </w:rPr>
      </w:pPr>
      <w:r>
        <w:rPr>
          <w:rFonts w:ascii="Times New Roman" w:eastAsia="Times New Roman" w:hAnsi="Times New Roman" w:cs="Times New Roman"/>
          <w:sz w:val="23"/>
          <w:szCs w:val="23"/>
          <w:lang w:eastAsia="en-GB"/>
        </w:rPr>
        <w:t xml:space="preserve">One would argue that as pupils will naturally be at different levels of the foundational ladder dependent on their base line abilities, they may not benefit from this teaching model, and may become lost in the cognitive transition. Taking this into account, other models used for teaching inferences have been adapted to consider differentiation requirements in the classroom. One such model called ‘It says - I say - And so’ (Kyle Beers, 2003), uses graphical images and connections to real life experiences as much as possible. This has shown to be useful when teaching young pupils or those that have English as their second language as well as other learning limitations/disabilities.   </w:t>
      </w:r>
    </w:p>
    <w:p w:rsidR="007D551F" w:rsidRDefault="007D551F" w:rsidP="007D551F">
      <w:pPr>
        <w:rPr>
          <w:rFonts w:ascii="Times New Roman" w:eastAsia="Times New Roman" w:hAnsi="Times New Roman" w:cs="Times New Roman"/>
          <w:sz w:val="23"/>
          <w:szCs w:val="23"/>
          <w:lang w:eastAsia="en-GB"/>
        </w:rPr>
      </w:pPr>
      <w:r>
        <w:rPr>
          <w:rFonts w:ascii="Times New Roman" w:eastAsia="Times New Roman" w:hAnsi="Times New Roman" w:cs="Times New Roman"/>
          <w:sz w:val="23"/>
          <w:szCs w:val="23"/>
          <w:lang w:eastAsia="en-GB"/>
        </w:rPr>
        <w:t>In summary, the overall idea of inference teaching remains the same. Varied approaches can be used dependent on the audience, but the process of cognitive thought throughout is aimed at developing higher level thinking skills.</w:t>
      </w:r>
    </w:p>
    <w:p w:rsidR="007D551F" w:rsidRDefault="007D551F" w:rsidP="007D551F">
      <w:pPr>
        <w:rPr>
          <w:rFonts w:ascii="Times New Roman" w:eastAsia="Times New Roman" w:hAnsi="Times New Roman" w:cs="Times New Roman"/>
          <w:sz w:val="23"/>
          <w:szCs w:val="23"/>
          <w:lang w:eastAsia="en-GB"/>
        </w:rPr>
      </w:pPr>
      <w:r>
        <w:rPr>
          <w:rFonts w:ascii="Times New Roman" w:eastAsia="Times New Roman" w:hAnsi="Times New Roman" w:cs="Times New Roman"/>
          <w:sz w:val="23"/>
          <w:szCs w:val="23"/>
          <w:lang w:eastAsia="en-GB"/>
        </w:rPr>
        <w:t>Having reviewed professional and academic literature that presented some encouraging results from using inference teaching in the classroom, I chose to introduce ‘inference squares’ and use them as one of my intervention techniques with my year  9 group. I planned to introduce them in all 3 of my lessons following the acid rain pre-test so that the pupils would become familiar with the template and the structure of the probing questions.</w:t>
      </w:r>
    </w:p>
    <w:p w:rsidR="007D551F" w:rsidRDefault="007D551F" w:rsidP="007D551F">
      <w:pPr>
        <w:rPr>
          <w:rFonts w:ascii="Times New Roman" w:eastAsia="Times New Roman" w:hAnsi="Times New Roman" w:cs="Times New Roman"/>
          <w:sz w:val="23"/>
          <w:szCs w:val="23"/>
          <w:lang w:eastAsia="en-GB"/>
        </w:rPr>
      </w:pPr>
      <w:r>
        <w:rPr>
          <w:rFonts w:ascii="Times New Roman" w:eastAsia="Times New Roman" w:hAnsi="Times New Roman" w:cs="Times New Roman"/>
          <w:sz w:val="23"/>
          <w:szCs w:val="23"/>
          <w:lang w:eastAsia="en-GB"/>
        </w:rPr>
        <w:t xml:space="preserve">My concerns were that the 3 intervention lessons allocated for the year group chosen were spaced too far apart (4-7 days) and that pupil recall and accessing prior knowledge may be more difficult as a result. To address this, I aimed to increase classroom usage of the inference templates with verbal references to life related scenarios as much as possible. </w:t>
      </w:r>
    </w:p>
    <w:p w:rsidR="007D551F" w:rsidRDefault="007D551F" w:rsidP="007D551F">
      <w:pPr>
        <w:rPr>
          <w:rFonts w:ascii="Times New Roman" w:eastAsia="Times New Roman" w:hAnsi="Times New Roman" w:cs="Times New Roman"/>
          <w:sz w:val="23"/>
          <w:szCs w:val="23"/>
          <w:lang w:eastAsia="en-GB"/>
        </w:rPr>
      </w:pPr>
      <w:r>
        <w:rPr>
          <w:rFonts w:ascii="Times New Roman" w:eastAsia="Times New Roman" w:hAnsi="Times New Roman" w:cs="Times New Roman"/>
          <w:sz w:val="23"/>
          <w:szCs w:val="23"/>
          <w:lang w:eastAsia="en-GB"/>
        </w:rPr>
        <w:lastRenderedPageBreak/>
        <w:t xml:space="preserve">I also set a homework task for the group during the week period between lessons. The homework set was an acid rain crossword puzzle and its purpose was to keep the momentum of the topic alive in the absence of regular intervention. However, several pupils expressed a wish to complete the homework during school lunchtime on the same day (due to unfavourable home conditions). Although a commendable request made with sad circumstances, this defeated my intentions of creating a pupil initiated revision task for these pupils. </w:t>
      </w:r>
    </w:p>
    <w:p w:rsidR="007D551F" w:rsidRDefault="007D551F" w:rsidP="007D551F">
      <w:pPr>
        <w:rPr>
          <w:rFonts w:ascii="Times New Roman" w:eastAsia="Times New Roman" w:hAnsi="Times New Roman" w:cs="Times New Roman"/>
          <w:sz w:val="23"/>
          <w:szCs w:val="23"/>
          <w:lang w:eastAsia="en-GB"/>
        </w:rPr>
      </w:pPr>
      <w:r>
        <w:rPr>
          <w:rFonts w:ascii="Times New Roman" w:eastAsia="Times New Roman" w:hAnsi="Times New Roman" w:cs="Times New Roman"/>
          <w:sz w:val="23"/>
          <w:szCs w:val="23"/>
          <w:lang w:eastAsia="en-GB"/>
        </w:rPr>
        <w:t>I also considered the possibility of pupil absenteeism in the group during the research period. This would have added an inconsistency to my results causing a reduction in my sample size and giving a less accurate representation of the overall data. Attendance was generally good for this year group, and fortunately, all pupils were in attendance through the tests and the interventions.</w:t>
      </w:r>
    </w:p>
    <w:p w:rsidR="007D551F" w:rsidRDefault="007D551F" w:rsidP="007D551F">
      <w:pPr>
        <w:rPr>
          <w:rFonts w:ascii="Times New Roman" w:eastAsia="Times New Roman" w:hAnsi="Times New Roman" w:cs="Times New Roman"/>
          <w:sz w:val="23"/>
          <w:szCs w:val="23"/>
          <w:lang w:eastAsia="en-GB"/>
        </w:rPr>
      </w:pPr>
      <w:r>
        <w:rPr>
          <w:rFonts w:ascii="Times New Roman" w:eastAsia="Times New Roman" w:hAnsi="Times New Roman" w:cs="Times New Roman"/>
          <w:sz w:val="23"/>
          <w:szCs w:val="23"/>
          <w:lang w:eastAsia="en-GB"/>
        </w:rPr>
        <w:t>From prior teachings, I had learnt the benefits from using continual probing questions in the classroom (especially when named pupils are directly asked) with cross referencing terminology and links to certain processes, pupil recall and engagement improved significantly. I utilised this strategy in the 3 interventions to such an extent, that I feared that I may have slightly over sold the idea.</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sz w:val="23"/>
          <w:szCs w:val="23"/>
          <w:lang w:eastAsia="en-GB"/>
        </w:rPr>
        <w:t>With reference to the use of practical demonstrations and visual imagery in the classroom to encourage establishing links between science practices and science phenomena, I planned to demonstrate directly the effect of acid rain in the classroom. Previous research as noted earlier (</w:t>
      </w:r>
      <w:r w:rsidRPr="00B67EF7">
        <w:rPr>
          <w:rFonts w:ascii="Times New Roman" w:eastAsia="Times New Roman" w:hAnsi="Times New Roman" w:cs="Times New Roman"/>
          <w:sz w:val="24"/>
          <w:szCs w:val="24"/>
          <w:lang w:eastAsia="en-GB"/>
        </w:rPr>
        <w:t>Abrahams, I. and Millar, R., 2008</w:t>
      </w:r>
      <w:r>
        <w:rPr>
          <w:rFonts w:ascii="Times New Roman" w:eastAsia="Times New Roman" w:hAnsi="Times New Roman" w:cs="Times New Roman"/>
          <w:sz w:val="24"/>
          <w:szCs w:val="24"/>
          <w:lang w:eastAsia="en-GB"/>
        </w:rPr>
        <w:t xml:space="preserve">) indicated a weakness in pupil ability to link observations with scientific ideas. The purpose of my demonstration was to show the effect of acid when reacting with marble chips. The mass of the chips would be weighed prior and after the experiment to demonstrate a mass loss i.e. cross referencing to marble erosion in the pre-test PISA question. The visual degraded appearance of the marble chips after the acid reaction would mimic that of the marble statue in the question paper. Also, the opportunity to explain an increased reaction rate with increased surface area would be evident and link a scientific process to an actual life event.  </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Visual imagery in photographic or cartoon form is an effective engagement teaching tool when pupils can identify with pictures shown. It offers an alternative perspective to viewing science related concepts that otherwise depicted may be more difficult to understand.  Studies have shown (</w:t>
      </w:r>
      <w:r w:rsidRPr="00D539DC">
        <w:rPr>
          <w:rFonts w:ascii="Times New Roman" w:eastAsia="Times New Roman" w:hAnsi="Times New Roman" w:cs="Times New Roman"/>
          <w:sz w:val="24"/>
          <w:szCs w:val="24"/>
          <w:lang w:eastAsia="en-GB"/>
        </w:rPr>
        <w:t xml:space="preserve">Dalacosta, K., Kamariotaki-Paparrigopoulou, M., </w:t>
      </w:r>
      <w:proofErr w:type="spellStart"/>
      <w:r w:rsidRPr="00D539DC">
        <w:rPr>
          <w:rFonts w:ascii="Times New Roman" w:eastAsia="Times New Roman" w:hAnsi="Times New Roman" w:cs="Times New Roman"/>
          <w:sz w:val="24"/>
          <w:szCs w:val="24"/>
          <w:lang w:eastAsia="en-GB"/>
        </w:rPr>
        <w:t>Palyvos</w:t>
      </w:r>
      <w:proofErr w:type="spellEnd"/>
      <w:r>
        <w:rPr>
          <w:rFonts w:ascii="Times New Roman" w:eastAsia="Times New Roman" w:hAnsi="Times New Roman" w:cs="Times New Roman"/>
          <w:sz w:val="24"/>
          <w:szCs w:val="24"/>
          <w:lang w:eastAsia="en-GB"/>
        </w:rPr>
        <w:t>, J.A. and Spyrellis, N., 2009), that the use of animations and cartoon imagery has significantly enhanced young pupils’ knowledge and understanding of science concepts. This is most definitely a regular feature in all my lessons. I find it also adds value to a lesson as pupils embrace an alternative, more creative task if encouraged to explore the meanings behind cartoon advertisements and tabloids.</w:t>
      </w:r>
    </w:p>
    <w:p w:rsidR="007D551F" w:rsidRDefault="007D551F" w:rsidP="007D551F">
      <w:pPr>
        <w:rPr>
          <w:rFonts w:ascii="Times New Roman" w:eastAsia="Times New Roman" w:hAnsi="Times New Roman" w:cs="Times New Roman"/>
          <w:b/>
          <w:sz w:val="24"/>
          <w:szCs w:val="24"/>
          <w:lang w:eastAsia="en-GB"/>
        </w:rPr>
      </w:pPr>
    </w:p>
    <w:p w:rsidR="007D551F" w:rsidRPr="00EB1F69" w:rsidRDefault="007D551F" w:rsidP="007D551F">
      <w:pPr>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School Policy and Practice</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Having embraced quality teaching experience and positive teacher/pupil/parent interaction at my first placement school, I have comprehensively reviewed School A’s development plan </w:t>
      </w:r>
      <w:r>
        <w:rPr>
          <w:rFonts w:ascii="Times New Roman" w:eastAsia="Times New Roman" w:hAnsi="Times New Roman" w:cs="Times New Roman"/>
          <w:sz w:val="24"/>
          <w:szCs w:val="24"/>
          <w:lang w:eastAsia="en-GB"/>
        </w:rPr>
        <w:lastRenderedPageBreak/>
        <w:t>(2017-20) and actions in response to Estyn’s recommendations (2015) and how that has impacted upon school policy and practice.</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Estyn delivered 3 recommendations; to </w:t>
      </w:r>
      <w:r>
        <w:rPr>
          <w:rFonts w:ascii="Times New Roman" w:hAnsi="Times New Roman" w:cs="Times New Roman"/>
          <w:sz w:val="24"/>
          <w:szCs w:val="24"/>
        </w:rPr>
        <w:t xml:space="preserve">secure measurable improvements in pupils achieving 5+A*-A grades and to </w:t>
      </w:r>
      <w:r>
        <w:rPr>
          <w:rFonts w:ascii="Times New Roman" w:eastAsia="Times New Roman" w:hAnsi="Times New Roman" w:cs="Times New Roman"/>
          <w:sz w:val="24"/>
          <w:szCs w:val="24"/>
          <w:lang w:eastAsia="en-GB"/>
        </w:rPr>
        <w:t xml:space="preserve">improve outcomes for  MAT pupils; to reduce the number of exclusions to under 5 days and to improve literacy skills to match the high reading ability of pupils by further use of EWT (extended writing tasks). </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Aiming to improve scientific literacy has been one of my focused teaching strategies. School A’s literacy policy (2015) acknowledges that literacy needs to be applied across the complete curriculum in all subject areas and used as a tool in support of reading, writing and oracy tasks. Current approaches to implementing literacy of all kinds in the classroom are engaging and innovative by linking comprehension and writing tasks to specific subjects. I created literacy based starters in all of my science lessons which challenged all pupils to use their cognitive abilities incorporated with spelling, writing and comprehensions skills. By using a topical word as the source, pupils were asked to find the answers to word clues which were hidden in that word. The words used were scientifically connected to the lesson which made pupils link the vocabulary with science and improve spelling and grammar.</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In addition, I found that by including numeracy clues where appropriate along with familiar quotes and sayings, it broadened pupils perception of language so that they would no longer consider literacy as a separate subject altogether. An additional benefit noted from my use of an alternative literacy lesson starter, was the encouraging pupil response and willingness of pupils to participate. Favourable results were evident through the use of small formative assessments that I conducted to monitor and record pupil progress. Spelling and grammatical errors were less frequent for commonly used words as well as scientific terms. This was also apparent from book scrutiny. It further motivated me to continue with my literacy starter teaching strategy whereby I also added small spelling tests at the end of each lesson to confirm new scientific words used. </w:t>
      </w:r>
    </w:p>
    <w:p w:rsidR="007D551F" w:rsidRDefault="007D551F" w:rsidP="007D551F">
      <w:pPr>
        <w:rPr>
          <w:rFonts w:ascii="Times New Roman" w:hAnsi="Times New Roman"/>
          <w:sz w:val="24"/>
          <w:lang w:eastAsia="en-GB"/>
        </w:rPr>
      </w:pPr>
      <w:r>
        <w:rPr>
          <w:rFonts w:ascii="Times New Roman" w:eastAsia="Times New Roman" w:hAnsi="Times New Roman" w:cs="Times New Roman"/>
          <w:sz w:val="24"/>
          <w:szCs w:val="24"/>
          <w:lang w:eastAsia="en-GB"/>
        </w:rPr>
        <w:t>Considerable research in this area (</w:t>
      </w:r>
      <w:r>
        <w:rPr>
          <w:rFonts w:ascii="Times New Roman" w:hAnsi="Times New Roman"/>
          <w:sz w:val="24"/>
          <w:lang w:eastAsia="en-GB"/>
        </w:rPr>
        <w:t>Reynolds, D., Sammons, P., Stoll, L., Barber, M. and Hillman, J., 1996), supports this approach for literacy being taught as a ‘language for learning’ and demonstrating the importance of literacy in ‘all’ subjects. They went on to conclude that formative and summative results from mainstream pupils in general were not as encouraging when literacy was taught as a separate subject.</w:t>
      </w:r>
    </w:p>
    <w:p w:rsidR="007D551F" w:rsidRDefault="007D551F" w:rsidP="007D551F">
      <w:pPr>
        <w:rPr>
          <w:rFonts w:ascii="Times New Roman" w:hAnsi="Times New Roman" w:cs="Times New Roman"/>
          <w:sz w:val="24"/>
          <w:szCs w:val="24"/>
        </w:rPr>
      </w:pPr>
      <w:r>
        <w:rPr>
          <w:rFonts w:ascii="Times New Roman" w:hAnsi="Times New Roman"/>
          <w:sz w:val="24"/>
          <w:lang w:eastAsia="en-GB"/>
        </w:rPr>
        <w:t>The literacy policy for School A has incorporated EWT in addition to ROWND tasks (</w:t>
      </w:r>
      <w:r>
        <w:rPr>
          <w:rFonts w:ascii="Times New Roman" w:hAnsi="Times New Roman" w:cs="Times New Roman"/>
          <w:sz w:val="24"/>
          <w:szCs w:val="24"/>
        </w:rPr>
        <w:t xml:space="preserve">reading, oracy, writing, numeracy and digital competency) throughout the curriculum and produced favourable results. Further use of supporting tools such as the 8 reading behaviours model (2018), have assisted in the development of literacy progression and allowed pupils to explore a broader use and application of reading and writing skills. </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With reference to A’s department evaluation plan (2018), a measurable 6.2 – 6.5% increase was recorded in reading and writing attainments for 2016-17 when compared to similar family schools. Evidently, the results speak for themselves and are clearly attributable to the effective implementation of the literacy policy.</w:t>
      </w:r>
    </w:p>
    <w:p w:rsidR="007D551F" w:rsidRDefault="007D551F" w:rsidP="007D551F">
      <w:pPr>
        <w:spacing w:after="0" w:line="240" w:lineRule="auto"/>
        <w:rPr>
          <w:rFonts w:ascii="Times New Roman" w:eastAsia="Times New Roman" w:hAnsi="Times New Roman" w:cs="Times New Roman"/>
          <w:b/>
          <w:sz w:val="24"/>
          <w:szCs w:val="24"/>
          <w:lang w:eastAsia="en-GB"/>
        </w:rPr>
      </w:pPr>
      <w:r w:rsidRPr="00DB6610">
        <w:rPr>
          <w:rFonts w:ascii="Times New Roman" w:eastAsia="Times New Roman" w:hAnsi="Times New Roman" w:cs="Times New Roman"/>
          <w:b/>
          <w:sz w:val="24"/>
          <w:szCs w:val="24"/>
          <w:lang w:eastAsia="en-GB"/>
        </w:rPr>
        <w:lastRenderedPageBreak/>
        <w:t xml:space="preserve">Methodology </w:t>
      </w:r>
      <w:r>
        <w:rPr>
          <w:rFonts w:ascii="Times New Roman" w:eastAsia="Times New Roman" w:hAnsi="Times New Roman" w:cs="Times New Roman"/>
          <w:b/>
          <w:sz w:val="24"/>
          <w:szCs w:val="24"/>
          <w:lang w:eastAsia="en-GB"/>
        </w:rPr>
        <w:t>and Ethics</w:t>
      </w:r>
    </w:p>
    <w:p w:rsidR="007D551F" w:rsidRDefault="007D551F" w:rsidP="007D551F">
      <w:pPr>
        <w:spacing w:after="0" w:line="240" w:lineRule="auto"/>
        <w:rPr>
          <w:rFonts w:ascii="Times New Roman" w:eastAsia="Times New Roman" w:hAnsi="Times New Roman" w:cs="Times New Roman"/>
          <w:b/>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My</w:t>
      </w:r>
      <w:r w:rsidRPr="002A280F">
        <w:rPr>
          <w:rFonts w:ascii="Times New Roman" w:eastAsia="Times New Roman" w:hAnsi="Times New Roman" w:cs="Times New Roman"/>
          <w:sz w:val="24"/>
          <w:szCs w:val="24"/>
          <w:lang w:eastAsia="en-GB"/>
        </w:rPr>
        <w:t xml:space="preserve"> research project </w:t>
      </w:r>
      <w:r>
        <w:rPr>
          <w:rFonts w:ascii="Times New Roman" w:eastAsia="Times New Roman" w:hAnsi="Times New Roman" w:cs="Times New Roman"/>
          <w:sz w:val="24"/>
          <w:szCs w:val="24"/>
          <w:lang w:eastAsia="en-GB"/>
        </w:rPr>
        <w:t xml:space="preserve">complies with the BERA (British Educational Research Association) ethical codes and guidelines. This means that matters concerning all relevant permissions and authorisations needed were granted prior to conducting the research. All data to be collected was stored securely, anonymously and on a password protected media storage device with the primary researcher i.e. myself having sole access and knowledge of its contents. All data will be destroyed after completion of said research. The participants were informed of the full intent and requirements of my research project and given the option to withdraw if requested. All pupils chose to participate in my research and written consent was approved. </w:t>
      </w:r>
    </w:p>
    <w:p w:rsidR="007D551F"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r w:rsidRPr="0073239E">
        <w:rPr>
          <w:rFonts w:ascii="Times New Roman" w:eastAsia="Times New Roman" w:hAnsi="Times New Roman" w:cs="Times New Roman"/>
          <w:sz w:val="24"/>
          <w:szCs w:val="24"/>
          <w:lang w:eastAsia="en-GB"/>
        </w:rPr>
        <w:t>Baxter et al</w:t>
      </w:r>
      <w:r>
        <w:rPr>
          <w:rFonts w:ascii="Times New Roman" w:eastAsia="Times New Roman" w:hAnsi="Times New Roman" w:cs="Times New Roman"/>
          <w:sz w:val="24"/>
          <w:szCs w:val="24"/>
          <w:lang w:eastAsia="en-GB"/>
        </w:rPr>
        <w:t>, 2006</w:t>
      </w:r>
      <w:r w:rsidRPr="0073239E">
        <w:rPr>
          <w:rFonts w:ascii="Times New Roman" w:eastAsia="Times New Roman" w:hAnsi="Times New Roman" w:cs="Times New Roman"/>
          <w:sz w:val="24"/>
          <w:szCs w:val="24"/>
          <w:lang w:eastAsia="en-GB"/>
        </w:rPr>
        <w:t>, summarized the fundamentals of research ethics</w:t>
      </w:r>
      <w:r>
        <w:rPr>
          <w:rFonts w:ascii="Times New Roman" w:eastAsia="Times New Roman" w:hAnsi="Times New Roman" w:cs="Times New Roman"/>
          <w:sz w:val="24"/>
          <w:szCs w:val="24"/>
          <w:lang w:eastAsia="en-GB"/>
        </w:rPr>
        <w:t xml:space="preserve"> by stating that the presentation of the research should be clear and simply defined so as to prevent any problems occurring during the process. They also went on to state that some circumstances benefited from a contract arrangement for added security to all parties concerned. In this case, in addition to university and BERA authorisation, consent was confirmed by pupils, parents and school Headmaster.</w:t>
      </w:r>
    </w:p>
    <w:p w:rsidR="007D551F"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As a conscientious researcher and inquiring teacher, I did not wish to reject one method solely over another.</w:t>
      </w:r>
      <w:r w:rsidRPr="00B52080">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I decided to use several methods of preparing for, collecting and analysing data from my research. I chose a mainly quantitative approach with some qualitative evaluation of pupil’s attitude responses (see appendix B). </w:t>
      </w:r>
    </w:p>
    <w:p w:rsidR="007D551F"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 comprehensive approach to teaching scientific literacy and achieving positive results is an essential part of education in science. It translates into life skills such as problem solving, decision making and cognitive thought processes. The earlier studies from Lunetta</w:t>
      </w:r>
      <w:r w:rsidRPr="00853A0A">
        <w:rPr>
          <w:rFonts w:ascii="Times New Roman" w:eastAsia="Times New Roman" w:hAnsi="Times New Roman" w:cs="Times New Roman"/>
          <w:sz w:val="24"/>
          <w:szCs w:val="24"/>
          <w:lang w:eastAsia="en-GB"/>
        </w:rPr>
        <w:t>, V.N.,</w:t>
      </w:r>
      <w:r>
        <w:rPr>
          <w:rFonts w:ascii="Times New Roman" w:eastAsia="Times New Roman" w:hAnsi="Times New Roman" w:cs="Times New Roman"/>
          <w:sz w:val="24"/>
          <w:szCs w:val="24"/>
          <w:lang w:eastAsia="en-GB"/>
        </w:rPr>
        <w:t xml:space="preserve"> et al, 2007 and Abrahams, I., et al, 2008, concluded that scientific conceptual awareness amongst pupils needed improvement. By linking scientific principles with practical and visual demonstrations, outcomes were positively encouraging. However, further developments in this area would be advantageous for school leavers to be more equipped to face life challenges after compulsory education. </w:t>
      </w:r>
    </w:p>
    <w:p w:rsidR="007D551F"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PISA questions are structured to engage pupils to identify, explain and apply scientific principles (</w:t>
      </w:r>
      <w:r w:rsidRPr="001C7E63">
        <w:rPr>
          <w:rFonts w:ascii="Times New Roman" w:eastAsia="Times New Roman" w:hAnsi="Times New Roman" w:cs="Times New Roman"/>
          <w:sz w:val="24"/>
          <w:szCs w:val="24"/>
          <w:lang w:eastAsia="en-GB"/>
        </w:rPr>
        <w:t>Bybee, R., Fensham, P. and Laurie, R.,</w:t>
      </w:r>
      <w:r>
        <w:rPr>
          <w:rFonts w:ascii="Times New Roman" w:eastAsia="Times New Roman" w:hAnsi="Times New Roman" w:cs="Times New Roman"/>
          <w:sz w:val="24"/>
          <w:szCs w:val="24"/>
          <w:lang w:eastAsia="en-GB"/>
        </w:rPr>
        <w:t xml:space="preserve"> </w:t>
      </w:r>
      <w:r w:rsidRPr="001C7E63">
        <w:rPr>
          <w:rFonts w:ascii="Times New Roman" w:eastAsia="Times New Roman" w:hAnsi="Times New Roman" w:cs="Times New Roman"/>
          <w:sz w:val="24"/>
          <w:szCs w:val="24"/>
          <w:lang w:eastAsia="en-GB"/>
        </w:rPr>
        <w:t>2009</w:t>
      </w:r>
      <w:r>
        <w:rPr>
          <w:rFonts w:ascii="Times New Roman" w:eastAsia="Times New Roman" w:hAnsi="Times New Roman" w:cs="Times New Roman"/>
          <w:sz w:val="24"/>
          <w:szCs w:val="24"/>
          <w:lang w:eastAsia="en-GB"/>
        </w:rPr>
        <w:t xml:space="preserve">). I selected to use PISA questions with my sample group for this reason, as the pupil’s answers gave me possible inferences to identify any weak links within science literacy education. The questions are structured to probe pupils knowledge, to explain it and then to apply it to a scientific event. I determined that the responses would highlight any break down of transference of scientific theory to practice. </w:t>
      </w:r>
    </w:p>
    <w:p w:rsidR="007D551F"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My interventions used literacy based starters surrounding themes of environmental problems to initiate cognitive thinking and familiarise the class with scientific related terms. Repetitive question probing to access prior knowledge throughout the lessons was used to encourage pupil recall.</w:t>
      </w:r>
    </w:p>
    <w:p w:rsidR="007D551F" w:rsidRDefault="007D551F" w:rsidP="007D551F">
      <w:pPr>
        <w:spacing w:after="0" w:line="240" w:lineRule="auto"/>
        <w:rPr>
          <w:rFonts w:ascii="Times New Roman" w:eastAsia="Times New Roman" w:hAnsi="Times New Roman" w:cs="Times New Roman"/>
          <w:sz w:val="24"/>
          <w:szCs w:val="24"/>
          <w:lang w:eastAsia="en-GB"/>
        </w:rPr>
      </w:pPr>
    </w:p>
    <w:p w:rsidR="007D551F" w:rsidRDefault="007D551F" w:rsidP="007D551F">
      <w:pPr>
        <w:rPr>
          <w:rFonts w:ascii="Times New Roman" w:hAnsi="Times New Roman" w:cs="Times New Roman"/>
          <w:sz w:val="24"/>
          <w:szCs w:val="24"/>
        </w:rPr>
      </w:pPr>
      <w:r>
        <w:rPr>
          <w:rFonts w:ascii="Times New Roman" w:eastAsia="Times New Roman" w:hAnsi="Times New Roman" w:cs="Times New Roman"/>
          <w:sz w:val="24"/>
          <w:szCs w:val="24"/>
          <w:lang w:eastAsia="en-GB"/>
        </w:rPr>
        <w:t xml:space="preserve">I incorporated several strategies to demonstrate that scientific knowledge and scientific processes should not be confined to the classroom or the laboratory. With reference to studies from Abrahams, Millar et al, 2008, I pursued the idea of a direct practical demonstration of the affects of dilute hydrochloric acid (as an acid rain substitute) when added to marble chips </w:t>
      </w:r>
      <w:r>
        <w:rPr>
          <w:rFonts w:ascii="Times New Roman" w:eastAsia="Times New Roman" w:hAnsi="Times New Roman" w:cs="Times New Roman"/>
          <w:sz w:val="24"/>
          <w:szCs w:val="24"/>
          <w:lang w:eastAsia="en-GB"/>
        </w:rPr>
        <w:lastRenderedPageBreak/>
        <w:t xml:space="preserve">(to mimic the marble statute in the PISA question). I explained and showed the class that I weighed and recorded the marble chips prior to initiating the reaction. By replicating the experiment that was described in the PISA question, pupils visually acknowledged the physical erosion to the marble chips with noticeable effervescence. Carbon dioxide emissions from the reaction provided a further opportunity to prompt recall of prior knowledge of atmospheric gases and limewater tests that linked to scientific principles and applications. I was mindful to not over complicate the lesson with distracting content but focussed </w:t>
      </w:r>
      <w:r w:rsidRPr="00A47E0B">
        <w:rPr>
          <w:rFonts w:ascii="Times New Roman" w:eastAsia="Times New Roman" w:hAnsi="Times New Roman" w:cs="Times New Roman"/>
          <w:sz w:val="24"/>
          <w:szCs w:val="24"/>
          <w:lang w:eastAsia="en-GB"/>
        </w:rPr>
        <w:t xml:space="preserve">on providing consistent links to relevant scenarios. In effect, </w:t>
      </w:r>
      <w:r>
        <w:rPr>
          <w:rFonts w:ascii="Times New Roman" w:eastAsia="Times New Roman" w:hAnsi="Times New Roman" w:cs="Times New Roman"/>
          <w:sz w:val="24"/>
          <w:szCs w:val="24"/>
          <w:lang w:eastAsia="en-GB"/>
        </w:rPr>
        <w:t xml:space="preserve">I had attempted to </w:t>
      </w:r>
      <w:r w:rsidRPr="00A47E0B">
        <w:rPr>
          <w:rFonts w:ascii="Times New Roman" w:eastAsia="Times New Roman" w:hAnsi="Times New Roman" w:cs="Times New Roman"/>
          <w:sz w:val="24"/>
          <w:szCs w:val="24"/>
          <w:lang w:eastAsia="en-GB"/>
        </w:rPr>
        <w:t xml:space="preserve">follow </w:t>
      </w:r>
      <w:r>
        <w:rPr>
          <w:rFonts w:ascii="Times New Roman" w:eastAsia="Times New Roman" w:hAnsi="Times New Roman" w:cs="Times New Roman"/>
          <w:sz w:val="24"/>
          <w:szCs w:val="24"/>
          <w:lang w:eastAsia="en-GB"/>
        </w:rPr>
        <w:t xml:space="preserve">the </w:t>
      </w:r>
      <w:r w:rsidRPr="00A47E0B">
        <w:rPr>
          <w:rFonts w:ascii="Times New Roman" w:eastAsia="Times New Roman" w:hAnsi="Times New Roman" w:cs="Times New Roman"/>
          <w:sz w:val="24"/>
          <w:szCs w:val="24"/>
          <w:lang w:eastAsia="en-GB"/>
        </w:rPr>
        <w:t xml:space="preserve">ideas of Donaldson (1995) – ‘to create </w:t>
      </w:r>
      <w:r>
        <w:rPr>
          <w:rFonts w:ascii="Times New Roman" w:hAnsi="Times New Roman" w:cs="Times New Roman"/>
          <w:bCs/>
          <w:sz w:val="24"/>
          <w:szCs w:val="24"/>
        </w:rPr>
        <w:t>a</w:t>
      </w:r>
      <w:r w:rsidRPr="00A47E0B">
        <w:rPr>
          <w:rFonts w:ascii="Times New Roman" w:hAnsi="Times New Roman" w:cs="Times New Roman"/>
          <w:bCs/>
          <w:sz w:val="24"/>
          <w:szCs w:val="24"/>
        </w:rPr>
        <w:t>mbitious, capable learners</w:t>
      </w:r>
      <w:r w:rsidRPr="00A47E0B">
        <w:rPr>
          <w:rFonts w:ascii="Times New Roman" w:hAnsi="Times New Roman" w:cs="Times New Roman"/>
          <w:sz w:val="24"/>
          <w:szCs w:val="24"/>
        </w:rPr>
        <w:t xml:space="preserve"> who are ready t</w:t>
      </w:r>
      <w:r>
        <w:rPr>
          <w:rFonts w:ascii="Times New Roman" w:hAnsi="Times New Roman" w:cs="Times New Roman"/>
          <w:sz w:val="24"/>
          <w:szCs w:val="24"/>
        </w:rPr>
        <w:t xml:space="preserve">o learn throughout their lives’. </w:t>
      </w:r>
      <w:r w:rsidRPr="00325AAF">
        <w:rPr>
          <w:rFonts w:ascii="Times New Roman" w:hAnsi="Times New Roman" w:cs="Times New Roman"/>
          <w:sz w:val="24"/>
          <w:szCs w:val="24"/>
        </w:rPr>
        <w:t>The visual effects were acknowledged by all pupils and prompted a lively discussion on acidic reactions with other materials</w:t>
      </w:r>
      <w:r>
        <w:rPr>
          <w:rFonts w:ascii="Times New Roman" w:hAnsi="Times New Roman" w:cs="Times New Roman"/>
          <w:sz w:val="24"/>
          <w:szCs w:val="24"/>
        </w:rPr>
        <w:t xml:space="preserve"> </w:t>
      </w:r>
      <w:r w:rsidRPr="00325AAF">
        <w:rPr>
          <w:rFonts w:ascii="Times New Roman" w:hAnsi="Times New Roman" w:cs="Times New Roman"/>
          <w:sz w:val="24"/>
          <w:szCs w:val="24"/>
        </w:rPr>
        <w:t>and water pollution in rivers etc. These were the responses that I wanted to encourage</w:t>
      </w:r>
      <w:r>
        <w:rPr>
          <w:rFonts w:ascii="Times New Roman" w:hAnsi="Times New Roman" w:cs="Times New Roman"/>
          <w:sz w:val="24"/>
          <w:szCs w:val="24"/>
        </w:rPr>
        <w:t>,</w:t>
      </w:r>
      <w:r w:rsidRPr="00325AAF">
        <w:rPr>
          <w:rFonts w:ascii="Times New Roman" w:hAnsi="Times New Roman" w:cs="Times New Roman"/>
          <w:sz w:val="24"/>
          <w:szCs w:val="24"/>
        </w:rPr>
        <w:t xml:space="preserve"> </w:t>
      </w:r>
      <w:r>
        <w:rPr>
          <w:rFonts w:ascii="Times New Roman" w:hAnsi="Times New Roman" w:cs="Times New Roman"/>
          <w:sz w:val="24"/>
          <w:szCs w:val="24"/>
        </w:rPr>
        <w:t xml:space="preserve">which support </w:t>
      </w:r>
      <w:r w:rsidRPr="00325AAF">
        <w:rPr>
          <w:rFonts w:ascii="Times New Roman" w:hAnsi="Times New Roman" w:cs="Times New Roman"/>
          <w:sz w:val="24"/>
          <w:szCs w:val="24"/>
        </w:rPr>
        <w:t>Marzano’s</w:t>
      </w:r>
      <w:r>
        <w:rPr>
          <w:rFonts w:ascii="Times New Roman" w:hAnsi="Times New Roman" w:cs="Times New Roman"/>
          <w:sz w:val="24"/>
          <w:szCs w:val="24"/>
        </w:rPr>
        <w:t xml:space="preserve"> (2010)</w:t>
      </w:r>
      <w:r w:rsidRPr="00325AAF">
        <w:rPr>
          <w:rFonts w:ascii="Times New Roman" w:hAnsi="Times New Roman" w:cs="Times New Roman"/>
          <w:sz w:val="24"/>
          <w:szCs w:val="24"/>
        </w:rPr>
        <w:t xml:space="preserve"> ‘interrogative elaboration’ approach.</w:t>
      </w:r>
      <w:r>
        <w:rPr>
          <w:rFonts w:ascii="Times New Roman" w:hAnsi="Times New Roman" w:cs="Times New Roman"/>
          <w:sz w:val="24"/>
          <w:szCs w:val="24"/>
        </w:rPr>
        <w:t xml:space="preserve"> My aim was to further demonstrate the mass loss resulting from the chemical reaction and to link this to the decomposition of the marble as posed in the PISA question. I showed the class how I decanted the remaining acid and air dried the marble chips over the weekend. The pupils were excited to know that the experiment was ongoing and that the following lesson would reveal a noticeable marble mass loss. This was physically confirmed in the classroom and established as visual evidence for the destructive effects from acid rain. An example of one of the many smaller interventions used included the comparison of tap water to dilute acid to illustrate a non-reactive behaviour with the marble, whilst again linking to the PISA question.</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As stated earlier, I used intervention strategies over 3 lessons, but acknowledged that one of my limitations was that the time between lessons ranged from 4-7 days. I was concerned that this would not be an ideal learning environment for recall and activating prior knowledge, so I introduced varied resources to stimulate learning. To counteract this, I used extensive prior knowledge probing questions for starters, plenaries and throughout the lessons. In addition, I set a homework task over the weekend as a revision exercise in preparation for the post intervention test.   </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 further task I presented to the class was to show cartoon/visual images with environmental messages (</w:t>
      </w:r>
      <w:r w:rsidRPr="00D539DC">
        <w:rPr>
          <w:rFonts w:ascii="Times New Roman" w:eastAsia="Times New Roman" w:hAnsi="Times New Roman" w:cs="Times New Roman"/>
          <w:sz w:val="24"/>
          <w:szCs w:val="24"/>
          <w:lang w:eastAsia="en-GB"/>
        </w:rPr>
        <w:t>Dalacosta, K.</w:t>
      </w:r>
      <w:r>
        <w:rPr>
          <w:rFonts w:ascii="Times New Roman" w:eastAsia="Times New Roman" w:hAnsi="Times New Roman" w:cs="Times New Roman"/>
          <w:sz w:val="24"/>
          <w:szCs w:val="24"/>
          <w:lang w:eastAsia="en-GB"/>
        </w:rPr>
        <w:t xml:space="preserve"> et al, 2009). As stated earlier, I found that instructing the pupils to analyse pictures, decipher the message and discuss their findings in small groups was an effective method for independent learning. It also served its purpose as a differentiation technique that benefited the lower ability members of the class.</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outcomes from analysing information by using inference squares (Marzano, 2010) seemed initially uncertain. Having explained how to use and apply them to gather information from sources and infer conclusions, most pupils struggled with the concept (see appendix A for samples of pupil’s work). A few pupils were familiar with the inference template as they had used them in other subject lessons, so I continued to refer to their use where possible as a ‘support aid’ to assessing new pieces of information.</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The methodologies I used were advantageous as the strategies were varied and accommodated differentiation needs. I had given every pupil the maximum opportunity to take away a learning experience from my interventions. </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As with all active research projects, a good representation of results needs a reasonable number of interventions if any noticeable impact is to be witnessed. I thought that 3 lessons was possibly not enough time to use all my planned strategies, however, the pupils showed encouraging signs of engagement suggestive of positive learning. I did not announce the timing of the pre and post intervention test to the class, as I did not wish to raise nervousness or anxiety amongst the pupils (Cassaday, Helen J., </w:t>
      </w:r>
      <w:r w:rsidRPr="00B450E9">
        <w:rPr>
          <w:rFonts w:ascii="Times New Roman" w:eastAsia="Times New Roman" w:hAnsi="Times New Roman" w:cs="Times New Roman"/>
          <w:sz w:val="24"/>
          <w:szCs w:val="24"/>
          <w:lang w:eastAsia="en-GB"/>
        </w:rPr>
        <w:t>2002</w:t>
      </w:r>
      <w:r>
        <w:rPr>
          <w:rFonts w:ascii="Times New Roman" w:eastAsia="Times New Roman" w:hAnsi="Times New Roman" w:cs="Times New Roman"/>
          <w:sz w:val="24"/>
          <w:szCs w:val="24"/>
          <w:lang w:eastAsia="en-GB"/>
        </w:rPr>
        <w:t>). I explained to the pupils that they were assisting me in a research project and I reminded them that they had the option of not participating. No pupils withdrew from answering the questions papers and all confirmed their willingness to take part. No pupils were absent during the pre-test, interventions and post test, thus eliminating any variables that would have affected the interpretation of the results.</w:t>
      </w:r>
    </w:p>
    <w:p w:rsidR="007D551F" w:rsidRDefault="007D551F" w:rsidP="007D551F">
      <w:pPr>
        <w:rPr>
          <w:rFonts w:ascii="Times New Roman" w:eastAsia="Times New Roman" w:hAnsi="Times New Roman" w:cs="Times New Roman"/>
          <w:sz w:val="24"/>
          <w:szCs w:val="24"/>
          <w:lang w:eastAsia="en-GB"/>
        </w:rPr>
      </w:pPr>
    </w:p>
    <w:p w:rsidR="007D551F" w:rsidRDefault="007D551F" w:rsidP="007D551F">
      <w:pPr>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Evaluation</w:t>
      </w:r>
    </w:p>
    <w:p w:rsidR="007D551F" w:rsidRDefault="007D551F" w:rsidP="007D551F">
      <w:pPr>
        <w:rPr>
          <w:rFonts w:ascii="Times New Roman" w:eastAsia="Times New Roman" w:hAnsi="Times New Roman" w:cs="Times New Roman"/>
          <w:sz w:val="24"/>
          <w:szCs w:val="24"/>
          <w:lang w:eastAsia="en-GB"/>
        </w:rPr>
      </w:pPr>
      <w:r w:rsidRPr="003F51FD">
        <w:rPr>
          <w:rFonts w:ascii="Times New Roman" w:eastAsia="Times New Roman" w:hAnsi="Times New Roman" w:cs="Times New Roman"/>
          <w:sz w:val="24"/>
          <w:szCs w:val="24"/>
          <w:lang w:eastAsia="en-GB"/>
        </w:rPr>
        <w:t xml:space="preserve">I was already following the WJEC science double-award curriculum for my year 9 sample group a month prior to my intervention </w:t>
      </w:r>
      <w:r>
        <w:rPr>
          <w:rFonts w:ascii="Times New Roman" w:eastAsia="Times New Roman" w:hAnsi="Times New Roman" w:cs="Times New Roman"/>
          <w:sz w:val="24"/>
          <w:szCs w:val="24"/>
          <w:lang w:eastAsia="en-GB"/>
        </w:rPr>
        <w:t xml:space="preserve">lessons. ‘The ever changing Earth’ was a topic that the pupils were familiar with as we had reviewed theories of plate tectonics and discussed the rationale of ideas around the evidence to indicate the existence of a single continent, Pangaea. Theories of evolution, atmospheric composition and climate change were subject areas that we covered through teaching strategies that included pair-share discussions, video presentations and group analysis of imagery/photographic evidence. Levels of engagement were high from all pupils in these lessons and their questioning skills through activities and tasks demonstrated their investigative approach to explain scientific principles by linking physical evidence to valid explanations. I saw this as an exciting opportunity to expand the scientific literacy idea further by involving them in the research proposed. Needless to say, the pupils were familiar with this area of environmental study although acid rain had not yet been introduced. Hence the sequence of lessons I had already planned could accommodate the acid rain interventions without any subject disruption. </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Studies discussed earlier, such as Abrahams</w:t>
      </w:r>
      <w:r w:rsidRPr="00B67EF7">
        <w:rPr>
          <w:rFonts w:ascii="Times New Roman" w:eastAsia="Times New Roman" w:hAnsi="Times New Roman" w:cs="Times New Roman"/>
          <w:sz w:val="24"/>
          <w:szCs w:val="24"/>
          <w:lang w:eastAsia="en-GB"/>
        </w:rPr>
        <w:t>, I. and Millar, R., 2008</w:t>
      </w:r>
      <w:r>
        <w:rPr>
          <w:rFonts w:ascii="Times New Roman" w:eastAsia="Times New Roman" w:hAnsi="Times New Roman" w:cs="Times New Roman"/>
          <w:sz w:val="24"/>
          <w:szCs w:val="24"/>
          <w:lang w:eastAsia="en-GB"/>
        </w:rPr>
        <w:t xml:space="preserve">, have gone some way towards highlighting a weakness between pupils being unable to connect the relationships between practical sessions in the classroom to scientific processes and furthermore to every day scientific events. </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PISA style questions are structured in a way to test pupil’s abilities by using their existing knowledge, and applying it with problem solving skills to solve life science events. PISA data collected and reported (</w:t>
      </w:r>
      <w:r w:rsidRPr="00000E7C">
        <w:rPr>
          <w:rFonts w:ascii="Times New Roman" w:eastAsia="Times New Roman" w:hAnsi="Times New Roman" w:cs="Times New Roman"/>
          <w:sz w:val="24"/>
          <w:szCs w:val="24"/>
          <w:lang w:eastAsia="en-GB"/>
        </w:rPr>
        <w:t>Bradshaw, J., Ager, R., Burge, B. and Wheatear, R., 2010</w:t>
      </w:r>
      <w:r>
        <w:rPr>
          <w:rFonts w:ascii="Times New Roman" w:eastAsia="Times New Roman" w:hAnsi="Times New Roman" w:cs="Times New Roman"/>
          <w:sz w:val="24"/>
          <w:szCs w:val="24"/>
          <w:lang w:eastAsia="en-GB"/>
        </w:rPr>
        <w:t>) supported the importance of needing to bridge the scientific literacy gap and to use strategies that would embrace this learning outcome. I chose to contribute to this research through my own intervening lessons that implemented a variety of teaching methods.</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My first intervention began with probing questions to prompt pupils to access their prior knowledge and recall the composition of Earth’s current atmosphere from the previous lesson. By using visual aids and pie chart representations, most all pupils were able to recall approximately 50% of the correct data. I considered this as a reasonable effort considering that the previous lesson was almost a week prior. Further question probing to more able pupils and asking them to explain to the rest of the class proved to be a successful path to arriving at good answers put forward by the pupils themselves.</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An activity I delivered before the pre test required pupils to engage in an analysis of three cartoon posters depicting environmental messages. This was a pair-share activity that had worked well previously with the group and generated interesting discussions. In effect, as the enquiring teacher, I was accessing my own prior knowledge to use a tactic that was previously effective. My aim was to encourage independent learning from the pupils whilst using their own knowledge and not depending on text book referral to confirm their prognosis. I concluded that pupils were easily able to decipher messages suggested by the images concerning Earth changes and dangers to our environment. Conversely, a continuation of this activity asked pupils to create their own drawing to illustrate a global problem of their own choosing. Whilst facilitating during this task, I noted that pupils struggled to bring their own ideas to paper and required visual reminders and prompts of previous events. The resulting creations illustrated a general inability to connect physical factors with current environmental consequences. For example, one pupil drew a dead fish floating on a river, but was unable to explain the cause and its significance. My observations reflected those of other researchers such as Lunetta</w:t>
      </w:r>
      <w:r w:rsidRPr="00853A0A">
        <w:rPr>
          <w:rFonts w:ascii="Times New Roman" w:eastAsia="Times New Roman" w:hAnsi="Times New Roman" w:cs="Times New Roman"/>
          <w:sz w:val="24"/>
          <w:szCs w:val="24"/>
          <w:lang w:eastAsia="en-GB"/>
        </w:rPr>
        <w:t>, V.N.,</w:t>
      </w:r>
      <w:r>
        <w:rPr>
          <w:rFonts w:ascii="Times New Roman" w:eastAsia="Times New Roman" w:hAnsi="Times New Roman" w:cs="Times New Roman"/>
          <w:sz w:val="24"/>
          <w:szCs w:val="24"/>
          <w:lang w:eastAsia="en-GB"/>
        </w:rPr>
        <w:t xml:space="preserve"> et al, 2007 and Abrahams, I., et al, 2008 who concluded that focus needed to be on the conceptual awareness in science. Their approach towards creating links from theory to practice was to increase visual and practical demonstrations in the classroom.  Their collated data showed some measurable improvements. I anticipated that the results from my year 9 groups’ pre-test PISA answers would also confirm the same limitation, so endeavoured to use direct links to practical uses in my next intervention.</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Initially, I wanted to review the results from the pre test to confirm my direction towards improving outcomes. However, I did not want my intervention teachings to be influenced by the pre test answers presented by the pupils. This, in my opinion, would possibly introduce an element of bias in the data. Equally so, I considered that by knowing the owner of the test paper I was marking, it may subconsciously influence my scoring of answers when detailed responses are needed. To this end, I refrained from acknowledging the pupil’s name until final scores had been recorded. Potential issues such as these have been noted (</w:t>
      </w:r>
      <w:r w:rsidRPr="000F240E">
        <w:rPr>
          <w:rFonts w:ascii="Times New Roman" w:eastAsia="Times New Roman" w:hAnsi="Times New Roman" w:cs="Times New Roman"/>
          <w:sz w:val="24"/>
          <w:szCs w:val="24"/>
          <w:lang w:eastAsia="en-GB"/>
        </w:rPr>
        <w:t>Bell, J., 2014</w:t>
      </w:r>
      <w:r>
        <w:rPr>
          <w:rFonts w:ascii="Times New Roman" w:eastAsia="Times New Roman" w:hAnsi="Times New Roman" w:cs="Times New Roman"/>
          <w:sz w:val="24"/>
          <w:szCs w:val="24"/>
          <w:lang w:eastAsia="en-GB"/>
        </w:rPr>
        <w:t xml:space="preserve">). For example, when the researcher is also the teacher it has been suggested that some difficulty may be faced in trying to reconcile both roles. Knowing the sample group can be beneficial by knowing the best approach to present the data and being able to pre-empt any difficulties that may arise during the study. Conversely, familiarity with the group may make objectivity difficult. In summary, this was not a situation that arose during this research, but was a useful consideration to the possibility that problems may arise. Certainly, I was aware that the pre and post test questions were identical. This raised the question of whether true </w:t>
      </w:r>
      <w:r>
        <w:rPr>
          <w:rFonts w:ascii="Times New Roman" w:eastAsia="Times New Roman" w:hAnsi="Times New Roman" w:cs="Times New Roman"/>
          <w:sz w:val="24"/>
          <w:szCs w:val="24"/>
          <w:lang w:eastAsia="en-GB"/>
        </w:rPr>
        <w:lastRenderedPageBreak/>
        <w:t xml:space="preserve">learning can be measured from the post test results as opposed to simple memory recall. In either case, both complement each other and produce the same positive outcome. </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Following the pre test, I delivered my intervention lessons systematically to show the progressive formation of acid rain, its affects on buildings, environment, people and animals.  I spent the final lesson discussing methods of reducing the effects of acid rain, both at the source and also towards ways to repair damage to buildings and the environment.   </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 introduced inference squares in my first lesson as a new ‘tool’ to analyse information and arrive at a conclusion. Marzano et al (2010) and </w:t>
      </w:r>
      <w:r>
        <w:rPr>
          <w:rFonts w:ascii="Times New Roman" w:eastAsia="Times New Roman" w:hAnsi="Times New Roman" w:cs="Times New Roman"/>
          <w:sz w:val="23"/>
          <w:szCs w:val="23"/>
          <w:lang w:eastAsia="en-GB"/>
        </w:rPr>
        <w:t>Kyle Beers, (2003) explored the use of inference squares to develop decision and problem solving skills by identifying the ‘foundational steps’ needed to reach the higher level of thinking. They surmised that successes from inference teaching were particularly noted with pupils of varying abilities when visual aids were introduced.</w:t>
      </w:r>
      <w:r w:rsidRPr="00AC3F87">
        <w:rPr>
          <w:rFonts w:ascii="Times New Roman" w:eastAsia="Times New Roman" w:hAnsi="Times New Roman" w:cs="Times New Roman"/>
          <w:noProof/>
          <w:sz w:val="24"/>
          <w:szCs w:val="24"/>
          <w:lang w:eastAsia="en-GB"/>
        </w:rPr>
        <w:t xml:space="preserve"> </w:t>
      </w:r>
      <w:r>
        <w:rPr>
          <w:rFonts w:ascii="Times New Roman" w:eastAsia="Times New Roman" w:hAnsi="Times New Roman" w:cs="Times New Roman"/>
          <w:noProof/>
          <w:sz w:val="24"/>
          <w:szCs w:val="24"/>
          <w:lang w:eastAsia="en-GB"/>
        </w:rPr>
        <w:t xml:space="preserve">I considered that results would be equally as comparable with my class considering their ranging abilities. I delivered templates to the pupils and demonstrated how to use them with a lesson we had covered on atmospheric gases. </w:t>
      </w:r>
      <w:r>
        <w:rPr>
          <w:rFonts w:ascii="Times New Roman" w:eastAsia="Times New Roman" w:hAnsi="Times New Roman" w:cs="Times New Roman"/>
          <w:sz w:val="24"/>
          <w:szCs w:val="24"/>
          <w:lang w:eastAsia="en-GB"/>
        </w:rPr>
        <w:t>It took a little longer than I had planned for as most all pupils had no prior experience of using such in other subjects. A small group of 4 pupils were very familiar with them (from English lessons) and demonstrated a good ability to transpose scientific information to the squares.</w:t>
      </w:r>
    </w:p>
    <w:p w:rsidR="007D551F" w:rsidRDefault="007D551F" w:rsidP="007D551F">
      <w:pPr>
        <w:rPr>
          <w:rFonts w:ascii="Times New Roman" w:eastAsia="Times New Roman" w:hAnsi="Times New Roman" w:cs="Times New Roman"/>
          <w:noProof/>
          <w:sz w:val="24"/>
          <w:szCs w:val="24"/>
          <w:lang w:eastAsia="en-GB"/>
        </w:rPr>
      </w:pPr>
      <w:r>
        <w:rPr>
          <w:rFonts w:ascii="Times New Roman" w:eastAsia="Times New Roman" w:hAnsi="Times New Roman" w:cs="Times New Roman"/>
          <w:sz w:val="24"/>
          <w:szCs w:val="24"/>
          <w:lang w:eastAsia="en-GB"/>
        </w:rPr>
        <w:t xml:space="preserve">Figure 1 and figure 2 (appendix A), illustrates the work from 2 pupils from this lesson who had previous use of the squares. It can be seen that they were both able to define the source of the information and reach their own conclusions demonstrating their independent cognitive thinking. In contrast, the information in figure 1 shows the pupil was unable to state what they already knew, but still concluded a piece of relevant knowledge. Again, in figure 2, the sources were recognised as a demonstration of the tests for gases that I delivered. As for the information already known by this pupil, I am uncertain as to whether they referred to their class work book for reference; however the pupil entered appropriate information in the second square. This pupil also arrived at their own independent conclusion which was encouraging. </w:t>
      </w:r>
    </w:p>
    <w:p w:rsidR="007D551F" w:rsidRDefault="007D551F" w:rsidP="007D551F">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 xml:space="preserve">Figure 3 (appendix A), shows a pupil’s inference square from the same lesson who had not been introduced to using this tool previously. The pupil interpreted the information requested quite literally and demonstrated direct recall of the lesson’s </w:t>
      </w:r>
      <w:r w:rsidRPr="00CA5E24">
        <w:rPr>
          <w:rFonts w:ascii="Times New Roman" w:eastAsia="Times New Roman" w:hAnsi="Times New Roman" w:cs="Times New Roman"/>
          <w:i/>
          <w:noProof/>
          <w:sz w:val="24"/>
          <w:szCs w:val="24"/>
          <w:lang w:eastAsia="en-GB"/>
        </w:rPr>
        <w:t>‘content’</w:t>
      </w:r>
      <w:r>
        <w:rPr>
          <w:rFonts w:ascii="Times New Roman" w:eastAsia="Times New Roman" w:hAnsi="Times New Roman" w:cs="Times New Roman"/>
          <w:noProof/>
          <w:sz w:val="24"/>
          <w:szCs w:val="24"/>
          <w:lang w:eastAsia="en-GB"/>
        </w:rPr>
        <w:t>, rather than application of knowledge.</w:t>
      </w:r>
    </w:p>
    <w:p w:rsidR="007D551F" w:rsidRDefault="007D551F" w:rsidP="007D551F">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I concluded that inference squares may have their merits in some classes, but more time and  applications with further examples would be needed for an accurate assessment to be made.</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t xml:space="preserve">For my second lesson, I introduced a practical demonstration to show the physical effects ot acid rain on marble. I susbstituted laboratory hydrochloric acid for acid rain and used marble chips to illustrate the degredation effect on a material that is commonly used as a building material. I involved the pupils with the pre and post weighing of the marble chips to demonstate the mass loss and linking it to the physical deterioration effects on marble. The practical demonstration effectively showed a fizzy reaction with the small marble chips more so than the larger chips. This prompted an encouraging discussion much like the </w:t>
      </w:r>
      <w:r>
        <w:rPr>
          <w:rFonts w:ascii="Times New Roman" w:eastAsia="Times New Roman" w:hAnsi="Times New Roman" w:cs="Times New Roman"/>
          <w:sz w:val="24"/>
          <w:szCs w:val="24"/>
          <w:lang w:eastAsia="en-GB"/>
        </w:rPr>
        <w:t xml:space="preserve">‘elaborative </w:t>
      </w:r>
      <w:r>
        <w:rPr>
          <w:rFonts w:ascii="Times New Roman" w:eastAsia="Times New Roman" w:hAnsi="Times New Roman" w:cs="Times New Roman"/>
          <w:sz w:val="24"/>
          <w:szCs w:val="24"/>
          <w:lang w:eastAsia="en-GB"/>
        </w:rPr>
        <w:lastRenderedPageBreak/>
        <w:t>interrogation’ effect that Marzano had referred to. The gas released was correctly identified by the class as carbon dioxide, and probing questions confirmed a limewater test as a means to confirm its presence. This served its purpose as a further educational link to the application of scientific processes and their relevance to life science. The pupils could see that the increased surface area with the smaller chips increased the rate of the reaction, and were able to connect the visual to the theory, as well as to the acid rain effects to destruction to vegetation. I used ideas presented by Abrahams, I. and Millar, R., by showing photographs of the damage caused to buildings and countryside to further embed the practical links to environmental science. I also showed the non reactive effect on marble chips in natural rain water as a comparison to the acid. By using indicator paper to confirm the presence of acid and water and an explanation of pH values, the pupils were able to visually appreciate the difference in reaction.</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For the third lesson, I created experimental results from mass losses obtained from various building materials that had weathered acid rain effects. I wanted pupils to use literacy and numeracy skills whilst also linking the theory to the practical. Most pupils were able to reach a logical conclusion that limestone was not as effective as pea stone or marble as a building material. I delivered a video presentation that detailed methods to reduce the affects from acid rain (e.g. catalytic converters), protecting buildings from pollution and using limestone to neutralise pH levels in soil etc.  </w:t>
      </w:r>
    </w:p>
    <w:p w:rsidR="007D551F" w:rsidRDefault="007D551F" w:rsidP="007D551F">
      <w:pPr>
        <w:rPr>
          <w:rFonts w:ascii="Times New Roman" w:eastAsia="Times New Roman" w:hAnsi="Times New Roman" w:cs="Times New Roman"/>
          <w:noProof/>
          <w:sz w:val="24"/>
          <w:szCs w:val="24"/>
          <w:lang w:eastAsia="en-GB"/>
        </w:rPr>
      </w:pPr>
      <w:r>
        <w:rPr>
          <w:rFonts w:ascii="Times New Roman" w:eastAsia="Times New Roman" w:hAnsi="Times New Roman" w:cs="Times New Roman"/>
          <w:sz w:val="24"/>
          <w:szCs w:val="24"/>
          <w:lang w:eastAsia="en-GB"/>
        </w:rPr>
        <w:t xml:space="preserve">A familiar task was reintroduced to the class to review cartoon images of acid rain effects and pupils were asked to create their own images to raise awareness of pollution and global warming. The results from some of the pupils indicated a more thorough understanding of the overall pollution issues which indicated a positive learning experience, see figure 4 (appendix A). </w:t>
      </w:r>
      <w:r>
        <w:rPr>
          <w:rFonts w:ascii="Times New Roman" w:eastAsia="Times New Roman" w:hAnsi="Times New Roman" w:cs="Times New Roman"/>
          <w:noProof/>
          <w:sz w:val="24"/>
          <w:szCs w:val="24"/>
          <w:lang w:eastAsia="en-GB"/>
        </w:rPr>
        <w:t xml:space="preserve">                </w:t>
      </w:r>
    </w:p>
    <w:p w:rsidR="007D551F" w:rsidRDefault="007D551F" w:rsidP="007D551F">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In addition, literacy tasks indicated that pupils were now able to associate links between the gases that are associated with acid rain and their sources i.e. car exhausts and factories, see figure 5, (appendix A) as an example of a pupil’s work (highlighted in pink). This pupil also identified the source of the information provided (i.e. video), showing that they adapted their learning from use of inference squares.</w:t>
      </w:r>
    </w:p>
    <w:p w:rsidR="007D551F" w:rsidRDefault="007D551F" w:rsidP="007D551F">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 xml:space="preserve">Having completed my interventions using the varied teaching strategies discussed, task results formatively showed some encouraging learning from most all students in differing levels. Some pupils showed better understanding from the use of cartoon imagery and visuals as noted by </w:t>
      </w:r>
      <w:r w:rsidRPr="00D539DC">
        <w:rPr>
          <w:rFonts w:ascii="Times New Roman" w:eastAsia="Times New Roman" w:hAnsi="Times New Roman" w:cs="Times New Roman"/>
          <w:sz w:val="24"/>
          <w:szCs w:val="24"/>
          <w:lang w:eastAsia="en-GB"/>
        </w:rPr>
        <w:t>Dalacosta, K</w:t>
      </w:r>
      <w:r>
        <w:rPr>
          <w:rFonts w:ascii="Times New Roman" w:eastAsia="Times New Roman" w:hAnsi="Times New Roman" w:cs="Times New Roman"/>
          <w:sz w:val="24"/>
          <w:szCs w:val="24"/>
          <w:lang w:eastAsia="en-GB"/>
        </w:rPr>
        <w:t xml:space="preserve"> et al, 2009, whilst others responded more proactively with the ‘elaborative interrogation’ technique (Marzano, 2010).</w:t>
      </w:r>
    </w:p>
    <w:p w:rsidR="007D551F" w:rsidRDefault="007D551F" w:rsidP="007D551F">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I presented the post test PISA question paper to the same pupils in my final lesson under the same class conditions. Having marked both sets of papers,  I assessed the results and produced a bar graph to illustrate my findings (see figure 6 below).</w:t>
      </w:r>
    </w:p>
    <w:p w:rsidR="007D551F" w:rsidRDefault="007D551F" w:rsidP="007D551F">
      <w:pPr>
        <w:rPr>
          <w:rFonts w:ascii="Times New Roman" w:eastAsia="Times New Roman" w:hAnsi="Times New Roman" w:cs="Times New Roman"/>
          <w:noProof/>
          <w:sz w:val="24"/>
          <w:szCs w:val="24"/>
          <w:lang w:eastAsia="en-GB"/>
        </w:rPr>
      </w:pPr>
    </w:p>
    <w:p w:rsidR="007D551F" w:rsidRDefault="007D551F" w:rsidP="007D551F">
      <w:pPr>
        <w:rPr>
          <w:rFonts w:ascii="Times New Roman" w:eastAsia="Times New Roman" w:hAnsi="Times New Roman" w:cs="Times New Roman"/>
          <w:noProof/>
          <w:sz w:val="24"/>
          <w:szCs w:val="24"/>
          <w:lang w:eastAsia="en-GB"/>
        </w:rPr>
      </w:pPr>
    </w:p>
    <w:p w:rsidR="007D551F" w:rsidRDefault="007D551F" w:rsidP="007D551F">
      <w:pPr>
        <w:rPr>
          <w:rFonts w:ascii="Times New Roman" w:eastAsia="Times New Roman" w:hAnsi="Times New Roman" w:cs="Times New Roman"/>
          <w:noProof/>
          <w:sz w:val="24"/>
          <w:szCs w:val="24"/>
          <w:lang w:eastAsia="en-GB"/>
        </w:rPr>
      </w:pPr>
      <w:r w:rsidRPr="00BB4CDC">
        <w:rPr>
          <w:sz w:val="24"/>
          <w:szCs w:val="24"/>
        </w:rPr>
        <w:lastRenderedPageBreak/>
        <w:pict>
          <v:group id="_x0000_s1026" style="position:absolute;margin-left:9.95pt;margin-top:8.35pt;width:447.85pt;height:232.45pt;z-index:251660288" coordorigin="107555775,109008150" coordsize="5688000,2952000">
            <v:rect id="_x0000_s1027" style="position:absolute;left:107987775;top:109008150;width:5256000;height:2928344;mso-wrap-distance-left:2.88pt;mso-wrap-distance-top:2.88pt;mso-wrap-distance-right:2.88pt;mso-wrap-distance-bottom:2.88pt" o:preferrelative="t" filled="f" stroked="f" strokecolor="black [0]" insetpen="t" o:cliptowrap="t">
              <v:stroke>
                <o:left v:ext="view" color="black [0]"/>
                <o:top v:ext="view" color="black [0]"/>
                <o:right v:ext="view" color="black [0]"/>
                <o:bottom v:ext="view" color="black [0]"/>
                <o:column v:ext="view" color="black [0]"/>
              </v:stroke>
              <v:imagedata r:id="rId4" o:title=""/>
              <v:shadow color="#ccc"/>
              <v:path o:extrusionok="f"/>
              <o:lock v:ext="edit" aspectratio="t"/>
            </v:rect>
            <v:shapetype id="_x0000_t202" coordsize="21600,21600" o:spt="202" path="m,l,21600r21600,l21600,xe">
              <v:stroke joinstyle="miter"/>
              <v:path gradientshapeok="t" o:connecttype="rect"/>
            </v:shapetype>
            <v:shape id="_x0000_s1028" type="#_x0000_t202" style="position:absolute;left:107699775;top:109008150;width:1836160;height:264503;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column-margin:2mm" inset="2.88pt,2.88pt,2.88pt,2.88pt">
                <w:txbxContent>
                  <w:p w:rsidR="007D551F" w:rsidRPr="001C7D2B" w:rsidRDefault="007D551F" w:rsidP="007D551F">
                    <w:pPr>
                      <w:widowControl w:val="0"/>
                      <w:rPr>
                        <w:rFonts w:ascii="Times New Roman" w:hAnsi="Times New Roman" w:cs="Times New Roman"/>
                        <w:b/>
                        <w:bCs/>
                        <w:sz w:val="20"/>
                        <w:szCs w:val="20"/>
                      </w:rPr>
                    </w:pPr>
                    <w:r w:rsidRPr="001C7D2B">
                      <w:rPr>
                        <w:rFonts w:ascii="Times New Roman" w:hAnsi="Times New Roman" w:cs="Times New Roman"/>
                        <w:b/>
                        <w:bCs/>
                        <w:sz w:val="20"/>
                        <w:szCs w:val="20"/>
                      </w:rPr>
                      <w:t xml:space="preserve">Figure 6 </w:t>
                    </w:r>
                  </w:p>
                </w:txbxContent>
              </v:textbox>
            </v:shape>
            <v:shape id="_x0000_s1029" type="#_x0000_t202" style="position:absolute;left:109182827;top:109074276;width:2683618;height:264502;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column-margin:2mm" inset="2.88pt,2.88pt,2.88pt,2.88pt">
                <w:txbxContent>
                  <w:p w:rsidR="007D551F" w:rsidRPr="001C7D2B" w:rsidRDefault="007D551F" w:rsidP="007D551F">
                    <w:pPr>
                      <w:widowControl w:val="0"/>
                      <w:rPr>
                        <w:rFonts w:ascii="Times New Roman" w:hAnsi="Times New Roman" w:cs="Times New Roman"/>
                        <w:b/>
                        <w:bCs/>
                        <w:sz w:val="20"/>
                        <w:szCs w:val="20"/>
                      </w:rPr>
                    </w:pPr>
                    <w:r w:rsidRPr="001C7D2B">
                      <w:rPr>
                        <w:rFonts w:ascii="Times New Roman" w:hAnsi="Times New Roman" w:cs="Times New Roman"/>
                        <w:b/>
                        <w:bCs/>
                        <w:sz w:val="20"/>
                        <w:szCs w:val="20"/>
                      </w:rPr>
                      <w:t>PISA Pre test/Post Test Correct Answers</w:t>
                    </w:r>
                  </w:p>
                </w:txbxContent>
              </v:textbox>
            </v:shape>
            <v:rect id="_x0000_s1030" style="position:absolute;left:107555775;top:109008150;width:5688000;height:2952000;mso-wrap-distance-left:2.88pt;mso-wrap-distance-top:2.88pt;mso-wrap-distance-right:2.88pt;mso-wrap-distance-bottom:2.88pt" filled="f" strokecolor="black [0]" strokeweight="1.25pt" insetpen="t" o:cliptowrap="t">
              <v:stroke>
                <o:left v:ext="view" color="black [0]" joinstyle="miter" insetpen="t"/>
                <o:top v:ext="view" color="black [0]" joinstyle="miter" insetpen="t"/>
                <o:right v:ext="view" color="black [0]" joinstyle="miter" insetpen="t"/>
                <o:bottom v:ext="view" color="black [0]" joinstyle="miter" insetpen="t"/>
                <o:column v:ext="view" color="black [0]"/>
              </v:stroke>
              <v:shadow color="#ccc"/>
              <v:textbox inset="2.88pt,2.88pt,2.88pt,2.88pt"/>
            </v:rect>
            <v:shape id="_x0000_s1031" type="#_x0000_t202" style="position:absolute;left:107699775;top:110232150;width:432000;height:648000;mso-wrap-distance-left:2.88pt;mso-wrap-distance-top:2.88pt;mso-wrap-distance-right:2.88pt;mso-wrap-distance-bottom:2.88pt" filled="f" stroked="f" strokecolor="black [0]" insetpen="t" o:cliptowrap="t">
              <v:stroke>
                <o:left v:ext="view" color="black [0]"/>
                <o:top v:ext="view" color="black [0]"/>
                <o:right v:ext="view" color="black [0]"/>
                <o:bottom v:ext="view" color="black [0]"/>
                <o:column v:ext="view" color="black [0]"/>
              </v:stroke>
              <v:shadow color="#ccc"/>
              <v:textbox style="mso-column-margin:2mm" inset="2.88pt,2.88pt,2.88pt,2.88pt">
                <w:txbxContent>
                  <w:p w:rsidR="007D551F" w:rsidRDefault="007D551F" w:rsidP="007D551F">
                    <w:pPr>
                      <w:widowControl w:val="0"/>
                      <w:rPr>
                        <w:b/>
                        <w:bCs/>
                      </w:rPr>
                    </w:pPr>
                    <w:r>
                      <w:rPr>
                        <w:b/>
                        <w:bCs/>
                      </w:rPr>
                      <w:t>No. of</w:t>
                    </w:r>
                  </w:p>
                  <w:p w:rsidR="007D551F" w:rsidRDefault="007D551F" w:rsidP="007D551F">
                    <w:pPr>
                      <w:widowControl w:val="0"/>
                      <w:rPr>
                        <w:b/>
                        <w:bCs/>
                      </w:rPr>
                    </w:pPr>
                    <w:r>
                      <w:rPr>
                        <w:b/>
                        <w:bCs/>
                      </w:rPr>
                      <w:t>Pupils</w:t>
                    </w:r>
                  </w:p>
                </w:txbxContent>
              </v:textbox>
            </v:shape>
          </v:group>
        </w:pict>
      </w:r>
    </w:p>
    <w:p w:rsidR="007D551F" w:rsidRDefault="007D551F" w:rsidP="007D551F">
      <w:pPr>
        <w:rPr>
          <w:rFonts w:ascii="Times New Roman" w:eastAsia="Times New Roman" w:hAnsi="Times New Roman" w:cs="Times New Roman"/>
          <w:noProof/>
          <w:sz w:val="24"/>
          <w:szCs w:val="24"/>
          <w:lang w:eastAsia="en-GB"/>
        </w:rPr>
      </w:pPr>
    </w:p>
    <w:p w:rsidR="007D551F" w:rsidRDefault="007D551F" w:rsidP="007D551F">
      <w:pPr>
        <w:rPr>
          <w:rFonts w:ascii="Times New Roman" w:eastAsia="Times New Roman" w:hAnsi="Times New Roman" w:cs="Times New Roman"/>
          <w:noProof/>
          <w:sz w:val="24"/>
          <w:szCs w:val="24"/>
          <w:lang w:eastAsia="en-GB"/>
        </w:rPr>
      </w:pPr>
    </w:p>
    <w:p w:rsidR="007D551F" w:rsidRDefault="007D551F" w:rsidP="007D551F">
      <w:pPr>
        <w:rPr>
          <w:rFonts w:ascii="Times New Roman" w:eastAsia="Times New Roman" w:hAnsi="Times New Roman" w:cs="Times New Roman"/>
          <w:noProof/>
          <w:sz w:val="24"/>
          <w:szCs w:val="24"/>
          <w:lang w:eastAsia="en-GB"/>
        </w:rPr>
      </w:pPr>
    </w:p>
    <w:p w:rsidR="007D551F" w:rsidRDefault="007D551F" w:rsidP="007D551F">
      <w:pPr>
        <w:rPr>
          <w:rFonts w:ascii="Times New Roman" w:eastAsia="Times New Roman" w:hAnsi="Times New Roman" w:cs="Times New Roman"/>
          <w:noProof/>
          <w:sz w:val="24"/>
          <w:szCs w:val="24"/>
          <w:lang w:eastAsia="en-GB"/>
        </w:rPr>
      </w:pPr>
    </w:p>
    <w:p w:rsidR="007D551F" w:rsidRDefault="007D551F" w:rsidP="007D551F">
      <w:pPr>
        <w:rPr>
          <w:rFonts w:ascii="Times New Roman" w:eastAsia="Times New Roman" w:hAnsi="Times New Roman" w:cs="Times New Roman"/>
          <w:noProof/>
          <w:sz w:val="24"/>
          <w:szCs w:val="24"/>
          <w:lang w:eastAsia="en-GB"/>
        </w:rPr>
      </w:pPr>
    </w:p>
    <w:p w:rsidR="007D551F" w:rsidRDefault="007D551F" w:rsidP="007D551F">
      <w:pPr>
        <w:rPr>
          <w:rFonts w:ascii="Times New Roman" w:eastAsia="Times New Roman" w:hAnsi="Times New Roman" w:cs="Times New Roman"/>
          <w:noProof/>
          <w:sz w:val="24"/>
          <w:szCs w:val="24"/>
          <w:lang w:eastAsia="en-GB"/>
        </w:rPr>
      </w:pPr>
    </w:p>
    <w:p w:rsidR="007D551F" w:rsidRDefault="007D551F" w:rsidP="007D551F">
      <w:pPr>
        <w:rPr>
          <w:rFonts w:ascii="Times New Roman" w:eastAsia="Times New Roman" w:hAnsi="Times New Roman" w:cs="Times New Roman"/>
          <w:noProof/>
          <w:sz w:val="24"/>
          <w:szCs w:val="24"/>
          <w:lang w:eastAsia="en-GB"/>
        </w:rPr>
      </w:pPr>
    </w:p>
    <w:p w:rsidR="007D551F" w:rsidRDefault="007D551F" w:rsidP="007D551F">
      <w:pPr>
        <w:rPr>
          <w:rFonts w:ascii="Times New Roman" w:eastAsia="Times New Roman" w:hAnsi="Times New Roman" w:cs="Times New Roman"/>
          <w:noProof/>
          <w:sz w:val="24"/>
          <w:szCs w:val="24"/>
          <w:lang w:eastAsia="en-GB"/>
        </w:rPr>
      </w:pPr>
    </w:p>
    <w:p w:rsidR="007D551F" w:rsidRDefault="007D551F" w:rsidP="007D551F">
      <w:pPr>
        <w:rPr>
          <w:rFonts w:ascii="Times New Roman" w:eastAsia="Times New Roman" w:hAnsi="Times New Roman" w:cs="Times New Roman"/>
          <w:noProof/>
          <w:sz w:val="24"/>
          <w:szCs w:val="24"/>
          <w:lang w:eastAsia="en-GB"/>
        </w:rPr>
      </w:pPr>
    </w:p>
    <w:p w:rsidR="007D551F" w:rsidRDefault="007D551F" w:rsidP="007D551F">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Question 1 asked pupils to use their knowledge of scientific issues and to state where sulfur and nitrogen oxides come from. Pre-test answers indicated a good science recall with 75% of the class answering correctly. Post test results showed an increase by 18% of correct answers. Similarly, pupils showed an improvement in correct answers to question 2 which asked pupils to recognise scientific phenomena. Data was provided for masses of marble chips after being immersed in vinegar overnight. Pupils were given multiple choice options to select either mass loss, mass gain or no mass gain. This required thinking more globally and applying prior knowledge of a scientific principle. Again, post test results showed a marked improvement in correct answers of 15%. However, it has been acknowledged (</w:t>
      </w:r>
      <w:r w:rsidRPr="000F240E">
        <w:rPr>
          <w:rFonts w:ascii="Times New Roman" w:eastAsia="Times New Roman" w:hAnsi="Times New Roman" w:cs="Times New Roman"/>
          <w:sz w:val="24"/>
          <w:szCs w:val="24"/>
          <w:lang w:eastAsia="en-GB"/>
        </w:rPr>
        <w:t>Bell, J., 2014</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noProof/>
          <w:sz w:val="24"/>
          <w:szCs w:val="24"/>
          <w:lang w:eastAsia="en-GB"/>
        </w:rPr>
        <w:t>that presenting data using percentages can be misleading and may suggest that the sample size is greater than it is in reality. As my sample size is relatively small, figure 6 represents the data as pupil numbers so that it can be seen that 5 more pupils answered questions 1 and 2 correctly in the post test.</w:t>
      </w:r>
    </w:p>
    <w:p w:rsidR="007D551F" w:rsidRDefault="007D551F" w:rsidP="007D551F">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Whilst considering the methods of interpreting and illustrating the data, it can be seen that increased learning outcomes have emerged from the teaching strategies I used. It can be suggested that varied teaching methods are effective but results are dependent on the learner. This allows us to recognise that there are different types of learner – some visual and practical whilst others may be more literal. Hence, the importance is recognised for the need of differentiation within teaching, (</w:t>
      </w:r>
      <w:r>
        <w:rPr>
          <w:rFonts w:ascii="Times New Roman" w:eastAsia="Times New Roman" w:hAnsi="Times New Roman" w:cs="Times New Roman"/>
          <w:sz w:val="23"/>
          <w:szCs w:val="23"/>
          <w:lang w:eastAsia="en-GB"/>
        </w:rPr>
        <w:t>Kyle Beers, 2003).</w:t>
      </w:r>
    </w:p>
    <w:p w:rsidR="007D551F" w:rsidRDefault="007D551F" w:rsidP="007D551F">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In contrast, question 3 required an answer that used and applied scientific evidence. Marble chips were placed in distilled water overnight, and  the question was to explain why this process was included. 10% of the class answered correctly in the pre-test paper, and this figure showed only a marginal increase to 14% in the post test paper. These results reflected those of Lunette, V. N., et al, in that despite a slight improvement in learning outcomes, further interventions and teaching direction towards  scientific reasoning is needed.</w:t>
      </w:r>
    </w:p>
    <w:p w:rsidR="007D551F" w:rsidRDefault="007D551F" w:rsidP="007D551F">
      <w:pPr>
        <w:rPr>
          <w:rFonts w:ascii="Times New Roman" w:eastAsia="Times New Roman" w:hAnsi="Times New Roman" w:cs="Times New Roman"/>
          <w:b/>
          <w:noProof/>
          <w:sz w:val="24"/>
          <w:szCs w:val="24"/>
          <w:lang w:eastAsia="en-GB"/>
        </w:rPr>
      </w:pPr>
      <w:r>
        <w:rPr>
          <w:rFonts w:ascii="Times New Roman" w:eastAsia="Times New Roman" w:hAnsi="Times New Roman" w:cs="Times New Roman"/>
          <w:b/>
          <w:noProof/>
          <w:sz w:val="24"/>
          <w:szCs w:val="24"/>
          <w:lang w:eastAsia="en-GB"/>
        </w:rPr>
        <w:lastRenderedPageBreak/>
        <w:t>Conclusion</w:t>
      </w:r>
    </w:p>
    <w:p w:rsidR="007D551F" w:rsidRDefault="007D551F" w:rsidP="007D551F">
      <w:pPr>
        <w:rPr>
          <w:rFonts w:ascii="Times New Roman" w:eastAsia="Times New Roman" w:hAnsi="Times New Roman" w:cs="Times New Roman"/>
          <w:sz w:val="24"/>
          <w:szCs w:val="24"/>
          <w:lang w:eastAsia="en-GB"/>
        </w:rPr>
      </w:pPr>
      <w:r w:rsidRPr="00242D0E">
        <w:rPr>
          <w:rFonts w:ascii="Times New Roman" w:eastAsia="Times New Roman" w:hAnsi="Times New Roman" w:cs="Times New Roman"/>
          <w:noProof/>
          <w:sz w:val="24"/>
          <w:szCs w:val="24"/>
          <w:lang w:eastAsia="en-GB"/>
        </w:rPr>
        <w:t xml:space="preserve">The most significant findings from my </w:t>
      </w:r>
      <w:r>
        <w:rPr>
          <w:rFonts w:ascii="Times New Roman" w:eastAsia="Times New Roman" w:hAnsi="Times New Roman" w:cs="Times New Roman"/>
          <w:noProof/>
          <w:sz w:val="24"/>
          <w:szCs w:val="24"/>
          <w:lang w:eastAsia="en-GB"/>
        </w:rPr>
        <w:t xml:space="preserve">interventions and </w:t>
      </w:r>
      <w:r w:rsidRPr="00242D0E">
        <w:rPr>
          <w:rFonts w:ascii="Times New Roman" w:eastAsia="Times New Roman" w:hAnsi="Times New Roman" w:cs="Times New Roman"/>
          <w:noProof/>
          <w:sz w:val="24"/>
          <w:szCs w:val="24"/>
          <w:lang w:eastAsia="en-GB"/>
        </w:rPr>
        <w:t>research data are in support of studies that have demonstrated the importance of differentiation in the classroom.</w:t>
      </w:r>
      <w:r>
        <w:rPr>
          <w:rFonts w:ascii="Times New Roman" w:eastAsia="Times New Roman" w:hAnsi="Times New Roman" w:cs="Times New Roman"/>
          <w:noProof/>
          <w:sz w:val="24"/>
          <w:szCs w:val="24"/>
          <w:lang w:eastAsia="en-GB"/>
        </w:rPr>
        <w:t xml:space="preserve"> </w:t>
      </w:r>
      <w:r>
        <w:rPr>
          <w:rFonts w:ascii="Times New Roman" w:eastAsia="Times New Roman" w:hAnsi="Times New Roman" w:cs="Times New Roman"/>
          <w:sz w:val="23"/>
          <w:szCs w:val="23"/>
          <w:lang w:eastAsia="en-GB"/>
        </w:rPr>
        <w:t xml:space="preserve">Kyle Beers, (2003) used visual strategies that helped younger and lower ability learners, whereas </w:t>
      </w:r>
      <w:r w:rsidRPr="00B67EF7">
        <w:rPr>
          <w:rFonts w:ascii="Times New Roman" w:eastAsia="Times New Roman" w:hAnsi="Times New Roman" w:cs="Times New Roman"/>
          <w:sz w:val="24"/>
          <w:szCs w:val="24"/>
          <w:lang w:eastAsia="en-GB"/>
        </w:rPr>
        <w:t xml:space="preserve">Abrahams, I. and Millar, R., </w:t>
      </w:r>
      <w:r>
        <w:rPr>
          <w:rFonts w:ascii="Times New Roman" w:eastAsia="Times New Roman" w:hAnsi="Times New Roman" w:cs="Times New Roman"/>
          <w:sz w:val="24"/>
          <w:szCs w:val="24"/>
          <w:lang w:eastAsia="en-GB"/>
        </w:rPr>
        <w:t>(</w:t>
      </w:r>
      <w:r w:rsidRPr="00B67EF7">
        <w:rPr>
          <w:rFonts w:ascii="Times New Roman" w:eastAsia="Times New Roman" w:hAnsi="Times New Roman" w:cs="Times New Roman"/>
          <w:sz w:val="24"/>
          <w:szCs w:val="24"/>
          <w:lang w:eastAsia="en-GB"/>
        </w:rPr>
        <w:t>2008</w:t>
      </w:r>
      <w:r>
        <w:rPr>
          <w:rFonts w:ascii="Times New Roman" w:eastAsia="Times New Roman" w:hAnsi="Times New Roman" w:cs="Times New Roman"/>
          <w:sz w:val="24"/>
          <w:szCs w:val="24"/>
          <w:lang w:eastAsia="en-GB"/>
        </w:rPr>
        <w:t>) focussed their teaching strategies towards more practical classroom experiences that could be linked to the theory and scientific principles. I used a combination of all approaches and improved learning outcomes in all questions answered to varying degrees. Answers to questions 1 and 2 showed most improvement, whilst question 3 answers showed the least progression after intervention, although there was a marginal increase noted.</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It is important to review the questions in more detail in order to make reasonable assumptions from the data. Questions 1 and 2 were concerned with pupils using scientific content, knowledge and explaining principles. Class answers to both questions improved after my interventions. The increased learning observed may be attributed to one or more of the varied methods deployed during the interventions. It can be surmised that some tasks and activities appealed to some learners more than others which supports the importance of differentiation noted by Kyle Beers. To determine the most effective strategy would possibly require further studies using consistent strategies for a specific time frame and reviewing individual pupil assessments. This would require considerable preparation, organisation and time which may not always be available to the practitioner. It could also be considered that the varied delivery of educational material in itself may have accounted for a higher level of engagement and interest from the pupils. This may have been a reason in itself for successful learning outcomes. </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 further consideration given to my interventions that I believe attributed towards a positive learning environment was my upbeat and approachable persona. I strongly agree with the research findings from Cassaday, Helen J. (</w:t>
      </w:r>
      <w:r w:rsidRPr="00B450E9">
        <w:rPr>
          <w:rFonts w:ascii="Times New Roman" w:eastAsia="Times New Roman" w:hAnsi="Times New Roman" w:cs="Times New Roman"/>
          <w:sz w:val="24"/>
          <w:szCs w:val="24"/>
          <w:lang w:eastAsia="en-GB"/>
        </w:rPr>
        <w:t>2002</w:t>
      </w:r>
      <w:r>
        <w:rPr>
          <w:rFonts w:ascii="Times New Roman" w:eastAsia="Times New Roman" w:hAnsi="Times New Roman" w:cs="Times New Roman"/>
          <w:sz w:val="24"/>
          <w:szCs w:val="24"/>
          <w:lang w:eastAsia="en-GB"/>
        </w:rPr>
        <w:t>) in that creating a calm and tranquil classroom gives pupils the best opportunity to achieve successful learning. The personality of the teacher translates to the pupils so that attitudes to learning can be made fun and engaging with minimal cause for disruptions.  I made my interventions light and engaging to encourage optimal learning outcomes. To this aim, I hope that this has been attained to some extent.</w:t>
      </w:r>
    </w:p>
    <w:p w:rsidR="007D551F" w:rsidRDefault="007D551F" w:rsidP="007D551F">
      <w:pPr>
        <w:rPr>
          <w:rFonts w:ascii="Times New Roman" w:eastAsia="Times New Roman" w:hAnsi="Times New Roman" w:cs="Times New Roman"/>
          <w:noProof/>
          <w:sz w:val="24"/>
          <w:szCs w:val="24"/>
          <w:lang w:eastAsia="en-GB"/>
        </w:rPr>
      </w:pPr>
      <w:r>
        <w:rPr>
          <w:rFonts w:ascii="Times New Roman" w:eastAsia="Times New Roman" w:hAnsi="Times New Roman" w:cs="Times New Roman"/>
          <w:sz w:val="24"/>
          <w:szCs w:val="24"/>
          <w:lang w:eastAsia="en-GB"/>
        </w:rPr>
        <w:t>The data collated from question 3 showed only a slight improvement in post test scores. Question 3, in effect, was the ‘burning question’ i.e. does the pupil have the ability to use and apply scientific evidence?  In summary, this was the crucial question that if answered correctly, would suggest a conceptual scientific understanding and use of high order problem solving and decision making skills as proposed by Marzano et al</w:t>
      </w:r>
      <w:r w:rsidRPr="00AA75FE">
        <w:rPr>
          <w:rFonts w:ascii="Times New Roman" w:eastAsia="Times New Roman" w:hAnsi="Times New Roman" w:cs="Times New Roman"/>
          <w:sz w:val="24"/>
          <w:szCs w:val="24"/>
          <w:lang w:eastAsia="en-GB"/>
        </w:rPr>
        <w:t>.</w:t>
      </w:r>
      <w:r w:rsidRPr="00AA75FE">
        <w:rPr>
          <w:rFonts w:ascii="Times New Roman" w:eastAsia="Times New Roman" w:hAnsi="Times New Roman" w:cs="Times New Roman"/>
          <w:noProof/>
          <w:sz w:val="24"/>
          <w:szCs w:val="24"/>
          <w:lang w:eastAsia="en-GB"/>
        </w:rPr>
        <w:t xml:space="preserve"> </w:t>
      </w:r>
    </w:p>
    <w:p w:rsidR="007D551F" w:rsidRPr="00AA75FE" w:rsidRDefault="007D551F" w:rsidP="007D551F">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However minimal the progression made, the improvement is still a noted gain. It is clear that the delivery of science lessons needs to be further focussed on practical applications to real life science events for young learners to expand their conceptual understanding to science. In addition, considering that an increase in scores was noted in only 3 interventions, I saw this as an encouraging sign that continued efforts towards linking the theory with the practical will promise favourable learning experiences for our future learners and educators.</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t xml:space="preserve">A further approach to re-evaluate this, to embed the teachings of acid rain and to extend the learning outside of the classroom, would be to introduce a field trip or even a homework activity that would require pupils to collect samples of rain water from their own gardens. As a practical study in the classroom, pupils could test the acidity of their samples, compare and contrast regions and gain a global understanding of environmental damage. This idea addresses the points similarly raised by </w:t>
      </w:r>
      <w:r w:rsidRPr="007B4941">
        <w:rPr>
          <w:rFonts w:ascii="Times New Roman" w:eastAsia="Times New Roman" w:hAnsi="Times New Roman" w:cs="Times New Roman"/>
          <w:sz w:val="24"/>
          <w:szCs w:val="24"/>
          <w:lang w:eastAsia="en-GB"/>
        </w:rPr>
        <w:t>Ramsey, G. A., &amp; Howe, R. W.</w:t>
      </w:r>
      <w:r>
        <w:rPr>
          <w:rFonts w:ascii="Times New Roman" w:eastAsia="Times New Roman" w:hAnsi="Times New Roman" w:cs="Times New Roman"/>
          <w:sz w:val="24"/>
          <w:szCs w:val="24"/>
          <w:lang w:eastAsia="en-GB"/>
        </w:rPr>
        <w:t xml:space="preserve">, </w:t>
      </w:r>
      <w:r w:rsidRPr="007B4941">
        <w:rPr>
          <w:rFonts w:ascii="Times New Roman" w:eastAsia="Times New Roman" w:hAnsi="Times New Roman" w:cs="Times New Roman"/>
          <w:sz w:val="24"/>
          <w:szCs w:val="24"/>
          <w:lang w:eastAsia="en-GB"/>
        </w:rPr>
        <w:t>(1969</w:t>
      </w:r>
      <w:r>
        <w:rPr>
          <w:rFonts w:ascii="Times New Roman" w:eastAsia="Times New Roman" w:hAnsi="Times New Roman" w:cs="Times New Roman"/>
          <w:sz w:val="24"/>
          <w:szCs w:val="24"/>
          <w:lang w:eastAsia="en-GB"/>
        </w:rPr>
        <w:t xml:space="preserve">), which aims to give pupils the learning scaffolding to make the personal connection to their own scientific endeavours. </w:t>
      </w:r>
    </w:p>
    <w:p w:rsidR="007D551F" w:rsidRDefault="007D551F" w:rsidP="007D551F">
      <w:pPr>
        <w:rPr>
          <w:rFonts w:ascii="Times New Roman" w:eastAsia="Times New Roman" w:hAnsi="Times New Roman" w:cs="Times New Roman"/>
          <w:noProof/>
          <w:sz w:val="24"/>
          <w:szCs w:val="24"/>
          <w:lang w:eastAsia="en-GB"/>
        </w:rPr>
      </w:pPr>
      <w:r>
        <w:rPr>
          <w:rFonts w:ascii="Times New Roman" w:eastAsia="Times New Roman" w:hAnsi="Times New Roman" w:cs="Times New Roman"/>
          <w:sz w:val="24"/>
          <w:szCs w:val="24"/>
          <w:lang w:eastAsia="en-GB"/>
        </w:rPr>
        <w:t xml:space="preserve">I then critically analysed the qualitative data collected from pupil responses </w:t>
      </w:r>
      <w:r>
        <w:rPr>
          <w:rFonts w:ascii="Times New Roman" w:eastAsia="Times New Roman" w:hAnsi="Times New Roman" w:cs="Times New Roman"/>
          <w:noProof/>
          <w:sz w:val="24"/>
          <w:szCs w:val="24"/>
          <w:lang w:eastAsia="en-GB"/>
        </w:rPr>
        <w:t>towards levels of agreement and disagreement of scientific statements. I looked for a correlation between levels of agreement and low pre test and post test scores on question 3.</w:t>
      </w:r>
    </w:p>
    <w:p w:rsidR="007D551F" w:rsidRDefault="007D551F" w:rsidP="007D551F">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 xml:space="preserve">The data presented in appendix B  illustrates the pre test and post test responses for 5 scientific statements. Figure7, 8 and 9 clearly show a noticeable increased ‘strongly agree’ selection for specific scientific causes, processes and activities. This appears to correspond to the improved results from questions 1 and 2 i.e  scientific issues and phenomena. Figure 10 and 11 (appendix B),  show the responses to statements that require pupils to think more abstractly and independently. Both pre and post test results show minimal variation. This indicated that pupils found difficulty using the higher order thinking skills (referenced by Kyle Beers, 2003) required to make their own scientific evaluation even after the interventions. Similarly, question 3, which required the same cognitive approach, indicated only 1 pupil to have improved learning outcomes.  </w:t>
      </w:r>
    </w:p>
    <w:p w:rsidR="007D551F" w:rsidRDefault="007D551F" w:rsidP="007D551F">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 xml:space="preserve">To summarise the responses in attitudes from pupils after my interventions, the most noted differences in pre and post test responses came from the first 3 attitude questions i.e. those that required recognising and explaining phenomenas in science  - see figures 7, 8 and 9 (appendix B). The final two questions showed minimal to no variation in changing attitudes  - see figures 9 and 10 (appendix B). This indicates that pupils continued to find difficulty combining  their knowledge and applying it. It further suggested that the cognitive link between these two processes needs additional investigation and study so that the transferrance of  theoretical to practical becomes an almost seamless, natural event. </w:t>
      </w:r>
    </w:p>
    <w:p w:rsidR="007D551F" w:rsidRDefault="007D551F" w:rsidP="007D551F">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 xml:space="preserve">Understandably, opinions are not often embedded over periods of exposure but are more accumulated over time through a number of experiences and applications of knowledge. Therefore it can be deemed that 3 interventions is not a sufficent amount of time to have a great impact on conceptual changes in attitude. An underlying feature for active research to show its effectiveness is that it requires consistent evaluation and revisiting  so that the ideas are embedded and established within the group. Despite this, the small sample group used over the short period of interventions demonstrated measureable improvements in questions 1 and 2. This has validated the effectiveness of theory to practice focussing on varied teaching strategies. The lesser impact to question 3 responses has  highlighted and reaffirmed the need to pursue further practices to link practical science to modern science related events. </w:t>
      </w:r>
    </w:p>
    <w:p w:rsidR="007D551F" w:rsidRDefault="007D551F" w:rsidP="007D551F">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lastRenderedPageBreak/>
        <w:t>A recommendation I would like to pursue would be to encourage activities outside of the classroom that connect text book material to physical science.</w:t>
      </w:r>
    </w:p>
    <w:p w:rsidR="007D551F" w:rsidRDefault="007D551F" w:rsidP="007D551F">
      <w:pPr>
        <w:rPr>
          <w:rFonts w:ascii="Times New Roman" w:eastAsia="Times New Roman" w:hAnsi="Times New Roman" w:cs="Times New Roman"/>
          <w:noProof/>
          <w:sz w:val="24"/>
          <w:szCs w:val="24"/>
          <w:lang w:eastAsia="en-GB"/>
        </w:rPr>
      </w:pPr>
    </w:p>
    <w:p w:rsidR="007D551F" w:rsidRPr="00420613" w:rsidRDefault="007D551F" w:rsidP="007D551F">
      <w:pPr>
        <w:rPr>
          <w:rFonts w:ascii="Times New Roman" w:eastAsia="Times New Roman" w:hAnsi="Times New Roman" w:cs="Times New Roman"/>
          <w:b/>
          <w:noProof/>
          <w:sz w:val="24"/>
          <w:szCs w:val="24"/>
          <w:lang w:eastAsia="en-GB"/>
        </w:rPr>
      </w:pPr>
      <w:r w:rsidRPr="00420613">
        <w:rPr>
          <w:rFonts w:ascii="Times New Roman" w:eastAsia="Times New Roman" w:hAnsi="Times New Roman" w:cs="Times New Roman"/>
          <w:b/>
          <w:noProof/>
          <w:sz w:val="24"/>
          <w:szCs w:val="24"/>
          <w:lang w:eastAsia="en-GB"/>
        </w:rPr>
        <w:t>Lim</w:t>
      </w:r>
      <w:r>
        <w:rPr>
          <w:rFonts w:ascii="Times New Roman" w:eastAsia="Times New Roman" w:hAnsi="Times New Roman" w:cs="Times New Roman"/>
          <w:b/>
          <w:noProof/>
          <w:sz w:val="24"/>
          <w:szCs w:val="24"/>
          <w:lang w:eastAsia="en-GB"/>
        </w:rPr>
        <w:t>itations and Future Development</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t>For an individual researcher working with a small sample I realised that it would be difficult to achieve a true random sample. Studies in research criteria (J. Bell and S. Waters, 2014) noted these factors and determined that larger sample groups would provide a more accurate representation of the data. However, with the small sample that I had, I used as many teaching stategies as I could to optimise learning for all the pupils. In addition, I believe a longer intervention period would have produced data that would reflect the embedded learning achieved rather than a mere memory recall test. Active research that has been applied over several weeks with a consistent review and regular updates are likely to provide data that is more reliable and useful to address the purpose of the research question (</w:t>
      </w:r>
      <w:r>
        <w:rPr>
          <w:rFonts w:ascii="Times New Roman" w:eastAsia="Times New Roman" w:hAnsi="Times New Roman" w:cs="Times New Roman"/>
          <w:sz w:val="24"/>
          <w:szCs w:val="24"/>
          <w:lang w:eastAsia="en-GB"/>
        </w:rPr>
        <w:t>Blaxter, L., et al, 2010). Having recognised this need but knowing my own research parameters, I set subject related homework in an attempt to prolong the learning period and keep the subject material fresh and relevant.</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Furthermore, studies </w:t>
      </w:r>
      <w:r>
        <w:rPr>
          <w:rFonts w:ascii="Times New Roman" w:eastAsia="Times New Roman" w:hAnsi="Times New Roman" w:cs="Times New Roman"/>
          <w:noProof/>
          <w:sz w:val="24"/>
          <w:szCs w:val="24"/>
          <w:lang w:eastAsia="en-GB"/>
        </w:rPr>
        <w:t xml:space="preserve">(J. Bell et al, 2014) </w:t>
      </w:r>
      <w:r>
        <w:rPr>
          <w:rFonts w:ascii="Times New Roman" w:eastAsia="Times New Roman" w:hAnsi="Times New Roman" w:cs="Times New Roman"/>
          <w:sz w:val="24"/>
          <w:szCs w:val="24"/>
          <w:lang w:eastAsia="en-GB"/>
        </w:rPr>
        <w:t>have documented the potential difficulties that could be faced by the researcher also acting as the practitioner, and suggested that the combination of both roles may introduce an element of bias. By blind marking (i.e. masking the pupil’s name from both pre test and post test papers), I aimed to reduce the possibility of any personal influence affecting the results. However, an interesting alternative approach would be to set lesson plan directives for a teacher and propose an independent researcher to analyse the data. This was effectively used in a school that I recently attended where I observed the independent actions between researcher and teacher whilst working in collaboration to collect data. This school used 6 weekly interventions before reviewing the data and continues to improve learning skills in the classroom with their active research programme.</w:t>
      </w:r>
    </w:p>
    <w:p w:rsidR="007D551F" w:rsidRDefault="007D551F" w:rsidP="007D551F">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With regards to the use of inference squares to promote high order thinking skills, I believe that further implementation in the classroom was necessary to determine it’s effectiveness. I was able to appreciate that pupils with slighter lower abilities were far more able to embrace the use of this learning aid, thus supporting others (Kyle Beers, 2003) who identified the benefits of using them towards differentiation in the classroom. Also, pupils that were familiar with using this technique (from other subject lessons) were able to quickly adapt to using them in my interventions. Again, this suggested that further use of inference squares over more lessons would be advantageous to achieving positive results whilst becoming a familiar tool used in the classroom.</w:t>
      </w:r>
    </w:p>
    <w:p w:rsidR="007D551F" w:rsidRDefault="007D551F" w:rsidP="007D551F">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t xml:space="preserve">In consideration of </w:t>
      </w:r>
      <w:r w:rsidRPr="009B5BDB">
        <w:rPr>
          <w:rFonts w:ascii="Times New Roman" w:eastAsia="Times New Roman" w:hAnsi="Times New Roman" w:cs="Times New Roman"/>
          <w:noProof/>
          <w:sz w:val="24"/>
          <w:szCs w:val="24"/>
          <w:lang w:eastAsia="en-GB"/>
        </w:rPr>
        <w:t>further classroom enquiries</w:t>
      </w:r>
      <w:r>
        <w:rPr>
          <w:rFonts w:ascii="Times New Roman" w:eastAsia="Times New Roman" w:hAnsi="Times New Roman" w:cs="Times New Roman"/>
          <w:noProof/>
          <w:sz w:val="24"/>
          <w:szCs w:val="24"/>
          <w:lang w:eastAsia="en-GB"/>
        </w:rPr>
        <w:t xml:space="preserve">, I would review my sample group’s abilities initially and refine the data collected appropriate to their SEN statuses. This would provide a clearer picture of how helpful the teaching strategies I used were to those pupils. Equally so, due to the limiting intervention time available, I used multiple teaching methods to provide optimal learning opportunities. However resourceful this may have seemed at the time, on </w:t>
      </w:r>
      <w:r>
        <w:rPr>
          <w:rFonts w:ascii="Times New Roman" w:eastAsia="Times New Roman" w:hAnsi="Times New Roman" w:cs="Times New Roman"/>
          <w:noProof/>
          <w:sz w:val="24"/>
          <w:szCs w:val="24"/>
          <w:lang w:eastAsia="en-GB"/>
        </w:rPr>
        <w:lastRenderedPageBreak/>
        <w:t>reflection, I would focus on using one singular strategy, review the results and either approve or dismiss it’s usefulness before implementing an alternative technique. Again, this would require more time to prepare for and implement, but would certainly allow unambiguous conclusions to be drawn. As with any research project, the less variables that are introduced, the more revealing the results will be.</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t xml:space="preserve">In pursuit of establishing deeper practical links to science,  I would revisit my demonstration approach and include pupil engagement much further. For example, I would arrange the pupils in small groups – groups of 2 rather than 3 as to promote full participation from all. Having demonstrated the practical activity, I would instruct the pupils to complete their own demonstration and collect their own results. As noted from earlier studies, </w:t>
      </w:r>
      <w:r>
        <w:rPr>
          <w:rFonts w:ascii="Times New Roman" w:eastAsia="Times New Roman" w:hAnsi="Times New Roman" w:cs="Times New Roman"/>
          <w:sz w:val="24"/>
          <w:szCs w:val="24"/>
          <w:lang w:eastAsia="en-GB"/>
        </w:rPr>
        <w:t>(</w:t>
      </w:r>
      <w:r w:rsidRPr="00B67EF7">
        <w:rPr>
          <w:rFonts w:ascii="Times New Roman" w:eastAsia="Times New Roman" w:hAnsi="Times New Roman" w:cs="Times New Roman"/>
          <w:sz w:val="24"/>
          <w:szCs w:val="24"/>
          <w:lang w:eastAsia="en-GB"/>
        </w:rPr>
        <w:t>Abrahams, I. and Millar, R., 2008</w:t>
      </w:r>
      <w:r>
        <w:rPr>
          <w:rFonts w:ascii="Times New Roman" w:eastAsia="Times New Roman" w:hAnsi="Times New Roman" w:cs="Times New Roman"/>
          <w:sz w:val="24"/>
          <w:szCs w:val="24"/>
          <w:lang w:eastAsia="en-GB"/>
        </w:rPr>
        <w:t xml:space="preserve">), classroom observations reported a lack of direct teacher intervention during practical lessons. To combat this, I would therefore instruct pupils with directions for practical engagement. This may be more conducive to learning, albeit requiring more time and resources. </w:t>
      </w:r>
    </w:p>
    <w:p w:rsidR="007D551F" w:rsidRDefault="007D551F" w:rsidP="007D551F">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t>Feedback for any study is incredibly important for inquirer and participant. Without constructive opinion, progression forward is not possible. For my own professional and personal development, I would have wished to review my data and the presentation of my results with my sample group. The importance of feedback has been reviewed by many (</w:t>
      </w:r>
      <w:r w:rsidRPr="000F6D94">
        <w:rPr>
          <w:rFonts w:ascii="Times New Roman" w:eastAsia="Times New Roman" w:hAnsi="Times New Roman" w:cs="Times New Roman"/>
          <w:sz w:val="24"/>
          <w:szCs w:val="24"/>
          <w:lang w:eastAsia="en-GB"/>
        </w:rPr>
        <w:t>Cordingley, P., Bell, M., Thomason, S. and Firth, A., 2005</w:t>
      </w:r>
      <w:r>
        <w:rPr>
          <w:rFonts w:ascii="Times New Roman" w:eastAsia="Times New Roman" w:hAnsi="Times New Roman" w:cs="Times New Roman"/>
          <w:sz w:val="24"/>
          <w:szCs w:val="24"/>
          <w:lang w:eastAsia="en-GB"/>
        </w:rPr>
        <w:t>) and acknowledges the merits from sharing results and opinions towards CPD developments and learning outcomes for both pupils and teachers. The impact on pupils has been shown to inspire and motivate learning, improve performance and embrace collaboration with peers. Teachers are also able to benefit from their reflections and share good practice. With this in mind, in future classroom inquiries, I will endeavour to allocate time to share the results of the data regardless of the outcomes, with the group. I feel that this would strengthen the trust relationship between teacher and pupil and promote good learning experiences for future endeavours.</w:t>
      </w:r>
    </w:p>
    <w:p w:rsidR="00743E1F" w:rsidRDefault="00743E1F" w:rsidP="007D551F">
      <w:pPr>
        <w:rPr>
          <w:rFonts w:ascii="Times New Roman" w:eastAsia="Times New Roman" w:hAnsi="Times New Roman" w:cs="Times New Roman"/>
          <w:sz w:val="24"/>
          <w:szCs w:val="24"/>
          <w:lang w:eastAsia="en-GB"/>
        </w:rPr>
      </w:pPr>
    </w:p>
    <w:p w:rsidR="00743E1F" w:rsidRDefault="00743E1F" w:rsidP="00743E1F">
      <w:pPr>
        <w:jc w:val="right"/>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Lucy Paradice 22.4.19</w:t>
      </w:r>
    </w:p>
    <w:p w:rsidR="005F7582" w:rsidRDefault="00570A1E"/>
    <w:sectPr w:rsidR="005F7582" w:rsidSect="00C3259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7D551F"/>
    <w:rsid w:val="001B46E9"/>
    <w:rsid w:val="00570A1E"/>
    <w:rsid w:val="00743E1F"/>
    <w:rsid w:val="007D551F"/>
    <w:rsid w:val="00A711B6"/>
    <w:rsid w:val="00C3259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551F"/>
  </w:style>
  <w:style w:type="paragraph" w:styleId="Heading2">
    <w:name w:val="heading 2"/>
    <w:basedOn w:val="Normal"/>
    <w:next w:val="Normal"/>
    <w:link w:val="Heading2Char"/>
    <w:qFormat/>
    <w:rsid w:val="007D551F"/>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7D551F"/>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7D551F"/>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7D551F"/>
    <w:rPr>
      <w:rFonts w:ascii="Times New Roman" w:eastAsia="Times New Roman" w:hAnsi="Times New Roman" w:cs="Times New Roman"/>
      <w:sz w:val="40"/>
      <w:szCs w:val="20"/>
      <w:lang w:eastAsia="en-GB"/>
    </w:rPr>
  </w:style>
  <w:style w:type="character" w:customStyle="1" w:styleId="authors">
    <w:name w:val="authors"/>
    <w:basedOn w:val="DefaultParagraphFont"/>
    <w:rsid w:val="007D551F"/>
  </w:style>
  <w:style w:type="character" w:customStyle="1" w:styleId="date">
    <w:name w:val="date"/>
    <w:basedOn w:val="DefaultParagraphFont"/>
    <w:rsid w:val="007D551F"/>
  </w:style>
  <w:style w:type="character" w:customStyle="1" w:styleId="arttitle">
    <w:name w:val="art_title"/>
    <w:basedOn w:val="DefaultParagraphFont"/>
    <w:rsid w:val="007D551F"/>
  </w:style>
  <w:style w:type="character" w:customStyle="1" w:styleId="serialtitle">
    <w:name w:val="serial_title"/>
    <w:basedOn w:val="DefaultParagraphFont"/>
    <w:rsid w:val="007D551F"/>
  </w:style>
  <w:style w:type="character" w:customStyle="1" w:styleId="volumeissue">
    <w:name w:val="volume_issue"/>
    <w:basedOn w:val="DefaultParagraphFont"/>
    <w:rsid w:val="007D551F"/>
  </w:style>
  <w:style w:type="character" w:customStyle="1" w:styleId="pagerange">
    <w:name w:val="page_range"/>
    <w:basedOn w:val="DefaultParagraphFont"/>
    <w:rsid w:val="007D551F"/>
  </w:style>
  <w:style w:type="character" w:customStyle="1" w:styleId="doilink">
    <w:name w:val="doi_link"/>
    <w:basedOn w:val="DefaultParagraphFont"/>
    <w:rsid w:val="007D551F"/>
  </w:style>
  <w:style w:type="character" w:styleId="Hyperlink">
    <w:name w:val="Hyperlink"/>
    <w:basedOn w:val="DefaultParagraphFont"/>
    <w:uiPriority w:val="99"/>
    <w:unhideWhenUsed/>
    <w:rsid w:val="007D551F"/>
    <w:rPr>
      <w:color w:val="0000FF"/>
      <w:u w:val="single"/>
    </w:rPr>
  </w:style>
  <w:style w:type="paragraph" w:styleId="BalloonText">
    <w:name w:val="Balloon Text"/>
    <w:basedOn w:val="Normal"/>
    <w:link w:val="BalloonTextChar"/>
    <w:uiPriority w:val="99"/>
    <w:semiHidden/>
    <w:unhideWhenUsed/>
    <w:rsid w:val="007D55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551F"/>
    <w:rPr>
      <w:rFonts w:ascii="Tahoma" w:hAnsi="Tahoma" w:cs="Tahoma"/>
      <w:sz w:val="16"/>
      <w:szCs w:val="16"/>
    </w:rPr>
  </w:style>
  <w:style w:type="paragraph" w:styleId="Caption">
    <w:name w:val="caption"/>
    <w:basedOn w:val="Normal"/>
    <w:next w:val="Normal"/>
    <w:uiPriority w:val="35"/>
    <w:unhideWhenUsed/>
    <w:qFormat/>
    <w:rsid w:val="007D551F"/>
    <w:pPr>
      <w:spacing w:line="240" w:lineRule="auto"/>
    </w:pPr>
    <w:rPr>
      <w:b/>
      <w:bCs/>
      <w:color w:val="4F81BD" w:themeColor="accent1"/>
      <w:sz w:val="18"/>
      <w:szCs w:val="18"/>
    </w:rPr>
  </w:style>
  <w:style w:type="paragraph" w:styleId="NormalWeb">
    <w:name w:val="Normal (Web)"/>
    <w:basedOn w:val="Normal"/>
    <w:uiPriority w:val="99"/>
    <w:semiHidden/>
    <w:unhideWhenUsed/>
    <w:rsid w:val="007D551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nhideWhenUsed/>
    <w:rsid w:val="007D551F"/>
    <w:pPr>
      <w:tabs>
        <w:tab w:val="center" w:pos="4513"/>
        <w:tab w:val="right" w:pos="9026"/>
      </w:tabs>
      <w:spacing w:after="0" w:line="240" w:lineRule="auto"/>
    </w:pPr>
  </w:style>
  <w:style w:type="character" w:customStyle="1" w:styleId="HeaderChar">
    <w:name w:val="Header Char"/>
    <w:basedOn w:val="DefaultParagraphFont"/>
    <w:link w:val="Header"/>
    <w:rsid w:val="007D551F"/>
  </w:style>
  <w:style w:type="paragraph" w:styleId="Footer">
    <w:name w:val="footer"/>
    <w:basedOn w:val="Normal"/>
    <w:link w:val="FooterChar"/>
    <w:uiPriority w:val="99"/>
    <w:unhideWhenUsed/>
    <w:rsid w:val="007D55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51F"/>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17</Pages>
  <Words>8348</Words>
  <Characters>47587</Characters>
  <Application>Microsoft Office Word</Application>
  <DocSecurity>0</DocSecurity>
  <Lines>396</Lines>
  <Paragraphs>111</Paragraphs>
  <ScaleCrop>false</ScaleCrop>
  <Company>Deftones</Company>
  <LinksUpToDate>false</LinksUpToDate>
  <CharactersWithSpaces>55824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2</cp:revision>
  <dcterms:created xsi:type="dcterms:W3CDTF">2019-05-11T23:40:00Z</dcterms:created>
  <dcterms:modified xsi:type="dcterms:W3CDTF">2019-05-11T23:45:00Z</dcterms:modified>
</cp:coreProperties>
</file>