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1CF0A" w14:textId="77777777" w:rsidR="00296CFA" w:rsidRPr="002D2B36" w:rsidRDefault="00296CFA" w:rsidP="000327D9">
      <w:pPr>
        <w:pStyle w:val="BodyText"/>
        <w:spacing w:line="360" w:lineRule="auto"/>
        <w:ind w:left="220"/>
        <w:rPr>
          <w:rFonts w:ascii="Times New Roman" w:hAnsi="Times New Roman" w:cs="Times New Roman"/>
          <w:color w:val="000000" w:themeColor="text1"/>
          <w:lang w:val="en-GB"/>
        </w:rPr>
      </w:pPr>
      <w:r w:rsidRPr="002D2B36">
        <w:rPr>
          <w:rFonts w:ascii="Times New Roman" w:hAnsi="Times New Roman" w:cs="Times New Roman"/>
          <w:noProof/>
          <w:color w:val="000000" w:themeColor="text1"/>
          <w:lang w:bidi="bn-BD"/>
        </w:rPr>
        <w:drawing>
          <wp:inline distT="0" distB="0" distL="0" distR="0" wp14:anchorId="10A1832C" wp14:editId="1F31F9EA">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459B1467" w14:textId="77777777" w:rsidR="00296CFA" w:rsidRPr="002D2B36" w:rsidRDefault="00296CFA" w:rsidP="000327D9">
      <w:pPr>
        <w:pStyle w:val="BodyText"/>
        <w:spacing w:before="6" w:line="360" w:lineRule="auto"/>
        <w:rPr>
          <w:rFonts w:ascii="Times New Roman" w:hAnsi="Times New Roman" w:cs="Times New Roman"/>
          <w:b/>
          <w:color w:val="000000" w:themeColor="text1"/>
          <w:sz w:val="29"/>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107"/>
        <w:gridCol w:w="2945"/>
        <w:gridCol w:w="2033"/>
        <w:gridCol w:w="2265"/>
      </w:tblGrid>
      <w:tr w:rsidR="006E351D" w:rsidRPr="002D2B36" w14:paraId="7B3C517B" w14:textId="77777777" w:rsidTr="00AD19A4">
        <w:trPr>
          <w:trHeight w:val="494"/>
        </w:trPr>
        <w:tc>
          <w:tcPr>
            <w:tcW w:w="1127" w:type="pct"/>
            <w:shd w:val="clear" w:color="auto" w:fill="D9D9D9"/>
          </w:tcPr>
          <w:p w14:paraId="696A7FB1"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Programme:</w:t>
            </w:r>
          </w:p>
        </w:tc>
        <w:tc>
          <w:tcPr>
            <w:tcW w:w="3873" w:type="pct"/>
            <w:gridSpan w:val="3"/>
          </w:tcPr>
          <w:p w14:paraId="35B1A60F"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BSc</w:t>
            </w:r>
            <w:r w:rsidRPr="002D2B36">
              <w:rPr>
                <w:rFonts w:ascii="Times New Roman" w:hAnsi="Times New Roman" w:cs="Times New Roman"/>
                <w:b/>
                <w:color w:val="000000" w:themeColor="text1"/>
                <w:spacing w:val="-1"/>
                <w:lang w:val="en-GB"/>
              </w:rPr>
              <w:t xml:space="preserve"> </w:t>
            </w:r>
            <w:r w:rsidRPr="002D2B36">
              <w:rPr>
                <w:rFonts w:ascii="Times New Roman" w:hAnsi="Times New Roman" w:cs="Times New Roman"/>
                <w:b/>
                <w:color w:val="000000" w:themeColor="text1"/>
                <w:lang w:val="en-GB"/>
              </w:rPr>
              <w:t>Health</w:t>
            </w:r>
            <w:r w:rsidRPr="002D2B36">
              <w:rPr>
                <w:rFonts w:ascii="Times New Roman" w:hAnsi="Times New Roman" w:cs="Times New Roman"/>
                <w:b/>
                <w:color w:val="000000" w:themeColor="text1"/>
                <w:spacing w:val="-2"/>
                <w:lang w:val="en-GB"/>
              </w:rPr>
              <w:t xml:space="preserve"> </w:t>
            </w:r>
            <w:r w:rsidRPr="002D2B36">
              <w:rPr>
                <w:rFonts w:ascii="Times New Roman" w:hAnsi="Times New Roman" w:cs="Times New Roman"/>
                <w:b/>
                <w:color w:val="000000" w:themeColor="text1"/>
                <w:lang w:val="en-GB"/>
              </w:rPr>
              <w:t>and Social</w:t>
            </w:r>
            <w:r w:rsidRPr="002D2B36">
              <w:rPr>
                <w:rFonts w:ascii="Times New Roman" w:hAnsi="Times New Roman" w:cs="Times New Roman"/>
                <w:b/>
                <w:color w:val="000000" w:themeColor="text1"/>
                <w:spacing w:val="-2"/>
                <w:lang w:val="en-GB"/>
              </w:rPr>
              <w:t xml:space="preserve"> </w:t>
            </w:r>
            <w:r w:rsidRPr="002D2B36">
              <w:rPr>
                <w:rFonts w:ascii="Times New Roman" w:hAnsi="Times New Roman" w:cs="Times New Roman"/>
                <w:b/>
                <w:color w:val="000000" w:themeColor="text1"/>
                <w:lang w:val="en-GB"/>
              </w:rPr>
              <w:t>Care</w:t>
            </w:r>
          </w:p>
        </w:tc>
      </w:tr>
      <w:tr w:rsidR="006E351D" w:rsidRPr="002D2B36" w14:paraId="494EC4E9" w14:textId="77777777" w:rsidTr="00AD19A4">
        <w:trPr>
          <w:trHeight w:val="491"/>
        </w:trPr>
        <w:tc>
          <w:tcPr>
            <w:tcW w:w="1127" w:type="pct"/>
            <w:shd w:val="clear" w:color="auto" w:fill="D9D9D9"/>
          </w:tcPr>
          <w:p w14:paraId="540ED930"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Module:</w:t>
            </w:r>
          </w:p>
        </w:tc>
        <w:tc>
          <w:tcPr>
            <w:tcW w:w="3873" w:type="pct"/>
            <w:gridSpan w:val="3"/>
          </w:tcPr>
          <w:p w14:paraId="58AEE9DE"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Mental</w:t>
            </w:r>
            <w:r w:rsidRPr="002D2B36">
              <w:rPr>
                <w:rFonts w:ascii="Times New Roman" w:hAnsi="Times New Roman" w:cs="Times New Roman"/>
                <w:b/>
                <w:color w:val="000000" w:themeColor="text1"/>
                <w:spacing w:val="1"/>
                <w:lang w:val="en-GB"/>
              </w:rPr>
              <w:t xml:space="preserve"> </w:t>
            </w:r>
            <w:r w:rsidRPr="002D2B36">
              <w:rPr>
                <w:rFonts w:ascii="Times New Roman" w:hAnsi="Times New Roman" w:cs="Times New Roman"/>
                <w:b/>
                <w:color w:val="000000" w:themeColor="text1"/>
                <w:lang w:val="en-GB"/>
              </w:rPr>
              <w:t>Disorders</w:t>
            </w:r>
            <w:r w:rsidRPr="002D2B36">
              <w:rPr>
                <w:rFonts w:ascii="Times New Roman" w:hAnsi="Times New Roman" w:cs="Times New Roman"/>
                <w:b/>
                <w:color w:val="000000" w:themeColor="text1"/>
                <w:spacing w:val="-3"/>
                <w:lang w:val="en-GB"/>
              </w:rPr>
              <w:t xml:space="preserve"> </w:t>
            </w:r>
            <w:r w:rsidRPr="002D2B36">
              <w:rPr>
                <w:rFonts w:ascii="Times New Roman" w:hAnsi="Times New Roman" w:cs="Times New Roman"/>
                <w:b/>
                <w:color w:val="000000" w:themeColor="text1"/>
                <w:lang w:val="en-GB"/>
              </w:rPr>
              <w:t>and Psychopathology</w:t>
            </w:r>
          </w:p>
        </w:tc>
      </w:tr>
      <w:tr w:rsidR="006E351D" w:rsidRPr="002D2B36" w14:paraId="0E63B2F4" w14:textId="77777777" w:rsidTr="00AD19A4">
        <w:trPr>
          <w:trHeight w:val="1000"/>
        </w:trPr>
        <w:tc>
          <w:tcPr>
            <w:tcW w:w="1127" w:type="pct"/>
            <w:shd w:val="clear" w:color="auto" w:fill="D9D9D9"/>
          </w:tcPr>
          <w:p w14:paraId="6DE5019F"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Module</w:t>
            </w:r>
            <w:r w:rsidRPr="002D2B36">
              <w:rPr>
                <w:rFonts w:ascii="Times New Roman" w:hAnsi="Times New Roman" w:cs="Times New Roman"/>
                <w:b/>
                <w:color w:val="000000" w:themeColor="text1"/>
                <w:spacing w:val="-2"/>
                <w:lang w:val="en-GB"/>
              </w:rPr>
              <w:t xml:space="preserve"> </w:t>
            </w:r>
            <w:r w:rsidRPr="002D2B36">
              <w:rPr>
                <w:rFonts w:ascii="Times New Roman" w:hAnsi="Times New Roman" w:cs="Times New Roman"/>
                <w:b/>
                <w:color w:val="000000" w:themeColor="text1"/>
                <w:lang w:val="en-GB"/>
              </w:rPr>
              <w:t>code:</w:t>
            </w:r>
          </w:p>
        </w:tc>
        <w:tc>
          <w:tcPr>
            <w:tcW w:w="1575" w:type="pct"/>
          </w:tcPr>
          <w:p w14:paraId="057C2EF2"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BMHP6006</w:t>
            </w:r>
          </w:p>
        </w:tc>
        <w:tc>
          <w:tcPr>
            <w:tcW w:w="1087" w:type="pct"/>
            <w:shd w:val="clear" w:color="auto" w:fill="D9D9D9"/>
          </w:tcPr>
          <w:p w14:paraId="0821A8E6" w14:textId="188E820C" w:rsidR="00296CFA" w:rsidRPr="002D2B36" w:rsidRDefault="00296CFA" w:rsidP="000327D9">
            <w:pPr>
              <w:pStyle w:val="TableParagraph"/>
              <w:spacing w:before="120" w:line="360" w:lineRule="auto"/>
              <w:ind w:right="370"/>
              <w:rPr>
                <w:rFonts w:ascii="Times New Roman" w:hAnsi="Times New Roman" w:cs="Times New Roman"/>
                <w:b/>
                <w:color w:val="000000" w:themeColor="text1"/>
                <w:lang w:val="en-GB"/>
              </w:rPr>
            </w:pPr>
          </w:p>
        </w:tc>
        <w:tc>
          <w:tcPr>
            <w:tcW w:w="1212" w:type="pct"/>
          </w:tcPr>
          <w:p w14:paraId="0E592EC3" w14:textId="54674352" w:rsidR="00296CFA" w:rsidRPr="002D2B36" w:rsidRDefault="00296CFA" w:rsidP="000327D9">
            <w:pPr>
              <w:pStyle w:val="TableParagraph"/>
              <w:spacing w:before="120" w:line="360" w:lineRule="auto"/>
              <w:ind w:left="108"/>
              <w:rPr>
                <w:rFonts w:ascii="Times New Roman" w:hAnsi="Times New Roman" w:cs="Times New Roman"/>
                <w:b/>
                <w:color w:val="000000" w:themeColor="text1"/>
                <w:lang w:val="en-GB"/>
              </w:rPr>
            </w:pPr>
          </w:p>
        </w:tc>
      </w:tr>
      <w:tr w:rsidR="006E351D" w:rsidRPr="002D2B36" w14:paraId="0788C6B1" w14:textId="77777777" w:rsidTr="00AD19A4">
        <w:trPr>
          <w:trHeight w:val="743"/>
        </w:trPr>
        <w:tc>
          <w:tcPr>
            <w:tcW w:w="1127" w:type="pct"/>
            <w:shd w:val="clear" w:color="auto" w:fill="D9D9D9"/>
          </w:tcPr>
          <w:p w14:paraId="21D4F264"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Lecturer:</w:t>
            </w:r>
          </w:p>
        </w:tc>
        <w:tc>
          <w:tcPr>
            <w:tcW w:w="1575" w:type="pct"/>
          </w:tcPr>
          <w:p w14:paraId="01639F34"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Bianca</w:t>
            </w:r>
            <w:r w:rsidRPr="002D2B36">
              <w:rPr>
                <w:rFonts w:ascii="Times New Roman" w:hAnsi="Times New Roman" w:cs="Times New Roman"/>
                <w:b/>
                <w:color w:val="000000" w:themeColor="text1"/>
                <w:spacing w:val="-1"/>
                <w:lang w:val="en-GB"/>
              </w:rPr>
              <w:t xml:space="preserve"> </w:t>
            </w:r>
            <w:r w:rsidRPr="002D2B36">
              <w:rPr>
                <w:rFonts w:ascii="Times New Roman" w:hAnsi="Times New Roman" w:cs="Times New Roman"/>
                <w:b/>
                <w:color w:val="000000" w:themeColor="text1"/>
                <w:lang w:val="en-GB"/>
              </w:rPr>
              <w:t>Sanfilippo</w:t>
            </w:r>
          </w:p>
        </w:tc>
        <w:tc>
          <w:tcPr>
            <w:tcW w:w="1087" w:type="pct"/>
            <w:shd w:val="clear" w:color="auto" w:fill="D9D9D9"/>
          </w:tcPr>
          <w:p w14:paraId="65DF3C32" w14:textId="77777777" w:rsidR="00296CFA" w:rsidRPr="002D2B36" w:rsidRDefault="00296CFA" w:rsidP="000327D9">
            <w:pPr>
              <w:pStyle w:val="TableParagraph"/>
              <w:spacing w:before="120"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Internal</w:t>
            </w:r>
            <w:r w:rsidRPr="002D2B36">
              <w:rPr>
                <w:rFonts w:ascii="Times New Roman" w:hAnsi="Times New Roman" w:cs="Times New Roman"/>
                <w:b/>
                <w:color w:val="000000" w:themeColor="text1"/>
                <w:spacing w:val="-1"/>
                <w:lang w:val="en-GB"/>
              </w:rPr>
              <w:t xml:space="preserve"> </w:t>
            </w:r>
            <w:r w:rsidRPr="002D2B36">
              <w:rPr>
                <w:rFonts w:ascii="Times New Roman" w:hAnsi="Times New Roman" w:cs="Times New Roman"/>
                <w:b/>
                <w:color w:val="000000" w:themeColor="text1"/>
                <w:lang w:val="en-GB"/>
              </w:rPr>
              <w:t>Verifier:</w:t>
            </w:r>
          </w:p>
        </w:tc>
        <w:tc>
          <w:tcPr>
            <w:tcW w:w="1212" w:type="pct"/>
          </w:tcPr>
          <w:p w14:paraId="40152DBF" w14:textId="77777777" w:rsidR="00296CFA" w:rsidRPr="002D2B36" w:rsidRDefault="00296CFA" w:rsidP="000327D9">
            <w:pPr>
              <w:pStyle w:val="TableParagraph"/>
              <w:spacing w:before="120" w:line="360" w:lineRule="auto"/>
              <w:ind w:left="108" w:right="416"/>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Dr Mark Gallagher-</w:t>
            </w:r>
            <w:r w:rsidRPr="002D2B36">
              <w:rPr>
                <w:rFonts w:ascii="Times New Roman" w:hAnsi="Times New Roman" w:cs="Times New Roman"/>
                <w:b/>
                <w:color w:val="000000" w:themeColor="text1"/>
                <w:spacing w:val="-59"/>
                <w:lang w:val="en-GB"/>
              </w:rPr>
              <w:t xml:space="preserve"> </w:t>
            </w:r>
            <w:r w:rsidRPr="002D2B36">
              <w:rPr>
                <w:rFonts w:ascii="Times New Roman" w:hAnsi="Times New Roman" w:cs="Times New Roman"/>
                <w:b/>
                <w:color w:val="000000" w:themeColor="text1"/>
                <w:lang w:val="en-GB"/>
              </w:rPr>
              <w:t>Read</w:t>
            </w:r>
          </w:p>
        </w:tc>
      </w:tr>
      <w:tr w:rsidR="006E351D" w:rsidRPr="002D2B36" w14:paraId="6150ED1B" w14:textId="77777777" w:rsidTr="00AD19A4">
        <w:trPr>
          <w:trHeight w:val="746"/>
        </w:trPr>
        <w:tc>
          <w:tcPr>
            <w:tcW w:w="1127" w:type="pct"/>
            <w:shd w:val="clear" w:color="auto" w:fill="D9D9D9"/>
          </w:tcPr>
          <w:p w14:paraId="253B20A9" w14:textId="77777777" w:rsidR="00296CFA" w:rsidRPr="002D2B36" w:rsidRDefault="00296CFA" w:rsidP="000327D9">
            <w:pPr>
              <w:pStyle w:val="TableParagraph"/>
              <w:spacing w:before="122" w:line="360" w:lineRule="auto"/>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Assignment</w:t>
            </w:r>
            <w:r w:rsidRPr="002D2B36">
              <w:rPr>
                <w:rFonts w:ascii="Times New Roman" w:hAnsi="Times New Roman" w:cs="Times New Roman"/>
                <w:b/>
                <w:color w:val="000000" w:themeColor="text1"/>
                <w:spacing w:val="-5"/>
                <w:lang w:val="en-GB"/>
              </w:rPr>
              <w:t xml:space="preserve"> </w:t>
            </w:r>
            <w:r w:rsidRPr="002D2B36">
              <w:rPr>
                <w:rFonts w:ascii="Times New Roman" w:hAnsi="Times New Roman" w:cs="Times New Roman"/>
                <w:b/>
                <w:color w:val="000000" w:themeColor="text1"/>
                <w:lang w:val="en-GB"/>
              </w:rPr>
              <w:t>Title:</w:t>
            </w:r>
          </w:p>
        </w:tc>
        <w:tc>
          <w:tcPr>
            <w:tcW w:w="1575" w:type="pct"/>
          </w:tcPr>
          <w:p w14:paraId="6860BB40" w14:textId="77777777" w:rsidR="00296CFA" w:rsidRPr="002D2B36" w:rsidRDefault="00296CFA" w:rsidP="000327D9">
            <w:pPr>
              <w:pStyle w:val="TableParagraph"/>
              <w:spacing w:before="122" w:line="360" w:lineRule="auto"/>
              <w:ind w:right="827"/>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Component 2: Written</w:t>
            </w:r>
            <w:r w:rsidRPr="002D2B36">
              <w:rPr>
                <w:rFonts w:ascii="Times New Roman" w:hAnsi="Times New Roman" w:cs="Times New Roman"/>
                <w:b/>
                <w:color w:val="000000" w:themeColor="text1"/>
                <w:spacing w:val="-59"/>
                <w:lang w:val="en-GB"/>
              </w:rPr>
              <w:t xml:space="preserve"> </w:t>
            </w:r>
            <w:r w:rsidRPr="002D2B36">
              <w:rPr>
                <w:rFonts w:ascii="Times New Roman" w:hAnsi="Times New Roman" w:cs="Times New Roman"/>
                <w:b/>
                <w:color w:val="000000" w:themeColor="text1"/>
                <w:lang w:val="en-GB"/>
              </w:rPr>
              <w:t>Assignment</w:t>
            </w:r>
          </w:p>
        </w:tc>
        <w:tc>
          <w:tcPr>
            <w:tcW w:w="1087" w:type="pct"/>
            <w:shd w:val="clear" w:color="auto" w:fill="D9D9D9"/>
          </w:tcPr>
          <w:p w14:paraId="61FC6781" w14:textId="77777777" w:rsidR="00296CFA" w:rsidRPr="002D2B36" w:rsidRDefault="00296CFA" w:rsidP="000327D9">
            <w:pPr>
              <w:pStyle w:val="TableParagraph"/>
              <w:spacing w:before="122" w:line="360" w:lineRule="auto"/>
              <w:ind w:right="554"/>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Word count (or</w:t>
            </w:r>
            <w:r w:rsidRPr="002D2B36">
              <w:rPr>
                <w:rFonts w:ascii="Times New Roman" w:hAnsi="Times New Roman" w:cs="Times New Roman"/>
                <w:b/>
                <w:color w:val="000000" w:themeColor="text1"/>
                <w:spacing w:val="-59"/>
                <w:lang w:val="en-GB"/>
              </w:rPr>
              <w:t xml:space="preserve"> </w:t>
            </w:r>
            <w:r w:rsidRPr="002D2B36">
              <w:rPr>
                <w:rFonts w:ascii="Times New Roman" w:hAnsi="Times New Roman" w:cs="Times New Roman"/>
                <w:b/>
                <w:color w:val="000000" w:themeColor="text1"/>
                <w:lang w:val="en-GB"/>
              </w:rPr>
              <w:t>equivalent):</w:t>
            </w:r>
          </w:p>
        </w:tc>
        <w:tc>
          <w:tcPr>
            <w:tcW w:w="1212" w:type="pct"/>
          </w:tcPr>
          <w:p w14:paraId="2B1BB73A" w14:textId="77777777" w:rsidR="00296CFA" w:rsidRPr="002D2B36" w:rsidRDefault="00296CFA" w:rsidP="000327D9">
            <w:pPr>
              <w:pStyle w:val="TableParagraph"/>
              <w:spacing w:before="122" w:line="360" w:lineRule="auto"/>
              <w:ind w:left="108"/>
              <w:rPr>
                <w:rFonts w:ascii="Times New Roman" w:hAnsi="Times New Roman" w:cs="Times New Roman"/>
                <w:b/>
                <w:color w:val="000000" w:themeColor="text1"/>
                <w:lang w:val="en-GB"/>
              </w:rPr>
            </w:pPr>
            <w:r w:rsidRPr="002D2B36">
              <w:rPr>
                <w:rFonts w:ascii="Times New Roman" w:hAnsi="Times New Roman" w:cs="Times New Roman"/>
                <w:b/>
                <w:color w:val="000000" w:themeColor="text1"/>
                <w:lang w:val="en-GB"/>
              </w:rPr>
              <w:t>3,000</w:t>
            </w:r>
            <w:r w:rsidRPr="002D2B36">
              <w:rPr>
                <w:rFonts w:ascii="Times New Roman" w:hAnsi="Times New Roman" w:cs="Times New Roman"/>
                <w:b/>
                <w:color w:val="000000" w:themeColor="text1"/>
                <w:spacing w:val="-1"/>
                <w:lang w:val="en-GB"/>
              </w:rPr>
              <w:t xml:space="preserve"> </w:t>
            </w:r>
            <w:r w:rsidRPr="002D2B36">
              <w:rPr>
                <w:rFonts w:ascii="Times New Roman" w:hAnsi="Times New Roman" w:cs="Times New Roman"/>
                <w:b/>
                <w:color w:val="000000" w:themeColor="text1"/>
                <w:lang w:val="en-GB"/>
              </w:rPr>
              <w:t>words</w:t>
            </w:r>
          </w:p>
        </w:tc>
      </w:tr>
    </w:tbl>
    <w:p w14:paraId="32B4524B" w14:textId="77777777" w:rsidR="000327D9" w:rsidRDefault="000327D9" w:rsidP="000327D9">
      <w:pPr>
        <w:jc w:val="center"/>
        <w:rPr>
          <w:rFonts w:ascii="Times New Roman" w:hAnsi="Times New Roman" w:cs="Times New Roman"/>
          <w:color w:val="000000" w:themeColor="text1"/>
        </w:rPr>
      </w:pPr>
    </w:p>
    <w:p w14:paraId="5910B3F9" w14:textId="77777777" w:rsidR="008C772D" w:rsidRDefault="008C772D" w:rsidP="000327D9">
      <w:pPr>
        <w:jc w:val="center"/>
        <w:rPr>
          <w:rFonts w:ascii="Times New Roman" w:hAnsi="Times New Roman" w:cs="Times New Roman"/>
          <w:color w:val="000000" w:themeColor="text1"/>
        </w:rPr>
      </w:pPr>
    </w:p>
    <w:p w14:paraId="24673A05" w14:textId="77777777" w:rsidR="000327D9" w:rsidRDefault="000327D9" w:rsidP="000327D9">
      <w:pPr>
        <w:jc w:val="center"/>
        <w:rPr>
          <w:rFonts w:ascii="Times New Roman" w:hAnsi="Times New Roman" w:cs="Times New Roman"/>
          <w:color w:val="000000" w:themeColor="text1"/>
        </w:rPr>
      </w:pPr>
    </w:p>
    <w:p w14:paraId="00000001" w14:textId="4AC5E176" w:rsidR="004314A0" w:rsidRPr="002D2B36" w:rsidRDefault="000D59EA" w:rsidP="000327D9">
      <w:pPr>
        <w:jc w:val="center"/>
        <w:rPr>
          <w:rFonts w:ascii="Times New Roman" w:hAnsi="Times New Roman" w:cs="Times New Roman"/>
          <w:color w:val="000000" w:themeColor="text1"/>
        </w:rPr>
      </w:pPr>
      <w:r w:rsidRPr="002D2B36">
        <w:rPr>
          <w:rFonts w:ascii="Times New Roman" w:hAnsi="Times New Roman" w:cs="Times New Roman"/>
          <w:color w:val="000000" w:themeColor="text1"/>
        </w:rPr>
        <w:t>Name:</w:t>
      </w:r>
      <w:r w:rsidR="002F1C28">
        <w:rPr>
          <w:rFonts w:ascii="Times New Roman" w:hAnsi="Times New Roman" w:cs="Times New Roman"/>
          <w:color w:val="000000" w:themeColor="text1"/>
        </w:rPr>
        <w:t xml:space="preserve"> </w:t>
      </w:r>
      <w:r w:rsidR="002F1C28" w:rsidRPr="002F1C28">
        <w:rPr>
          <w:rFonts w:ascii="Times New Roman" w:hAnsi="Times New Roman" w:cs="Times New Roman"/>
          <w:color w:val="000000" w:themeColor="text1"/>
        </w:rPr>
        <w:t>Carmen Craciun</w:t>
      </w:r>
    </w:p>
    <w:p w14:paraId="00000002" w14:textId="0B1478B4" w:rsidR="004314A0" w:rsidRPr="002D2B36" w:rsidRDefault="000D59EA" w:rsidP="000327D9">
      <w:pPr>
        <w:jc w:val="center"/>
        <w:rPr>
          <w:rFonts w:ascii="Times New Roman" w:hAnsi="Times New Roman" w:cs="Times New Roman"/>
          <w:color w:val="000000" w:themeColor="text1"/>
        </w:rPr>
      </w:pPr>
      <w:r w:rsidRPr="002D2B36">
        <w:rPr>
          <w:rFonts w:ascii="Times New Roman" w:hAnsi="Times New Roman" w:cs="Times New Roman"/>
          <w:color w:val="000000" w:themeColor="text1"/>
        </w:rPr>
        <w:t>Student Number:</w:t>
      </w:r>
      <w:r w:rsidR="00422490">
        <w:rPr>
          <w:rFonts w:ascii="Times New Roman" w:hAnsi="Times New Roman" w:cs="Times New Roman"/>
          <w:color w:val="000000" w:themeColor="text1"/>
        </w:rPr>
        <w:t>2112672</w:t>
      </w:r>
    </w:p>
    <w:p w14:paraId="00000003" w14:textId="11F83465" w:rsidR="004314A0" w:rsidRPr="002D2B36" w:rsidRDefault="000D59EA" w:rsidP="000327D9">
      <w:pPr>
        <w:jc w:val="center"/>
        <w:rPr>
          <w:rFonts w:ascii="Times New Roman" w:hAnsi="Times New Roman" w:cs="Times New Roman"/>
          <w:color w:val="000000" w:themeColor="text1"/>
        </w:rPr>
      </w:pPr>
      <w:r w:rsidRPr="002D2B36">
        <w:rPr>
          <w:rFonts w:ascii="Times New Roman" w:hAnsi="Times New Roman" w:cs="Times New Roman"/>
          <w:color w:val="000000" w:themeColor="text1"/>
        </w:rPr>
        <w:t xml:space="preserve">Module code and </w:t>
      </w:r>
      <w:proofErr w:type="gramStart"/>
      <w:r w:rsidRPr="002D2B36">
        <w:rPr>
          <w:rFonts w:ascii="Times New Roman" w:hAnsi="Times New Roman" w:cs="Times New Roman"/>
          <w:color w:val="000000" w:themeColor="text1"/>
        </w:rPr>
        <w:t>Title:</w:t>
      </w:r>
      <w:r w:rsidR="00422490">
        <w:rPr>
          <w:rFonts w:ascii="Times New Roman" w:hAnsi="Times New Roman" w:cs="Times New Roman"/>
          <w:color w:val="000000" w:themeColor="text1"/>
        </w:rPr>
        <w:t>BMHP</w:t>
      </w:r>
      <w:proofErr w:type="gramEnd"/>
      <w:r w:rsidR="00422490">
        <w:rPr>
          <w:rFonts w:ascii="Times New Roman" w:hAnsi="Times New Roman" w:cs="Times New Roman"/>
          <w:color w:val="000000" w:themeColor="text1"/>
        </w:rPr>
        <w:t>6006</w:t>
      </w:r>
    </w:p>
    <w:p w14:paraId="00000004" w14:textId="77777777" w:rsidR="004314A0" w:rsidRPr="002D2B36" w:rsidRDefault="000D59EA" w:rsidP="000327D9">
      <w:pPr>
        <w:jc w:val="center"/>
        <w:rPr>
          <w:rFonts w:ascii="Times New Roman" w:hAnsi="Times New Roman" w:cs="Times New Roman"/>
          <w:color w:val="000000" w:themeColor="text1"/>
        </w:rPr>
      </w:pPr>
      <w:r w:rsidRPr="002D2B36">
        <w:rPr>
          <w:rFonts w:ascii="Times New Roman" w:hAnsi="Times New Roman" w:cs="Times New Roman"/>
          <w:color w:val="000000" w:themeColor="text1"/>
        </w:rPr>
        <w:br w:type="page"/>
      </w:r>
    </w:p>
    <w:p w14:paraId="00000005" w14:textId="77777777" w:rsidR="004314A0" w:rsidRPr="002D2B36" w:rsidRDefault="000D59EA" w:rsidP="000327D9">
      <w:pPr>
        <w:keepNext/>
        <w:keepLines/>
        <w:pBdr>
          <w:top w:val="nil"/>
          <w:left w:val="nil"/>
          <w:bottom w:val="nil"/>
          <w:right w:val="nil"/>
          <w:between w:val="nil"/>
        </w:pBdr>
        <w:spacing w:before="240"/>
        <w:jc w:val="center"/>
        <w:rPr>
          <w:rFonts w:ascii="Times New Roman" w:eastAsia="Calibri" w:hAnsi="Times New Roman" w:cs="Times New Roman"/>
          <w:color w:val="000000" w:themeColor="text1"/>
          <w:sz w:val="32"/>
          <w:szCs w:val="32"/>
        </w:rPr>
      </w:pPr>
      <w:r w:rsidRPr="002D2B36">
        <w:rPr>
          <w:rFonts w:ascii="Times New Roman" w:eastAsia="Calibri" w:hAnsi="Times New Roman" w:cs="Times New Roman"/>
          <w:color w:val="000000" w:themeColor="text1"/>
          <w:sz w:val="32"/>
          <w:szCs w:val="32"/>
        </w:rPr>
        <w:lastRenderedPageBreak/>
        <w:t>Contents</w:t>
      </w:r>
    </w:p>
    <w:sdt>
      <w:sdtPr>
        <w:rPr>
          <w:rFonts w:ascii="Times New Roman" w:hAnsi="Times New Roman" w:cs="Times New Roman"/>
          <w:color w:val="000000" w:themeColor="text1"/>
        </w:rPr>
        <w:id w:val="-790518730"/>
        <w:docPartObj>
          <w:docPartGallery w:val="Table of Contents"/>
          <w:docPartUnique/>
        </w:docPartObj>
      </w:sdtPr>
      <w:sdtContent>
        <w:p w14:paraId="087CE8EA" w14:textId="5FFC2AFB" w:rsidR="000754CA" w:rsidRDefault="000D59EA">
          <w:pPr>
            <w:pStyle w:val="TOC1"/>
            <w:tabs>
              <w:tab w:val="right" w:leader="dot" w:pos="9350"/>
            </w:tabs>
            <w:rPr>
              <w:rFonts w:asciiTheme="minorHAnsi" w:eastAsiaTheme="minorEastAsia" w:hAnsiTheme="minorHAnsi" w:cstheme="minorBidi"/>
              <w:noProof/>
              <w:kern w:val="2"/>
              <w:lang w:val="en-US" w:eastAsia="en-US"/>
              <w14:ligatures w14:val="standardContextual"/>
            </w:rPr>
          </w:pPr>
          <w:r w:rsidRPr="002D2B36">
            <w:rPr>
              <w:rFonts w:ascii="Times New Roman" w:hAnsi="Times New Roman" w:cs="Times New Roman"/>
              <w:color w:val="000000" w:themeColor="text1"/>
            </w:rPr>
            <w:fldChar w:fldCharType="begin"/>
          </w:r>
          <w:r w:rsidRPr="002D2B36">
            <w:rPr>
              <w:rFonts w:ascii="Times New Roman" w:hAnsi="Times New Roman" w:cs="Times New Roman"/>
              <w:color w:val="000000" w:themeColor="text1"/>
            </w:rPr>
            <w:instrText xml:space="preserve"> TOC \h \u \z \t "Heading 1,1,Heading 2,2,Heading 3,3,"</w:instrText>
          </w:r>
          <w:r w:rsidRPr="002D2B36">
            <w:rPr>
              <w:rFonts w:ascii="Times New Roman" w:hAnsi="Times New Roman" w:cs="Times New Roman"/>
              <w:color w:val="000000" w:themeColor="text1"/>
            </w:rPr>
            <w:fldChar w:fldCharType="separate"/>
          </w:r>
          <w:hyperlink w:anchor="_Toc155352254" w:history="1">
            <w:r w:rsidR="000754CA" w:rsidRPr="004E23D6">
              <w:rPr>
                <w:rStyle w:val="Hyperlink"/>
                <w:rFonts w:ascii="Times New Roman" w:hAnsi="Times New Roman" w:cs="Times New Roman"/>
                <w:noProof/>
              </w:rPr>
              <w:t>Introduction</w:t>
            </w:r>
            <w:r w:rsidR="000754CA">
              <w:rPr>
                <w:noProof/>
                <w:webHidden/>
              </w:rPr>
              <w:tab/>
            </w:r>
            <w:r w:rsidR="000754CA">
              <w:rPr>
                <w:noProof/>
                <w:webHidden/>
              </w:rPr>
              <w:fldChar w:fldCharType="begin"/>
            </w:r>
            <w:r w:rsidR="000754CA">
              <w:rPr>
                <w:noProof/>
                <w:webHidden/>
              </w:rPr>
              <w:instrText xml:space="preserve"> PAGEREF _Toc155352254 \h </w:instrText>
            </w:r>
            <w:r w:rsidR="000754CA">
              <w:rPr>
                <w:noProof/>
                <w:webHidden/>
              </w:rPr>
            </w:r>
            <w:r w:rsidR="000754CA">
              <w:rPr>
                <w:noProof/>
                <w:webHidden/>
              </w:rPr>
              <w:fldChar w:fldCharType="separate"/>
            </w:r>
            <w:r w:rsidR="000754CA">
              <w:rPr>
                <w:noProof/>
                <w:webHidden/>
              </w:rPr>
              <w:t>1</w:t>
            </w:r>
            <w:r w:rsidR="000754CA">
              <w:rPr>
                <w:noProof/>
                <w:webHidden/>
              </w:rPr>
              <w:fldChar w:fldCharType="end"/>
            </w:r>
          </w:hyperlink>
        </w:p>
        <w:p w14:paraId="3AFFFFD2" w14:textId="44BEA6F7" w:rsidR="000754CA" w:rsidRDefault="0000000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55352255" w:history="1">
            <w:r w:rsidR="000754CA" w:rsidRPr="004E23D6">
              <w:rPr>
                <w:rStyle w:val="Hyperlink"/>
                <w:rFonts w:ascii="Times New Roman" w:hAnsi="Times New Roman" w:cs="Times New Roman"/>
                <w:noProof/>
              </w:rPr>
              <w:t>General Anxiety Disorder (GAD)</w:t>
            </w:r>
            <w:r w:rsidR="000754CA">
              <w:rPr>
                <w:noProof/>
                <w:webHidden/>
              </w:rPr>
              <w:tab/>
            </w:r>
            <w:r w:rsidR="000754CA">
              <w:rPr>
                <w:noProof/>
                <w:webHidden/>
              </w:rPr>
              <w:fldChar w:fldCharType="begin"/>
            </w:r>
            <w:r w:rsidR="000754CA">
              <w:rPr>
                <w:noProof/>
                <w:webHidden/>
              </w:rPr>
              <w:instrText xml:space="preserve"> PAGEREF _Toc155352255 \h </w:instrText>
            </w:r>
            <w:r w:rsidR="000754CA">
              <w:rPr>
                <w:noProof/>
                <w:webHidden/>
              </w:rPr>
            </w:r>
            <w:r w:rsidR="000754CA">
              <w:rPr>
                <w:noProof/>
                <w:webHidden/>
              </w:rPr>
              <w:fldChar w:fldCharType="separate"/>
            </w:r>
            <w:r w:rsidR="000754CA">
              <w:rPr>
                <w:noProof/>
                <w:webHidden/>
              </w:rPr>
              <w:t>2</w:t>
            </w:r>
            <w:r w:rsidR="000754CA">
              <w:rPr>
                <w:noProof/>
                <w:webHidden/>
              </w:rPr>
              <w:fldChar w:fldCharType="end"/>
            </w:r>
          </w:hyperlink>
        </w:p>
        <w:p w14:paraId="0A05F894" w14:textId="7D77A753" w:rsidR="000754CA" w:rsidRDefault="0000000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55352256" w:history="1">
            <w:r w:rsidR="000754CA" w:rsidRPr="004E23D6">
              <w:rPr>
                <w:rStyle w:val="Hyperlink"/>
                <w:rFonts w:ascii="Times New Roman" w:hAnsi="Times New Roman" w:cs="Times New Roman"/>
                <w:noProof/>
              </w:rPr>
              <w:t>Schizophrenia</w:t>
            </w:r>
            <w:r w:rsidR="000754CA">
              <w:rPr>
                <w:noProof/>
                <w:webHidden/>
              </w:rPr>
              <w:tab/>
            </w:r>
            <w:r w:rsidR="000754CA">
              <w:rPr>
                <w:noProof/>
                <w:webHidden/>
              </w:rPr>
              <w:fldChar w:fldCharType="begin"/>
            </w:r>
            <w:r w:rsidR="000754CA">
              <w:rPr>
                <w:noProof/>
                <w:webHidden/>
              </w:rPr>
              <w:instrText xml:space="preserve"> PAGEREF _Toc155352256 \h </w:instrText>
            </w:r>
            <w:r w:rsidR="000754CA">
              <w:rPr>
                <w:noProof/>
                <w:webHidden/>
              </w:rPr>
            </w:r>
            <w:r w:rsidR="000754CA">
              <w:rPr>
                <w:noProof/>
                <w:webHidden/>
              </w:rPr>
              <w:fldChar w:fldCharType="separate"/>
            </w:r>
            <w:r w:rsidR="000754CA">
              <w:rPr>
                <w:noProof/>
                <w:webHidden/>
              </w:rPr>
              <w:t>4</w:t>
            </w:r>
            <w:r w:rsidR="000754CA">
              <w:rPr>
                <w:noProof/>
                <w:webHidden/>
              </w:rPr>
              <w:fldChar w:fldCharType="end"/>
            </w:r>
          </w:hyperlink>
        </w:p>
        <w:p w14:paraId="221DFEB7" w14:textId="59D9E322" w:rsidR="000754CA" w:rsidRDefault="0000000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55352257" w:history="1">
            <w:r w:rsidR="000754CA" w:rsidRPr="004E23D6">
              <w:rPr>
                <w:rStyle w:val="Hyperlink"/>
                <w:rFonts w:ascii="Times New Roman" w:hAnsi="Times New Roman" w:cs="Times New Roman"/>
                <w:noProof/>
              </w:rPr>
              <w:t>Autism</w:t>
            </w:r>
            <w:r w:rsidR="000754CA">
              <w:rPr>
                <w:noProof/>
                <w:webHidden/>
              </w:rPr>
              <w:tab/>
            </w:r>
            <w:r w:rsidR="000754CA">
              <w:rPr>
                <w:noProof/>
                <w:webHidden/>
              </w:rPr>
              <w:fldChar w:fldCharType="begin"/>
            </w:r>
            <w:r w:rsidR="000754CA">
              <w:rPr>
                <w:noProof/>
                <w:webHidden/>
              </w:rPr>
              <w:instrText xml:space="preserve"> PAGEREF _Toc155352257 \h </w:instrText>
            </w:r>
            <w:r w:rsidR="000754CA">
              <w:rPr>
                <w:noProof/>
                <w:webHidden/>
              </w:rPr>
            </w:r>
            <w:r w:rsidR="000754CA">
              <w:rPr>
                <w:noProof/>
                <w:webHidden/>
              </w:rPr>
              <w:fldChar w:fldCharType="separate"/>
            </w:r>
            <w:r w:rsidR="000754CA">
              <w:rPr>
                <w:noProof/>
                <w:webHidden/>
              </w:rPr>
              <w:t>6</w:t>
            </w:r>
            <w:r w:rsidR="000754CA">
              <w:rPr>
                <w:noProof/>
                <w:webHidden/>
              </w:rPr>
              <w:fldChar w:fldCharType="end"/>
            </w:r>
          </w:hyperlink>
        </w:p>
        <w:p w14:paraId="73C167C0" w14:textId="371D4486" w:rsidR="000754CA" w:rsidRDefault="0000000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55352258" w:history="1">
            <w:r w:rsidR="000754CA" w:rsidRPr="004E23D6">
              <w:rPr>
                <w:rStyle w:val="Hyperlink"/>
                <w:rFonts w:ascii="Times New Roman" w:hAnsi="Times New Roman" w:cs="Times New Roman"/>
                <w:noProof/>
              </w:rPr>
              <w:t>Conclusion</w:t>
            </w:r>
            <w:r w:rsidR="000754CA">
              <w:rPr>
                <w:noProof/>
                <w:webHidden/>
              </w:rPr>
              <w:tab/>
            </w:r>
            <w:r w:rsidR="000754CA">
              <w:rPr>
                <w:noProof/>
                <w:webHidden/>
              </w:rPr>
              <w:fldChar w:fldCharType="begin"/>
            </w:r>
            <w:r w:rsidR="000754CA">
              <w:rPr>
                <w:noProof/>
                <w:webHidden/>
              </w:rPr>
              <w:instrText xml:space="preserve"> PAGEREF _Toc155352258 \h </w:instrText>
            </w:r>
            <w:r w:rsidR="000754CA">
              <w:rPr>
                <w:noProof/>
                <w:webHidden/>
              </w:rPr>
            </w:r>
            <w:r w:rsidR="000754CA">
              <w:rPr>
                <w:noProof/>
                <w:webHidden/>
              </w:rPr>
              <w:fldChar w:fldCharType="separate"/>
            </w:r>
            <w:r w:rsidR="000754CA">
              <w:rPr>
                <w:noProof/>
                <w:webHidden/>
              </w:rPr>
              <w:t>8</w:t>
            </w:r>
            <w:r w:rsidR="000754CA">
              <w:rPr>
                <w:noProof/>
                <w:webHidden/>
              </w:rPr>
              <w:fldChar w:fldCharType="end"/>
            </w:r>
          </w:hyperlink>
        </w:p>
        <w:p w14:paraId="5DB63692" w14:textId="66663341" w:rsidR="000754CA" w:rsidRDefault="0000000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55352259" w:history="1">
            <w:r w:rsidR="000754CA" w:rsidRPr="004E23D6">
              <w:rPr>
                <w:rStyle w:val="Hyperlink"/>
                <w:rFonts w:ascii="Times New Roman" w:hAnsi="Times New Roman" w:cs="Times New Roman"/>
                <w:noProof/>
              </w:rPr>
              <w:t>References</w:t>
            </w:r>
            <w:r w:rsidR="000754CA">
              <w:rPr>
                <w:noProof/>
                <w:webHidden/>
              </w:rPr>
              <w:tab/>
            </w:r>
            <w:r w:rsidR="000754CA">
              <w:rPr>
                <w:noProof/>
                <w:webHidden/>
              </w:rPr>
              <w:fldChar w:fldCharType="begin"/>
            </w:r>
            <w:r w:rsidR="000754CA">
              <w:rPr>
                <w:noProof/>
                <w:webHidden/>
              </w:rPr>
              <w:instrText xml:space="preserve"> PAGEREF _Toc155352259 \h </w:instrText>
            </w:r>
            <w:r w:rsidR="000754CA">
              <w:rPr>
                <w:noProof/>
                <w:webHidden/>
              </w:rPr>
            </w:r>
            <w:r w:rsidR="000754CA">
              <w:rPr>
                <w:noProof/>
                <w:webHidden/>
              </w:rPr>
              <w:fldChar w:fldCharType="separate"/>
            </w:r>
            <w:r w:rsidR="000754CA">
              <w:rPr>
                <w:noProof/>
                <w:webHidden/>
              </w:rPr>
              <w:t>9</w:t>
            </w:r>
            <w:r w:rsidR="000754CA">
              <w:rPr>
                <w:noProof/>
                <w:webHidden/>
              </w:rPr>
              <w:fldChar w:fldCharType="end"/>
            </w:r>
          </w:hyperlink>
        </w:p>
        <w:p w14:paraId="0000000C" w14:textId="325868C4"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fldChar w:fldCharType="end"/>
          </w:r>
        </w:p>
      </w:sdtContent>
    </w:sdt>
    <w:p w14:paraId="0000000D" w14:textId="777777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br w:type="page"/>
      </w:r>
    </w:p>
    <w:p w14:paraId="7823E854" w14:textId="77777777" w:rsidR="000754CA" w:rsidRDefault="000754CA" w:rsidP="000327D9">
      <w:pPr>
        <w:pStyle w:val="Heading1"/>
        <w:rPr>
          <w:rFonts w:ascii="Times New Roman" w:hAnsi="Times New Roman" w:cs="Times New Roman"/>
          <w:color w:val="000000" w:themeColor="text1"/>
        </w:rPr>
        <w:sectPr w:rsidR="000754CA">
          <w:footerReference w:type="default" r:id="rId8"/>
          <w:pgSz w:w="12240" w:h="15840"/>
          <w:pgMar w:top="1440" w:right="1440" w:bottom="1440" w:left="1440" w:header="720" w:footer="720" w:gutter="0"/>
          <w:pgNumType w:start="1"/>
          <w:cols w:space="720"/>
        </w:sectPr>
      </w:pPr>
    </w:p>
    <w:p w14:paraId="0000000E" w14:textId="77777777" w:rsidR="004314A0" w:rsidRPr="002D2B36" w:rsidRDefault="000D59EA" w:rsidP="000327D9">
      <w:pPr>
        <w:pStyle w:val="Heading1"/>
        <w:rPr>
          <w:rFonts w:ascii="Times New Roman" w:hAnsi="Times New Roman" w:cs="Times New Roman"/>
          <w:color w:val="000000" w:themeColor="text1"/>
        </w:rPr>
      </w:pPr>
      <w:bookmarkStart w:id="0" w:name="_Toc155352254"/>
      <w:r w:rsidRPr="002D2B36">
        <w:rPr>
          <w:rFonts w:ascii="Times New Roman" w:hAnsi="Times New Roman" w:cs="Times New Roman"/>
          <w:color w:val="000000" w:themeColor="text1"/>
        </w:rPr>
        <w:lastRenderedPageBreak/>
        <w:t>Introduction</w:t>
      </w:r>
      <w:bookmarkEnd w:id="0"/>
    </w:p>
    <w:p w14:paraId="0000000F" w14:textId="29BB8B99" w:rsidR="004314A0" w:rsidRPr="002D2B36" w:rsidRDefault="000D59EA" w:rsidP="000327D9">
      <w:pPr>
        <w:rPr>
          <w:rFonts w:ascii="Times New Roman" w:hAnsi="Times New Roman" w:cs="Times New Roman"/>
          <w:b/>
          <w:color w:val="000000" w:themeColor="text1"/>
        </w:rPr>
      </w:pPr>
      <w:r w:rsidRPr="002D2B36">
        <w:rPr>
          <w:rFonts w:ascii="Times New Roman" w:hAnsi="Times New Roman" w:cs="Times New Roman"/>
          <w:color w:val="000000" w:themeColor="text1"/>
        </w:rPr>
        <w:t>Humans were always volatile towards certain diseases since they realised there are tons of them out there to attack their cells and make them completely incapable of their worth. Luckily from the historical medical records to modern medical science, most of those diseases are defeated by intelligent people and certain medications are also prepared to defend against them. But there are still many of them left untreated and scientists are still searching for clues for their cure. Anxiety disorder, schizophrenia and autism are some of those issues which are intense in the current society (Ashiru-</w:t>
      </w:r>
      <w:proofErr w:type="spellStart"/>
      <w:r w:rsidRPr="002D2B36">
        <w:rPr>
          <w:rFonts w:ascii="Times New Roman" w:hAnsi="Times New Roman" w:cs="Times New Roman"/>
          <w:color w:val="000000" w:themeColor="text1"/>
        </w:rPr>
        <w:t>Oredope</w:t>
      </w:r>
      <w:proofErr w:type="spellEnd"/>
      <w:r w:rsidRPr="002D2B36">
        <w:rPr>
          <w:rFonts w:ascii="Times New Roman" w:hAnsi="Times New Roman" w:cs="Times New Roman"/>
          <w:color w:val="000000" w:themeColor="text1"/>
        </w:rPr>
        <w:t xml:space="preserve"> et al., 2021). There is no proper cure for these issues, although some medications can only suppress them for a while. Their proper classification, diagnosis, </w:t>
      </w:r>
      <w:r w:rsidR="00B27E8C" w:rsidRPr="002D2B36">
        <w:rPr>
          <w:rFonts w:ascii="Times New Roman" w:hAnsi="Times New Roman" w:cs="Times New Roman"/>
          <w:color w:val="000000" w:themeColor="text1"/>
        </w:rPr>
        <w:t>treatment,</w:t>
      </w:r>
      <w:r w:rsidRPr="002D2B36">
        <w:rPr>
          <w:rFonts w:ascii="Times New Roman" w:hAnsi="Times New Roman" w:cs="Times New Roman"/>
          <w:color w:val="000000" w:themeColor="text1"/>
        </w:rPr>
        <w:t xml:space="preserve"> and recommendation is given throughout the report.</w:t>
      </w:r>
      <w:r w:rsidRPr="002D2B36">
        <w:rPr>
          <w:rFonts w:ascii="Times New Roman" w:hAnsi="Times New Roman" w:cs="Times New Roman"/>
          <w:color w:val="000000" w:themeColor="text1"/>
        </w:rPr>
        <w:br w:type="page"/>
      </w:r>
    </w:p>
    <w:p w14:paraId="00000010" w14:textId="77777777" w:rsidR="004314A0" w:rsidRPr="002D2B36" w:rsidRDefault="000D59EA" w:rsidP="000327D9">
      <w:pPr>
        <w:pStyle w:val="Heading1"/>
        <w:rPr>
          <w:rFonts w:ascii="Times New Roman" w:hAnsi="Times New Roman" w:cs="Times New Roman"/>
          <w:color w:val="000000" w:themeColor="text1"/>
        </w:rPr>
      </w:pPr>
      <w:bookmarkStart w:id="1" w:name="_Toc155352255"/>
      <w:r w:rsidRPr="002D2B36">
        <w:rPr>
          <w:rFonts w:ascii="Times New Roman" w:hAnsi="Times New Roman" w:cs="Times New Roman"/>
          <w:color w:val="000000" w:themeColor="text1"/>
        </w:rPr>
        <w:lastRenderedPageBreak/>
        <w:t>General Anxiety Disorder (GAD)</w:t>
      </w:r>
      <w:bookmarkEnd w:id="1"/>
    </w:p>
    <w:p w14:paraId="00000011" w14:textId="0C0BA165"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Classification</w:t>
      </w:r>
      <w:r w:rsidRPr="002D2B36">
        <w:rPr>
          <w:rFonts w:ascii="Times New Roman" w:hAnsi="Times New Roman" w:cs="Times New Roman"/>
          <w:color w:val="000000" w:themeColor="text1"/>
        </w:rPr>
        <w:t>: The condition known as general anxiety disorder is a frequent mental health condition that is marked by excessive and persistent worry and anxiety about various events that occur in ordinary life. In the realm of mental health, this condition is considered to be a widespread problem. It is categorised as an anxiety disorder in the fifth edition of the Diagnostic and Statistical Manual of Mental Disorders (DSM-5), which is the primary reference for mental health professionals (Assefa et al., 2021). The presence of chronic anxiety is one of the criteria that distinguishes generalised anxiety disorder (GAD) from other types of anxiety disorders. People who suffer from generalised anxiety disorder (GAD) frequently experience concern about their various aspects of life, including their health, finances, family, professional life, and academic duties. This is not an unusual occurrence. Hypotheses that attempt to explain why people experience anxiety on occasion are frequently realistic; in point of fact, anxiety is something that every single person will experience at some point in their lives. Concern is a frequent companion for people who suffer from generalised anxiety disorder (GAD), which is characterised by these sentiments (Charlesworth et al., 2021). Every day, dealing with feelings of anxiety, concern, and dread becomes something that comes naturally to you. Concern that becomes an overwhelming element of a person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daily thought process can have a detrimental impact on a variety of facets of a person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life, including their relationships, social life, professional life, and academic accomplishment, among other aspects of their life. On the other side, there are a great number of solutions that have been demonstrated to be successful.</w:t>
      </w:r>
    </w:p>
    <w:p w14:paraId="00000012" w14:textId="77777777" w:rsidR="004314A0" w:rsidRPr="002D2B36" w:rsidRDefault="004314A0" w:rsidP="000327D9">
      <w:pPr>
        <w:rPr>
          <w:rFonts w:ascii="Times New Roman" w:hAnsi="Times New Roman" w:cs="Times New Roman"/>
          <w:color w:val="000000" w:themeColor="text1"/>
        </w:rPr>
      </w:pPr>
    </w:p>
    <w:p w14:paraId="00000013" w14:textId="42456F86"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Diagnosis</w:t>
      </w:r>
      <w:r w:rsidRPr="002D2B36">
        <w:rPr>
          <w:rFonts w:ascii="Times New Roman" w:hAnsi="Times New Roman" w:cs="Times New Roman"/>
          <w:color w:val="000000" w:themeColor="text1"/>
        </w:rPr>
        <w:t>: In order to arrive at a diagnosis, it is required to do a comprehensive analysis not only of the symptoms but also of their length and the functional impairment they cause. On the other hand, the subjective nature of self-reported symptoms, in addition to the fact that they overlap with symptoms of other anxiety disorders, can make diagnosis challenging. One can recognise it in a variety of various ways, such as when a person is having excessive anxiety that causes them to behave in a weird manner, when they are experiencing awful headaches, or when the reason could be due to excessive discomfort in the abdomen in the case of women. These are just some of the ways that it can be identified (Gille, Smith and Mays, 2020). A lot of studies that were conducted in the past have found that the main reason for the generalised anxiety disorder (GAD) is when an individual has an excessive number of thoughts on a specific subject which is very concerning and dangerous for one</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 xml:space="preserve">s health. This is the most common symptom of GAD. In this scenario, individuals may at times report the symptoms by themselves to the nearby clinics or sometimes they may report it by their own. Self-reporting, on the other hand, is a key component in the process of establishing an overall diagnosis in this case as this is the only way to recognise this issue properly. </w:t>
      </w:r>
    </w:p>
    <w:p w14:paraId="00000014" w14:textId="77777777" w:rsidR="004314A0" w:rsidRPr="002D2B36" w:rsidRDefault="004314A0" w:rsidP="000327D9">
      <w:pPr>
        <w:rPr>
          <w:rFonts w:ascii="Times New Roman" w:hAnsi="Times New Roman" w:cs="Times New Roman"/>
          <w:b/>
          <w:color w:val="000000" w:themeColor="text1"/>
        </w:rPr>
      </w:pPr>
    </w:p>
    <w:p w14:paraId="00000015" w14:textId="33488165"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lastRenderedPageBreak/>
        <w:t>Treatment:</w:t>
      </w:r>
      <w:r w:rsidRPr="002D2B36">
        <w:rPr>
          <w:rFonts w:ascii="Times New Roman" w:hAnsi="Times New Roman" w:cs="Times New Roman"/>
          <w:color w:val="000000" w:themeColor="text1"/>
        </w:rPr>
        <w:t xml:space="preserve"> The cognitive-behavioural therapy, also known as CBT, and the medicine, which includes selective serotonin reuptake inhibitors, generally known as SSRIs, are two types of treatments that are frequently utilised (</w:t>
      </w:r>
      <w:proofErr w:type="spellStart"/>
      <w:r w:rsidRPr="002D2B36">
        <w:rPr>
          <w:rFonts w:ascii="Times New Roman" w:hAnsi="Times New Roman" w:cs="Times New Roman"/>
          <w:color w:val="000000" w:themeColor="text1"/>
        </w:rPr>
        <w:t>Gilleen</w:t>
      </w:r>
      <w:proofErr w:type="spellEnd"/>
      <w:r w:rsidRPr="002D2B36">
        <w:rPr>
          <w:rFonts w:ascii="Times New Roman" w:hAnsi="Times New Roman" w:cs="Times New Roman"/>
          <w:color w:val="000000" w:themeColor="text1"/>
        </w:rPr>
        <w:t xml:space="preserve"> et al., 2021). The success of the different therapeutic measures is different based on different individuals where people</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ability to find cure is also different depending on the level of exposure they are to the disease. Moreover, the access to mental health services continues to be a difficulty in many locations as many places in the country still don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t have a proper place to find help. First and foremost, it is necessary to eliminate the possibility that the symptoms are the result of a medical condition that is not connected to psychiatry. For example, the level of blood sugar is important and sometimes inappropriate calcium levels, and certain cardiac disorders are examples that have the ability to cause symptoms that are comparable to those of anxiety (Haldane et al., 2021). Hyperthyroidism and other endocrine abnormalities are also examples of conditions that have the capacity to produce the level of anxiety and even increase the danger level. A number of different medications have the potential to occasionally bring about anxiety attacks, which are a side effect of the medication. A comprehensive evaluation of your symptoms will be carried out by your healthcare professional in order to ascertain whether or not any of these disorders are to blame as these are some of the most important aspects when it comes to reducing the level of danger of this issue. A diagnosis of anxiety disorder may be made for if there is no alternative medical reason that can be established to be the cause of the symptoms that are relevant and sometimes have an effective contribution in the anxiety generation. It is possible that the diagnosis with an anxiety disorder as a result of the fact that the symptoms may be seen to be excessive in relation to the situations that one is expecting and the way one might be impacted by it (Howarth et al., 2021).</w:t>
      </w:r>
    </w:p>
    <w:p w14:paraId="00000016" w14:textId="77777777" w:rsidR="004314A0" w:rsidRPr="002D2B36" w:rsidRDefault="004314A0" w:rsidP="000327D9">
      <w:pPr>
        <w:rPr>
          <w:rFonts w:ascii="Times New Roman" w:hAnsi="Times New Roman" w:cs="Times New Roman"/>
          <w:color w:val="000000" w:themeColor="text1"/>
        </w:rPr>
      </w:pPr>
    </w:p>
    <w:p w14:paraId="00000017" w14:textId="2237D21C"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Rehabilitation</w:t>
      </w:r>
      <w:r w:rsidRPr="002D2B36">
        <w:rPr>
          <w:rFonts w:ascii="Times New Roman" w:hAnsi="Times New Roman" w:cs="Times New Roman"/>
          <w:color w:val="000000" w:themeColor="text1"/>
        </w:rPr>
        <w:t xml:space="preserve"> </w:t>
      </w:r>
      <w:r w:rsidRPr="002D2B36">
        <w:rPr>
          <w:rFonts w:ascii="Times New Roman" w:hAnsi="Times New Roman" w:cs="Times New Roman"/>
          <w:b/>
          <w:color w:val="000000" w:themeColor="text1"/>
        </w:rPr>
        <w:t>Measures</w:t>
      </w:r>
      <w:r w:rsidRPr="002D2B36">
        <w:rPr>
          <w:rFonts w:ascii="Times New Roman" w:hAnsi="Times New Roman" w:cs="Times New Roman"/>
          <w:color w:val="000000" w:themeColor="text1"/>
        </w:rPr>
        <w:t>: The process of assessing rehabilitation typically includes monitoring the degree to which the individual</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anxiety levels, their day to day life functioning and their way their physical activities are performed. It is feasible that the precision of rehabilitation evaluations might be increased by using the outcome that will be measured throughout the period, as well as more objective biomarkers and standardised assessments. This would be a promising development. The people will be provided with proper medications and steps in coping with the situations that they are subjected to in the majority of cases through the process of rehabilitation. In addition to this, it enables the people to conduct a flexible and day to day functioning that is important for their overall improvement that is more relaxed, which in turn helps to decrease the amount of stress they go through and establish a more prominent lifestyle (Martin et al., 2021).</w:t>
      </w:r>
    </w:p>
    <w:p w14:paraId="00000018" w14:textId="77777777" w:rsidR="004314A0" w:rsidRPr="002D2B36" w:rsidRDefault="004314A0" w:rsidP="000327D9">
      <w:pPr>
        <w:rPr>
          <w:rFonts w:ascii="Times New Roman" w:hAnsi="Times New Roman" w:cs="Times New Roman"/>
          <w:color w:val="000000" w:themeColor="text1"/>
        </w:rPr>
      </w:pPr>
    </w:p>
    <w:p w14:paraId="00000019" w14:textId="39869785"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Recommendations</w:t>
      </w:r>
      <w:r w:rsidRPr="002D2B36">
        <w:rPr>
          <w:rFonts w:ascii="Times New Roman" w:hAnsi="Times New Roman" w:cs="Times New Roman"/>
          <w:color w:val="000000" w:themeColor="text1"/>
        </w:rPr>
        <w:t>: It is possible that the diagnosis of generalised anxiety disorder (GAD) could be improved through the usage of more sophisticated procedure which might still be under development or hasn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 xml:space="preserve">t come to light yet, such as the utilisation of neuroimaging or other objective evaluations where the </w:t>
      </w:r>
      <w:r w:rsidRPr="002D2B36">
        <w:rPr>
          <w:rFonts w:ascii="Times New Roman" w:hAnsi="Times New Roman" w:cs="Times New Roman"/>
          <w:color w:val="000000" w:themeColor="text1"/>
        </w:rPr>
        <w:lastRenderedPageBreak/>
        <w:t>people</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brain activity is measured using several images that they react to and eventually this helps to create the overall brand functional areas improvement strategy. Furthermore, it is of utmost importance to address the inequalities that exist in terms of access to therapies for mental health, particularly in locations where people are not particularly concerned with health issues and sometimes in these cases, such issues are really helped with the use of various other equipment and machinery activities. Rehabilitation services ought to be made accessible to the aforementioned demographics where different types of people live together and they work together to ensure that they should create a more relaxed environment in order to reduce the occurrences of such issues (Murray, 2020). In the majority of cases, patients who have been diagnosed with generalised anxiety disorder (GAD) should take the advice offered by their healthcare providers as seriously as they possibly can to the fullest extent possible. They will be able to effectively adopt this advice into their day-to-day life, hence reducing the likelihood of any accidents or injuries occurring.</w:t>
      </w:r>
    </w:p>
    <w:p w14:paraId="0000001A" w14:textId="77777777" w:rsidR="004314A0" w:rsidRPr="002D2B36" w:rsidRDefault="004314A0" w:rsidP="000327D9">
      <w:pPr>
        <w:rPr>
          <w:rFonts w:ascii="Times New Roman" w:hAnsi="Times New Roman" w:cs="Times New Roman"/>
          <w:color w:val="000000" w:themeColor="text1"/>
        </w:rPr>
      </w:pPr>
    </w:p>
    <w:p w14:paraId="0000001B" w14:textId="77777777" w:rsidR="004314A0" w:rsidRPr="002D2B36" w:rsidRDefault="000D59EA" w:rsidP="000327D9">
      <w:pPr>
        <w:pStyle w:val="Heading1"/>
        <w:rPr>
          <w:rFonts w:ascii="Times New Roman" w:hAnsi="Times New Roman" w:cs="Times New Roman"/>
          <w:color w:val="000000" w:themeColor="text1"/>
        </w:rPr>
      </w:pPr>
      <w:bookmarkStart w:id="2" w:name="_Toc155352256"/>
      <w:r w:rsidRPr="002D2B36">
        <w:rPr>
          <w:rFonts w:ascii="Times New Roman" w:hAnsi="Times New Roman" w:cs="Times New Roman"/>
          <w:color w:val="000000" w:themeColor="text1"/>
        </w:rPr>
        <w:t>Schizophrenia</w:t>
      </w:r>
      <w:bookmarkEnd w:id="2"/>
    </w:p>
    <w:p w14:paraId="0000001C" w14:textId="061AB8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Classification: Schizophrenia is classified as a severe mental disorder characterised by disturbances in thought, perception, and behaviour. It is categorised under psychotic disorders in the DSM-5. Schizophrenia is a severe mental illness that impacts a person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thoughts, emotions, and behaviour. If those around a person with schizophrenia believe that person has lost touch with reality, they may also feel anxious. The symptoms of schizophrenia can still make daily functioning challenging, even when there are effective treatments available for the condition. Many people are able to go back to school or job, find fulfilling relationships, and restore their independence with the support of therapy. It is critical to promptly diagnose and treat any symptoms of schizophrenia (Pankhurst et al., 2021). The typical age range for a person to be diagnosed with schizophrenia following their initial episode of psychosis is 16–30 years old. If you want to get well from psychosis, you need to start therapy as soon as you notice symptoms. Nonetheless, there is evidence that alterations in mood, social functioning, and cognitive patterns occur frequently before psychosis. In younger children, schizophrenia is uncommon.</w:t>
      </w:r>
    </w:p>
    <w:p w14:paraId="0000001D" w14:textId="77777777" w:rsidR="004314A0" w:rsidRPr="002D2B36" w:rsidRDefault="004314A0" w:rsidP="000327D9">
      <w:pPr>
        <w:rPr>
          <w:rFonts w:ascii="Times New Roman" w:hAnsi="Times New Roman" w:cs="Times New Roman"/>
          <w:color w:val="000000" w:themeColor="text1"/>
        </w:rPr>
      </w:pPr>
    </w:p>
    <w:p w14:paraId="0000001E" w14:textId="777777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Diagnosis</w:t>
      </w:r>
      <w:r w:rsidRPr="002D2B36">
        <w:rPr>
          <w:rFonts w:ascii="Times New Roman" w:hAnsi="Times New Roman" w:cs="Times New Roman"/>
          <w:color w:val="000000" w:themeColor="text1"/>
        </w:rPr>
        <w:t xml:space="preserve">: Diagnosis relies on clinical evaluation, considering the presence of positive and negative symptoms, as well as social and occupational dysfunction. However, the heterogeneity of symptoms poses challenges, and misdiagnosis can occur. Moreover, the early occurrence of the disease is mainly revealed by looking at the various symptoms such as memory loss, and sometimes people cannot even memorise an easy task especially in terms of the students. There have been various cases, where it has been noted that, the main reason behind the cause of schizophrenia is that it primarily attacks the short term memory then gradually it makes its way to the long term memory where the overall memory of the victim is impacted </w:t>
      </w:r>
      <w:r w:rsidRPr="002D2B36">
        <w:rPr>
          <w:rFonts w:ascii="Times New Roman" w:hAnsi="Times New Roman" w:cs="Times New Roman"/>
          <w:color w:val="000000" w:themeColor="text1"/>
        </w:rPr>
        <w:lastRenderedPageBreak/>
        <w:t>and eventually tends to forget about their past. Sometimes, they act peculiarly in social events and face various difficulties when it comes to greeting and meeting new people in their genre. Sometimes the diagnosis may take a very long while as it creates a very high precision of symptoms that would assist in developing such disease. Other diagnosis includes the regular checkup and routine memory test where people are not delusional or engaged in anything that is fictitious (Phillips et al., 2021).</w:t>
      </w:r>
    </w:p>
    <w:p w14:paraId="0000001F" w14:textId="77777777" w:rsidR="004314A0" w:rsidRPr="002D2B36" w:rsidRDefault="004314A0" w:rsidP="000327D9">
      <w:pPr>
        <w:rPr>
          <w:rFonts w:ascii="Times New Roman" w:hAnsi="Times New Roman" w:cs="Times New Roman"/>
          <w:color w:val="000000" w:themeColor="text1"/>
        </w:rPr>
      </w:pPr>
    </w:p>
    <w:p w14:paraId="00000020" w14:textId="6A412C5E"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Treatment</w:t>
      </w:r>
      <w:r w:rsidRPr="002D2B36">
        <w:rPr>
          <w:rFonts w:ascii="Times New Roman" w:hAnsi="Times New Roman" w:cs="Times New Roman"/>
          <w:color w:val="000000" w:themeColor="text1"/>
        </w:rPr>
        <w:t>: Antipsychotic medications, psychosocial interventions, and community support are mainstays in schizophrenia treatment. Yet, the side effects of medications and varying responses to treatment underscore the need for personalised approaches. There are several treatments available for this disease specially for its side effects. As this disease is mainly due to psychological issues, there are several medicines which were developed over time to restrict its access to the human body. Although the cure doesn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t come without its consequences as taking medicine to suppress the disease may impact the victim</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day to day learning abilities causing their health to be at enormous risk. Moreover, it has also been noted that the usage of such high dose medicine can also create more new diseases in the body where sometimes the opposite might occur due to the mismanagement of the medicine.</w:t>
      </w:r>
    </w:p>
    <w:p w14:paraId="00000021" w14:textId="77777777" w:rsidR="004314A0" w:rsidRPr="002D2B36" w:rsidRDefault="004314A0" w:rsidP="000327D9">
      <w:pPr>
        <w:rPr>
          <w:rFonts w:ascii="Times New Roman" w:hAnsi="Times New Roman" w:cs="Times New Roman"/>
          <w:color w:val="000000" w:themeColor="text1"/>
        </w:rPr>
      </w:pPr>
    </w:p>
    <w:p w14:paraId="00000022" w14:textId="566CE8EB"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Rehabilitation Measures:</w:t>
      </w:r>
      <w:r w:rsidRPr="002D2B36">
        <w:rPr>
          <w:rFonts w:ascii="Times New Roman" w:hAnsi="Times New Roman" w:cs="Times New Roman"/>
          <w:color w:val="000000" w:themeColor="text1"/>
        </w:rPr>
        <w:t xml:space="preserve"> Rehabilitation measures involve assessing improvements in cognitive functioning, social skills, and overall functioning. Objective measures, such as cognitive testing and functional assessments, can enhance rehabilitation evaluation where the usage of such procedures create a psychic barrier in victims</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 xml:space="preserve"> brains allowing them to operate at a higher level in order to defend the overall impact done by the disease (Smith et al., 2021). Such patients should always be put at high supervision but that should be surely under someone who is highly known and has a good relationship with the victim. There have been cases, where sometime, the rehabilitation measure might go wrong. Because people with such diseases may need to stay in an environment that is very calm and has limited access to other societal aspects. In this case, they feel safe allowing them to grow their social skills back with cognitive functioning.</w:t>
      </w:r>
    </w:p>
    <w:p w14:paraId="00000023" w14:textId="77777777" w:rsidR="004314A0" w:rsidRPr="002D2B36" w:rsidRDefault="004314A0" w:rsidP="000327D9">
      <w:pPr>
        <w:rPr>
          <w:rFonts w:ascii="Times New Roman" w:hAnsi="Times New Roman" w:cs="Times New Roman"/>
          <w:color w:val="000000" w:themeColor="text1"/>
        </w:rPr>
      </w:pPr>
    </w:p>
    <w:p w14:paraId="00000024" w14:textId="62019660"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b/>
          <w:color w:val="000000" w:themeColor="text1"/>
        </w:rPr>
        <w:t>Recommendations</w:t>
      </w:r>
      <w:r w:rsidRPr="002D2B36">
        <w:rPr>
          <w:rFonts w:ascii="Times New Roman" w:hAnsi="Times New Roman" w:cs="Times New Roman"/>
          <w:color w:val="000000" w:themeColor="text1"/>
        </w:rPr>
        <w:t xml:space="preserve">: Improved diagnostic precision through biomarkers and advanced imaging techniques could help in the early development of schizophrenia diagnosis. The development of more tailored treatment strategies, including the usage of medicine that were particularly targeted for such patients, may improve treatment outcomes. Furthermore, integrating vocational and social rehabilitation services will surely help to increase the </w:t>
      </w:r>
      <w:r w:rsidR="00BA408C" w:rsidRPr="002D2B36">
        <w:rPr>
          <w:rFonts w:ascii="Times New Roman" w:hAnsi="Times New Roman" w:cs="Times New Roman"/>
          <w:color w:val="000000" w:themeColor="text1"/>
        </w:rPr>
        <w:t>patient</w:t>
      </w:r>
      <w:r w:rsidR="00C05D02">
        <w:rPr>
          <w:rFonts w:ascii="Times New Roman" w:hAnsi="Times New Roman" w:cs="Times New Roman"/>
          <w:color w:val="000000" w:themeColor="text1"/>
        </w:rPr>
        <w:t>’</w:t>
      </w:r>
      <w:r w:rsidR="00BA408C" w:rsidRPr="002D2B36">
        <w:rPr>
          <w:rFonts w:ascii="Times New Roman" w:hAnsi="Times New Roman" w:cs="Times New Roman"/>
          <w:color w:val="000000" w:themeColor="text1"/>
        </w:rPr>
        <w:t>s</w:t>
      </w:r>
      <w:r w:rsidRPr="002D2B36">
        <w:rPr>
          <w:rFonts w:ascii="Times New Roman" w:hAnsi="Times New Roman" w:cs="Times New Roman"/>
          <w:color w:val="000000" w:themeColor="text1"/>
        </w:rPr>
        <w:t xml:space="preserve"> recovery probability and allow it to be suppressed before it could ever grow back. The proper relationship with the society is also important as it helps in creating a more sophisticated bonding with the people from other aspects of the society where some might be </w:t>
      </w:r>
      <w:r w:rsidR="002F7E71" w:rsidRPr="002D2B36">
        <w:rPr>
          <w:rFonts w:ascii="Times New Roman" w:hAnsi="Times New Roman" w:cs="Times New Roman"/>
          <w:color w:val="000000" w:themeColor="text1"/>
        </w:rPr>
        <w:t>privileged,</w:t>
      </w:r>
      <w:r w:rsidRPr="002D2B36">
        <w:rPr>
          <w:rFonts w:ascii="Times New Roman" w:hAnsi="Times New Roman" w:cs="Times New Roman"/>
          <w:color w:val="000000" w:themeColor="text1"/>
        </w:rPr>
        <w:t xml:space="preserve"> and some are not. Moreover, people with higher chances of this disease can also get some time to increase </w:t>
      </w:r>
      <w:r w:rsidRPr="002D2B36">
        <w:rPr>
          <w:rFonts w:ascii="Times New Roman" w:hAnsi="Times New Roman" w:cs="Times New Roman"/>
          <w:color w:val="000000" w:themeColor="text1"/>
        </w:rPr>
        <w:lastRenderedPageBreak/>
        <w:t>their recovery probabilities. In this case, the help from the expert people is a must which would allow them to increase their overall curability (Soley-Bori et al., 2020). As these patients are highly volatile when it comes to increasing the social bonding and real-life scenario, it</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 xml:space="preserve">s a must to ensure that they are kept under proper supervision and given proper medication for the betterment of their life. </w:t>
      </w:r>
    </w:p>
    <w:p w14:paraId="00000025" w14:textId="77777777" w:rsidR="004314A0" w:rsidRPr="002D2B36" w:rsidRDefault="004314A0" w:rsidP="000327D9">
      <w:pPr>
        <w:rPr>
          <w:rFonts w:ascii="Times New Roman" w:hAnsi="Times New Roman" w:cs="Times New Roman"/>
          <w:color w:val="000000" w:themeColor="text1"/>
        </w:rPr>
      </w:pPr>
    </w:p>
    <w:p w14:paraId="00000026" w14:textId="77777777" w:rsidR="004314A0" w:rsidRPr="002D2B36" w:rsidRDefault="000D59EA" w:rsidP="000327D9">
      <w:pPr>
        <w:pStyle w:val="Heading1"/>
        <w:rPr>
          <w:rFonts w:ascii="Times New Roman" w:hAnsi="Times New Roman" w:cs="Times New Roman"/>
          <w:color w:val="000000" w:themeColor="text1"/>
        </w:rPr>
      </w:pPr>
      <w:bookmarkStart w:id="3" w:name="_Toc155352257"/>
      <w:r w:rsidRPr="002D2B36">
        <w:rPr>
          <w:rFonts w:ascii="Times New Roman" w:hAnsi="Times New Roman" w:cs="Times New Roman"/>
          <w:color w:val="000000" w:themeColor="text1"/>
        </w:rPr>
        <w:t>Autism</w:t>
      </w:r>
      <w:bookmarkEnd w:id="3"/>
    </w:p>
    <w:p w14:paraId="00000027" w14:textId="089B688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 xml:space="preserve">Classification: Autism, or autism spectrum disorder (ASD), is classified as a neurodevelopmental disorder characterised by social communication deficits and restricted, repetitive behaviours. It is classified under neurodevelopmental disorders in the DSM-5 where it has explicitly mentioned that the growth of this disease is always natural as it Is mainly dependent on the genetic issues followed by the previous family hierarchy. There are other terms for this </w:t>
      </w:r>
      <w:r w:rsidR="006645C2" w:rsidRPr="002D2B36">
        <w:rPr>
          <w:rFonts w:ascii="Times New Roman" w:hAnsi="Times New Roman" w:cs="Times New Roman"/>
          <w:color w:val="000000" w:themeColor="text1"/>
        </w:rPr>
        <w:t>issue,</w:t>
      </w:r>
      <w:r w:rsidRPr="002D2B36">
        <w:rPr>
          <w:rFonts w:ascii="Times New Roman" w:hAnsi="Times New Roman" w:cs="Times New Roman"/>
          <w:color w:val="000000" w:themeColor="text1"/>
        </w:rPr>
        <w:t xml:space="preserve"> but people mostly recognize this disease in this name. The disease is highly recognisable in current society because as days go by, the overall impact of this disease is increasing. Moreover, there are cases where it has been found that the disease has been non-curable as it is primarily injected from the child</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 xml:space="preserve">s brain and rooted in the core memory. There are other various reasons for this disease such as the childhood trauma which is something that is other than the genetic </w:t>
      </w:r>
      <w:r w:rsidR="00E76D6A" w:rsidRPr="002D2B36">
        <w:rPr>
          <w:rFonts w:ascii="Times New Roman" w:hAnsi="Times New Roman" w:cs="Times New Roman"/>
          <w:color w:val="000000" w:themeColor="text1"/>
        </w:rPr>
        <w:t>issue,</w:t>
      </w:r>
      <w:r w:rsidRPr="002D2B36">
        <w:rPr>
          <w:rFonts w:ascii="Times New Roman" w:hAnsi="Times New Roman" w:cs="Times New Roman"/>
          <w:color w:val="000000" w:themeColor="text1"/>
        </w:rPr>
        <w:t xml:space="preserve"> but these are not considered as autism as it is not a naturally occurring phenomenon.</w:t>
      </w:r>
    </w:p>
    <w:p w14:paraId="00000028" w14:textId="6D383501"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Diagnosis: Diagnosis involves clinical evaluation, developmental history, and standardised assessments where the children are given certain tasks that help to identify the cause of the disease. Early diagnosis is crucial for early intervention, but challenges exist due to the spectrum</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s diverse presentation and sometimes the issue of not detecting it properly. Sometimes, autism is detected right before the birth by looking at some of the major causes and symptoms. There are cases, where it has been noted that, autism is sometimes detectable in the early stage of a newborn (Pankhurst et al., 2021). But in most cases, autism is diagnosed after birth. But after birth there are certain cases, as in some cases, autism is detected when the child is growing gradually and, in some cases, the autism affected person grows normally but eventually at his/her maturity stage, they start to show some sort of abnormalities. Maybe with their behaviour or their body language.</w:t>
      </w:r>
    </w:p>
    <w:p w14:paraId="00000029" w14:textId="777777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 xml:space="preserve">Treatment: Behavioural therapies, speech and language therapy, and educational interventions form the core of autism treatment. However, the effectiveness of interventions can vary widely, and access to specialised services can be limited. When it comes to the overall treatment of autism, there is still no straightforward option available for this to be cured. On top of that, it has been speculated in many cases that autism has been one of the problems that is incurred naturally and as a result of this, it really had a severe impact on the overall autism community. The best treatment opportunity in this case would be to make proper nurture of the children and right from their early age so that they can get enough time to make </w:t>
      </w:r>
      <w:r w:rsidRPr="002D2B36">
        <w:rPr>
          <w:rFonts w:ascii="Times New Roman" w:hAnsi="Times New Roman" w:cs="Times New Roman"/>
          <w:color w:val="000000" w:themeColor="text1"/>
        </w:rPr>
        <w:lastRenderedPageBreak/>
        <w:t>sure that their autism is properly diagnosed. On top of that, people with such diseases should focus highly on the autistic aspect where there are certain factors that impact the autism and eventually help it to grow. Other treatments such as usage of the various psychological games, exercise and socialising with other autistic children is a great way to improve this factor. In this case, the proper remedy would contribute a lot in solving this issue (Soley-Bori et al., 2020).</w:t>
      </w:r>
    </w:p>
    <w:p w14:paraId="0000002A" w14:textId="777777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Rehabilitation Measures: Rehabilitation measures focus on improvements in communication skills, social interactions, and adaptive behaviours. Standardised tools and objective assessments can enhance the measurement of rehabilitation outcomes where the outcomes could be a great measurement for finding out how the overall rehabilitation process is helping the children to improve their situation. Moreover, proper rehabilitation places can also be built in order to help the autistic children to improve their situation.</w:t>
      </w:r>
    </w:p>
    <w:p w14:paraId="0000002B" w14:textId="777777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Recommendations: Advancements in early screening tools for autism and increased awareness for early intervention are essentially (Haldane et al., 2021). Tailoring interventions to individual needs and expanding access to specialised services, specifically in the education sector would help a lot to neutralise this problem. Various measures such as the proper medications should be given along with the proper suggestions that are provided by the healthcare professionals also should be maintained accordingly.</w:t>
      </w:r>
      <w:r w:rsidRPr="002D2B36">
        <w:rPr>
          <w:rFonts w:ascii="Times New Roman" w:hAnsi="Times New Roman" w:cs="Times New Roman"/>
          <w:color w:val="000000" w:themeColor="text1"/>
        </w:rPr>
        <w:br w:type="page"/>
      </w:r>
    </w:p>
    <w:p w14:paraId="0000002C" w14:textId="77777777" w:rsidR="004314A0" w:rsidRPr="002D2B36" w:rsidRDefault="000D59EA" w:rsidP="000327D9">
      <w:pPr>
        <w:pStyle w:val="Heading1"/>
        <w:rPr>
          <w:rFonts w:ascii="Times New Roman" w:hAnsi="Times New Roman" w:cs="Times New Roman"/>
          <w:color w:val="000000" w:themeColor="text1"/>
        </w:rPr>
      </w:pPr>
      <w:bookmarkStart w:id="4" w:name="_Toc155352258"/>
      <w:r w:rsidRPr="002D2B36">
        <w:rPr>
          <w:rFonts w:ascii="Times New Roman" w:hAnsi="Times New Roman" w:cs="Times New Roman"/>
          <w:color w:val="000000" w:themeColor="text1"/>
        </w:rPr>
        <w:lastRenderedPageBreak/>
        <w:t>Conclusion</w:t>
      </w:r>
      <w:bookmarkEnd w:id="4"/>
    </w:p>
    <w:p w14:paraId="0000002D" w14:textId="2E70F02F"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t>The advent of various diseases can be prevented by the efficient healthcare system where the usage of various sophisticated systems would surely help the overall development of this sector. It has also been witnessed that the various medicines are now available to reduce such issues although they don</w:t>
      </w:r>
      <w:r w:rsidR="00C05D02">
        <w:rPr>
          <w:rFonts w:ascii="Times New Roman" w:hAnsi="Times New Roman" w:cs="Times New Roman"/>
          <w:color w:val="000000" w:themeColor="text1"/>
        </w:rPr>
        <w:t>’</w:t>
      </w:r>
      <w:r w:rsidRPr="002D2B36">
        <w:rPr>
          <w:rFonts w:ascii="Times New Roman" w:hAnsi="Times New Roman" w:cs="Times New Roman"/>
          <w:color w:val="000000" w:themeColor="text1"/>
        </w:rPr>
        <w:t xml:space="preserve">t come without consequences. But </w:t>
      </w:r>
      <w:r w:rsidR="002D2B36" w:rsidRPr="002D2B36">
        <w:rPr>
          <w:rFonts w:ascii="Times New Roman" w:hAnsi="Times New Roman" w:cs="Times New Roman"/>
          <w:color w:val="000000" w:themeColor="text1"/>
        </w:rPr>
        <w:t>it</w:t>
      </w:r>
      <w:r w:rsidRPr="002D2B36">
        <w:rPr>
          <w:rFonts w:ascii="Times New Roman" w:hAnsi="Times New Roman" w:cs="Times New Roman"/>
          <w:color w:val="000000" w:themeColor="text1"/>
        </w:rPr>
        <w:t xml:space="preserve"> has also been speculated that the proper usage of the proper strategy will eventually increase the overall disease management and create a more sophisticated healthcare system for the society (Charlesworth et al., 2021).</w:t>
      </w:r>
    </w:p>
    <w:p w14:paraId="0000002E" w14:textId="77777777" w:rsidR="004314A0" w:rsidRPr="002D2B36" w:rsidRDefault="000D59EA" w:rsidP="000327D9">
      <w:pPr>
        <w:rPr>
          <w:rFonts w:ascii="Times New Roman" w:hAnsi="Times New Roman" w:cs="Times New Roman"/>
          <w:color w:val="000000" w:themeColor="text1"/>
        </w:rPr>
      </w:pPr>
      <w:r w:rsidRPr="002D2B36">
        <w:rPr>
          <w:rFonts w:ascii="Times New Roman" w:hAnsi="Times New Roman" w:cs="Times New Roman"/>
          <w:color w:val="000000" w:themeColor="text1"/>
        </w:rPr>
        <w:br w:type="page"/>
      </w:r>
    </w:p>
    <w:p w14:paraId="0000002F" w14:textId="77777777" w:rsidR="004314A0" w:rsidRPr="002D2B36" w:rsidRDefault="000D59EA" w:rsidP="000327D9">
      <w:pPr>
        <w:pStyle w:val="Heading1"/>
        <w:rPr>
          <w:rFonts w:ascii="Times New Roman" w:hAnsi="Times New Roman" w:cs="Times New Roman"/>
          <w:color w:val="000000" w:themeColor="text1"/>
        </w:rPr>
      </w:pPr>
      <w:bookmarkStart w:id="5" w:name="_Toc155352259"/>
      <w:r w:rsidRPr="002D2B36">
        <w:rPr>
          <w:rFonts w:ascii="Times New Roman" w:hAnsi="Times New Roman" w:cs="Times New Roman"/>
          <w:color w:val="000000" w:themeColor="text1"/>
        </w:rPr>
        <w:lastRenderedPageBreak/>
        <w:t>References</w:t>
      </w:r>
      <w:bookmarkEnd w:id="5"/>
    </w:p>
    <w:p w14:paraId="00000030"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Ashiru-</w:t>
      </w:r>
      <w:proofErr w:type="spellStart"/>
      <w:r w:rsidRPr="002D2B36">
        <w:rPr>
          <w:rFonts w:ascii="Times New Roman" w:eastAsia="Times New Roman" w:hAnsi="Times New Roman" w:cs="Times New Roman"/>
          <w:color w:val="000000" w:themeColor="text1"/>
          <w:sz w:val="24"/>
          <w:szCs w:val="24"/>
        </w:rPr>
        <w:t>Oredope</w:t>
      </w:r>
      <w:proofErr w:type="spellEnd"/>
      <w:r w:rsidRPr="002D2B36">
        <w:rPr>
          <w:rFonts w:ascii="Times New Roman" w:eastAsia="Times New Roman" w:hAnsi="Times New Roman" w:cs="Times New Roman"/>
          <w:color w:val="000000" w:themeColor="text1"/>
          <w:sz w:val="24"/>
          <w:szCs w:val="24"/>
        </w:rPr>
        <w:t xml:space="preserve">, D., Kerr, F., Hughes, S., Urch, J., Lanzman, M., Yau, T., Cockburn, A., Patel, R., Sheikh, A., Gormley, C., Chavda, A., Vaghela, T., Phillips, C., Reid, N. and Brady, A. (2021). Assessing the Impact of COVID-19 on Antimicrobial Stewardship Activities/Programs in the United Kingdom. </w:t>
      </w:r>
      <w:r w:rsidRPr="002D2B36">
        <w:rPr>
          <w:rFonts w:ascii="Times New Roman" w:eastAsia="Times New Roman" w:hAnsi="Times New Roman" w:cs="Times New Roman"/>
          <w:i/>
          <w:color w:val="000000" w:themeColor="text1"/>
          <w:sz w:val="24"/>
          <w:szCs w:val="24"/>
        </w:rPr>
        <w:t>Antibiotics</w:t>
      </w:r>
      <w:r w:rsidRPr="002D2B36">
        <w:rPr>
          <w:rFonts w:ascii="Times New Roman" w:eastAsia="Times New Roman" w:hAnsi="Times New Roman" w:cs="Times New Roman"/>
          <w:color w:val="000000" w:themeColor="text1"/>
          <w:sz w:val="24"/>
          <w:szCs w:val="24"/>
        </w:rPr>
        <w:t xml:space="preserve">, [online] 10(2), p.110. </w:t>
      </w:r>
      <w:proofErr w:type="spellStart"/>
      <w:r w:rsidRPr="002D2B36">
        <w:rPr>
          <w:rFonts w:ascii="Times New Roman" w:eastAsia="Times New Roman" w:hAnsi="Times New Roman" w:cs="Times New Roman"/>
          <w:color w:val="000000" w:themeColor="text1"/>
          <w:sz w:val="24"/>
          <w:szCs w:val="24"/>
        </w:rPr>
        <w:t>doi:</w:t>
      </w:r>
      <w:hyperlink r:id="rId9">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://doi.org/10.3390/antibiotics10020110</w:t>
        </w:r>
      </w:hyperlink>
      <w:r w:rsidRPr="002D2B36">
        <w:rPr>
          <w:rFonts w:ascii="Times New Roman" w:eastAsia="Times New Roman" w:hAnsi="Times New Roman" w:cs="Times New Roman"/>
          <w:color w:val="000000" w:themeColor="text1"/>
          <w:sz w:val="24"/>
          <w:szCs w:val="24"/>
        </w:rPr>
        <w:t>.</w:t>
      </w:r>
    </w:p>
    <w:p w14:paraId="00000031"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Assefa, Y., Gilks, C.F., Pas, R. van de, Reid, S., Gete, D.G. and Damme, W.V. (2021). Reimagining global health systems for the 21st century: lessons from the COVID-19 pandemic. </w:t>
      </w:r>
      <w:r w:rsidRPr="002D2B36">
        <w:rPr>
          <w:rFonts w:ascii="Times New Roman" w:eastAsia="Times New Roman" w:hAnsi="Times New Roman" w:cs="Times New Roman"/>
          <w:i/>
          <w:color w:val="000000" w:themeColor="text1"/>
          <w:sz w:val="24"/>
          <w:szCs w:val="24"/>
        </w:rPr>
        <w:t>BMJ Global Health</w:t>
      </w:r>
      <w:r w:rsidRPr="002D2B36">
        <w:rPr>
          <w:rFonts w:ascii="Times New Roman" w:eastAsia="Times New Roman" w:hAnsi="Times New Roman" w:cs="Times New Roman"/>
          <w:color w:val="000000" w:themeColor="text1"/>
          <w:sz w:val="24"/>
          <w:szCs w:val="24"/>
        </w:rPr>
        <w:t xml:space="preserve">, [online] 6(4), p.e004882. </w:t>
      </w:r>
      <w:proofErr w:type="spellStart"/>
      <w:r w:rsidRPr="002D2B36">
        <w:rPr>
          <w:rFonts w:ascii="Times New Roman" w:eastAsia="Times New Roman" w:hAnsi="Times New Roman" w:cs="Times New Roman"/>
          <w:color w:val="000000" w:themeColor="text1"/>
          <w:sz w:val="24"/>
          <w:szCs w:val="24"/>
        </w:rPr>
        <w:t>doi:</w:t>
      </w:r>
      <w:hyperlink r:id="rId10">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://doi.org/10.1136/bmjgh-2020-004882</w:t>
        </w:r>
      </w:hyperlink>
      <w:r w:rsidRPr="002D2B36">
        <w:rPr>
          <w:rFonts w:ascii="Times New Roman" w:eastAsia="Times New Roman" w:hAnsi="Times New Roman" w:cs="Times New Roman"/>
          <w:color w:val="000000" w:themeColor="text1"/>
          <w:sz w:val="24"/>
          <w:szCs w:val="24"/>
        </w:rPr>
        <w:t>.</w:t>
      </w:r>
    </w:p>
    <w:p w14:paraId="00000032"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Charlesworth, A., Anderson, M., Donaldson, C., Johnson, P., Knapp, M., McGuire, A., McKee, M., </w:t>
      </w:r>
      <w:proofErr w:type="spellStart"/>
      <w:r w:rsidRPr="002D2B36">
        <w:rPr>
          <w:rFonts w:ascii="Times New Roman" w:eastAsia="Times New Roman" w:hAnsi="Times New Roman" w:cs="Times New Roman"/>
          <w:color w:val="000000" w:themeColor="text1"/>
          <w:sz w:val="24"/>
          <w:szCs w:val="24"/>
        </w:rPr>
        <w:t>Mossialos</w:t>
      </w:r>
      <w:proofErr w:type="spellEnd"/>
      <w:r w:rsidRPr="002D2B36">
        <w:rPr>
          <w:rFonts w:ascii="Times New Roman" w:eastAsia="Times New Roman" w:hAnsi="Times New Roman" w:cs="Times New Roman"/>
          <w:color w:val="000000" w:themeColor="text1"/>
          <w:sz w:val="24"/>
          <w:szCs w:val="24"/>
        </w:rPr>
        <w:t xml:space="preserve">, E., Smith, P., Street, A. and Woods, M. (2021). What is the right level of spending needed for health and care in the UK? </w:t>
      </w:r>
      <w:r w:rsidRPr="002D2B36">
        <w:rPr>
          <w:rFonts w:ascii="Times New Roman" w:eastAsia="Times New Roman" w:hAnsi="Times New Roman" w:cs="Times New Roman"/>
          <w:i/>
          <w:color w:val="000000" w:themeColor="text1"/>
          <w:sz w:val="24"/>
          <w:szCs w:val="24"/>
        </w:rPr>
        <w:t>The Lancet</w:t>
      </w:r>
      <w:r w:rsidRPr="002D2B36">
        <w:rPr>
          <w:rFonts w:ascii="Times New Roman" w:eastAsia="Times New Roman" w:hAnsi="Times New Roman" w:cs="Times New Roman"/>
          <w:color w:val="000000" w:themeColor="text1"/>
          <w:sz w:val="24"/>
          <w:szCs w:val="24"/>
        </w:rPr>
        <w:t xml:space="preserve">, 397(10288), pp.2012–2022. </w:t>
      </w:r>
      <w:proofErr w:type="spellStart"/>
      <w:r w:rsidRPr="002D2B36">
        <w:rPr>
          <w:rFonts w:ascii="Times New Roman" w:eastAsia="Times New Roman" w:hAnsi="Times New Roman" w:cs="Times New Roman"/>
          <w:color w:val="000000" w:themeColor="text1"/>
          <w:sz w:val="24"/>
          <w:szCs w:val="24"/>
        </w:rPr>
        <w:t>doi:</w:t>
      </w:r>
      <w:hyperlink r:id="rId11">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://doi.org/10.1016/s0140-6736(21)00230-0</w:t>
        </w:r>
      </w:hyperlink>
      <w:r w:rsidRPr="002D2B36">
        <w:rPr>
          <w:rFonts w:ascii="Times New Roman" w:eastAsia="Times New Roman" w:hAnsi="Times New Roman" w:cs="Times New Roman"/>
          <w:color w:val="000000" w:themeColor="text1"/>
          <w:sz w:val="24"/>
          <w:szCs w:val="24"/>
        </w:rPr>
        <w:t>.</w:t>
      </w:r>
    </w:p>
    <w:p w14:paraId="00000033"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Gille, F., Smith, S. and Mays, N. (2020). What is public trust in the healthcare system? A new conceptual framework developed from qualitative data in England. </w:t>
      </w:r>
      <w:r w:rsidRPr="002D2B36">
        <w:rPr>
          <w:rFonts w:ascii="Times New Roman" w:eastAsia="Times New Roman" w:hAnsi="Times New Roman" w:cs="Times New Roman"/>
          <w:i/>
          <w:color w:val="000000" w:themeColor="text1"/>
          <w:sz w:val="24"/>
          <w:szCs w:val="24"/>
        </w:rPr>
        <w:t>Social Theory &amp; Health</w:t>
      </w:r>
      <w:r w:rsidRPr="002D2B36">
        <w:rPr>
          <w:rFonts w:ascii="Times New Roman" w:eastAsia="Times New Roman" w:hAnsi="Times New Roman" w:cs="Times New Roman"/>
          <w:color w:val="000000" w:themeColor="text1"/>
          <w:sz w:val="24"/>
          <w:szCs w:val="24"/>
        </w:rPr>
        <w:t xml:space="preserve">. </w:t>
      </w:r>
      <w:proofErr w:type="spellStart"/>
      <w:r w:rsidRPr="002D2B36">
        <w:rPr>
          <w:rFonts w:ascii="Times New Roman" w:eastAsia="Times New Roman" w:hAnsi="Times New Roman" w:cs="Times New Roman"/>
          <w:color w:val="000000" w:themeColor="text1"/>
          <w:sz w:val="24"/>
          <w:szCs w:val="24"/>
        </w:rPr>
        <w:t>doi:</w:t>
      </w:r>
      <w:hyperlink r:id="rId12">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://doi.org/10.1057/s41285-020-00129-x</w:t>
        </w:r>
      </w:hyperlink>
      <w:r w:rsidRPr="002D2B36">
        <w:rPr>
          <w:rFonts w:ascii="Times New Roman" w:eastAsia="Times New Roman" w:hAnsi="Times New Roman" w:cs="Times New Roman"/>
          <w:color w:val="000000" w:themeColor="text1"/>
          <w:sz w:val="24"/>
          <w:szCs w:val="24"/>
        </w:rPr>
        <w:t>.</w:t>
      </w:r>
    </w:p>
    <w:p w14:paraId="00000034"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proofErr w:type="spellStart"/>
      <w:r w:rsidRPr="002D2B36">
        <w:rPr>
          <w:rFonts w:ascii="Times New Roman" w:eastAsia="Times New Roman" w:hAnsi="Times New Roman" w:cs="Times New Roman"/>
          <w:color w:val="000000" w:themeColor="text1"/>
          <w:sz w:val="24"/>
          <w:szCs w:val="24"/>
        </w:rPr>
        <w:t>Gilleen</w:t>
      </w:r>
      <w:proofErr w:type="spellEnd"/>
      <w:r w:rsidRPr="002D2B36">
        <w:rPr>
          <w:rFonts w:ascii="Times New Roman" w:eastAsia="Times New Roman" w:hAnsi="Times New Roman" w:cs="Times New Roman"/>
          <w:color w:val="000000" w:themeColor="text1"/>
          <w:sz w:val="24"/>
          <w:szCs w:val="24"/>
        </w:rPr>
        <w:t xml:space="preserve">, J., </w:t>
      </w:r>
      <w:proofErr w:type="spellStart"/>
      <w:r w:rsidRPr="002D2B36">
        <w:rPr>
          <w:rFonts w:ascii="Times New Roman" w:eastAsia="Times New Roman" w:hAnsi="Times New Roman" w:cs="Times New Roman"/>
          <w:color w:val="000000" w:themeColor="text1"/>
          <w:sz w:val="24"/>
          <w:szCs w:val="24"/>
        </w:rPr>
        <w:t>Santaolalla</w:t>
      </w:r>
      <w:proofErr w:type="spellEnd"/>
      <w:r w:rsidRPr="002D2B36">
        <w:rPr>
          <w:rFonts w:ascii="Times New Roman" w:eastAsia="Times New Roman" w:hAnsi="Times New Roman" w:cs="Times New Roman"/>
          <w:color w:val="000000" w:themeColor="text1"/>
          <w:sz w:val="24"/>
          <w:szCs w:val="24"/>
        </w:rPr>
        <w:t xml:space="preserve">, A., </w:t>
      </w:r>
      <w:proofErr w:type="spellStart"/>
      <w:r w:rsidRPr="002D2B36">
        <w:rPr>
          <w:rFonts w:ascii="Times New Roman" w:eastAsia="Times New Roman" w:hAnsi="Times New Roman" w:cs="Times New Roman"/>
          <w:color w:val="000000" w:themeColor="text1"/>
          <w:sz w:val="24"/>
          <w:szCs w:val="24"/>
        </w:rPr>
        <w:t>Valdearenas</w:t>
      </w:r>
      <w:proofErr w:type="spellEnd"/>
      <w:r w:rsidRPr="002D2B36">
        <w:rPr>
          <w:rFonts w:ascii="Times New Roman" w:eastAsia="Times New Roman" w:hAnsi="Times New Roman" w:cs="Times New Roman"/>
          <w:color w:val="000000" w:themeColor="text1"/>
          <w:sz w:val="24"/>
          <w:szCs w:val="24"/>
        </w:rPr>
        <w:t xml:space="preserve">, L., Salice, C. and </w:t>
      </w:r>
      <w:proofErr w:type="spellStart"/>
      <w:r w:rsidRPr="002D2B36">
        <w:rPr>
          <w:rFonts w:ascii="Times New Roman" w:eastAsia="Times New Roman" w:hAnsi="Times New Roman" w:cs="Times New Roman"/>
          <w:color w:val="000000" w:themeColor="text1"/>
          <w:sz w:val="24"/>
          <w:szCs w:val="24"/>
        </w:rPr>
        <w:t>Fusté</w:t>
      </w:r>
      <w:proofErr w:type="spellEnd"/>
      <w:r w:rsidRPr="002D2B36">
        <w:rPr>
          <w:rFonts w:ascii="Times New Roman" w:eastAsia="Times New Roman" w:hAnsi="Times New Roman" w:cs="Times New Roman"/>
          <w:color w:val="000000" w:themeColor="text1"/>
          <w:sz w:val="24"/>
          <w:szCs w:val="24"/>
        </w:rPr>
        <w:t xml:space="preserve">, M. (2021). Impact of the COVID-19 Pandemic on the Mental Health and well-being of UK Healthcare Workers. </w:t>
      </w:r>
      <w:proofErr w:type="spellStart"/>
      <w:r w:rsidRPr="002D2B36">
        <w:rPr>
          <w:rFonts w:ascii="Times New Roman" w:eastAsia="Times New Roman" w:hAnsi="Times New Roman" w:cs="Times New Roman"/>
          <w:i/>
          <w:color w:val="000000" w:themeColor="text1"/>
          <w:sz w:val="24"/>
          <w:szCs w:val="24"/>
        </w:rPr>
        <w:t>BJPsych</w:t>
      </w:r>
      <w:proofErr w:type="spellEnd"/>
      <w:r w:rsidRPr="002D2B36">
        <w:rPr>
          <w:rFonts w:ascii="Times New Roman" w:eastAsia="Times New Roman" w:hAnsi="Times New Roman" w:cs="Times New Roman"/>
          <w:i/>
          <w:color w:val="000000" w:themeColor="text1"/>
          <w:sz w:val="24"/>
          <w:szCs w:val="24"/>
        </w:rPr>
        <w:t xml:space="preserve"> Open</w:t>
      </w:r>
      <w:r w:rsidRPr="002D2B36">
        <w:rPr>
          <w:rFonts w:ascii="Times New Roman" w:eastAsia="Times New Roman" w:hAnsi="Times New Roman" w:cs="Times New Roman"/>
          <w:color w:val="000000" w:themeColor="text1"/>
          <w:sz w:val="24"/>
          <w:szCs w:val="24"/>
        </w:rPr>
        <w:t xml:space="preserve">, 7(3). </w:t>
      </w:r>
      <w:proofErr w:type="spellStart"/>
      <w:r w:rsidRPr="002D2B36">
        <w:rPr>
          <w:rFonts w:ascii="Times New Roman" w:eastAsia="Times New Roman" w:hAnsi="Times New Roman" w:cs="Times New Roman"/>
          <w:color w:val="000000" w:themeColor="text1"/>
          <w:sz w:val="24"/>
          <w:szCs w:val="24"/>
        </w:rPr>
        <w:t>doi:</w:t>
      </w:r>
      <w:hyperlink r:id="rId13">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://doi.org/10.1192/bjo.2021.42</w:t>
        </w:r>
      </w:hyperlink>
      <w:r w:rsidRPr="002D2B36">
        <w:rPr>
          <w:rFonts w:ascii="Times New Roman" w:eastAsia="Times New Roman" w:hAnsi="Times New Roman" w:cs="Times New Roman"/>
          <w:color w:val="000000" w:themeColor="text1"/>
          <w:sz w:val="24"/>
          <w:szCs w:val="24"/>
        </w:rPr>
        <w:t>.</w:t>
      </w:r>
    </w:p>
    <w:p w14:paraId="00000035"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Haldane, V., De Foo, C., Abdalla, S.M., Jung, A.-S., Tan, M., Wu, S., Chua, A., Verma, M., Shrestha, P., Singh, S., Perez, T., Tan, S.M., Bartos, M., Mabuchi, S., Bonk, M., McNab, C., Werner, G.K., Panjabi, R., Nordström, A. and </w:t>
      </w:r>
      <w:proofErr w:type="spellStart"/>
      <w:r w:rsidRPr="002D2B36">
        <w:rPr>
          <w:rFonts w:ascii="Times New Roman" w:eastAsia="Times New Roman" w:hAnsi="Times New Roman" w:cs="Times New Roman"/>
          <w:color w:val="000000" w:themeColor="text1"/>
          <w:sz w:val="24"/>
          <w:szCs w:val="24"/>
        </w:rPr>
        <w:t>Legido</w:t>
      </w:r>
      <w:proofErr w:type="spellEnd"/>
      <w:r w:rsidRPr="002D2B36">
        <w:rPr>
          <w:rFonts w:ascii="Times New Roman" w:eastAsia="Times New Roman" w:hAnsi="Times New Roman" w:cs="Times New Roman"/>
          <w:color w:val="000000" w:themeColor="text1"/>
          <w:sz w:val="24"/>
          <w:szCs w:val="24"/>
        </w:rPr>
        <w:t xml:space="preserve">-Quigley, H. (2021). Health systems resilience in managing the COVID-19 pandemic: lessons from 28 countries. </w:t>
      </w:r>
      <w:r w:rsidRPr="002D2B36">
        <w:rPr>
          <w:rFonts w:ascii="Times New Roman" w:eastAsia="Times New Roman" w:hAnsi="Times New Roman" w:cs="Times New Roman"/>
          <w:i/>
          <w:color w:val="000000" w:themeColor="text1"/>
          <w:sz w:val="24"/>
          <w:szCs w:val="24"/>
        </w:rPr>
        <w:t>Nature Medicine</w:t>
      </w:r>
      <w:r w:rsidRPr="002D2B36">
        <w:rPr>
          <w:rFonts w:ascii="Times New Roman" w:eastAsia="Times New Roman" w:hAnsi="Times New Roman" w:cs="Times New Roman"/>
          <w:color w:val="000000" w:themeColor="text1"/>
          <w:sz w:val="24"/>
          <w:szCs w:val="24"/>
        </w:rPr>
        <w:t xml:space="preserve">, [online] 27(6), pp.964–980. </w:t>
      </w:r>
      <w:proofErr w:type="spellStart"/>
      <w:r w:rsidRPr="002D2B36">
        <w:rPr>
          <w:rFonts w:ascii="Times New Roman" w:eastAsia="Times New Roman" w:hAnsi="Times New Roman" w:cs="Times New Roman"/>
          <w:color w:val="000000" w:themeColor="text1"/>
          <w:sz w:val="24"/>
          <w:szCs w:val="24"/>
        </w:rPr>
        <w:t>doi:</w:t>
      </w:r>
      <w:hyperlink r:id="rId14">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://doi.org/10.1038/s41591-021-01381-y</w:t>
        </w:r>
      </w:hyperlink>
      <w:r w:rsidRPr="002D2B36">
        <w:rPr>
          <w:rFonts w:ascii="Times New Roman" w:eastAsia="Times New Roman" w:hAnsi="Times New Roman" w:cs="Times New Roman"/>
          <w:color w:val="000000" w:themeColor="text1"/>
          <w:sz w:val="24"/>
          <w:szCs w:val="24"/>
        </w:rPr>
        <w:t>.</w:t>
      </w:r>
    </w:p>
    <w:p w14:paraId="00000036"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Howarth, A., Munro, M., Theodorou, A. and Mills, P.R. (2021). Trends in healthcare utilisation during COVID-19: a longitudinal study from the UK. </w:t>
      </w:r>
      <w:r w:rsidRPr="002D2B36">
        <w:rPr>
          <w:rFonts w:ascii="Times New Roman" w:eastAsia="Times New Roman" w:hAnsi="Times New Roman" w:cs="Times New Roman"/>
          <w:i/>
          <w:color w:val="000000" w:themeColor="text1"/>
          <w:sz w:val="24"/>
          <w:szCs w:val="24"/>
        </w:rPr>
        <w:t>BMJ Open</w:t>
      </w:r>
      <w:r w:rsidRPr="002D2B36">
        <w:rPr>
          <w:rFonts w:ascii="Times New Roman" w:eastAsia="Times New Roman" w:hAnsi="Times New Roman" w:cs="Times New Roman"/>
          <w:color w:val="000000" w:themeColor="text1"/>
          <w:sz w:val="24"/>
          <w:szCs w:val="24"/>
        </w:rPr>
        <w:t xml:space="preserve">, 11(7), p.e048151. </w:t>
      </w:r>
      <w:proofErr w:type="spellStart"/>
      <w:r w:rsidRPr="002D2B36">
        <w:rPr>
          <w:rFonts w:ascii="Times New Roman" w:eastAsia="Times New Roman" w:hAnsi="Times New Roman" w:cs="Times New Roman"/>
          <w:color w:val="000000" w:themeColor="text1"/>
          <w:sz w:val="24"/>
          <w:szCs w:val="24"/>
        </w:rPr>
        <w:t>doi:</w:t>
      </w:r>
      <w:hyperlink r:id="rId15">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://doi.org/10.1136/bmjopen-2020-048151</w:t>
        </w:r>
      </w:hyperlink>
      <w:r w:rsidRPr="002D2B36">
        <w:rPr>
          <w:rFonts w:ascii="Times New Roman" w:eastAsia="Times New Roman" w:hAnsi="Times New Roman" w:cs="Times New Roman"/>
          <w:color w:val="000000" w:themeColor="text1"/>
          <w:sz w:val="24"/>
          <w:szCs w:val="24"/>
        </w:rPr>
        <w:t>.</w:t>
      </w:r>
    </w:p>
    <w:p w14:paraId="00000037"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lastRenderedPageBreak/>
        <w:t xml:space="preserve">Martin, C.A., Marshall, C., Patel, P., Goss, C., Jenkins, D.R., Ellwood, C., Barton, L., Price, A., Brunskill, N.J., </w:t>
      </w:r>
      <w:proofErr w:type="spellStart"/>
      <w:r w:rsidRPr="002D2B36">
        <w:rPr>
          <w:rFonts w:ascii="Times New Roman" w:eastAsia="Times New Roman" w:hAnsi="Times New Roman" w:cs="Times New Roman"/>
          <w:color w:val="000000" w:themeColor="text1"/>
          <w:sz w:val="24"/>
          <w:szCs w:val="24"/>
        </w:rPr>
        <w:t>Khunti</w:t>
      </w:r>
      <w:proofErr w:type="spellEnd"/>
      <w:r w:rsidRPr="002D2B36">
        <w:rPr>
          <w:rFonts w:ascii="Times New Roman" w:eastAsia="Times New Roman" w:hAnsi="Times New Roman" w:cs="Times New Roman"/>
          <w:color w:val="000000" w:themeColor="text1"/>
          <w:sz w:val="24"/>
          <w:szCs w:val="24"/>
        </w:rPr>
        <w:t xml:space="preserve">, K. and Pareek, M. (2021). SARS-CoV-2 vaccine uptake in a multi-ethnic UK healthcare workforce: A cross-sectional study. </w:t>
      </w:r>
      <w:r w:rsidRPr="002D2B36">
        <w:rPr>
          <w:rFonts w:ascii="Times New Roman" w:eastAsia="Times New Roman" w:hAnsi="Times New Roman" w:cs="Times New Roman"/>
          <w:i/>
          <w:color w:val="000000" w:themeColor="text1"/>
          <w:sz w:val="24"/>
          <w:szCs w:val="24"/>
        </w:rPr>
        <w:t>PLOS Medicine</w:t>
      </w:r>
      <w:r w:rsidRPr="002D2B36">
        <w:rPr>
          <w:rFonts w:ascii="Times New Roman" w:eastAsia="Times New Roman" w:hAnsi="Times New Roman" w:cs="Times New Roman"/>
          <w:color w:val="000000" w:themeColor="text1"/>
          <w:sz w:val="24"/>
          <w:szCs w:val="24"/>
        </w:rPr>
        <w:t xml:space="preserve">, 18(11), p.e1003823. </w:t>
      </w:r>
      <w:proofErr w:type="spellStart"/>
      <w:r w:rsidRPr="002D2B36">
        <w:rPr>
          <w:rFonts w:ascii="Times New Roman" w:eastAsia="Times New Roman" w:hAnsi="Times New Roman" w:cs="Times New Roman"/>
          <w:color w:val="000000" w:themeColor="text1"/>
          <w:sz w:val="24"/>
          <w:szCs w:val="24"/>
        </w:rPr>
        <w:t>doi:</w:t>
      </w:r>
      <w:hyperlink r:id="rId16">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://doi.org/10.1371/journal.pmed.1003823</w:t>
        </w:r>
      </w:hyperlink>
      <w:r w:rsidRPr="002D2B36">
        <w:rPr>
          <w:rFonts w:ascii="Times New Roman" w:eastAsia="Times New Roman" w:hAnsi="Times New Roman" w:cs="Times New Roman"/>
          <w:color w:val="000000" w:themeColor="text1"/>
          <w:sz w:val="24"/>
          <w:szCs w:val="24"/>
        </w:rPr>
        <w:t>.</w:t>
      </w:r>
    </w:p>
    <w:p w14:paraId="00000038"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Moher, D. (2019). Preferred Reporting Items for Systematic Reviews and Meta-Analyses: The PRISMA Statement. </w:t>
      </w:r>
      <w:r w:rsidRPr="002D2B36">
        <w:rPr>
          <w:rFonts w:ascii="Times New Roman" w:eastAsia="Times New Roman" w:hAnsi="Times New Roman" w:cs="Times New Roman"/>
          <w:i/>
          <w:color w:val="000000" w:themeColor="text1"/>
          <w:sz w:val="24"/>
          <w:szCs w:val="24"/>
        </w:rPr>
        <w:t>Annals of Internal Medicine</w:t>
      </w:r>
      <w:r w:rsidRPr="002D2B36">
        <w:rPr>
          <w:rFonts w:ascii="Times New Roman" w:eastAsia="Times New Roman" w:hAnsi="Times New Roman" w:cs="Times New Roman"/>
          <w:color w:val="000000" w:themeColor="text1"/>
          <w:sz w:val="24"/>
          <w:szCs w:val="24"/>
        </w:rPr>
        <w:t xml:space="preserve">, 151(4), p.264. </w:t>
      </w:r>
      <w:proofErr w:type="spellStart"/>
      <w:r w:rsidRPr="002D2B36">
        <w:rPr>
          <w:rFonts w:ascii="Times New Roman" w:eastAsia="Times New Roman" w:hAnsi="Times New Roman" w:cs="Times New Roman"/>
          <w:color w:val="000000" w:themeColor="text1"/>
          <w:sz w:val="24"/>
          <w:szCs w:val="24"/>
        </w:rPr>
        <w:t>doi:</w:t>
      </w:r>
      <w:hyperlink r:id="rId17">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://doi.org/10.7326/0003-4819-151-4-200908180-00135</w:t>
        </w:r>
      </w:hyperlink>
      <w:r w:rsidRPr="002D2B36">
        <w:rPr>
          <w:rFonts w:ascii="Times New Roman" w:eastAsia="Times New Roman" w:hAnsi="Times New Roman" w:cs="Times New Roman"/>
          <w:color w:val="000000" w:themeColor="text1"/>
          <w:sz w:val="24"/>
          <w:szCs w:val="24"/>
        </w:rPr>
        <w:t>.</w:t>
      </w:r>
    </w:p>
    <w:p w14:paraId="00000039"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Murray, A.K. (2020). The Novel Coronavirus COVID-19 Outbreak: Global Implications for Antimicrobial Resistance. </w:t>
      </w:r>
      <w:r w:rsidRPr="002D2B36">
        <w:rPr>
          <w:rFonts w:ascii="Times New Roman" w:eastAsia="Times New Roman" w:hAnsi="Times New Roman" w:cs="Times New Roman"/>
          <w:i/>
          <w:color w:val="000000" w:themeColor="text1"/>
          <w:sz w:val="24"/>
          <w:szCs w:val="24"/>
        </w:rPr>
        <w:t>Frontiers in Microbiology</w:t>
      </w:r>
      <w:r w:rsidRPr="002D2B36">
        <w:rPr>
          <w:rFonts w:ascii="Times New Roman" w:eastAsia="Times New Roman" w:hAnsi="Times New Roman" w:cs="Times New Roman"/>
          <w:color w:val="000000" w:themeColor="text1"/>
          <w:sz w:val="24"/>
          <w:szCs w:val="24"/>
        </w:rPr>
        <w:t xml:space="preserve">, 11. </w:t>
      </w:r>
      <w:proofErr w:type="spellStart"/>
      <w:r w:rsidRPr="002D2B36">
        <w:rPr>
          <w:rFonts w:ascii="Times New Roman" w:eastAsia="Times New Roman" w:hAnsi="Times New Roman" w:cs="Times New Roman"/>
          <w:color w:val="000000" w:themeColor="text1"/>
          <w:sz w:val="24"/>
          <w:szCs w:val="24"/>
        </w:rPr>
        <w:t>doi:</w:t>
      </w:r>
      <w:hyperlink r:id="rId18">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://doi.org/10.3389/fmicb.2020.01020</w:t>
        </w:r>
      </w:hyperlink>
      <w:r w:rsidRPr="002D2B36">
        <w:rPr>
          <w:rFonts w:ascii="Times New Roman" w:eastAsia="Times New Roman" w:hAnsi="Times New Roman" w:cs="Times New Roman"/>
          <w:color w:val="000000" w:themeColor="text1"/>
          <w:sz w:val="24"/>
          <w:szCs w:val="24"/>
        </w:rPr>
        <w:t>.</w:t>
      </w:r>
    </w:p>
    <w:p w14:paraId="0000003A"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Pankhurst, T., Atia, J., Evison, F., Gallier, S., Lewis, J.M., McKee, D., Ryan, S., </w:t>
      </w:r>
      <w:proofErr w:type="spellStart"/>
      <w:r w:rsidRPr="002D2B36">
        <w:rPr>
          <w:rFonts w:ascii="Times New Roman" w:eastAsia="Times New Roman" w:hAnsi="Times New Roman" w:cs="Times New Roman"/>
          <w:color w:val="000000" w:themeColor="text1"/>
          <w:sz w:val="24"/>
          <w:szCs w:val="24"/>
        </w:rPr>
        <w:t>Sapey</w:t>
      </w:r>
      <w:proofErr w:type="spellEnd"/>
      <w:r w:rsidRPr="002D2B36">
        <w:rPr>
          <w:rFonts w:ascii="Times New Roman" w:eastAsia="Times New Roman" w:hAnsi="Times New Roman" w:cs="Times New Roman"/>
          <w:color w:val="000000" w:themeColor="text1"/>
          <w:sz w:val="24"/>
          <w:szCs w:val="24"/>
        </w:rPr>
        <w:t xml:space="preserve">, E., Ball, S. and Coleman, J.J. (2021). Rapid adaptation of a local healthcare digital system to COVID-19: The experience in Birmingham (UK). </w:t>
      </w:r>
      <w:r w:rsidRPr="002D2B36">
        <w:rPr>
          <w:rFonts w:ascii="Times New Roman" w:eastAsia="Times New Roman" w:hAnsi="Times New Roman" w:cs="Times New Roman"/>
          <w:i/>
          <w:color w:val="000000" w:themeColor="text1"/>
          <w:sz w:val="24"/>
          <w:szCs w:val="24"/>
        </w:rPr>
        <w:t>Health Policy and Technology</w:t>
      </w:r>
      <w:r w:rsidRPr="002D2B36">
        <w:rPr>
          <w:rFonts w:ascii="Times New Roman" w:eastAsia="Times New Roman" w:hAnsi="Times New Roman" w:cs="Times New Roman"/>
          <w:color w:val="000000" w:themeColor="text1"/>
          <w:sz w:val="24"/>
          <w:szCs w:val="24"/>
        </w:rPr>
        <w:t xml:space="preserve">, [online] 10(4), p.100568. </w:t>
      </w:r>
      <w:proofErr w:type="spellStart"/>
      <w:r w:rsidRPr="002D2B36">
        <w:rPr>
          <w:rFonts w:ascii="Times New Roman" w:eastAsia="Times New Roman" w:hAnsi="Times New Roman" w:cs="Times New Roman"/>
          <w:color w:val="000000" w:themeColor="text1"/>
          <w:sz w:val="24"/>
          <w:szCs w:val="24"/>
        </w:rPr>
        <w:t>doi:</w:t>
      </w:r>
      <w:hyperlink r:id="rId19">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://doi.org/10.1016/j.hlpt.2021.100568</w:t>
        </w:r>
      </w:hyperlink>
      <w:r w:rsidRPr="002D2B36">
        <w:rPr>
          <w:rFonts w:ascii="Times New Roman" w:eastAsia="Times New Roman" w:hAnsi="Times New Roman" w:cs="Times New Roman"/>
          <w:color w:val="000000" w:themeColor="text1"/>
          <w:sz w:val="24"/>
          <w:szCs w:val="24"/>
        </w:rPr>
        <w:t>.</w:t>
      </w:r>
    </w:p>
    <w:p w14:paraId="0000003B"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Phillips, D., Grunwald, I.Q., Walter, S. and </w:t>
      </w:r>
      <w:proofErr w:type="spellStart"/>
      <w:r w:rsidRPr="002D2B36">
        <w:rPr>
          <w:rFonts w:ascii="Times New Roman" w:eastAsia="Times New Roman" w:hAnsi="Times New Roman" w:cs="Times New Roman"/>
          <w:color w:val="000000" w:themeColor="text1"/>
          <w:sz w:val="24"/>
          <w:szCs w:val="24"/>
        </w:rPr>
        <w:t>Faßbender</w:t>
      </w:r>
      <w:proofErr w:type="spellEnd"/>
      <w:r w:rsidRPr="002D2B36">
        <w:rPr>
          <w:rFonts w:ascii="Times New Roman" w:eastAsia="Times New Roman" w:hAnsi="Times New Roman" w:cs="Times New Roman"/>
          <w:color w:val="000000" w:themeColor="text1"/>
          <w:sz w:val="24"/>
          <w:szCs w:val="24"/>
        </w:rPr>
        <w:t xml:space="preserve">, K. (2021). Mobile stroke unit in the UK healthcare system: avoidance of unnecessary accident and emergency admissions. </w:t>
      </w:r>
      <w:r w:rsidRPr="002D2B36">
        <w:rPr>
          <w:rFonts w:ascii="Times New Roman" w:eastAsia="Times New Roman" w:hAnsi="Times New Roman" w:cs="Times New Roman"/>
          <w:i/>
          <w:color w:val="000000" w:themeColor="text1"/>
          <w:sz w:val="24"/>
          <w:szCs w:val="24"/>
        </w:rPr>
        <w:t>British Paramedic Journal</w:t>
      </w:r>
      <w:r w:rsidRPr="002D2B36">
        <w:rPr>
          <w:rFonts w:ascii="Times New Roman" w:eastAsia="Times New Roman" w:hAnsi="Times New Roman" w:cs="Times New Roman"/>
          <w:color w:val="000000" w:themeColor="text1"/>
          <w:sz w:val="24"/>
          <w:szCs w:val="24"/>
        </w:rPr>
        <w:t xml:space="preserve">, 5(4), pp.64–64. </w:t>
      </w:r>
      <w:proofErr w:type="spellStart"/>
      <w:r w:rsidRPr="002D2B36">
        <w:rPr>
          <w:rFonts w:ascii="Times New Roman" w:eastAsia="Times New Roman" w:hAnsi="Times New Roman" w:cs="Times New Roman"/>
          <w:color w:val="000000" w:themeColor="text1"/>
          <w:sz w:val="24"/>
          <w:szCs w:val="24"/>
        </w:rPr>
        <w:t>doi:</w:t>
      </w:r>
      <w:hyperlink r:id="rId20">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://doi.org/10.29045/14784726.2021.3.5.4.64</w:t>
        </w:r>
      </w:hyperlink>
      <w:r w:rsidRPr="002D2B36">
        <w:rPr>
          <w:rFonts w:ascii="Times New Roman" w:eastAsia="Times New Roman" w:hAnsi="Times New Roman" w:cs="Times New Roman"/>
          <w:color w:val="000000" w:themeColor="text1"/>
          <w:sz w:val="24"/>
          <w:szCs w:val="24"/>
        </w:rPr>
        <w:t>.</w:t>
      </w:r>
    </w:p>
    <w:p w14:paraId="0000003C"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Smith, L.E., Potts, H.W.W., </w:t>
      </w:r>
      <w:proofErr w:type="spellStart"/>
      <w:r w:rsidRPr="002D2B36">
        <w:rPr>
          <w:rFonts w:ascii="Times New Roman" w:eastAsia="Times New Roman" w:hAnsi="Times New Roman" w:cs="Times New Roman"/>
          <w:color w:val="000000" w:themeColor="text1"/>
          <w:sz w:val="24"/>
          <w:szCs w:val="24"/>
        </w:rPr>
        <w:t>Amlôt</w:t>
      </w:r>
      <w:proofErr w:type="spellEnd"/>
      <w:r w:rsidRPr="002D2B36">
        <w:rPr>
          <w:rFonts w:ascii="Times New Roman" w:eastAsia="Times New Roman" w:hAnsi="Times New Roman" w:cs="Times New Roman"/>
          <w:color w:val="000000" w:themeColor="text1"/>
          <w:sz w:val="24"/>
          <w:szCs w:val="24"/>
        </w:rPr>
        <w:t xml:space="preserve">, R., Fear, N.T., Michie, S. and Rubin, G.J. (2021). Adherence to the test, trace, and isolate system in the UK: results from 37 nationally representative surveys. </w:t>
      </w:r>
      <w:r w:rsidRPr="002D2B36">
        <w:rPr>
          <w:rFonts w:ascii="Times New Roman" w:eastAsia="Times New Roman" w:hAnsi="Times New Roman" w:cs="Times New Roman"/>
          <w:i/>
          <w:color w:val="000000" w:themeColor="text1"/>
          <w:sz w:val="24"/>
          <w:szCs w:val="24"/>
        </w:rPr>
        <w:t>BMJ</w:t>
      </w:r>
      <w:r w:rsidRPr="002D2B36">
        <w:rPr>
          <w:rFonts w:ascii="Times New Roman" w:eastAsia="Times New Roman" w:hAnsi="Times New Roman" w:cs="Times New Roman"/>
          <w:color w:val="000000" w:themeColor="text1"/>
          <w:sz w:val="24"/>
          <w:szCs w:val="24"/>
        </w:rPr>
        <w:t xml:space="preserve">, 372, p.n608. </w:t>
      </w:r>
      <w:proofErr w:type="spellStart"/>
      <w:r w:rsidRPr="002D2B36">
        <w:rPr>
          <w:rFonts w:ascii="Times New Roman" w:eastAsia="Times New Roman" w:hAnsi="Times New Roman" w:cs="Times New Roman"/>
          <w:color w:val="000000" w:themeColor="text1"/>
          <w:sz w:val="24"/>
          <w:szCs w:val="24"/>
        </w:rPr>
        <w:t>doi:</w:t>
      </w:r>
      <w:hyperlink r:id="rId21">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://doi.org/10.1136/bmj.n608</w:t>
        </w:r>
      </w:hyperlink>
      <w:r w:rsidRPr="002D2B36">
        <w:rPr>
          <w:rFonts w:ascii="Times New Roman" w:eastAsia="Times New Roman" w:hAnsi="Times New Roman" w:cs="Times New Roman"/>
          <w:color w:val="000000" w:themeColor="text1"/>
          <w:sz w:val="24"/>
          <w:szCs w:val="24"/>
        </w:rPr>
        <w:t>.</w:t>
      </w:r>
    </w:p>
    <w:p w14:paraId="0000003D" w14:textId="77777777" w:rsidR="004314A0" w:rsidRPr="002D2B36" w:rsidRDefault="000D59EA" w:rsidP="000327D9">
      <w:pPr>
        <w:widowControl w:val="0"/>
        <w:spacing w:after="240"/>
        <w:rPr>
          <w:rFonts w:ascii="Times New Roman" w:eastAsia="Times New Roman" w:hAnsi="Times New Roman" w:cs="Times New Roman"/>
          <w:color w:val="000000" w:themeColor="text1"/>
          <w:sz w:val="24"/>
          <w:szCs w:val="24"/>
        </w:rPr>
      </w:pPr>
      <w:r w:rsidRPr="002D2B36">
        <w:rPr>
          <w:rFonts w:ascii="Times New Roman" w:eastAsia="Times New Roman" w:hAnsi="Times New Roman" w:cs="Times New Roman"/>
          <w:color w:val="000000" w:themeColor="text1"/>
          <w:sz w:val="24"/>
          <w:szCs w:val="24"/>
        </w:rPr>
        <w:t xml:space="preserve">Soley-Bori, M., Ashworth, M., Bisquera, A., </w:t>
      </w:r>
      <w:proofErr w:type="spellStart"/>
      <w:r w:rsidRPr="002D2B36">
        <w:rPr>
          <w:rFonts w:ascii="Times New Roman" w:eastAsia="Times New Roman" w:hAnsi="Times New Roman" w:cs="Times New Roman"/>
          <w:color w:val="000000" w:themeColor="text1"/>
          <w:sz w:val="24"/>
          <w:szCs w:val="24"/>
        </w:rPr>
        <w:t>Dodhia</w:t>
      </w:r>
      <w:proofErr w:type="spellEnd"/>
      <w:r w:rsidRPr="002D2B36">
        <w:rPr>
          <w:rFonts w:ascii="Times New Roman" w:eastAsia="Times New Roman" w:hAnsi="Times New Roman" w:cs="Times New Roman"/>
          <w:color w:val="000000" w:themeColor="text1"/>
          <w:sz w:val="24"/>
          <w:szCs w:val="24"/>
        </w:rPr>
        <w:t xml:space="preserve">, H., Lynch, R., Wang, Y. and Fox-Rushby, J. (2020). Impact of multimorbidity on healthcare costs and utilisation: a systematic review of the UK literature. </w:t>
      </w:r>
      <w:r w:rsidRPr="002D2B36">
        <w:rPr>
          <w:rFonts w:ascii="Times New Roman" w:eastAsia="Times New Roman" w:hAnsi="Times New Roman" w:cs="Times New Roman"/>
          <w:i/>
          <w:color w:val="000000" w:themeColor="text1"/>
          <w:sz w:val="24"/>
          <w:szCs w:val="24"/>
        </w:rPr>
        <w:t>British Journal of General Practice</w:t>
      </w:r>
      <w:r w:rsidRPr="002D2B36">
        <w:rPr>
          <w:rFonts w:ascii="Times New Roman" w:eastAsia="Times New Roman" w:hAnsi="Times New Roman" w:cs="Times New Roman"/>
          <w:color w:val="000000" w:themeColor="text1"/>
          <w:sz w:val="24"/>
          <w:szCs w:val="24"/>
        </w:rPr>
        <w:t xml:space="preserve">, [online] 71(702), pp.e39–e46. </w:t>
      </w:r>
      <w:proofErr w:type="spellStart"/>
      <w:r w:rsidRPr="002D2B36">
        <w:rPr>
          <w:rFonts w:ascii="Times New Roman" w:eastAsia="Times New Roman" w:hAnsi="Times New Roman" w:cs="Times New Roman"/>
          <w:color w:val="000000" w:themeColor="text1"/>
          <w:sz w:val="24"/>
          <w:szCs w:val="24"/>
        </w:rPr>
        <w:t>doi:</w:t>
      </w:r>
      <w:hyperlink r:id="rId22">
        <w:r w:rsidRPr="002D2B36">
          <w:rPr>
            <w:rFonts w:ascii="Times New Roman" w:eastAsia="Times New Roman" w:hAnsi="Times New Roman" w:cs="Times New Roman"/>
            <w:color w:val="000000" w:themeColor="text1"/>
            <w:sz w:val="24"/>
            <w:szCs w:val="24"/>
            <w:u w:val="single"/>
          </w:rPr>
          <w:t>https</w:t>
        </w:r>
        <w:proofErr w:type="spellEnd"/>
        <w:r w:rsidRPr="002D2B36">
          <w:rPr>
            <w:rFonts w:ascii="Times New Roman" w:eastAsia="Times New Roman" w:hAnsi="Times New Roman" w:cs="Times New Roman"/>
            <w:color w:val="000000" w:themeColor="text1"/>
            <w:sz w:val="24"/>
            <w:szCs w:val="24"/>
            <w:u w:val="single"/>
          </w:rPr>
          <w:t>://doi.org/10.3399/bjgp20x713897</w:t>
        </w:r>
      </w:hyperlink>
      <w:r w:rsidRPr="002D2B36">
        <w:rPr>
          <w:rFonts w:ascii="Times New Roman" w:eastAsia="Times New Roman" w:hAnsi="Times New Roman" w:cs="Times New Roman"/>
          <w:color w:val="000000" w:themeColor="text1"/>
          <w:sz w:val="24"/>
          <w:szCs w:val="24"/>
        </w:rPr>
        <w:t>.</w:t>
      </w:r>
    </w:p>
    <w:p w14:paraId="0000003E" w14:textId="77777777" w:rsidR="004314A0" w:rsidRPr="002D2B36" w:rsidRDefault="004314A0" w:rsidP="000327D9">
      <w:pPr>
        <w:rPr>
          <w:rFonts w:ascii="Times New Roman" w:hAnsi="Times New Roman" w:cs="Times New Roman"/>
          <w:color w:val="000000" w:themeColor="text1"/>
        </w:rPr>
      </w:pPr>
    </w:p>
    <w:p w14:paraId="0000003F" w14:textId="77777777" w:rsidR="004314A0" w:rsidRPr="002D2B36" w:rsidRDefault="004314A0" w:rsidP="000327D9">
      <w:pPr>
        <w:rPr>
          <w:rFonts w:ascii="Times New Roman" w:hAnsi="Times New Roman" w:cs="Times New Roman"/>
          <w:color w:val="000000" w:themeColor="text1"/>
        </w:rPr>
      </w:pPr>
    </w:p>
    <w:sectPr w:rsidR="004314A0" w:rsidRPr="002D2B36">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433CA" w14:textId="77777777" w:rsidR="00664436" w:rsidRDefault="00664436" w:rsidP="000754CA">
      <w:pPr>
        <w:spacing w:line="240" w:lineRule="auto"/>
      </w:pPr>
      <w:r>
        <w:separator/>
      </w:r>
    </w:p>
  </w:endnote>
  <w:endnote w:type="continuationSeparator" w:id="0">
    <w:p w14:paraId="18200261" w14:textId="77777777" w:rsidR="00664436" w:rsidRDefault="00664436" w:rsidP="000754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66426" w14:textId="28027446" w:rsidR="000754CA" w:rsidRDefault="000754CA">
    <w:pPr>
      <w:pStyle w:val="Footer"/>
      <w:jc w:val="center"/>
    </w:pPr>
  </w:p>
  <w:p w14:paraId="1E2802C0" w14:textId="77777777" w:rsidR="000754CA" w:rsidRDefault="000754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787509"/>
      <w:docPartObj>
        <w:docPartGallery w:val="Page Numbers (Bottom of Page)"/>
        <w:docPartUnique/>
      </w:docPartObj>
    </w:sdtPr>
    <w:sdtEndPr>
      <w:rPr>
        <w:noProof/>
      </w:rPr>
    </w:sdtEndPr>
    <w:sdtContent>
      <w:p w14:paraId="1A7E71D4" w14:textId="77777777" w:rsidR="000754CA" w:rsidRDefault="000754CA">
        <w:pPr>
          <w:pStyle w:val="Footer"/>
          <w:jc w:val="center"/>
        </w:pPr>
        <w:r>
          <w:fldChar w:fldCharType="begin"/>
        </w:r>
        <w:r>
          <w:instrText xml:space="preserve"> PAGE   \* MERGEFORMAT </w:instrText>
        </w:r>
        <w:r>
          <w:fldChar w:fldCharType="separate"/>
        </w:r>
        <w:r w:rsidR="004E19DD">
          <w:rPr>
            <w:noProof/>
          </w:rPr>
          <w:t>10</w:t>
        </w:r>
        <w:r>
          <w:rPr>
            <w:noProof/>
          </w:rPr>
          <w:fldChar w:fldCharType="end"/>
        </w:r>
      </w:p>
    </w:sdtContent>
  </w:sdt>
  <w:p w14:paraId="7FE19D64" w14:textId="77777777" w:rsidR="000754CA" w:rsidRDefault="00075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6223E" w14:textId="77777777" w:rsidR="00664436" w:rsidRDefault="00664436" w:rsidP="000754CA">
      <w:pPr>
        <w:spacing w:line="240" w:lineRule="auto"/>
      </w:pPr>
      <w:r>
        <w:separator/>
      </w:r>
    </w:p>
  </w:footnote>
  <w:footnote w:type="continuationSeparator" w:id="0">
    <w:p w14:paraId="6E2905BC" w14:textId="77777777" w:rsidR="00664436" w:rsidRDefault="00664436" w:rsidP="000754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4A0"/>
    <w:rsid w:val="000327D9"/>
    <w:rsid w:val="000754CA"/>
    <w:rsid w:val="000D59EA"/>
    <w:rsid w:val="00153EAA"/>
    <w:rsid w:val="00296CFA"/>
    <w:rsid w:val="002D2B36"/>
    <w:rsid w:val="002F1C28"/>
    <w:rsid w:val="002F7E71"/>
    <w:rsid w:val="00422490"/>
    <w:rsid w:val="004314A0"/>
    <w:rsid w:val="004E19DD"/>
    <w:rsid w:val="004F50B4"/>
    <w:rsid w:val="005373B8"/>
    <w:rsid w:val="00664436"/>
    <w:rsid w:val="006645C2"/>
    <w:rsid w:val="006C6104"/>
    <w:rsid w:val="006E351D"/>
    <w:rsid w:val="00863AE1"/>
    <w:rsid w:val="00896839"/>
    <w:rsid w:val="008C772D"/>
    <w:rsid w:val="00AD19A4"/>
    <w:rsid w:val="00B27E8C"/>
    <w:rsid w:val="00BA408C"/>
    <w:rsid w:val="00BE2FAA"/>
    <w:rsid w:val="00C05D02"/>
    <w:rsid w:val="00CA369A"/>
    <w:rsid w:val="00D07BDF"/>
    <w:rsid w:val="00D15967"/>
    <w:rsid w:val="00D50868"/>
    <w:rsid w:val="00DB10F2"/>
    <w:rsid w:val="00E76D6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0B9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96"/>
      <w:ind w:right="3062"/>
      <w:outlineLvl w:val="0"/>
    </w:pPr>
    <w:rPr>
      <w:b/>
      <w:sz w:val="28"/>
      <w:szCs w:val="28"/>
    </w:rPr>
  </w:style>
  <w:style w:type="paragraph" w:styleId="Heading2">
    <w:name w:val="heading 2"/>
    <w:basedOn w:val="Normal"/>
    <w:next w:val="Normal"/>
    <w:uiPriority w:val="9"/>
    <w:semiHidden/>
    <w:unhideWhenUsed/>
    <w:qFormat/>
    <w:pPr>
      <w:keepNext/>
      <w:keepLines/>
      <w:spacing w:before="40"/>
      <w:outlineLvl w:val="1"/>
    </w:pPr>
    <w:rPr>
      <w:b/>
      <w:sz w:val="26"/>
      <w:szCs w:val="26"/>
    </w:rPr>
  </w:style>
  <w:style w:type="paragraph" w:styleId="Heading3">
    <w:name w:val="heading 3"/>
    <w:basedOn w:val="Normal"/>
    <w:next w:val="Normal"/>
    <w:uiPriority w:val="9"/>
    <w:semiHidden/>
    <w:unhideWhenUsed/>
    <w:qFormat/>
    <w:pPr>
      <w:keepNext/>
      <w:keepLines/>
      <w:spacing w:before="40"/>
      <w:outlineLvl w:val="2"/>
    </w:pPr>
    <w:rPr>
      <w:b/>
    </w:rPr>
  </w:style>
  <w:style w:type="paragraph" w:styleId="Heading4">
    <w:name w:val="heading 4"/>
    <w:basedOn w:val="Normal"/>
    <w:next w:val="Normal"/>
    <w:uiPriority w:val="9"/>
    <w:semiHidden/>
    <w:unhideWhenUsed/>
    <w:qFormat/>
    <w:pPr>
      <w:keepNext/>
      <w:keepLines/>
      <w:spacing w:before="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odyText">
    <w:name w:val="Body Text"/>
    <w:basedOn w:val="Normal"/>
    <w:link w:val="BodyTextChar"/>
    <w:uiPriority w:val="1"/>
    <w:qFormat/>
    <w:rsid w:val="00296CFA"/>
    <w:pPr>
      <w:widowControl w:val="0"/>
      <w:autoSpaceDE w:val="0"/>
      <w:autoSpaceDN w:val="0"/>
      <w:spacing w:line="240" w:lineRule="auto"/>
      <w:jc w:val="left"/>
    </w:pPr>
    <w:rPr>
      <w:rFonts w:ascii="Arial MT" w:eastAsia="Arial MT" w:hAnsi="Arial MT" w:cs="Arial MT"/>
      <w:sz w:val="20"/>
      <w:szCs w:val="20"/>
      <w:lang w:val="en-US" w:eastAsia="en-US"/>
    </w:rPr>
  </w:style>
  <w:style w:type="character" w:customStyle="1" w:styleId="BodyTextChar">
    <w:name w:val="Body Text Char"/>
    <w:basedOn w:val="DefaultParagraphFont"/>
    <w:link w:val="BodyText"/>
    <w:uiPriority w:val="1"/>
    <w:rsid w:val="00296CFA"/>
    <w:rPr>
      <w:rFonts w:ascii="Arial MT" w:eastAsia="Arial MT" w:hAnsi="Arial MT" w:cs="Arial MT"/>
      <w:sz w:val="20"/>
      <w:szCs w:val="20"/>
      <w:lang w:val="en-US" w:eastAsia="en-US"/>
    </w:rPr>
  </w:style>
  <w:style w:type="paragraph" w:customStyle="1" w:styleId="TableParagraph">
    <w:name w:val="Table Paragraph"/>
    <w:basedOn w:val="Normal"/>
    <w:uiPriority w:val="1"/>
    <w:qFormat/>
    <w:rsid w:val="00296CFA"/>
    <w:pPr>
      <w:widowControl w:val="0"/>
      <w:autoSpaceDE w:val="0"/>
      <w:autoSpaceDN w:val="0"/>
      <w:spacing w:line="240" w:lineRule="auto"/>
      <w:ind w:left="107"/>
      <w:jc w:val="left"/>
    </w:pPr>
    <w:rPr>
      <w:rFonts w:ascii="Arial MT" w:eastAsia="Arial MT" w:hAnsi="Arial MT" w:cs="Arial MT"/>
      <w:lang w:val="en-US" w:eastAsia="en-US"/>
    </w:rPr>
  </w:style>
  <w:style w:type="paragraph" w:styleId="TOC1">
    <w:name w:val="toc 1"/>
    <w:basedOn w:val="Normal"/>
    <w:next w:val="Normal"/>
    <w:autoRedefine/>
    <w:uiPriority w:val="39"/>
    <w:unhideWhenUsed/>
    <w:rsid w:val="00D15967"/>
    <w:pPr>
      <w:spacing w:after="100"/>
    </w:pPr>
  </w:style>
  <w:style w:type="character" w:styleId="Hyperlink">
    <w:name w:val="Hyperlink"/>
    <w:basedOn w:val="DefaultParagraphFont"/>
    <w:uiPriority w:val="99"/>
    <w:unhideWhenUsed/>
    <w:rsid w:val="00D15967"/>
    <w:rPr>
      <w:color w:val="0000FF" w:themeColor="hyperlink"/>
      <w:u w:val="single"/>
    </w:rPr>
  </w:style>
  <w:style w:type="paragraph" w:styleId="Header">
    <w:name w:val="header"/>
    <w:basedOn w:val="Normal"/>
    <w:link w:val="HeaderChar"/>
    <w:uiPriority w:val="99"/>
    <w:unhideWhenUsed/>
    <w:rsid w:val="000754CA"/>
    <w:pPr>
      <w:tabs>
        <w:tab w:val="center" w:pos="4680"/>
        <w:tab w:val="right" w:pos="9360"/>
      </w:tabs>
      <w:spacing w:line="240" w:lineRule="auto"/>
    </w:pPr>
  </w:style>
  <w:style w:type="character" w:customStyle="1" w:styleId="HeaderChar">
    <w:name w:val="Header Char"/>
    <w:basedOn w:val="DefaultParagraphFont"/>
    <w:link w:val="Header"/>
    <w:uiPriority w:val="99"/>
    <w:rsid w:val="000754CA"/>
  </w:style>
  <w:style w:type="paragraph" w:styleId="Footer">
    <w:name w:val="footer"/>
    <w:basedOn w:val="Normal"/>
    <w:link w:val="FooterChar"/>
    <w:uiPriority w:val="99"/>
    <w:unhideWhenUsed/>
    <w:rsid w:val="000754CA"/>
    <w:pPr>
      <w:tabs>
        <w:tab w:val="center" w:pos="4680"/>
        <w:tab w:val="right" w:pos="9360"/>
      </w:tabs>
      <w:spacing w:line="240" w:lineRule="auto"/>
    </w:pPr>
  </w:style>
  <w:style w:type="character" w:customStyle="1" w:styleId="FooterChar">
    <w:name w:val="Footer Char"/>
    <w:basedOn w:val="DefaultParagraphFont"/>
    <w:link w:val="Footer"/>
    <w:uiPriority w:val="99"/>
    <w:rsid w:val="00075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192/bjo.2021.42" TargetMode="External"/><Relationship Id="rId18" Type="http://schemas.openxmlformats.org/officeDocument/2006/relationships/hyperlink" Target="https://doi.org/10.3389/fmicb.2020.01020" TargetMode="External"/><Relationship Id="rId3" Type="http://schemas.openxmlformats.org/officeDocument/2006/relationships/settings" Target="settings.xml"/><Relationship Id="rId21" Type="http://schemas.openxmlformats.org/officeDocument/2006/relationships/hyperlink" Target="https://doi.org/10.1136/bmj.n608" TargetMode="External"/><Relationship Id="rId7" Type="http://schemas.openxmlformats.org/officeDocument/2006/relationships/image" Target="media/image1.png"/><Relationship Id="rId12" Type="http://schemas.openxmlformats.org/officeDocument/2006/relationships/hyperlink" Target="https://doi.org/10.1057/s41285-020-00129-x" TargetMode="External"/><Relationship Id="rId17" Type="http://schemas.openxmlformats.org/officeDocument/2006/relationships/hyperlink" Target="https://doi.org/10.7326/0003-4819-151-4-200908180-0013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371/journal.pmed.1003823" TargetMode="External"/><Relationship Id="rId20" Type="http://schemas.openxmlformats.org/officeDocument/2006/relationships/hyperlink" Target="https://doi.org/10.29045/14784726.2021.3.5.4.6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s0140-6736(21)00230-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36/bmjopen-2020-048151" TargetMode="External"/><Relationship Id="rId23" Type="http://schemas.openxmlformats.org/officeDocument/2006/relationships/footer" Target="footer2.xml"/><Relationship Id="rId10" Type="http://schemas.openxmlformats.org/officeDocument/2006/relationships/hyperlink" Target="https://doi.org/10.1136/bmjgh-2020-004882" TargetMode="External"/><Relationship Id="rId19" Type="http://schemas.openxmlformats.org/officeDocument/2006/relationships/hyperlink" Target="https://doi.org/10.1016/j.hlpt.2021.100568" TargetMode="External"/><Relationship Id="rId4" Type="http://schemas.openxmlformats.org/officeDocument/2006/relationships/webSettings" Target="webSettings.xml"/><Relationship Id="rId9" Type="http://schemas.openxmlformats.org/officeDocument/2006/relationships/hyperlink" Target="https://doi.org/10.3390/antibiotics10020110" TargetMode="External"/><Relationship Id="rId14" Type="http://schemas.openxmlformats.org/officeDocument/2006/relationships/hyperlink" Target="https://doi.org/10.1038/s41591-021-01381-y" TargetMode="External"/><Relationship Id="rId22" Type="http://schemas.openxmlformats.org/officeDocument/2006/relationships/hyperlink" Target="https://doi.org/10.3399/bjgp20x7138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GzgQyxKhVTRl0HePIF4zU8gDrg==">CgMxLjAyCGguZ2pkZ3hzMgloLjMwajB6bGwyCWguMWZvYjl0ZTIJaC4zem55c2g3MgloLjJldDkycDAyCGgudHlqY3d0OAByITFNLWtTVEhEU0JiZG9wTEdHalJiODVqcGZkR2hrcUhaeQ==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3694</Words>
  <Characters>21056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2024-01-05T15:43:00Z</dcterms:created>
  <dcterms:modified xsi:type="dcterms:W3CDTF">2024-01-05T15:43:00Z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2024-01-05T07:06:40Z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d741ec5d-d74d-4c3f-8667-ef92a835f24c</vt:lpwstr>
  </property>
  <property fmtid="{D5CDD505-2E9C-101B-9397-08002B2CF9AE}" pid="7" name="MSIP_Label_defa4170-0d19-0005-0004-bc88714345d2_ActionId">
    <vt:lpwstr>c4843876-5292-4d45-8d1d-c5901f37f385</vt:lpwstr>
  </property>
  <property fmtid="{D5CDD505-2E9C-101B-9397-08002B2CF9AE}" pid="8" name="MSIP_Label_defa4170-0d19-0005-0004-bc88714345d2_ContentBits">
    <vt:lpwstr>0</vt:lpwstr>
  </property>
  <property fmtid="{D5CDD505-2E9C-101B-9397-08002B2CF9AE}" pid="9" name="GrammarlyDocumentId">
    <vt:lpwstr>74eec460194c1ba49fe442ca1b038fd5bf598ad12b3dec82433f5a0fb25d2408</vt:lpwstr>
  </property>
</Properties>
</file>