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F22" w:rsidRDefault="004B4F22"/>
    <w:p w:rsidR="004B4F22" w:rsidRDefault="004B4F22"/>
    <w:p w:rsidR="004B4F22" w:rsidRDefault="004B4F22"/>
    <w:p w:rsidR="004B4F22" w:rsidRDefault="004B4F22"/>
    <w:p w:rsidR="00587F11" w:rsidRDefault="00587F11"/>
    <w:p w:rsidR="00587F11" w:rsidRDefault="00587F11"/>
    <w:p w:rsidR="008A197F" w:rsidRDefault="004B4F22" w:rsidP="00587F11">
      <w:pPr>
        <w:jc w:val="center"/>
        <w:rPr>
          <w:sz w:val="44"/>
          <w:szCs w:val="44"/>
        </w:rPr>
      </w:pPr>
      <w:r w:rsidRPr="00587F11">
        <w:rPr>
          <w:sz w:val="44"/>
          <w:szCs w:val="44"/>
        </w:rPr>
        <w:t>Financial Management for the Hotel Industry</w:t>
      </w:r>
    </w:p>
    <w:p w:rsidR="00F21AEA" w:rsidRDefault="00F21AEA" w:rsidP="00587F11">
      <w:pPr>
        <w:jc w:val="center"/>
        <w:rPr>
          <w:sz w:val="44"/>
          <w:szCs w:val="44"/>
        </w:rPr>
      </w:pPr>
    </w:p>
    <w:p w:rsidR="00F21AEA" w:rsidRDefault="00F21AEA" w:rsidP="00587F11">
      <w:pPr>
        <w:jc w:val="center"/>
        <w:rPr>
          <w:sz w:val="44"/>
          <w:szCs w:val="44"/>
        </w:rPr>
      </w:pPr>
      <w:r>
        <w:rPr>
          <w:sz w:val="44"/>
          <w:szCs w:val="44"/>
        </w:rPr>
        <w:t>Jurys Inn</w:t>
      </w:r>
    </w:p>
    <w:p w:rsidR="00F21AEA" w:rsidRDefault="00F21AEA" w:rsidP="00587F11">
      <w:pPr>
        <w:jc w:val="center"/>
        <w:rPr>
          <w:sz w:val="44"/>
          <w:szCs w:val="44"/>
        </w:rPr>
      </w:pPr>
    </w:p>
    <w:p w:rsidR="00F21AEA" w:rsidRDefault="00F21AEA" w:rsidP="00587F11">
      <w:pPr>
        <w:jc w:val="center"/>
        <w:rPr>
          <w:sz w:val="44"/>
          <w:szCs w:val="44"/>
        </w:rPr>
      </w:pPr>
    </w:p>
    <w:p w:rsidR="00F21AEA" w:rsidRDefault="00F21AEA" w:rsidP="00587F11">
      <w:pPr>
        <w:jc w:val="center"/>
        <w:rPr>
          <w:sz w:val="44"/>
          <w:szCs w:val="44"/>
        </w:rPr>
      </w:pPr>
      <w:r>
        <w:rPr>
          <w:sz w:val="44"/>
          <w:szCs w:val="44"/>
        </w:rPr>
        <w:t>Module code: BMIH5007</w:t>
      </w:r>
    </w:p>
    <w:p w:rsidR="00F21AEA" w:rsidRDefault="00F21AEA" w:rsidP="00587F11">
      <w:pPr>
        <w:jc w:val="center"/>
        <w:rPr>
          <w:sz w:val="44"/>
          <w:szCs w:val="44"/>
        </w:rPr>
      </w:pPr>
      <w:r>
        <w:rPr>
          <w:sz w:val="44"/>
          <w:szCs w:val="44"/>
        </w:rPr>
        <w:t>Tutor: Dale Clarke</w:t>
      </w:r>
    </w:p>
    <w:p w:rsidR="00F21AEA" w:rsidRDefault="00F21AEA" w:rsidP="00587F11">
      <w:pPr>
        <w:jc w:val="center"/>
        <w:rPr>
          <w:sz w:val="44"/>
          <w:szCs w:val="44"/>
        </w:rPr>
      </w:pPr>
      <w:r>
        <w:rPr>
          <w:sz w:val="44"/>
          <w:szCs w:val="44"/>
        </w:rPr>
        <w:t>Name: Daniel Apostol</w:t>
      </w:r>
    </w:p>
    <w:p w:rsidR="00F21AEA" w:rsidRDefault="00F21AEA" w:rsidP="00587F11">
      <w:pPr>
        <w:jc w:val="center"/>
        <w:rPr>
          <w:sz w:val="44"/>
          <w:szCs w:val="44"/>
        </w:rPr>
      </w:pPr>
      <w:r>
        <w:rPr>
          <w:sz w:val="44"/>
          <w:szCs w:val="44"/>
        </w:rPr>
        <w:t>Student ID: 2012824</w:t>
      </w:r>
    </w:p>
    <w:p w:rsidR="00587F11" w:rsidRDefault="00587F11" w:rsidP="00587F11">
      <w:pPr>
        <w:jc w:val="center"/>
        <w:rPr>
          <w:sz w:val="44"/>
          <w:szCs w:val="44"/>
        </w:rPr>
      </w:pPr>
    </w:p>
    <w:p w:rsidR="00587F11" w:rsidRDefault="00587F11">
      <w:pPr>
        <w:spacing w:before="0" w:after="160" w:line="259" w:lineRule="auto"/>
        <w:jc w:val="left"/>
        <w:rPr>
          <w:sz w:val="44"/>
          <w:szCs w:val="44"/>
        </w:rPr>
      </w:pPr>
      <w:r>
        <w:rPr>
          <w:sz w:val="44"/>
          <w:szCs w:val="44"/>
        </w:rPr>
        <w:br w:type="page"/>
      </w:r>
    </w:p>
    <w:p w:rsidR="00587F11" w:rsidRDefault="002C2F3A" w:rsidP="00724127">
      <w:pPr>
        <w:pStyle w:val="Heading1"/>
      </w:pPr>
      <w:bookmarkStart w:id="0" w:name="_Toc95502661"/>
      <w:r>
        <w:lastRenderedPageBreak/>
        <w:t>Executive Summary</w:t>
      </w:r>
      <w:bookmarkEnd w:id="0"/>
    </w:p>
    <w:p w:rsidR="002C2F3A" w:rsidRDefault="00F77E2F" w:rsidP="00587F11">
      <w:r>
        <w:t xml:space="preserve">Financial analysis of a hotel group of UK, known as Jurys Inn has been done in the report. As Jurys Inn is in a competitive industry in UK, its financial ratios are crucial for understanding its true financial condition. The financial analysis shows that the company is struggling in profit generation compared to its amount of revenue. But the company has a strong current and quick ratio which suggests that it can easily fulfill the demand of its short-term lenders. The gearing ratios are also good enough for the company. This report has also discussed </w:t>
      </w:r>
      <w:r w:rsidR="007E0841">
        <w:t>significant</w:t>
      </w:r>
      <w:r>
        <w:t xml:space="preserve"> of financial analysis </w:t>
      </w:r>
    </w:p>
    <w:p w:rsidR="002C2F3A" w:rsidRDefault="002C2F3A" w:rsidP="00587F11"/>
    <w:p w:rsidR="002C2F3A" w:rsidRDefault="002C2F3A" w:rsidP="00587F11"/>
    <w:p w:rsidR="002C2F3A" w:rsidRDefault="002C2F3A">
      <w:pPr>
        <w:spacing w:before="0" w:after="160" w:line="259" w:lineRule="auto"/>
        <w:jc w:val="left"/>
      </w:pPr>
      <w:r>
        <w:br w:type="page"/>
      </w:r>
    </w:p>
    <w:p w:rsidR="002C2F3A" w:rsidRDefault="002C2F3A" w:rsidP="00587F11"/>
    <w:sdt>
      <w:sdtPr>
        <w:rPr>
          <w:rFonts w:ascii="Arial" w:eastAsiaTheme="minorHAnsi" w:hAnsi="Arial" w:cstheme="minorBidi"/>
          <w:color w:val="auto"/>
          <w:sz w:val="24"/>
          <w:szCs w:val="22"/>
        </w:rPr>
        <w:id w:val="883677478"/>
        <w:docPartObj>
          <w:docPartGallery w:val="Table of Contents"/>
          <w:docPartUnique/>
        </w:docPartObj>
      </w:sdtPr>
      <w:sdtEndPr>
        <w:rPr>
          <w:b/>
          <w:bCs/>
          <w:noProof/>
        </w:rPr>
      </w:sdtEndPr>
      <w:sdtContent>
        <w:p w:rsidR="003075A4" w:rsidRPr="003075A4" w:rsidRDefault="003075A4">
          <w:pPr>
            <w:pStyle w:val="TOCHeading"/>
            <w:rPr>
              <w:rStyle w:val="Heading1Char"/>
            </w:rPr>
          </w:pPr>
          <w:r w:rsidRPr="003075A4">
            <w:rPr>
              <w:rStyle w:val="Heading1Char"/>
            </w:rPr>
            <w:t>Contents</w:t>
          </w:r>
        </w:p>
        <w:p w:rsidR="003075A4" w:rsidRDefault="00A64D3F">
          <w:pPr>
            <w:pStyle w:val="TOC1"/>
            <w:tabs>
              <w:tab w:val="right" w:leader="dot" w:pos="9350"/>
            </w:tabs>
            <w:rPr>
              <w:rFonts w:asciiTheme="minorHAnsi" w:eastAsiaTheme="minorEastAsia" w:hAnsiTheme="minorHAnsi"/>
              <w:noProof/>
              <w:sz w:val="22"/>
            </w:rPr>
          </w:pPr>
          <w:r w:rsidRPr="00A64D3F">
            <w:fldChar w:fldCharType="begin"/>
          </w:r>
          <w:r w:rsidR="003075A4">
            <w:instrText xml:space="preserve"> TOC \o "1-3" \h \z \u </w:instrText>
          </w:r>
          <w:r w:rsidRPr="00A64D3F">
            <w:fldChar w:fldCharType="separate"/>
          </w:r>
          <w:hyperlink w:anchor="_Toc95502661" w:history="1">
            <w:r w:rsidR="003075A4" w:rsidRPr="000B761E">
              <w:rPr>
                <w:rStyle w:val="Hyperlink"/>
                <w:noProof/>
              </w:rPr>
              <w:t>Executive Summary</w:t>
            </w:r>
            <w:r w:rsidR="003075A4">
              <w:rPr>
                <w:noProof/>
                <w:webHidden/>
              </w:rPr>
              <w:tab/>
            </w:r>
            <w:r>
              <w:rPr>
                <w:noProof/>
                <w:webHidden/>
              </w:rPr>
              <w:fldChar w:fldCharType="begin"/>
            </w:r>
            <w:r w:rsidR="003075A4">
              <w:rPr>
                <w:noProof/>
                <w:webHidden/>
              </w:rPr>
              <w:instrText xml:space="preserve"> PAGEREF _Toc95502661 \h </w:instrText>
            </w:r>
            <w:r>
              <w:rPr>
                <w:noProof/>
                <w:webHidden/>
              </w:rPr>
            </w:r>
            <w:r>
              <w:rPr>
                <w:noProof/>
                <w:webHidden/>
              </w:rPr>
              <w:fldChar w:fldCharType="separate"/>
            </w:r>
            <w:r w:rsidR="003075A4">
              <w:rPr>
                <w:noProof/>
                <w:webHidden/>
              </w:rPr>
              <w:t>2</w:t>
            </w:r>
            <w:r>
              <w:rPr>
                <w:noProof/>
                <w:webHidden/>
              </w:rPr>
              <w:fldChar w:fldCharType="end"/>
            </w:r>
          </w:hyperlink>
        </w:p>
        <w:p w:rsidR="003075A4" w:rsidRDefault="00A64D3F">
          <w:pPr>
            <w:pStyle w:val="TOC1"/>
            <w:tabs>
              <w:tab w:val="right" w:leader="dot" w:pos="9350"/>
            </w:tabs>
            <w:rPr>
              <w:rFonts w:asciiTheme="minorHAnsi" w:eastAsiaTheme="minorEastAsia" w:hAnsiTheme="minorHAnsi"/>
              <w:noProof/>
              <w:sz w:val="22"/>
            </w:rPr>
          </w:pPr>
          <w:hyperlink w:anchor="_Toc95502662" w:history="1">
            <w:r w:rsidR="003075A4" w:rsidRPr="000B761E">
              <w:rPr>
                <w:rStyle w:val="Hyperlink"/>
                <w:noProof/>
              </w:rPr>
              <w:t>Introduction</w:t>
            </w:r>
            <w:r w:rsidR="003075A4">
              <w:rPr>
                <w:noProof/>
                <w:webHidden/>
              </w:rPr>
              <w:tab/>
            </w:r>
            <w:r>
              <w:rPr>
                <w:noProof/>
                <w:webHidden/>
              </w:rPr>
              <w:fldChar w:fldCharType="begin"/>
            </w:r>
            <w:r w:rsidR="003075A4">
              <w:rPr>
                <w:noProof/>
                <w:webHidden/>
              </w:rPr>
              <w:instrText xml:space="preserve"> PAGEREF _Toc95502662 \h </w:instrText>
            </w:r>
            <w:r>
              <w:rPr>
                <w:noProof/>
                <w:webHidden/>
              </w:rPr>
            </w:r>
            <w:r>
              <w:rPr>
                <w:noProof/>
                <w:webHidden/>
              </w:rPr>
              <w:fldChar w:fldCharType="separate"/>
            </w:r>
            <w:r w:rsidR="003075A4">
              <w:rPr>
                <w:noProof/>
                <w:webHidden/>
              </w:rPr>
              <w:t>4</w:t>
            </w:r>
            <w:r>
              <w:rPr>
                <w:noProof/>
                <w:webHidden/>
              </w:rPr>
              <w:fldChar w:fldCharType="end"/>
            </w:r>
          </w:hyperlink>
        </w:p>
        <w:p w:rsidR="003075A4" w:rsidRDefault="00A64D3F">
          <w:pPr>
            <w:pStyle w:val="TOC1"/>
            <w:tabs>
              <w:tab w:val="right" w:leader="dot" w:pos="9350"/>
            </w:tabs>
            <w:rPr>
              <w:rFonts w:asciiTheme="minorHAnsi" w:eastAsiaTheme="minorEastAsia" w:hAnsiTheme="minorHAnsi"/>
              <w:noProof/>
              <w:sz w:val="22"/>
            </w:rPr>
          </w:pPr>
          <w:hyperlink w:anchor="_Toc95502663" w:history="1">
            <w:r w:rsidR="003075A4" w:rsidRPr="000B761E">
              <w:rPr>
                <w:rStyle w:val="Hyperlink"/>
                <w:noProof/>
              </w:rPr>
              <w:t>Financial Analysis</w:t>
            </w:r>
            <w:r w:rsidR="003075A4">
              <w:rPr>
                <w:noProof/>
                <w:webHidden/>
              </w:rPr>
              <w:tab/>
            </w:r>
            <w:r>
              <w:rPr>
                <w:noProof/>
                <w:webHidden/>
              </w:rPr>
              <w:fldChar w:fldCharType="begin"/>
            </w:r>
            <w:r w:rsidR="003075A4">
              <w:rPr>
                <w:noProof/>
                <w:webHidden/>
              </w:rPr>
              <w:instrText xml:space="preserve"> PAGEREF _Toc95502663 \h </w:instrText>
            </w:r>
            <w:r>
              <w:rPr>
                <w:noProof/>
                <w:webHidden/>
              </w:rPr>
            </w:r>
            <w:r>
              <w:rPr>
                <w:noProof/>
                <w:webHidden/>
              </w:rPr>
              <w:fldChar w:fldCharType="separate"/>
            </w:r>
            <w:r w:rsidR="003075A4">
              <w:rPr>
                <w:noProof/>
                <w:webHidden/>
              </w:rPr>
              <w:t>5</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64" w:history="1">
            <w:r w:rsidR="003075A4" w:rsidRPr="000B761E">
              <w:rPr>
                <w:rStyle w:val="Hyperlink"/>
                <w:noProof/>
              </w:rPr>
              <w:t>Profitability ratios</w:t>
            </w:r>
            <w:r w:rsidR="003075A4">
              <w:rPr>
                <w:noProof/>
                <w:webHidden/>
              </w:rPr>
              <w:tab/>
            </w:r>
            <w:r>
              <w:rPr>
                <w:noProof/>
                <w:webHidden/>
              </w:rPr>
              <w:fldChar w:fldCharType="begin"/>
            </w:r>
            <w:r w:rsidR="003075A4">
              <w:rPr>
                <w:noProof/>
                <w:webHidden/>
              </w:rPr>
              <w:instrText xml:space="preserve"> PAGEREF _Toc95502664 \h </w:instrText>
            </w:r>
            <w:r>
              <w:rPr>
                <w:noProof/>
                <w:webHidden/>
              </w:rPr>
            </w:r>
            <w:r>
              <w:rPr>
                <w:noProof/>
                <w:webHidden/>
              </w:rPr>
              <w:fldChar w:fldCharType="separate"/>
            </w:r>
            <w:r w:rsidR="003075A4">
              <w:rPr>
                <w:noProof/>
                <w:webHidden/>
              </w:rPr>
              <w:t>5</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65" w:history="1">
            <w:r w:rsidR="003075A4" w:rsidRPr="000B761E">
              <w:rPr>
                <w:rStyle w:val="Hyperlink"/>
                <w:noProof/>
              </w:rPr>
              <w:t>Liquidity Ratios</w:t>
            </w:r>
            <w:r w:rsidR="003075A4">
              <w:rPr>
                <w:noProof/>
                <w:webHidden/>
              </w:rPr>
              <w:tab/>
            </w:r>
            <w:r>
              <w:rPr>
                <w:noProof/>
                <w:webHidden/>
              </w:rPr>
              <w:fldChar w:fldCharType="begin"/>
            </w:r>
            <w:r w:rsidR="003075A4">
              <w:rPr>
                <w:noProof/>
                <w:webHidden/>
              </w:rPr>
              <w:instrText xml:space="preserve"> PAGEREF _Toc95502665 \h </w:instrText>
            </w:r>
            <w:r>
              <w:rPr>
                <w:noProof/>
                <w:webHidden/>
              </w:rPr>
            </w:r>
            <w:r>
              <w:rPr>
                <w:noProof/>
                <w:webHidden/>
              </w:rPr>
              <w:fldChar w:fldCharType="separate"/>
            </w:r>
            <w:r w:rsidR="003075A4">
              <w:rPr>
                <w:noProof/>
                <w:webHidden/>
              </w:rPr>
              <w:t>6</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66" w:history="1">
            <w:r w:rsidR="003075A4" w:rsidRPr="000B761E">
              <w:rPr>
                <w:rStyle w:val="Hyperlink"/>
                <w:noProof/>
              </w:rPr>
              <w:t>Gearing Ratios</w:t>
            </w:r>
            <w:r w:rsidR="003075A4">
              <w:rPr>
                <w:noProof/>
                <w:webHidden/>
              </w:rPr>
              <w:tab/>
            </w:r>
            <w:r>
              <w:rPr>
                <w:noProof/>
                <w:webHidden/>
              </w:rPr>
              <w:fldChar w:fldCharType="begin"/>
            </w:r>
            <w:r w:rsidR="003075A4">
              <w:rPr>
                <w:noProof/>
                <w:webHidden/>
              </w:rPr>
              <w:instrText xml:space="preserve"> PAGEREF _Toc95502666 \h </w:instrText>
            </w:r>
            <w:r>
              <w:rPr>
                <w:noProof/>
                <w:webHidden/>
              </w:rPr>
            </w:r>
            <w:r>
              <w:rPr>
                <w:noProof/>
                <w:webHidden/>
              </w:rPr>
              <w:fldChar w:fldCharType="separate"/>
            </w:r>
            <w:r w:rsidR="003075A4">
              <w:rPr>
                <w:noProof/>
                <w:webHidden/>
              </w:rPr>
              <w:t>6</w:t>
            </w:r>
            <w:r>
              <w:rPr>
                <w:noProof/>
                <w:webHidden/>
              </w:rPr>
              <w:fldChar w:fldCharType="end"/>
            </w:r>
          </w:hyperlink>
        </w:p>
        <w:p w:rsidR="003075A4" w:rsidRDefault="00A64D3F">
          <w:pPr>
            <w:pStyle w:val="TOC1"/>
            <w:tabs>
              <w:tab w:val="right" w:leader="dot" w:pos="9350"/>
            </w:tabs>
            <w:rPr>
              <w:rFonts w:asciiTheme="minorHAnsi" w:eastAsiaTheme="minorEastAsia" w:hAnsiTheme="minorHAnsi"/>
              <w:noProof/>
              <w:sz w:val="22"/>
            </w:rPr>
          </w:pPr>
          <w:hyperlink w:anchor="_Toc95502667" w:history="1">
            <w:r w:rsidR="003075A4" w:rsidRPr="000B761E">
              <w:rPr>
                <w:rStyle w:val="Hyperlink"/>
                <w:noProof/>
              </w:rPr>
              <w:t>Trends of Financial Analysis Results</w:t>
            </w:r>
            <w:r w:rsidR="003075A4">
              <w:rPr>
                <w:noProof/>
                <w:webHidden/>
              </w:rPr>
              <w:tab/>
            </w:r>
            <w:r>
              <w:rPr>
                <w:noProof/>
                <w:webHidden/>
              </w:rPr>
              <w:fldChar w:fldCharType="begin"/>
            </w:r>
            <w:r w:rsidR="003075A4">
              <w:rPr>
                <w:noProof/>
                <w:webHidden/>
              </w:rPr>
              <w:instrText xml:space="preserve"> PAGEREF _Toc95502667 \h </w:instrText>
            </w:r>
            <w:r>
              <w:rPr>
                <w:noProof/>
                <w:webHidden/>
              </w:rPr>
            </w:r>
            <w:r>
              <w:rPr>
                <w:noProof/>
                <w:webHidden/>
              </w:rPr>
              <w:fldChar w:fldCharType="separate"/>
            </w:r>
            <w:r w:rsidR="003075A4">
              <w:rPr>
                <w:noProof/>
                <w:webHidden/>
              </w:rPr>
              <w:t>7</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68" w:history="1">
            <w:r w:rsidR="003075A4" w:rsidRPr="000B761E">
              <w:rPr>
                <w:rStyle w:val="Hyperlink"/>
                <w:noProof/>
              </w:rPr>
              <w:t>Profitability of Jurys Inn</w:t>
            </w:r>
            <w:r w:rsidR="003075A4">
              <w:rPr>
                <w:noProof/>
                <w:webHidden/>
              </w:rPr>
              <w:tab/>
            </w:r>
            <w:r>
              <w:rPr>
                <w:noProof/>
                <w:webHidden/>
              </w:rPr>
              <w:fldChar w:fldCharType="begin"/>
            </w:r>
            <w:r w:rsidR="003075A4">
              <w:rPr>
                <w:noProof/>
                <w:webHidden/>
              </w:rPr>
              <w:instrText xml:space="preserve"> PAGEREF _Toc95502668 \h </w:instrText>
            </w:r>
            <w:r>
              <w:rPr>
                <w:noProof/>
                <w:webHidden/>
              </w:rPr>
            </w:r>
            <w:r>
              <w:rPr>
                <w:noProof/>
                <w:webHidden/>
              </w:rPr>
              <w:fldChar w:fldCharType="separate"/>
            </w:r>
            <w:r w:rsidR="003075A4">
              <w:rPr>
                <w:noProof/>
                <w:webHidden/>
              </w:rPr>
              <w:t>7</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69" w:history="1">
            <w:r w:rsidR="003075A4" w:rsidRPr="000B761E">
              <w:rPr>
                <w:rStyle w:val="Hyperlink"/>
                <w:noProof/>
              </w:rPr>
              <w:t>Liquidity Ratios of Jurys Inn</w:t>
            </w:r>
            <w:r w:rsidR="003075A4">
              <w:rPr>
                <w:noProof/>
                <w:webHidden/>
              </w:rPr>
              <w:tab/>
            </w:r>
            <w:r>
              <w:rPr>
                <w:noProof/>
                <w:webHidden/>
              </w:rPr>
              <w:fldChar w:fldCharType="begin"/>
            </w:r>
            <w:r w:rsidR="003075A4">
              <w:rPr>
                <w:noProof/>
                <w:webHidden/>
              </w:rPr>
              <w:instrText xml:space="preserve"> PAGEREF _Toc95502669 \h </w:instrText>
            </w:r>
            <w:r>
              <w:rPr>
                <w:noProof/>
                <w:webHidden/>
              </w:rPr>
            </w:r>
            <w:r>
              <w:rPr>
                <w:noProof/>
                <w:webHidden/>
              </w:rPr>
              <w:fldChar w:fldCharType="separate"/>
            </w:r>
            <w:r w:rsidR="003075A4">
              <w:rPr>
                <w:noProof/>
                <w:webHidden/>
              </w:rPr>
              <w:t>8</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70" w:history="1">
            <w:r w:rsidR="003075A4" w:rsidRPr="000B761E">
              <w:rPr>
                <w:rStyle w:val="Hyperlink"/>
                <w:noProof/>
              </w:rPr>
              <w:t>Gearing Ratios of Jurys Inn.</w:t>
            </w:r>
            <w:r w:rsidR="003075A4">
              <w:rPr>
                <w:noProof/>
                <w:webHidden/>
              </w:rPr>
              <w:tab/>
            </w:r>
            <w:r>
              <w:rPr>
                <w:noProof/>
                <w:webHidden/>
              </w:rPr>
              <w:fldChar w:fldCharType="begin"/>
            </w:r>
            <w:r w:rsidR="003075A4">
              <w:rPr>
                <w:noProof/>
                <w:webHidden/>
              </w:rPr>
              <w:instrText xml:space="preserve"> PAGEREF _Toc95502670 \h </w:instrText>
            </w:r>
            <w:r>
              <w:rPr>
                <w:noProof/>
                <w:webHidden/>
              </w:rPr>
            </w:r>
            <w:r>
              <w:rPr>
                <w:noProof/>
                <w:webHidden/>
              </w:rPr>
              <w:fldChar w:fldCharType="separate"/>
            </w:r>
            <w:r w:rsidR="003075A4">
              <w:rPr>
                <w:noProof/>
                <w:webHidden/>
              </w:rPr>
              <w:t>9</w:t>
            </w:r>
            <w:r>
              <w:rPr>
                <w:noProof/>
                <w:webHidden/>
              </w:rPr>
              <w:fldChar w:fldCharType="end"/>
            </w:r>
          </w:hyperlink>
        </w:p>
        <w:p w:rsidR="003075A4" w:rsidRDefault="00A64D3F">
          <w:pPr>
            <w:pStyle w:val="TOC1"/>
            <w:tabs>
              <w:tab w:val="right" w:leader="dot" w:pos="9350"/>
            </w:tabs>
            <w:rPr>
              <w:rFonts w:asciiTheme="minorHAnsi" w:eastAsiaTheme="minorEastAsia" w:hAnsiTheme="minorHAnsi"/>
              <w:noProof/>
              <w:sz w:val="22"/>
            </w:rPr>
          </w:pPr>
          <w:hyperlink w:anchor="_Toc95502671" w:history="1">
            <w:r w:rsidR="003075A4" w:rsidRPr="000B761E">
              <w:rPr>
                <w:rStyle w:val="Hyperlink"/>
                <w:noProof/>
              </w:rPr>
              <w:t>Knowledge from Analyzing Financial Ratios</w:t>
            </w:r>
            <w:r w:rsidR="003075A4">
              <w:rPr>
                <w:noProof/>
                <w:webHidden/>
              </w:rPr>
              <w:tab/>
            </w:r>
            <w:r>
              <w:rPr>
                <w:noProof/>
                <w:webHidden/>
              </w:rPr>
              <w:fldChar w:fldCharType="begin"/>
            </w:r>
            <w:r w:rsidR="003075A4">
              <w:rPr>
                <w:noProof/>
                <w:webHidden/>
              </w:rPr>
              <w:instrText xml:space="preserve"> PAGEREF _Toc95502671 \h </w:instrText>
            </w:r>
            <w:r>
              <w:rPr>
                <w:noProof/>
                <w:webHidden/>
              </w:rPr>
            </w:r>
            <w:r>
              <w:rPr>
                <w:noProof/>
                <w:webHidden/>
              </w:rPr>
              <w:fldChar w:fldCharType="separate"/>
            </w:r>
            <w:r w:rsidR="003075A4">
              <w:rPr>
                <w:noProof/>
                <w:webHidden/>
              </w:rPr>
              <w:t>10</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72" w:history="1">
            <w:r w:rsidR="003075A4" w:rsidRPr="000B761E">
              <w:rPr>
                <w:rStyle w:val="Hyperlink"/>
                <w:noProof/>
              </w:rPr>
              <w:t>Tracking performance of the company</w:t>
            </w:r>
            <w:r w:rsidR="003075A4">
              <w:rPr>
                <w:noProof/>
                <w:webHidden/>
              </w:rPr>
              <w:tab/>
            </w:r>
            <w:r>
              <w:rPr>
                <w:noProof/>
                <w:webHidden/>
              </w:rPr>
              <w:fldChar w:fldCharType="begin"/>
            </w:r>
            <w:r w:rsidR="003075A4">
              <w:rPr>
                <w:noProof/>
                <w:webHidden/>
              </w:rPr>
              <w:instrText xml:space="preserve"> PAGEREF _Toc95502672 \h </w:instrText>
            </w:r>
            <w:r>
              <w:rPr>
                <w:noProof/>
                <w:webHidden/>
              </w:rPr>
            </w:r>
            <w:r>
              <w:rPr>
                <w:noProof/>
                <w:webHidden/>
              </w:rPr>
              <w:fldChar w:fldCharType="separate"/>
            </w:r>
            <w:r w:rsidR="003075A4">
              <w:rPr>
                <w:noProof/>
                <w:webHidden/>
              </w:rPr>
              <w:t>10</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73" w:history="1">
            <w:r w:rsidR="003075A4" w:rsidRPr="000B761E">
              <w:rPr>
                <w:rStyle w:val="Hyperlink"/>
                <w:noProof/>
              </w:rPr>
              <w:t>Comparative Judgements of the Performance</w:t>
            </w:r>
            <w:r w:rsidR="003075A4">
              <w:rPr>
                <w:noProof/>
                <w:webHidden/>
              </w:rPr>
              <w:tab/>
            </w:r>
            <w:r>
              <w:rPr>
                <w:noProof/>
                <w:webHidden/>
              </w:rPr>
              <w:fldChar w:fldCharType="begin"/>
            </w:r>
            <w:r w:rsidR="003075A4">
              <w:rPr>
                <w:noProof/>
                <w:webHidden/>
              </w:rPr>
              <w:instrText xml:space="preserve"> PAGEREF _Toc95502673 \h </w:instrText>
            </w:r>
            <w:r>
              <w:rPr>
                <w:noProof/>
                <w:webHidden/>
              </w:rPr>
            </w:r>
            <w:r>
              <w:rPr>
                <w:noProof/>
                <w:webHidden/>
              </w:rPr>
              <w:fldChar w:fldCharType="separate"/>
            </w:r>
            <w:r w:rsidR="003075A4">
              <w:rPr>
                <w:noProof/>
                <w:webHidden/>
              </w:rPr>
              <w:t>10</w:t>
            </w:r>
            <w:r>
              <w:rPr>
                <w:noProof/>
                <w:webHidden/>
              </w:rPr>
              <w:fldChar w:fldCharType="end"/>
            </w:r>
          </w:hyperlink>
        </w:p>
        <w:p w:rsidR="003075A4" w:rsidRDefault="00A64D3F">
          <w:pPr>
            <w:pStyle w:val="TOC1"/>
            <w:tabs>
              <w:tab w:val="right" w:leader="dot" w:pos="9350"/>
            </w:tabs>
            <w:rPr>
              <w:rFonts w:asciiTheme="minorHAnsi" w:eastAsiaTheme="minorEastAsia" w:hAnsiTheme="minorHAnsi"/>
              <w:noProof/>
              <w:sz w:val="22"/>
            </w:rPr>
          </w:pPr>
          <w:hyperlink w:anchor="_Toc95502674" w:history="1">
            <w:r w:rsidR="003075A4" w:rsidRPr="000B761E">
              <w:rPr>
                <w:rStyle w:val="Hyperlink"/>
                <w:noProof/>
              </w:rPr>
              <w:t>Benefits of Ratio Analysis and Limitations that Affects It</w:t>
            </w:r>
            <w:r w:rsidR="003075A4">
              <w:rPr>
                <w:noProof/>
                <w:webHidden/>
              </w:rPr>
              <w:tab/>
            </w:r>
            <w:r>
              <w:rPr>
                <w:noProof/>
                <w:webHidden/>
              </w:rPr>
              <w:fldChar w:fldCharType="begin"/>
            </w:r>
            <w:r w:rsidR="003075A4">
              <w:rPr>
                <w:noProof/>
                <w:webHidden/>
              </w:rPr>
              <w:instrText xml:space="preserve"> PAGEREF _Toc95502674 \h </w:instrText>
            </w:r>
            <w:r>
              <w:rPr>
                <w:noProof/>
                <w:webHidden/>
              </w:rPr>
            </w:r>
            <w:r>
              <w:rPr>
                <w:noProof/>
                <w:webHidden/>
              </w:rPr>
              <w:fldChar w:fldCharType="separate"/>
            </w:r>
            <w:r w:rsidR="003075A4">
              <w:rPr>
                <w:noProof/>
                <w:webHidden/>
              </w:rPr>
              <w:t>11</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75" w:history="1">
            <w:r w:rsidR="003075A4" w:rsidRPr="000B761E">
              <w:rPr>
                <w:rStyle w:val="Hyperlink"/>
                <w:noProof/>
              </w:rPr>
              <w:t>Benefits related to Financial Ratios</w:t>
            </w:r>
            <w:r w:rsidR="003075A4">
              <w:rPr>
                <w:noProof/>
                <w:webHidden/>
              </w:rPr>
              <w:tab/>
            </w:r>
            <w:r>
              <w:rPr>
                <w:noProof/>
                <w:webHidden/>
              </w:rPr>
              <w:fldChar w:fldCharType="begin"/>
            </w:r>
            <w:r w:rsidR="003075A4">
              <w:rPr>
                <w:noProof/>
                <w:webHidden/>
              </w:rPr>
              <w:instrText xml:space="preserve"> PAGEREF _Toc95502675 \h </w:instrText>
            </w:r>
            <w:r>
              <w:rPr>
                <w:noProof/>
                <w:webHidden/>
              </w:rPr>
            </w:r>
            <w:r>
              <w:rPr>
                <w:noProof/>
                <w:webHidden/>
              </w:rPr>
              <w:fldChar w:fldCharType="separate"/>
            </w:r>
            <w:r w:rsidR="003075A4">
              <w:rPr>
                <w:noProof/>
                <w:webHidden/>
              </w:rPr>
              <w:t>11</w:t>
            </w:r>
            <w:r>
              <w:rPr>
                <w:noProof/>
                <w:webHidden/>
              </w:rPr>
              <w:fldChar w:fldCharType="end"/>
            </w:r>
          </w:hyperlink>
        </w:p>
        <w:p w:rsidR="003075A4" w:rsidRDefault="00A64D3F">
          <w:pPr>
            <w:pStyle w:val="TOC2"/>
            <w:tabs>
              <w:tab w:val="right" w:leader="dot" w:pos="9350"/>
            </w:tabs>
            <w:rPr>
              <w:rFonts w:asciiTheme="minorHAnsi" w:eastAsiaTheme="minorEastAsia" w:hAnsiTheme="minorHAnsi"/>
              <w:noProof/>
              <w:sz w:val="22"/>
            </w:rPr>
          </w:pPr>
          <w:hyperlink w:anchor="_Toc95502676" w:history="1">
            <w:r w:rsidR="003075A4" w:rsidRPr="000B761E">
              <w:rPr>
                <w:rStyle w:val="Hyperlink"/>
                <w:noProof/>
              </w:rPr>
              <w:t>Limitations that affects Financial Ratios</w:t>
            </w:r>
            <w:r w:rsidR="003075A4">
              <w:rPr>
                <w:noProof/>
                <w:webHidden/>
              </w:rPr>
              <w:tab/>
            </w:r>
            <w:r>
              <w:rPr>
                <w:noProof/>
                <w:webHidden/>
              </w:rPr>
              <w:fldChar w:fldCharType="begin"/>
            </w:r>
            <w:r w:rsidR="003075A4">
              <w:rPr>
                <w:noProof/>
                <w:webHidden/>
              </w:rPr>
              <w:instrText xml:space="preserve"> PAGEREF _Toc95502676 \h </w:instrText>
            </w:r>
            <w:r>
              <w:rPr>
                <w:noProof/>
                <w:webHidden/>
              </w:rPr>
            </w:r>
            <w:r>
              <w:rPr>
                <w:noProof/>
                <w:webHidden/>
              </w:rPr>
              <w:fldChar w:fldCharType="separate"/>
            </w:r>
            <w:r w:rsidR="003075A4">
              <w:rPr>
                <w:noProof/>
                <w:webHidden/>
              </w:rPr>
              <w:t>12</w:t>
            </w:r>
            <w:r>
              <w:rPr>
                <w:noProof/>
                <w:webHidden/>
              </w:rPr>
              <w:fldChar w:fldCharType="end"/>
            </w:r>
          </w:hyperlink>
        </w:p>
        <w:p w:rsidR="003075A4" w:rsidRDefault="00A64D3F">
          <w:pPr>
            <w:pStyle w:val="TOC1"/>
            <w:tabs>
              <w:tab w:val="right" w:leader="dot" w:pos="9350"/>
            </w:tabs>
            <w:rPr>
              <w:rFonts w:asciiTheme="minorHAnsi" w:eastAsiaTheme="minorEastAsia" w:hAnsiTheme="minorHAnsi"/>
              <w:noProof/>
              <w:sz w:val="22"/>
            </w:rPr>
          </w:pPr>
          <w:hyperlink w:anchor="_Toc95502677" w:history="1">
            <w:r w:rsidR="003075A4" w:rsidRPr="000B761E">
              <w:rPr>
                <w:rStyle w:val="Hyperlink"/>
                <w:noProof/>
              </w:rPr>
              <w:t>Conclusion</w:t>
            </w:r>
            <w:r w:rsidR="003075A4">
              <w:rPr>
                <w:noProof/>
                <w:webHidden/>
              </w:rPr>
              <w:tab/>
            </w:r>
            <w:r>
              <w:rPr>
                <w:noProof/>
                <w:webHidden/>
              </w:rPr>
              <w:fldChar w:fldCharType="begin"/>
            </w:r>
            <w:r w:rsidR="003075A4">
              <w:rPr>
                <w:noProof/>
                <w:webHidden/>
              </w:rPr>
              <w:instrText xml:space="preserve"> PAGEREF _Toc95502677 \h </w:instrText>
            </w:r>
            <w:r>
              <w:rPr>
                <w:noProof/>
                <w:webHidden/>
              </w:rPr>
            </w:r>
            <w:r>
              <w:rPr>
                <w:noProof/>
                <w:webHidden/>
              </w:rPr>
              <w:fldChar w:fldCharType="separate"/>
            </w:r>
            <w:r w:rsidR="003075A4">
              <w:rPr>
                <w:noProof/>
                <w:webHidden/>
              </w:rPr>
              <w:t>12</w:t>
            </w:r>
            <w:r>
              <w:rPr>
                <w:noProof/>
                <w:webHidden/>
              </w:rPr>
              <w:fldChar w:fldCharType="end"/>
            </w:r>
          </w:hyperlink>
        </w:p>
        <w:p w:rsidR="003075A4" w:rsidRDefault="00A64D3F">
          <w:pPr>
            <w:pStyle w:val="TOC1"/>
            <w:tabs>
              <w:tab w:val="right" w:leader="dot" w:pos="9350"/>
            </w:tabs>
            <w:rPr>
              <w:rFonts w:asciiTheme="minorHAnsi" w:eastAsiaTheme="minorEastAsia" w:hAnsiTheme="minorHAnsi"/>
              <w:noProof/>
              <w:sz w:val="22"/>
            </w:rPr>
          </w:pPr>
          <w:hyperlink w:anchor="_Toc95502678" w:history="1">
            <w:r w:rsidR="003075A4" w:rsidRPr="000B761E">
              <w:rPr>
                <w:rStyle w:val="Hyperlink"/>
                <w:noProof/>
              </w:rPr>
              <w:t>Reference</w:t>
            </w:r>
            <w:r w:rsidR="003075A4">
              <w:rPr>
                <w:noProof/>
                <w:webHidden/>
              </w:rPr>
              <w:tab/>
            </w:r>
            <w:r>
              <w:rPr>
                <w:noProof/>
                <w:webHidden/>
              </w:rPr>
              <w:fldChar w:fldCharType="begin"/>
            </w:r>
            <w:r w:rsidR="003075A4">
              <w:rPr>
                <w:noProof/>
                <w:webHidden/>
              </w:rPr>
              <w:instrText xml:space="preserve"> PAGEREF _Toc95502678 \h </w:instrText>
            </w:r>
            <w:r>
              <w:rPr>
                <w:noProof/>
                <w:webHidden/>
              </w:rPr>
            </w:r>
            <w:r>
              <w:rPr>
                <w:noProof/>
                <w:webHidden/>
              </w:rPr>
              <w:fldChar w:fldCharType="separate"/>
            </w:r>
            <w:r w:rsidR="003075A4">
              <w:rPr>
                <w:noProof/>
                <w:webHidden/>
              </w:rPr>
              <w:t>13</w:t>
            </w:r>
            <w:r>
              <w:rPr>
                <w:noProof/>
                <w:webHidden/>
              </w:rPr>
              <w:fldChar w:fldCharType="end"/>
            </w:r>
          </w:hyperlink>
        </w:p>
        <w:p w:rsidR="003075A4" w:rsidRDefault="00A64D3F">
          <w:r>
            <w:rPr>
              <w:b/>
              <w:bCs/>
              <w:noProof/>
            </w:rPr>
            <w:fldChar w:fldCharType="end"/>
          </w:r>
        </w:p>
      </w:sdtContent>
    </w:sdt>
    <w:p w:rsidR="002C2F3A" w:rsidRDefault="002C2F3A">
      <w:pPr>
        <w:spacing w:before="0" w:after="160" w:line="259" w:lineRule="auto"/>
        <w:jc w:val="left"/>
      </w:pPr>
      <w:r>
        <w:br w:type="page"/>
      </w:r>
    </w:p>
    <w:p w:rsidR="00587F11" w:rsidRDefault="00D03DC7" w:rsidP="00724127">
      <w:pPr>
        <w:pStyle w:val="Heading1"/>
      </w:pPr>
      <w:bookmarkStart w:id="1" w:name="_Toc95502662"/>
      <w:r>
        <w:lastRenderedPageBreak/>
        <w:t>Introduction</w:t>
      </w:r>
      <w:bookmarkEnd w:id="1"/>
    </w:p>
    <w:p w:rsidR="00D03DC7" w:rsidRDefault="004452FB" w:rsidP="002C2F3A">
      <w:r>
        <w:t xml:space="preserve">Jurys Inn a hotel group is currently operating its business in UK and Czech Republic. It is operating total 36 hotels across major cities in UK and there are 15 hotels operating with the brand name of Leonardo. The history of </w:t>
      </w:r>
      <w:r w:rsidR="00FA6229">
        <w:t>this</w:t>
      </w:r>
      <w:r>
        <w:t xml:space="preserve"> hotel group can </w:t>
      </w:r>
      <w:r w:rsidR="00FA6229">
        <w:t>be found in 1881 when a boarding house was opened in Dublin by William Jury. The company has skilled workforce of around 4000 employees</w:t>
      </w:r>
      <w:r w:rsidR="000848A6" w:rsidRPr="000848A6">
        <w:t xml:space="preserve"> (Jurys Inn, 2022)</w:t>
      </w:r>
      <w:r w:rsidR="00FA6229">
        <w:t xml:space="preserve">. In this report the financial condition of Jurys Inn will be analyzed and the necessity of financial ratios in hotel management will also be discussed.  </w:t>
      </w:r>
    </w:p>
    <w:p w:rsidR="00D03DC7" w:rsidRDefault="00D03DC7">
      <w:pPr>
        <w:spacing w:before="0" w:after="160" w:line="259" w:lineRule="auto"/>
        <w:jc w:val="left"/>
      </w:pPr>
      <w:r>
        <w:br w:type="page"/>
      </w:r>
    </w:p>
    <w:p w:rsidR="00D03DC7" w:rsidRDefault="00724127" w:rsidP="00724127">
      <w:pPr>
        <w:pStyle w:val="Heading1"/>
      </w:pPr>
      <w:bookmarkStart w:id="2" w:name="_Toc95502663"/>
      <w:r>
        <w:lastRenderedPageBreak/>
        <w:t>Financial Analysis</w:t>
      </w:r>
      <w:bookmarkEnd w:id="2"/>
    </w:p>
    <w:p w:rsidR="00724127" w:rsidRDefault="00A66BC2" w:rsidP="00A66BC2">
      <w:pPr>
        <w:pStyle w:val="Heading2"/>
      </w:pPr>
      <w:bookmarkStart w:id="3" w:name="_Toc95502664"/>
      <w:r>
        <w:t>Profitability ratio</w:t>
      </w:r>
      <w:r w:rsidR="00992628">
        <w:t>s</w:t>
      </w:r>
      <w:bookmarkEnd w:id="3"/>
    </w:p>
    <w:p w:rsidR="00A66BC2" w:rsidRPr="00A66BC2" w:rsidRDefault="00A66BC2" w:rsidP="002C2F3A">
      <w:pPr>
        <w:rPr>
          <w:rStyle w:val="Emphasis"/>
        </w:rPr>
      </w:pPr>
      <w:r w:rsidRPr="00A66BC2">
        <w:rPr>
          <w:rStyle w:val="Emphasis"/>
        </w:rPr>
        <w:t xml:space="preserve">i) Net-Profit Margin </w:t>
      </w:r>
    </w:p>
    <w:tbl>
      <w:tblPr>
        <w:tblStyle w:val="TableGrid"/>
        <w:tblW w:w="0" w:type="auto"/>
        <w:tblLook w:val="04A0"/>
      </w:tblPr>
      <w:tblGrid>
        <w:gridCol w:w="4045"/>
        <w:gridCol w:w="2610"/>
        <w:gridCol w:w="2695"/>
      </w:tblGrid>
      <w:tr w:rsidR="009333F9" w:rsidTr="00BF6743">
        <w:tc>
          <w:tcPr>
            <w:tcW w:w="4045" w:type="dxa"/>
          </w:tcPr>
          <w:p w:rsidR="009333F9" w:rsidRDefault="009333F9" w:rsidP="009333F9">
            <w:pPr>
              <w:spacing w:line="276" w:lineRule="auto"/>
            </w:pPr>
            <w:r>
              <w:t xml:space="preserve">Components </w:t>
            </w:r>
          </w:p>
        </w:tc>
        <w:tc>
          <w:tcPr>
            <w:tcW w:w="2610" w:type="dxa"/>
          </w:tcPr>
          <w:p w:rsidR="009333F9" w:rsidRDefault="009333F9" w:rsidP="009333F9">
            <w:pPr>
              <w:spacing w:line="276" w:lineRule="auto"/>
            </w:pPr>
            <w:r>
              <w:t>2019</w:t>
            </w:r>
          </w:p>
          <w:p w:rsidR="009333F9" w:rsidRDefault="009333F9" w:rsidP="009333F9">
            <w:pPr>
              <w:spacing w:line="276" w:lineRule="auto"/>
            </w:pPr>
            <w:r>
              <w:t>(,000)</w:t>
            </w:r>
          </w:p>
        </w:tc>
        <w:tc>
          <w:tcPr>
            <w:tcW w:w="2695" w:type="dxa"/>
          </w:tcPr>
          <w:p w:rsidR="009333F9" w:rsidRDefault="009333F9" w:rsidP="009333F9">
            <w:pPr>
              <w:spacing w:line="276" w:lineRule="auto"/>
            </w:pPr>
            <w:r>
              <w:t>2020</w:t>
            </w:r>
          </w:p>
          <w:p w:rsidR="009333F9" w:rsidRDefault="009333F9" w:rsidP="009333F9">
            <w:pPr>
              <w:spacing w:line="276" w:lineRule="auto"/>
            </w:pPr>
            <w:r>
              <w:t>(,000)</w:t>
            </w:r>
          </w:p>
        </w:tc>
      </w:tr>
      <w:tr w:rsidR="009333F9" w:rsidTr="00BF6743">
        <w:tc>
          <w:tcPr>
            <w:tcW w:w="4045" w:type="dxa"/>
          </w:tcPr>
          <w:p w:rsidR="009333F9" w:rsidRDefault="00BF6743" w:rsidP="009333F9">
            <w:pPr>
              <w:spacing w:line="276" w:lineRule="auto"/>
            </w:pPr>
            <w:r>
              <w:t xml:space="preserve">1. </w:t>
            </w:r>
            <w:r w:rsidR="009333F9">
              <w:t>Net-Profit</w:t>
            </w:r>
          </w:p>
        </w:tc>
        <w:tc>
          <w:tcPr>
            <w:tcW w:w="2610" w:type="dxa"/>
          </w:tcPr>
          <w:p w:rsidR="009333F9" w:rsidRDefault="00EF17B7" w:rsidP="009333F9">
            <w:pPr>
              <w:spacing w:line="276" w:lineRule="auto"/>
            </w:pPr>
            <w:r>
              <w:rPr>
                <w:rFonts w:cs="Arial"/>
              </w:rPr>
              <w:t>£</w:t>
            </w:r>
            <w:r w:rsidR="009333F9" w:rsidRPr="009226B8">
              <w:t>623</w:t>
            </w:r>
          </w:p>
        </w:tc>
        <w:tc>
          <w:tcPr>
            <w:tcW w:w="2695" w:type="dxa"/>
          </w:tcPr>
          <w:p w:rsidR="009333F9" w:rsidRDefault="00EF17B7" w:rsidP="009333F9">
            <w:pPr>
              <w:spacing w:line="276" w:lineRule="auto"/>
            </w:pPr>
            <w:r>
              <w:rPr>
                <w:rFonts w:cs="Arial"/>
              </w:rPr>
              <w:t>£</w:t>
            </w:r>
            <w:r w:rsidR="009333F9" w:rsidRPr="009226B8">
              <w:t>307</w:t>
            </w:r>
          </w:p>
        </w:tc>
      </w:tr>
      <w:tr w:rsidR="009333F9" w:rsidTr="00BF6743">
        <w:tc>
          <w:tcPr>
            <w:tcW w:w="4045" w:type="dxa"/>
          </w:tcPr>
          <w:p w:rsidR="009333F9" w:rsidRDefault="00BF6743" w:rsidP="009333F9">
            <w:pPr>
              <w:spacing w:line="276" w:lineRule="auto"/>
            </w:pPr>
            <w:r>
              <w:t xml:space="preserve">2. </w:t>
            </w:r>
            <w:r w:rsidR="009333F9">
              <w:t>Revenue</w:t>
            </w:r>
          </w:p>
        </w:tc>
        <w:tc>
          <w:tcPr>
            <w:tcW w:w="2610" w:type="dxa"/>
          </w:tcPr>
          <w:p w:rsidR="009333F9" w:rsidRDefault="00EF17B7" w:rsidP="009333F9">
            <w:pPr>
              <w:spacing w:line="276" w:lineRule="auto"/>
            </w:pPr>
            <w:r>
              <w:rPr>
                <w:rFonts w:cs="Arial"/>
              </w:rPr>
              <w:t>£</w:t>
            </w:r>
            <w:r w:rsidR="009333F9" w:rsidRPr="009226B8">
              <w:t>9</w:t>
            </w:r>
            <w:r w:rsidR="009333F9">
              <w:t>,</w:t>
            </w:r>
            <w:r w:rsidR="009333F9" w:rsidRPr="009226B8">
              <w:t>000</w:t>
            </w:r>
          </w:p>
        </w:tc>
        <w:tc>
          <w:tcPr>
            <w:tcW w:w="2695" w:type="dxa"/>
          </w:tcPr>
          <w:p w:rsidR="009333F9" w:rsidRDefault="00EF17B7" w:rsidP="009333F9">
            <w:pPr>
              <w:spacing w:line="276" w:lineRule="auto"/>
            </w:pPr>
            <w:r>
              <w:rPr>
                <w:rFonts w:cs="Arial"/>
              </w:rPr>
              <w:t>£</w:t>
            </w:r>
            <w:r w:rsidR="009333F9" w:rsidRPr="009333F9">
              <w:t>9,500</w:t>
            </w:r>
          </w:p>
        </w:tc>
      </w:tr>
      <w:tr w:rsidR="009333F9" w:rsidTr="00BF6743">
        <w:tc>
          <w:tcPr>
            <w:tcW w:w="4045" w:type="dxa"/>
          </w:tcPr>
          <w:p w:rsidR="009333F9" w:rsidRDefault="00BF6743" w:rsidP="009333F9">
            <w:pPr>
              <w:spacing w:line="276" w:lineRule="auto"/>
            </w:pPr>
            <w:r>
              <w:t xml:space="preserve">3. </w:t>
            </w:r>
            <w:r w:rsidR="009333F9">
              <w:t xml:space="preserve">Net-Profit Margin </w:t>
            </w:r>
            <w:r w:rsidR="00737F6F">
              <w:t>[(1) / (2) × 100]</w:t>
            </w:r>
          </w:p>
        </w:tc>
        <w:tc>
          <w:tcPr>
            <w:tcW w:w="2610" w:type="dxa"/>
          </w:tcPr>
          <w:p w:rsidR="009333F9" w:rsidRDefault="00EF17B7" w:rsidP="009333F9">
            <w:pPr>
              <w:spacing w:line="276" w:lineRule="auto"/>
            </w:pPr>
            <w:r>
              <w:t>6.92%</w:t>
            </w:r>
          </w:p>
        </w:tc>
        <w:tc>
          <w:tcPr>
            <w:tcW w:w="2695" w:type="dxa"/>
          </w:tcPr>
          <w:p w:rsidR="009333F9" w:rsidRDefault="00EF17B7" w:rsidP="009333F9">
            <w:pPr>
              <w:spacing w:line="276" w:lineRule="auto"/>
            </w:pPr>
            <w:r>
              <w:t>3.23%</w:t>
            </w:r>
          </w:p>
        </w:tc>
      </w:tr>
    </w:tbl>
    <w:p w:rsidR="00992628" w:rsidRDefault="00992628" w:rsidP="002C2F3A"/>
    <w:p w:rsidR="00992628" w:rsidRPr="00992628" w:rsidRDefault="00992628" w:rsidP="002C2F3A">
      <w:pPr>
        <w:rPr>
          <w:rStyle w:val="Emphasis"/>
        </w:rPr>
      </w:pPr>
      <w:r w:rsidRPr="00992628">
        <w:rPr>
          <w:rStyle w:val="Emphasis"/>
        </w:rPr>
        <w:t>ii) ROCE Ratio</w:t>
      </w:r>
    </w:p>
    <w:tbl>
      <w:tblPr>
        <w:tblStyle w:val="TableGrid"/>
        <w:tblW w:w="0" w:type="auto"/>
        <w:tblLook w:val="04A0"/>
      </w:tblPr>
      <w:tblGrid>
        <w:gridCol w:w="4045"/>
        <w:gridCol w:w="2610"/>
        <w:gridCol w:w="2695"/>
      </w:tblGrid>
      <w:tr w:rsidR="00BF6743" w:rsidTr="00BF6743">
        <w:tc>
          <w:tcPr>
            <w:tcW w:w="4045" w:type="dxa"/>
          </w:tcPr>
          <w:p w:rsidR="00BF6743" w:rsidRDefault="00BF6743" w:rsidP="00737F6F">
            <w:pPr>
              <w:spacing w:line="276" w:lineRule="auto"/>
            </w:pPr>
            <w:r>
              <w:t xml:space="preserve">Components </w:t>
            </w:r>
          </w:p>
        </w:tc>
        <w:tc>
          <w:tcPr>
            <w:tcW w:w="2610" w:type="dxa"/>
          </w:tcPr>
          <w:p w:rsidR="00BF6743" w:rsidRDefault="00BF6743" w:rsidP="00737F6F">
            <w:pPr>
              <w:spacing w:line="276" w:lineRule="auto"/>
            </w:pPr>
            <w:r>
              <w:t>2019</w:t>
            </w:r>
          </w:p>
          <w:p w:rsidR="00BF6743" w:rsidRDefault="00BF6743" w:rsidP="00737F6F">
            <w:pPr>
              <w:spacing w:line="276" w:lineRule="auto"/>
            </w:pPr>
            <w:r>
              <w:t>(,000)</w:t>
            </w:r>
          </w:p>
        </w:tc>
        <w:tc>
          <w:tcPr>
            <w:tcW w:w="2695" w:type="dxa"/>
          </w:tcPr>
          <w:p w:rsidR="00BF6743" w:rsidRDefault="00BF6743" w:rsidP="00737F6F">
            <w:pPr>
              <w:spacing w:line="276" w:lineRule="auto"/>
            </w:pPr>
            <w:r>
              <w:t>2020</w:t>
            </w:r>
          </w:p>
          <w:p w:rsidR="00BF6743" w:rsidRDefault="00BF6743" w:rsidP="00737F6F">
            <w:pPr>
              <w:spacing w:line="276" w:lineRule="auto"/>
            </w:pPr>
            <w:r>
              <w:t>(,000)</w:t>
            </w:r>
          </w:p>
        </w:tc>
      </w:tr>
      <w:tr w:rsidR="00BF6743" w:rsidTr="00BF6743">
        <w:tc>
          <w:tcPr>
            <w:tcW w:w="4045" w:type="dxa"/>
          </w:tcPr>
          <w:p w:rsidR="00BF6743" w:rsidRDefault="00BF6743" w:rsidP="00737F6F">
            <w:pPr>
              <w:spacing w:line="276" w:lineRule="auto"/>
            </w:pPr>
            <w:r>
              <w:t>1. EBIT</w:t>
            </w:r>
          </w:p>
        </w:tc>
        <w:tc>
          <w:tcPr>
            <w:tcW w:w="2610" w:type="dxa"/>
          </w:tcPr>
          <w:p w:rsidR="00BF6743" w:rsidRDefault="00737F6F" w:rsidP="00737F6F">
            <w:pPr>
              <w:spacing w:line="276" w:lineRule="auto"/>
            </w:pPr>
            <w:r>
              <w:rPr>
                <w:rFonts w:cs="Arial"/>
              </w:rPr>
              <w:t>£</w:t>
            </w:r>
            <w:r w:rsidR="00BF6743">
              <w:t>633</w:t>
            </w:r>
          </w:p>
        </w:tc>
        <w:tc>
          <w:tcPr>
            <w:tcW w:w="2695" w:type="dxa"/>
          </w:tcPr>
          <w:p w:rsidR="00BF6743" w:rsidRDefault="00737F6F" w:rsidP="00737F6F">
            <w:pPr>
              <w:spacing w:line="276" w:lineRule="auto"/>
            </w:pPr>
            <w:r>
              <w:rPr>
                <w:rFonts w:cs="Arial"/>
              </w:rPr>
              <w:t>£</w:t>
            </w:r>
            <w:r w:rsidR="00BF6743">
              <w:t>316</w:t>
            </w:r>
          </w:p>
        </w:tc>
      </w:tr>
      <w:tr w:rsidR="00BF6743" w:rsidTr="00BF6743">
        <w:tc>
          <w:tcPr>
            <w:tcW w:w="4045" w:type="dxa"/>
          </w:tcPr>
          <w:p w:rsidR="00BF6743" w:rsidRDefault="00BF6743" w:rsidP="00737F6F">
            <w:pPr>
              <w:spacing w:line="276" w:lineRule="auto"/>
            </w:pPr>
            <w:r>
              <w:t xml:space="preserve">2. Capital Employed </w:t>
            </w:r>
          </w:p>
          <w:p w:rsidR="00BF6743" w:rsidRDefault="00BF6743" w:rsidP="00737F6F">
            <w:pPr>
              <w:spacing w:line="276" w:lineRule="auto"/>
            </w:pPr>
            <w:r>
              <w:t>(Capital + Long-Term Liabilities)</w:t>
            </w:r>
          </w:p>
        </w:tc>
        <w:tc>
          <w:tcPr>
            <w:tcW w:w="2610" w:type="dxa"/>
          </w:tcPr>
          <w:p w:rsidR="00BF6743" w:rsidRDefault="00737F6F" w:rsidP="00737F6F">
            <w:pPr>
              <w:spacing w:line="276" w:lineRule="auto"/>
            </w:pPr>
            <w:r>
              <w:rPr>
                <w:rFonts w:cs="Arial"/>
              </w:rPr>
              <w:t>£</w:t>
            </w:r>
            <w:r w:rsidRPr="00737F6F">
              <w:t>2,684</w:t>
            </w:r>
          </w:p>
        </w:tc>
        <w:tc>
          <w:tcPr>
            <w:tcW w:w="2695" w:type="dxa"/>
          </w:tcPr>
          <w:p w:rsidR="00BF6743" w:rsidRDefault="00737F6F" w:rsidP="00737F6F">
            <w:pPr>
              <w:spacing w:line="276" w:lineRule="auto"/>
            </w:pPr>
            <w:r>
              <w:rPr>
                <w:rFonts w:cs="Arial"/>
              </w:rPr>
              <w:t>£</w:t>
            </w:r>
            <w:r w:rsidRPr="00737F6F">
              <w:t>3,014</w:t>
            </w:r>
          </w:p>
        </w:tc>
      </w:tr>
      <w:tr w:rsidR="00BF6743" w:rsidTr="00BF6743">
        <w:tc>
          <w:tcPr>
            <w:tcW w:w="4045" w:type="dxa"/>
          </w:tcPr>
          <w:p w:rsidR="00BF6743" w:rsidRDefault="00BF6743" w:rsidP="00737F6F">
            <w:pPr>
              <w:spacing w:line="276" w:lineRule="auto"/>
            </w:pPr>
            <w:r>
              <w:t>3. ROCE ratio [(1) / (2) × 100]</w:t>
            </w:r>
          </w:p>
        </w:tc>
        <w:tc>
          <w:tcPr>
            <w:tcW w:w="2610" w:type="dxa"/>
          </w:tcPr>
          <w:p w:rsidR="00BF6743" w:rsidRDefault="00737F6F" w:rsidP="00737F6F">
            <w:pPr>
              <w:spacing w:line="276" w:lineRule="auto"/>
            </w:pPr>
            <w:bookmarkStart w:id="4" w:name="_Hlk95472679"/>
            <w:r w:rsidRPr="00737F6F">
              <w:t>23.58%</w:t>
            </w:r>
            <w:bookmarkEnd w:id="4"/>
          </w:p>
        </w:tc>
        <w:tc>
          <w:tcPr>
            <w:tcW w:w="2695" w:type="dxa"/>
          </w:tcPr>
          <w:p w:rsidR="00BF6743" w:rsidRDefault="00737F6F" w:rsidP="00737F6F">
            <w:pPr>
              <w:spacing w:line="276" w:lineRule="auto"/>
            </w:pPr>
            <w:r w:rsidRPr="00737F6F">
              <w:t>10.48%</w:t>
            </w:r>
          </w:p>
        </w:tc>
      </w:tr>
    </w:tbl>
    <w:p w:rsidR="00BF6743" w:rsidRDefault="00BF6743" w:rsidP="002C2F3A"/>
    <w:p w:rsidR="00992628" w:rsidRPr="00737F6F" w:rsidRDefault="00BF6743" w:rsidP="002C2F3A">
      <w:pPr>
        <w:rPr>
          <w:rStyle w:val="Emphasis"/>
        </w:rPr>
      </w:pPr>
      <w:r w:rsidRPr="00737F6F">
        <w:rPr>
          <w:rStyle w:val="Emphasis"/>
        </w:rPr>
        <w:t>iii) ROA Ratio</w:t>
      </w:r>
    </w:p>
    <w:tbl>
      <w:tblPr>
        <w:tblStyle w:val="TableGrid"/>
        <w:tblW w:w="0" w:type="auto"/>
        <w:tblLook w:val="04A0"/>
      </w:tblPr>
      <w:tblGrid>
        <w:gridCol w:w="4045"/>
        <w:gridCol w:w="2610"/>
        <w:gridCol w:w="2695"/>
      </w:tblGrid>
      <w:tr w:rsidR="00737F6F" w:rsidTr="00737F6F">
        <w:tc>
          <w:tcPr>
            <w:tcW w:w="4045" w:type="dxa"/>
          </w:tcPr>
          <w:p w:rsidR="00737F6F" w:rsidRDefault="00737F6F" w:rsidP="00737F6F">
            <w:pPr>
              <w:spacing w:before="0" w:after="160" w:line="276" w:lineRule="auto"/>
              <w:jc w:val="left"/>
            </w:pPr>
            <w:bookmarkStart w:id="5" w:name="_Hlk95464765"/>
            <w:r>
              <w:t xml:space="preserve">Components </w:t>
            </w:r>
          </w:p>
        </w:tc>
        <w:tc>
          <w:tcPr>
            <w:tcW w:w="2610" w:type="dxa"/>
          </w:tcPr>
          <w:p w:rsidR="00737F6F" w:rsidRDefault="00737F6F" w:rsidP="00737F6F">
            <w:pPr>
              <w:spacing w:line="276" w:lineRule="auto"/>
            </w:pPr>
            <w:r>
              <w:t>2019</w:t>
            </w:r>
          </w:p>
          <w:p w:rsidR="00737F6F" w:rsidRDefault="00737F6F" w:rsidP="00737F6F">
            <w:pPr>
              <w:spacing w:before="0" w:after="160" w:line="276" w:lineRule="auto"/>
              <w:jc w:val="left"/>
            </w:pPr>
            <w:r>
              <w:t>(,000)</w:t>
            </w:r>
          </w:p>
        </w:tc>
        <w:tc>
          <w:tcPr>
            <w:tcW w:w="2695" w:type="dxa"/>
          </w:tcPr>
          <w:p w:rsidR="00737F6F" w:rsidRDefault="00737F6F" w:rsidP="00737F6F">
            <w:pPr>
              <w:spacing w:line="276" w:lineRule="auto"/>
            </w:pPr>
            <w:r>
              <w:t>2020</w:t>
            </w:r>
          </w:p>
          <w:p w:rsidR="00737F6F" w:rsidRDefault="00737F6F" w:rsidP="00737F6F">
            <w:pPr>
              <w:spacing w:before="0" w:after="160" w:line="276" w:lineRule="auto"/>
              <w:jc w:val="left"/>
            </w:pPr>
            <w:r>
              <w:t>(,000)</w:t>
            </w:r>
          </w:p>
        </w:tc>
      </w:tr>
      <w:bookmarkEnd w:id="5"/>
      <w:tr w:rsidR="00737F6F" w:rsidTr="00737F6F">
        <w:tc>
          <w:tcPr>
            <w:tcW w:w="4045" w:type="dxa"/>
          </w:tcPr>
          <w:p w:rsidR="00737F6F" w:rsidRDefault="00737F6F" w:rsidP="00737F6F">
            <w:pPr>
              <w:spacing w:before="0" w:after="160" w:line="276" w:lineRule="auto"/>
              <w:jc w:val="left"/>
            </w:pPr>
            <w:r>
              <w:t>1. Net-Profit</w:t>
            </w:r>
          </w:p>
        </w:tc>
        <w:tc>
          <w:tcPr>
            <w:tcW w:w="2610" w:type="dxa"/>
          </w:tcPr>
          <w:p w:rsidR="00737F6F" w:rsidRDefault="00737F6F" w:rsidP="00737F6F">
            <w:pPr>
              <w:spacing w:before="0" w:after="160" w:line="276" w:lineRule="auto"/>
              <w:jc w:val="left"/>
            </w:pPr>
            <w:r>
              <w:rPr>
                <w:rFonts w:cs="Arial"/>
              </w:rPr>
              <w:t>£</w:t>
            </w:r>
            <w:r w:rsidRPr="009226B8">
              <w:t>623</w:t>
            </w:r>
          </w:p>
        </w:tc>
        <w:tc>
          <w:tcPr>
            <w:tcW w:w="2695" w:type="dxa"/>
          </w:tcPr>
          <w:p w:rsidR="00737F6F" w:rsidRDefault="00737F6F" w:rsidP="00737F6F">
            <w:pPr>
              <w:spacing w:before="0" w:after="160" w:line="276" w:lineRule="auto"/>
              <w:jc w:val="left"/>
            </w:pPr>
            <w:r>
              <w:rPr>
                <w:rFonts w:cs="Arial"/>
              </w:rPr>
              <w:t>£</w:t>
            </w:r>
            <w:r w:rsidRPr="009226B8">
              <w:t>307</w:t>
            </w:r>
          </w:p>
        </w:tc>
      </w:tr>
      <w:tr w:rsidR="00737F6F" w:rsidTr="00737F6F">
        <w:tc>
          <w:tcPr>
            <w:tcW w:w="4045" w:type="dxa"/>
          </w:tcPr>
          <w:p w:rsidR="00737F6F" w:rsidRDefault="00737F6F" w:rsidP="00737F6F">
            <w:pPr>
              <w:spacing w:before="0" w:after="160" w:line="276" w:lineRule="auto"/>
              <w:jc w:val="left"/>
            </w:pPr>
            <w:r>
              <w:t xml:space="preserve">2. Total Assets </w:t>
            </w:r>
          </w:p>
        </w:tc>
        <w:tc>
          <w:tcPr>
            <w:tcW w:w="2610" w:type="dxa"/>
          </w:tcPr>
          <w:p w:rsidR="00737F6F" w:rsidRDefault="00737F6F" w:rsidP="00737F6F">
            <w:pPr>
              <w:spacing w:before="0" w:after="160" w:line="276" w:lineRule="auto"/>
              <w:jc w:val="left"/>
            </w:pPr>
            <w:r>
              <w:rPr>
                <w:rFonts w:cs="Arial"/>
              </w:rPr>
              <w:t xml:space="preserve">£ </w:t>
            </w:r>
            <w:r>
              <w:t>3,539</w:t>
            </w:r>
          </w:p>
        </w:tc>
        <w:tc>
          <w:tcPr>
            <w:tcW w:w="2695" w:type="dxa"/>
          </w:tcPr>
          <w:p w:rsidR="00737F6F" w:rsidRDefault="00737F6F" w:rsidP="00737F6F">
            <w:pPr>
              <w:spacing w:before="0" w:after="160" w:line="276" w:lineRule="auto"/>
              <w:jc w:val="left"/>
            </w:pPr>
            <w:r>
              <w:rPr>
                <w:rFonts w:cs="Arial"/>
              </w:rPr>
              <w:t xml:space="preserve">£ </w:t>
            </w:r>
            <w:r w:rsidRPr="00737F6F">
              <w:t>3,902</w:t>
            </w:r>
          </w:p>
        </w:tc>
      </w:tr>
      <w:tr w:rsidR="00737F6F" w:rsidTr="00737F6F">
        <w:tc>
          <w:tcPr>
            <w:tcW w:w="4045" w:type="dxa"/>
          </w:tcPr>
          <w:p w:rsidR="00737F6F" w:rsidRDefault="00737F6F" w:rsidP="00737F6F">
            <w:pPr>
              <w:spacing w:before="0" w:after="160" w:line="276" w:lineRule="auto"/>
              <w:jc w:val="left"/>
            </w:pPr>
            <w:r>
              <w:t>3. ROA ratio [(1) / (2) × 100]</w:t>
            </w:r>
          </w:p>
        </w:tc>
        <w:tc>
          <w:tcPr>
            <w:tcW w:w="2610" w:type="dxa"/>
          </w:tcPr>
          <w:p w:rsidR="00737F6F" w:rsidRDefault="00737F6F" w:rsidP="00737F6F">
            <w:pPr>
              <w:spacing w:before="0" w:after="160" w:line="276" w:lineRule="auto"/>
              <w:jc w:val="left"/>
            </w:pPr>
            <w:r>
              <w:t>17.60%</w:t>
            </w:r>
          </w:p>
        </w:tc>
        <w:tc>
          <w:tcPr>
            <w:tcW w:w="2695" w:type="dxa"/>
          </w:tcPr>
          <w:p w:rsidR="00737F6F" w:rsidRDefault="00737F6F" w:rsidP="00737F6F">
            <w:pPr>
              <w:spacing w:before="0" w:after="160" w:line="276" w:lineRule="auto"/>
              <w:jc w:val="left"/>
            </w:pPr>
            <w:r>
              <w:t>7.87%</w:t>
            </w:r>
          </w:p>
        </w:tc>
      </w:tr>
    </w:tbl>
    <w:p w:rsidR="00077603" w:rsidRDefault="00077603" w:rsidP="00077603">
      <w:pPr>
        <w:pStyle w:val="Heading2"/>
      </w:pPr>
      <w:bookmarkStart w:id="6" w:name="_Toc95502665"/>
      <w:r>
        <w:lastRenderedPageBreak/>
        <w:t>Liquidity Ratios</w:t>
      </w:r>
      <w:bookmarkEnd w:id="6"/>
    </w:p>
    <w:p w:rsidR="00077603" w:rsidRPr="001B6CC4" w:rsidRDefault="00077603">
      <w:pPr>
        <w:spacing w:before="0" w:after="160" w:line="259" w:lineRule="auto"/>
        <w:jc w:val="left"/>
        <w:rPr>
          <w:rStyle w:val="Emphasis"/>
        </w:rPr>
      </w:pPr>
      <w:r w:rsidRPr="001B6CC4">
        <w:rPr>
          <w:rStyle w:val="Emphasis"/>
        </w:rPr>
        <w:t>i) Current Ratio</w:t>
      </w:r>
    </w:p>
    <w:tbl>
      <w:tblPr>
        <w:tblStyle w:val="TableGrid"/>
        <w:tblW w:w="0" w:type="auto"/>
        <w:tblLook w:val="04A0"/>
      </w:tblPr>
      <w:tblGrid>
        <w:gridCol w:w="4045"/>
        <w:gridCol w:w="2610"/>
        <w:gridCol w:w="2695"/>
      </w:tblGrid>
      <w:tr w:rsidR="00077603" w:rsidTr="00077603">
        <w:tc>
          <w:tcPr>
            <w:tcW w:w="4045" w:type="dxa"/>
          </w:tcPr>
          <w:p w:rsidR="00077603" w:rsidRDefault="00077603" w:rsidP="0041014E">
            <w:pPr>
              <w:spacing w:before="0" w:after="160" w:line="276" w:lineRule="auto"/>
              <w:jc w:val="left"/>
            </w:pPr>
            <w:r>
              <w:t xml:space="preserve">Components </w:t>
            </w:r>
          </w:p>
        </w:tc>
        <w:tc>
          <w:tcPr>
            <w:tcW w:w="2610" w:type="dxa"/>
          </w:tcPr>
          <w:p w:rsidR="00077603" w:rsidRDefault="00077603" w:rsidP="0041014E">
            <w:pPr>
              <w:spacing w:line="276" w:lineRule="auto"/>
            </w:pPr>
            <w:r>
              <w:t>2019</w:t>
            </w:r>
          </w:p>
          <w:p w:rsidR="00077603" w:rsidRDefault="00077603" w:rsidP="0041014E">
            <w:pPr>
              <w:spacing w:before="0" w:after="160" w:line="276" w:lineRule="auto"/>
              <w:jc w:val="left"/>
            </w:pPr>
            <w:r>
              <w:t>(,000)</w:t>
            </w:r>
          </w:p>
        </w:tc>
        <w:tc>
          <w:tcPr>
            <w:tcW w:w="2695" w:type="dxa"/>
          </w:tcPr>
          <w:p w:rsidR="00077603" w:rsidRDefault="00077603" w:rsidP="0041014E">
            <w:pPr>
              <w:spacing w:line="276" w:lineRule="auto"/>
            </w:pPr>
            <w:r>
              <w:t>2020</w:t>
            </w:r>
          </w:p>
          <w:p w:rsidR="00077603" w:rsidRDefault="00077603" w:rsidP="0041014E">
            <w:pPr>
              <w:spacing w:before="0" w:after="160" w:line="276" w:lineRule="auto"/>
              <w:jc w:val="left"/>
            </w:pPr>
            <w:r>
              <w:t>(,000)</w:t>
            </w:r>
          </w:p>
        </w:tc>
      </w:tr>
      <w:tr w:rsidR="00077603" w:rsidTr="00077603">
        <w:tc>
          <w:tcPr>
            <w:tcW w:w="4045" w:type="dxa"/>
          </w:tcPr>
          <w:p w:rsidR="00077603" w:rsidRDefault="001B6CC4" w:rsidP="0041014E">
            <w:pPr>
              <w:spacing w:before="0" w:after="160" w:line="276" w:lineRule="auto"/>
              <w:jc w:val="left"/>
            </w:pPr>
            <w:r>
              <w:t xml:space="preserve">1. </w:t>
            </w:r>
            <w:r w:rsidR="00077603" w:rsidRPr="00077603">
              <w:t>Current Assets</w:t>
            </w:r>
          </w:p>
        </w:tc>
        <w:tc>
          <w:tcPr>
            <w:tcW w:w="2610" w:type="dxa"/>
          </w:tcPr>
          <w:p w:rsidR="00077603" w:rsidRDefault="0041014E" w:rsidP="0041014E">
            <w:pPr>
              <w:spacing w:before="0" w:after="160" w:line="276" w:lineRule="auto"/>
              <w:jc w:val="left"/>
            </w:pPr>
            <w:r>
              <w:rPr>
                <w:rFonts w:cs="Arial"/>
              </w:rPr>
              <w:t>£</w:t>
            </w:r>
            <w:r w:rsidRPr="0041014E">
              <w:t>1,839</w:t>
            </w:r>
          </w:p>
        </w:tc>
        <w:tc>
          <w:tcPr>
            <w:tcW w:w="2695" w:type="dxa"/>
          </w:tcPr>
          <w:p w:rsidR="00077603" w:rsidRDefault="0041014E" w:rsidP="0041014E">
            <w:pPr>
              <w:spacing w:before="0" w:after="160" w:line="276" w:lineRule="auto"/>
              <w:jc w:val="left"/>
            </w:pPr>
            <w:r>
              <w:rPr>
                <w:rFonts w:cs="Arial"/>
              </w:rPr>
              <w:t>£</w:t>
            </w:r>
            <w:r w:rsidRPr="0041014E">
              <w:t>2,152</w:t>
            </w:r>
          </w:p>
        </w:tc>
      </w:tr>
      <w:tr w:rsidR="00077603" w:rsidTr="00077603">
        <w:tc>
          <w:tcPr>
            <w:tcW w:w="4045" w:type="dxa"/>
          </w:tcPr>
          <w:p w:rsidR="00077603" w:rsidRDefault="001B6CC4" w:rsidP="0041014E">
            <w:pPr>
              <w:spacing w:before="0" w:after="160" w:line="276" w:lineRule="auto"/>
              <w:jc w:val="left"/>
            </w:pPr>
            <w:r>
              <w:t xml:space="preserve">2. </w:t>
            </w:r>
            <w:r w:rsidR="00077603" w:rsidRPr="00077603">
              <w:t xml:space="preserve">Current </w:t>
            </w:r>
            <w:r w:rsidR="00077603">
              <w:t>Liabilities</w:t>
            </w:r>
          </w:p>
        </w:tc>
        <w:tc>
          <w:tcPr>
            <w:tcW w:w="2610" w:type="dxa"/>
          </w:tcPr>
          <w:p w:rsidR="00077603" w:rsidRDefault="0041014E" w:rsidP="0041014E">
            <w:pPr>
              <w:spacing w:before="0" w:after="160" w:line="276" w:lineRule="auto"/>
              <w:jc w:val="left"/>
            </w:pPr>
            <w:r>
              <w:rPr>
                <w:rFonts w:cs="Arial"/>
              </w:rPr>
              <w:t>£</w:t>
            </w:r>
            <w:r w:rsidRPr="0041014E">
              <w:t>855</w:t>
            </w:r>
          </w:p>
        </w:tc>
        <w:tc>
          <w:tcPr>
            <w:tcW w:w="2695" w:type="dxa"/>
          </w:tcPr>
          <w:p w:rsidR="00077603" w:rsidRDefault="0041014E" w:rsidP="0041014E">
            <w:pPr>
              <w:spacing w:before="0" w:after="160" w:line="276" w:lineRule="auto"/>
              <w:jc w:val="left"/>
            </w:pPr>
            <w:r>
              <w:rPr>
                <w:rFonts w:cs="Arial"/>
              </w:rPr>
              <w:t>£</w:t>
            </w:r>
            <w:r w:rsidRPr="00D40C9F">
              <w:t>888</w:t>
            </w:r>
          </w:p>
        </w:tc>
      </w:tr>
      <w:tr w:rsidR="00077603" w:rsidTr="00077603">
        <w:tc>
          <w:tcPr>
            <w:tcW w:w="4045" w:type="dxa"/>
          </w:tcPr>
          <w:p w:rsidR="00077603" w:rsidRDefault="001B6CC4" w:rsidP="0041014E">
            <w:pPr>
              <w:spacing w:before="0" w:after="160" w:line="276" w:lineRule="auto"/>
              <w:jc w:val="left"/>
            </w:pPr>
            <w:r>
              <w:t xml:space="preserve">3. </w:t>
            </w:r>
            <w:r w:rsidR="0041014E" w:rsidRPr="0041014E">
              <w:t>Current ratio</w:t>
            </w:r>
            <w:r>
              <w:t xml:space="preserve"> [(1) / (2)]</w:t>
            </w:r>
          </w:p>
        </w:tc>
        <w:tc>
          <w:tcPr>
            <w:tcW w:w="2610" w:type="dxa"/>
          </w:tcPr>
          <w:p w:rsidR="00077603" w:rsidRDefault="0041014E" w:rsidP="0041014E">
            <w:pPr>
              <w:spacing w:before="0" w:after="160" w:line="276" w:lineRule="auto"/>
              <w:jc w:val="left"/>
            </w:pPr>
            <w:r w:rsidRPr="0041014E">
              <w:t>2.15</w:t>
            </w:r>
          </w:p>
        </w:tc>
        <w:tc>
          <w:tcPr>
            <w:tcW w:w="2695" w:type="dxa"/>
          </w:tcPr>
          <w:p w:rsidR="00077603" w:rsidRDefault="0041014E" w:rsidP="0041014E">
            <w:pPr>
              <w:spacing w:before="0" w:after="160" w:line="276" w:lineRule="auto"/>
              <w:jc w:val="left"/>
            </w:pPr>
            <w:r w:rsidRPr="0041014E">
              <w:t>2.42</w:t>
            </w:r>
          </w:p>
        </w:tc>
      </w:tr>
    </w:tbl>
    <w:p w:rsidR="0041014E" w:rsidRDefault="0041014E">
      <w:pPr>
        <w:spacing w:before="0" w:after="160" w:line="259" w:lineRule="auto"/>
        <w:jc w:val="left"/>
      </w:pPr>
    </w:p>
    <w:p w:rsidR="0041014E" w:rsidRPr="001B6CC4" w:rsidRDefault="0041014E">
      <w:pPr>
        <w:spacing w:before="0" w:after="160" w:line="259" w:lineRule="auto"/>
        <w:jc w:val="left"/>
        <w:rPr>
          <w:rStyle w:val="Emphasis"/>
        </w:rPr>
      </w:pPr>
      <w:r w:rsidRPr="001B6CC4">
        <w:rPr>
          <w:rStyle w:val="Emphasis"/>
        </w:rPr>
        <w:t xml:space="preserve">ii) Quick Ratio </w:t>
      </w:r>
    </w:p>
    <w:tbl>
      <w:tblPr>
        <w:tblStyle w:val="TableGrid"/>
        <w:tblW w:w="0" w:type="auto"/>
        <w:tblLook w:val="04A0"/>
      </w:tblPr>
      <w:tblGrid>
        <w:gridCol w:w="4045"/>
        <w:gridCol w:w="2610"/>
        <w:gridCol w:w="2695"/>
      </w:tblGrid>
      <w:tr w:rsidR="001B6CC4" w:rsidTr="0041014E">
        <w:tc>
          <w:tcPr>
            <w:tcW w:w="4045" w:type="dxa"/>
          </w:tcPr>
          <w:p w:rsidR="001B6CC4" w:rsidRDefault="001B6CC4" w:rsidP="00A83EB8">
            <w:pPr>
              <w:spacing w:before="0" w:after="160" w:line="276" w:lineRule="auto"/>
              <w:jc w:val="left"/>
            </w:pPr>
            <w:bookmarkStart w:id="7" w:name="_Hlk95466173"/>
            <w:r>
              <w:t xml:space="preserve">Components </w:t>
            </w:r>
          </w:p>
        </w:tc>
        <w:tc>
          <w:tcPr>
            <w:tcW w:w="2610" w:type="dxa"/>
          </w:tcPr>
          <w:p w:rsidR="001B6CC4" w:rsidRDefault="001B6CC4" w:rsidP="00A83EB8">
            <w:pPr>
              <w:spacing w:line="276" w:lineRule="auto"/>
            </w:pPr>
            <w:r>
              <w:t>2019</w:t>
            </w:r>
          </w:p>
          <w:p w:rsidR="001B6CC4" w:rsidRDefault="001B6CC4" w:rsidP="00A83EB8">
            <w:pPr>
              <w:spacing w:before="0" w:after="160" w:line="276" w:lineRule="auto"/>
              <w:jc w:val="left"/>
            </w:pPr>
            <w:r>
              <w:t>(,000)</w:t>
            </w:r>
          </w:p>
        </w:tc>
        <w:tc>
          <w:tcPr>
            <w:tcW w:w="2695" w:type="dxa"/>
          </w:tcPr>
          <w:p w:rsidR="001B6CC4" w:rsidRDefault="001B6CC4" w:rsidP="00A83EB8">
            <w:pPr>
              <w:spacing w:line="276" w:lineRule="auto"/>
            </w:pPr>
            <w:r>
              <w:t>2020</w:t>
            </w:r>
          </w:p>
          <w:p w:rsidR="001B6CC4" w:rsidRDefault="001B6CC4" w:rsidP="00A83EB8">
            <w:pPr>
              <w:spacing w:before="0" w:after="160" w:line="276" w:lineRule="auto"/>
              <w:jc w:val="left"/>
            </w:pPr>
            <w:r>
              <w:t>(,000)</w:t>
            </w:r>
          </w:p>
        </w:tc>
      </w:tr>
      <w:bookmarkEnd w:id="7"/>
      <w:tr w:rsidR="0041014E" w:rsidTr="0041014E">
        <w:tc>
          <w:tcPr>
            <w:tcW w:w="4045" w:type="dxa"/>
          </w:tcPr>
          <w:p w:rsidR="0041014E" w:rsidRDefault="001B6CC4" w:rsidP="00A83EB8">
            <w:pPr>
              <w:spacing w:before="0" w:after="160" w:line="276" w:lineRule="auto"/>
              <w:jc w:val="left"/>
            </w:pPr>
            <w:r>
              <w:t>1. Current Asset less Stocks</w:t>
            </w:r>
          </w:p>
        </w:tc>
        <w:tc>
          <w:tcPr>
            <w:tcW w:w="2610" w:type="dxa"/>
          </w:tcPr>
          <w:p w:rsidR="0041014E" w:rsidRDefault="001B6CC4" w:rsidP="00A83EB8">
            <w:pPr>
              <w:spacing w:before="0" w:after="160" w:line="276" w:lineRule="auto"/>
              <w:jc w:val="left"/>
            </w:pPr>
            <w:r>
              <w:rPr>
                <w:rFonts w:cs="Arial"/>
              </w:rPr>
              <w:t>£</w:t>
            </w:r>
            <w:r>
              <w:t xml:space="preserve"> 1,139</w:t>
            </w:r>
          </w:p>
        </w:tc>
        <w:tc>
          <w:tcPr>
            <w:tcW w:w="2695" w:type="dxa"/>
          </w:tcPr>
          <w:p w:rsidR="0041014E" w:rsidRDefault="001B6CC4" w:rsidP="00A83EB8">
            <w:pPr>
              <w:spacing w:before="0" w:after="160" w:line="276" w:lineRule="auto"/>
              <w:jc w:val="left"/>
            </w:pPr>
            <w:r>
              <w:rPr>
                <w:rFonts w:cs="Arial"/>
              </w:rPr>
              <w:t>£</w:t>
            </w:r>
            <w:r>
              <w:t xml:space="preserve"> 1,402</w:t>
            </w:r>
          </w:p>
        </w:tc>
      </w:tr>
      <w:tr w:rsidR="001B6CC4" w:rsidTr="0041014E">
        <w:tc>
          <w:tcPr>
            <w:tcW w:w="4045" w:type="dxa"/>
          </w:tcPr>
          <w:p w:rsidR="001B6CC4" w:rsidRDefault="001B6CC4" w:rsidP="00A83EB8">
            <w:pPr>
              <w:spacing w:before="0" w:after="160" w:line="276" w:lineRule="auto"/>
              <w:jc w:val="left"/>
            </w:pPr>
            <w:r>
              <w:t xml:space="preserve">2. </w:t>
            </w:r>
            <w:r w:rsidRPr="00077603">
              <w:t xml:space="preserve">Current </w:t>
            </w:r>
            <w:r>
              <w:t>Liabilities</w:t>
            </w:r>
          </w:p>
        </w:tc>
        <w:tc>
          <w:tcPr>
            <w:tcW w:w="2610" w:type="dxa"/>
          </w:tcPr>
          <w:p w:rsidR="001B6CC4" w:rsidRDefault="001B6CC4" w:rsidP="00A83EB8">
            <w:pPr>
              <w:spacing w:before="0" w:after="160" w:line="276" w:lineRule="auto"/>
              <w:jc w:val="left"/>
            </w:pPr>
            <w:r>
              <w:rPr>
                <w:rFonts w:cs="Arial"/>
              </w:rPr>
              <w:t>£</w:t>
            </w:r>
            <w:r w:rsidRPr="0041014E">
              <w:t>855</w:t>
            </w:r>
          </w:p>
        </w:tc>
        <w:tc>
          <w:tcPr>
            <w:tcW w:w="2695" w:type="dxa"/>
          </w:tcPr>
          <w:p w:rsidR="001B6CC4" w:rsidRDefault="001B6CC4" w:rsidP="00A83EB8">
            <w:pPr>
              <w:spacing w:before="0" w:after="160" w:line="276" w:lineRule="auto"/>
              <w:jc w:val="left"/>
            </w:pPr>
            <w:r>
              <w:rPr>
                <w:rFonts w:cs="Arial"/>
              </w:rPr>
              <w:t>£</w:t>
            </w:r>
            <w:r w:rsidRPr="00D40C9F">
              <w:t>888</w:t>
            </w:r>
          </w:p>
        </w:tc>
      </w:tr>
      <w:tr w:rsidR="001B6CC4" w:rsidTr="0041014E">
        <w:tc>
          <w:tcPr>
            <w:tcW w:w="4045" w:type="dxa"/>
          </w:tcPr>
          <w:p w:rsidR="001B6CC4" w:rsidRDefault="001B6CC4" w:rsidP="00A83EB8">
            <w:pPr>
              <w:spacing w:before="0" w:after="160" w:line="276" w:lineRule="auto"/>
              <w:jc w:val="left"/>
            </w:pPr>
            <w:r>
              <w:t>3. Quick Ratio [(1) / (2)]</w:t>
            </w:r>
          </w:p>
        </w:tc>
        <w:tc>
          <w:tcPr>
            <w:tcW w:w="2610" w:type="dxa"/>
          </w:tcPr>
          <w:p w:rsidR="001B6CC4" w:rsidRDefault="001B6CC4" w:rsidP="00A83EB8">
            <w:pPr>
              <w:spacing w:before="0" w:after="160" w:line="276" w:lineRule="auto"/>
              <w:jc w:val="left"/>
            </w:pPr>
            <w:r w:rsidRPr="001B6CC4">
              <w:t>1.33</w:t>
            </w:r>
          </w:p>
        </w:tc>
        <w:tc>
          <w:tcPr>
            <w:tcW w:w="2695" w:type="dxa"/>
          </w:tcPr>
          <w:p w:rsidR="001B6CC4" w:rsidRDefault="001B6CC4" w:rsidP="00A83EB8">
            <w:pPr>
              <w:spacing w:before="0" w:after="160" w:line="276" w:lineRule="auto"/>
              <w:jc w:val="left"/>
            </w:pPr>
            <w:r w:rsidRPr="001B6CC4">
              <w:t>1.58</w:t>
            </w:r>
          </w:p>
        </w:tc>
      </w:tr>
    </w:tbl>
    <w:p w:rsidR="001B6CC4" w:rsidRDefault="001B6CC4">
      <w:pPr>
        <w:spacing w:before="0" w:after="160" w:line="259" w:lineRule="auto"/>
        <w:jc w:val="left"/>
      </w:pPr>
    </w:p>
    <w:p w:rsidR="001B6CC4" w:rsidRDefault="001B6CC4" w:rsidP="001B6CC4">
      <w:pPr>
        <w:pStyle w:val="Heading2"/>
      </w:pPr>
      <w:bookmarkStart w:id="8" w:name="_Toc95502666"/>
      <w:r>
        <w:t>Gearing Ratios</w:t>
      </w:r>
      <w:bookmarkEnd w:id="8"/>
    </w:p>
    <w:p w:rsidR="001B6CC4" w:rsidRPr="00A83EB8" w:rsidRDefault="001B6CC4">
      <w:pPr>
        <w:spacing w:before="0" w:after="160" w:line="259" w:lineRule="auto"/>
        <w:jc w:val="left"/>
        <w:rPr>
          <w:rStyle w:val="Emphasis"/>
        </w:rPr>
      </w:pPr>
      <w:r w:rsidRPr="00A83EB8">
        <w:rPr>
          <w:rStyle w:val="Emphasis"/>
        </w:rPr>
        <w:t>i) Debt-to-Equity Ratio</w:t>
      </w:r>
    </w:p>
    <w:tbl>
      <w:tblPr>
        <w:tblStyle w:val="TableGrid"/>
        <w:tblW w:w="0" w:type="auto"/>
        <w:tblLook w:val="04A0"/>
      </w:tblPr>
      <w:tblGrid>
        <w:gridCol w:w="4045"/>
        <w:gridCol w:w="2700"/>
        <w:gridCol w:w="2605"/>
      </w:tblGrid>
      <w:tr w:rsidR="00A83EB8" w:rsidTr="00A83EB8">
        <w:tc>
          <w:tcPr>
            <w:tcW w:w="4045" w:type="dxa"/>
          </w:tcPr>
          <w:p w:rsidR="00A83EB8" w:rsidRDefault="00A83EB8" w:rsidP="00A83EB8">
            <w:pPr>
              <w:spacing w:before="0" w:after="160" w:line="276" w:lineRule="auto"/>
              <w:jc w:val="left"/>
            </w:pPr>
            <w:r>
              <w:t xml:space="preserve">Components </w:t>
            </w:r>
          </w:p>
        </w:tc>
        <w:tc>
          <w:tcPr>
            <w:tcW w:w="2700" w:type="dxa"/>
          </w:tcPr>
          <w:p w:rsidR="00A83EB8" w:rsidRDefault="00A83EB8" w:rsidP="00A83EB8">
            <w:pPr>
              <w:spacing w:line="276" w:lineRule="auto"/>
            </w:pPr>
            <w:r>
              <w:t>2019</w:t>
            </w:r>
          </w:p>
          <w:p w:rsidR="00A83EB8" w:rsidRDefault="00A83EB8" w:rsidP="00A83EB8">
            <w:pPr>
              <w:spacing w:before="0" w:after="160" w:line="276" w:lineRule="auto"/>
              <w:jc w:val="left"/>
            </w:pPr>
            <w:r>
              <w:t>(,000)</w:t>
            </w:r>
          </w:p>
        </w:tc>
        <w:tc>
          <w:tcPr>
            <w:tcW w:w="2605" w:type="dxa"/>
          </w:tcPr>
          <w:p w:rsidR="00A83EB8" w:rsidRDefault="00A83EB8" w:rsidP="00A83EB8">
            <w:pPr>
              <w:spacing w:line="276" w:lineRule="auto"/>
            </w:pPr>
            <w:r>
              <w:t>2020</w:t>
            </w:r>
          </w:p>
          <w:p w:rsidR="00A83EB8" w:rsidRDefault="00A83EB8" w:rsidP="00A83EB8">
            <w:pPr>
              <w:spacing w:before="0" w:after="160" w:line="276" w:lineRule="auto"/>
              <w:jc w:val="left"/>
            </w:pPr>
            <w:r>
              <w:t>(,000)</w:t>
            </w:r>
          </w:p>
        </w:tc>
      </w:tr>
      <w:tr w:rsidR="00A83EB8" w:rsidTr="00A83EB8">
        <w:tc>
          <w:tcPr>
            <w:tcW w:w="4045" w:type="dxa"/>
          </w:tcPr>
          <w:p w:rsidR="00A83EB8" w:rsidRDefault="00A83EB8" w:rsidP="00A83EB8">
            <w:pPr>
              <w:spacing w:before="0" w:after="160" w:line="276" w:lineRule="auto"/>
              <w:jc w:val="left"/>
            </w:pPr>
            <w:r>
              <w:t xml:space="preserve">1. </w:t>
            </w:r>
            <w:r w:rsidRPr="00A83EB8">
              <w:t>Total Debt</w:t>
            </w:r>
          </w:p>
        </w:tc>
        <w:tc>
          <w:tcPr>
            <w:tcW w:w="2700" w:type="dxa"/>
          </w:tcPr>
          <w:p w:rsidR="00A83EB8" w:rsidRDefault="00A83EB8" w:rsidP="00A83EB8">
            <w:pPr>
              <w:spacing w:before="0" w:after="160" w:line="276" w:lineRule="auto"/>
              <w:jc w:val="left"/>
            </w:pPr>
            <w:r>
              <w:rPr>
                <w:rFonts w:cs="Arial"/>
              </w:rPr>
              <w:t>£</w:t>
            </w:r>
            <w:r>
              <w:t xml:space="preserve"> 1,005</w:t>
            </w:r>
          </w:p>
        </w:tc>
        <w:tc>
          <w:tcPr>
            <w:tcW w:w="2605" w:type="dxa"/>
          </w:tcPr>
          <w:p w:rsidR="00A83EB8" w:rsidRDefault="00A83EB8" w:rsidP="00A83EB8">
            <w:pPr>
              <w:spacing w:before="0" w:after="160" w:line="276" w:lineRule="auto"/>
              <w:jc w:val="left"/>
            </w:pPr>
            <w:r>
              <w:rPr>
                <w:rFonts w:cs="Arial"/>
              </w:rPr>
              <w:t>£</w:t>
            </w:r>
            <w:r w:rsidRPr="00A83EB8">
              <w:t>2,534</w:t>
            </w:r>
          </w:p>
        </w:tc>
      </w:tr>
      <w:tr w:rsidR="00A83EB8" w:rsidTr="00A83EB8">
        <w:tc>
          <w:tcPr>
            <w:tcW w:w="4045" w:type="dxa"/>
          </w:tcPr>
          <w:p w:rsidR="00A83EB8" w:rsidRDefault="00A83EB8" w:rsidP="00A83EB8">
            <w:pPr>
              <w:spacing w:before="0" w:after="160" w:line="276" w:lineRule="auto"/>
              <w:jc w:val="left"/>
            </w:pPr>
            <w:r>
              <w:t xml:space="preserve">2. </w:t>
            </w:r>
            <w:r w:rsidRPr="00A83EB8">
              <w:t>Total Equity</w:t>
            </w:r>
          </w:p>
        </w:tc>
        <w:tc>
          <w:tcPr>
            <w:tcW w:w="2700" w:type="dxa"/>
          </w:tcPr>
          <w:p w:rsidR="00A83EB8" w:rsidRDefault="00A83EB8" w:rsidP="00A83EB8">
            <w:pPr>
              <w:spacing w:before="0" w:after="160" w:line="276" w:lineRule="auto"/>
              <w:jc w:val="left"/>
            </w:pPr>
            <w:r>
              <w:rPr>
                <w:rFonts w:cs="Arial"/>
              </w:rPr>
              <w:t>£</w:t>
            </w:r>
            <w:r w:rsidRPr="00A83EB8">
              <w:t>1,038</w:t>
            </w:r>
          </w:p>
        </w:tc>
        <w:tc>
          <w:tcPr>
            <w:tcW w:w="2605" w:type="dxa"/>
          </w:tcPr>
          <w:p w:rsidR="00A83EB8" w:rsidRDefault="00A83EB8" w:rsidP="00A83EB8">
            <w:pPr>
              <w:spacing w:before="0" w:after="160" w:line="276" w:lineRule="auto"/>
              <w:jc w:val="left"/>
            </w:pPr>
            <w:r>
              <w:rPr>
                <w:rFonts w:cs="Arial"/>
              </w:rPr>
              <w:t>£</w:t>
            </w:r>
            <w:r w:rsidRPr="00A83EB8">
              <w:t>2,864</w:t>
            </w:r>
          </w:p>
        </w:tc>
      </w:tr>
      <w:tr w:rsidR="00A83EB8" w:rsidTr="00A83EB8">
        <w:tc>
          <w:tcPr>
            <w:tcW w:w="4045" w:type="dxa"/>
          </w:tcPr>
          <w:p w:rsidR="006641FF" w:rsidRDefault="00A83EB8" w:rsidP="00A83EB8">
            <w:pPr>
              <w:spacing w:before="0" w:after="160" w:line="276" w:lineRule="auto"/>
              <w:jc w:val="left"/>
            </w:pPr>
            <w:r>
              <w:t>3. Debt-to-Equity Ratio</w:t>
            </w:r>
          </w:p>
          <w:p w:rsidR="00A83EB8" w:rsidRDefault="00860412" w:rsidP="00A83EB8">
            <w:pPr>
              <w:spacing w:before="0" w:after="160" w:line="276" w:lineRule="auto"/>
              <w:jc w:val="left"/>
            </w:pPr>
            <w:r>
              <w:t>[(1) / (2)</w:t>
            </w:r>
            <w:r w:rsidR="006641FF">
              <w:t xml:space="preserve"> × 100</w:t>
            </w:r>
            <w:r>
              <w:t>]</w:t>
            </w:r>
          </w:p>
        </w:tc>
        <w:tc>
          <w:tcPr>
            <w:tcW w:w="2700" w:type="dxa"/>
          </w:tcPr>
          <w:p w:rsidR="00A83EB8" w:rsidRDefault="00A83EB8" w:rsidP="00A83EB8">
            <w:pPr>
              <w:spacing w:before="0" w:after="160" w:line="276" w:lineRule="auto"/>
              <w:jc w:val="left"/>
            </w:pPr>
            <w:r w:rsidRPr="00A83EB8">
              <w:t>39.44%</w:t>
            </w:r>
          </w:p>
        </w:tc>
        <w:tc>
          <w:tcPr>
            <w:tcW w:w="2605" w:type="dxa"/>
          </w:tcPr>
          <w:p w:rsidR="00A83EB8" w:rsidRDefault="00A83EB8" w:rsidP="00A83EB8">
            <w:pPr>
              <w:spacing w:before="0" w:after="160" w:line="276" w:lineRule="auto"/>
              <w:jc w:val="left"/>
            </w:pPr>
            <w:r>
              <w:t>36.24%</w:t>
            </w:r>
          </w:p>
        </w:tc>
      </w:tr>
    </w:tbl>
    <w:p w:rsidR="00A83EB8" w:rsidRDefault="00A83EB8">
      <w:pPr>
        <w:spacing w:before="0" w:after="160" w:line="259" w:lineRule="auto"/>
        <w:jc w:val="left"/>
      </w:pPr>
    </w:p>
    <w:p w:rsidR="00A83EB8" w:rsidRDefault="00A83EB8">
      <w:pPr>
        <w:spacing w:before="0" w:after="160" w:line="259" w:lineRule="auto"/>
        <w:jc w:val="left"/>
      </w:pPr>
    </w:p>
    <w:p w:rsidR="00A83EB8" w:rsidRDefault="00A83EB8">
      <w:pPr>
        <w:spacing w:before="0" w:after="160" w:line="259" w:lineRule="auto"/>
        <w:jc w:val="left"/>
      </w:pPr>
    </w:p>
    <w:p w:rsidR="00A83EB8" w:rsidRDefault="00A83EB8">
      <w:pPr>
        <w:spacing w:before="0" w:after="160" w:line="259" w:lineRule="auto"/>
        <w:jc w:val="left"/>
      </w:pPr>
    </w:p>
    <w:p w:rsidR="00860412" w:rsidRPr="00986B96" w:rsidRDefault="00860412">
      <w:pPr>
        <w:spacing w:before="0" w:after="160" w:line="259" w:lineRule="auto"/>
        <w:jc w:val="left"/>
        <w:rPr>
          <w:rStyle w:val="Emphasis"/>
        </w:rPr>
      </w:pPr>
      <w:r w:rsidRPr="00986B96">
        <w:rPr>
          <w:rStyle w:val="Emphasis"/>
        </w:rPr>
        <w:lastRenderedPageBreak/>
        <w:t>ii) Debt Ratio</w:t>
      </w:r>
    </w:p>
    <w:tbl>
      <w:tblPr>
        <w:tblStyle w:val="TableGrid"/>
        <w:tblW w:w="0" w:type="auto"/>
        <w:tblLook w:val="04A0"/>
      </w:tblPr>
      <w:tblGrid>
        <w:gridCol w:w="4045"/>
        <w:gridCol w:w="2700"/>
        <w:gridCol w:w="2605"/>
      </w:tblGrid>
      <w:tr w:rsidR="00860412" w:rsidTr="00860412">
        <w:tc>
          <w:tcPr>
            <w:tcW w:w="4045" w:type="dxa"/>
          </w:tcPr>
          <w:p w:rsidR="00860412" w:rsidRDefault="00860412" w:rsidP="00860412">
            <w:pPr>
              <w:spacing w:before="0" w:after="160" w:line="259" w:lineRule="auto"/>
              <w:jc w:val="left"/>
            </w:pPr>
            <w:r>
              <w:t xml:space="preserve">Components </w:t>
            </w:r>
          </w:p>
        </w:tc>
        <w:tc>
          <w:tcPr>
            <w:tcW w:w="2700" w:type="dxa"/>
          </w:tcPr>
          <w:p w:rsidR="00860412" w:rsidRDefault="00860412" w:rsidP="00860412">
            <w:pPr>
              <w:spacing w:line="276" w:lineRule="auto"/>
            </w:pPr>
            <w:r>
              <w:t>2019</w:t>
            </w:r>
          </w:p>
          <w:p w:rsidR="00860412" w:rsidRDefault="00860412" w:rsidP="00860412">
            <w:pPr>
              <w:spacing w:before="0" w:after="160" w:line="259" w:lineRule="auto"/>
              <w:jc w:val="left"/>
            </w:pPr>
            <w:r>
              <w:t>(,000)</w:t>
            </w:r>
          </w:p>
        </w:tc>
        <w:tc>
          <w:tcPr>
            <w:tcW w:w="2605" w:type="dxa"/>
          </w:tcPr>
          <w:p w:rsidR="00860412" w:rsidRDefault="00860412" w:rsidP="00860412">
            <w:pPr>
              <w:spacing w:line="276" w:lineRule="auto"/>
            </w:pPr>
            <w:r>
              <w:t>2020</w:t>
            </w:r>
          </w:p>
          <w:p w:rsidR="00860412" w:rsidRDefault="00860412" w:rsidP="00860412">
            <w:pPr>
              <w:spacing w:before="0" w:after="160" w:line="259" w:lineRule="auto"/>
              <w:jc w:val="left"/>
            </w:pPr>
            <w:r>
              <w:t>(,000)</w:t>
            </w:r>
          </w:p>
        </w:tc>
      </w:tr>
      <w:tr w:rsidR="00860412" w:rsidTr="00860412">
        <w:tc>
          <w:tcPr>
            <w:tcW w:w="4045" w:type="dxa"/>
          </w:tcPr>
          <w:p w:rsidR="00860412" w:rsidRDefault="00860412" w:rsidP="00860412">
            <w:pPr>
              <w:spacing w:before="0" w:after="160" w:line="259" w:lineRule="auto"/>
              <w:jc w:val="left"/>
            </w:pPr>
            <w:r w:rsidRPr="00954BA4">
              <w:t>1. Total Debt</w:t>
            </w:r>
          </w:p>
        </w:tc>
        <w:tc>
          <w:tcPr>
            <w:tcW w:w="2700" w:type="dxa"/>
          </w:tcPr>
          <w:p w:rsidR="00860412" w:rsidRDefault="00860412" w:rsidP="00860412">
            <w:pPr>
              <w:spacing w:before="0" w:after="160" w:line="259" w:lineRule="auto"/>
              <w:jc w:val="left"/>
            </w:pPr>
            <w:r w:rsidRPr="00954BA4">
              <w:t>£ 1,005</w:t>
            </w:r>
          </w:p>
        </w:tc>
        <w:tc>
          <w:tcPr>
            <w:tcW w:w="2605" w:type="dxa"/>
          </w:tcPr>
          <w:p w:rsidR="00860412" w:rsidRDefault="00860412" w:rsidP="00860412">
            <w:pPr>
              <w:spacing w:before="0" w:after="160" w:line="259" w:lineRule="auto"/>
              <w:jc w:val="left"/>
            </w:pPr>
            <w:r w:rsidRPr="00954BA4">
              <w:t>£ 2,534</w:t>
            </w:r>
          </w:p>
        </w:tc>
      </w:tr>
      <w:tr w:rsidR="00860412" w:rsidTr="00860412">
        <w:tc>
          <w:tcPr>
            <w:tcW w:w="4045" w:type="dxa"/>
          </w:tcPr>
          <w:p w:rsidR="00860412" w:rsidRDefault="00860412" w:rsidP="00860412">
            <w:pPr>
              <w:spacing w:before="0" w:after="160" w:line="259" w:lineRule="auto"/>
              <w:jc w:val="left"/>
            </w:pPr>
            <w:r w:rsidRPr="003878F3">
              <w:t xml:space="preserve">2. Total Assets </w:t>
            </w:r>
          </w:p>
        </w:tc>
        <w:tc>
          <w:tcPr>
            <w:tcW w:w="2700" w:type="dxa"/>
          </w:tcPr>
          <w:p w:rsidR="00860412" w:rsidRDefault="00860412" w:rsidP="00860412">
            <w:pPr>
              <w:spacing w:before="0" w:after="160" w:line="259" w:lineRule="auto"/>
              <w:jc w:val="left"/>
            </w:pPr>
            <w:r w:rsidRPr="003878F3">
              <w:t>£ 3,539</w:t>
            </w:r>
          </w:p>
        </w:tc>
        <w:tc>
          <w:tcPr>
            <w:tcW w:w="2605" w:type="dxa"/>
          </w:tcPr>
          <w:p w:rsidR="00860412" w:rsidRDefault="00860412" w:rsidP="00860412">
            <w:pPr>
              <w:spacing w:before="0" w:after="160" w:line="259" w:lineRule="auto"/>
              <w:jc w:val="left"/>
            </w:pPr>
            <w:r w:rsidRPr="003878F3">
              <w:t>£ 3,902</w:t>
            </w:r>
          </w:p>
        </w:tc>
      </w:tr>
      <w:tr w:rsidR="00860412" w:rsidTr="00860412">
        <w:tc>
          <w:tcPr>
            <w:tcW w:w="4045" w:type="dxa"/>
          </w:tcPr>
          <w:p w:rsidR="00860412" w:rsidRDefault="00860412">
            <w:pPr>
              <w:spacing w:before="0" w:after="160" w:line="259" w:lineRule="auto"/>
              <w:jc w:val="left"/>
            </w:pPr>
            <w:r>
              <w:t>3. Debt Ratio</w:t>
            </w:r>
            <w:r w:rsidR="006641FF">
              <w:t xml:space="preserve"> [(1) / (2) × 100]</w:t>
            </w:r>
          </w:p>
        </w:tc>
        <w:tc>
          <w:tcPr>
            <w:tcW w:w="2700" w:type="dxa"/>
          </w:tcPr>
          <w:p w:rsidR="00860412" w:rsidRDefault="006641FF">
            <w:pPr>
              <w:spacing w:before="0" w:after="160" w:line="259" w:lineRule="auto"/>
              <w:jc w:val="left"/>
            </w:pPr>
            <w:r w:rsidRPr="006641FF">
              <w:t>28.40%</w:t>
            </w:r>
          </w:p>
        </w:tc>
        <w:tc>
          <w:tcPr>
            <w:tcW w:w="2605" w:type="dxa"/>
          </w:tcPr>
          <w:p w:rsidR="00860412" w:rsidRDefault="006641FF">
            <w:pPr>
              <w:spacing w:before="0" w:after="160" w:line="259" w:lineRule="auto"/>
              <w:jc w:val="left"/>
            </w:pPr>
            <w:r w:rsidRPr="006641FF">
              <w:t>26.62%</w:t>
            </w:r>
          </w:p>
        </w:tc>
      </w:tr>
    </w:tbl>
    <w:p w:rsidR="00986B96" w:rsidRDefault="00986B96">
      <w:pPr>
        <w:spacing w:before="0" w:after="160" w:line="259" w:lineRule="auto"/>
        <w:jc w:val="left"/>
      </w:pPr>
    </w:p>
    <w:p w:rsidR="00724127" w:rsidRDefault="00724127">
      <w:pPr>
        <w:spacing w:before="0" w:after="160" w:line="259" w:lineRule="auto"/>
        <w:jc w:val="left"/>
      </w:pPr>
    </w:p>
    <w:p w:rsidR="00724127" w:rsidRDefault="00724127" w:rsidP="00724127">
      <w:pPr>
        <w:pStyle w:val="Heading1"/>
      </w:pPr>
      <w:bookmarkStart w:id="9" w:name="_Toc95502667"/>
      <w:r>
        <w:t>Trends of Financial Analysis Results</w:t>
      </w:r>
      <w:bookmarkEnd w:id="9"/>
    </w:p>
    <w:p w:rsidR="00724127" w:rsidRDefault="001B096E" w:rsidP="008823A6">
      <w:pPr>
        <w:pStyle w:val="Heading2"/>
      </w:pPr>
      <w:bookmarkStart w:id="10" w:name="_Toc95502668"/>
      <w:r>
        <w:t>Profitability of Jurys Inn</w:t>
      </w:r>
      <w:bookmarkEnd w:id="10"/>
    </w:p>
    <w:p w:rsidR="001B096E" w:rsidRDefault="001B096E" w:rsidP="002C2F3A">
      <w:r>
        <w:t>Profitability ratios are tools that helps financial analyst to determine company’s profit earning capacity when comparing to its revenue, employed capital, total assets, etc.</w:t>
      </w:r>
      <w:r w:rsidR="000848A6" w:rsidRPr="000848A6">
        <w:t xml:space="preserve"> (Bhat and Rau, 2016)</w:t>
      </w:r>
      <w:r w:rsidR="000848A6">
        <w:t>.</w:t>
      </w:r>
      <w:r>
        <w:t xml:space="preserve"> The financial analysis shows that Jurys Inn’s profitability ratios has dropped significantly in 2020 compared to the ratios of 2019. </w:t>
      </w:r>
      <w:r w:rsidR="007A502B">
        <w:t>Net-profit margin which is a key indicator of profitability has dropped from 6.92% to 3.23% in this period. The ROCE ratio which evaluates profitability comparing to employed capital. It was</w:t>
      </w:r>
      <w:r w:rsidR="007A502B" w:rsidRPr="007A502B">
        <w:t>23.58%</w:t>
      </w:r>
      <w:r w:rsidR="007A502B">
        <w:t xml:space="preserve"> in 2019 but it reduced to </w:t>
      </w:r>
      <w:r w:rsidR="007A502B" w:rsidRPr="00737F6F">
        <w:t>10.48%</w:t>
      </w:r>
      <w:r w:rsidR="007A502B">
        <w:t xml:space="preserve"> in 2020. Therefore, ROCE dropped more than 50% of previous year. </w:t>
      </w:r>
      <w:r w:rsidR="008823A6">
        <w:t xml:space="preserve">Also the ROA ratio that compares net-profit and total assets shows that the ratio come down to </w:t>
      </w:r>
      <w:r w:rsidR="008823A6" w:rsidRPr="008823A6">
        <w:t>7.87%</w:t>
      </w:r>
      <w:r w:rsidR="008823A6">
        <w:t xml:space="preserve"> in 2020 whereas it was </w:t>
      </w:r>
      <w:r w:rsidR="008823A6" w:rsidRPr="008823A6">
        <w:t>17.60%</w:t>
      </w:r>
      <w:r w:rsidR="008823A6">
        <w:t xml:space="preserve"> in 2019. In every profitability ratio the Jurys Inn has dropped its performance in 2020. The Management of Jurys Inn. should take steps to improve the profitability. </w:t>
      </w:r>
    </w:p>
    <w:p w:rsidR="008823A6" w:rsidRDefault="008823A6" w:rsidP="008823A6">
      <w:pPr>
        <w:keepNext/>
        <w:spacing w:line="276" w:lineRule="auto"/>
      </w:pPr>
      <w:r>
        <w:rPr>
          <w:noProof/>
          <w:lang w:val="en-GB" w:eastAsia="en-GB"/>
        </w:rPr>
        <w:lastRenderedPageBreak/>
        <w:drawing>
          <wp:inline distT="0" distB="0" distL="0" distR="0">
            <wp:extent cx="4343400" cy="22479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823A6" w:rsidRDefault="008823A6" w:rsidP="008823A6">
      <w:pPr>
        <w:pStyle w:val="Caption"/>
        <w:spacing w:line="276" w:lineRule="auto"/>
      </w:pPr>
      <w:r>
        <w:t xml:space="preserve">Figure </w:t>
      </w:r>
      <w:fldSimple w:instr=" SEQ Figure \* ARABIC ">
        <w:r w:rsidR="00B4203A">
          <w:rPr>
            <w:noProof/>
          </w:rPr>
          <w:t>1</w:t>
        </w:r>
      </w:fldSimple>
      <w:r>
        <w:t>: Net-Profit Margin &amp; ROCE ratio of Jurys Inn. Source: Author</w:t>
      </w:r>
    </w:p>
    <w:p w:rsidR="008823A6" w:rsidRPr="008823A6" w:rsidRDefault="00F87D51" w:rsidP="00F87D51">
      <w:pPr>
        <w:pStyle w:val="Heading2"/>
      </w:pPr>
      <w:bookmarkStart w:id="11" w:name="_Toc95502669"/>
      <w:r>
        <w:t>Liquidity Ratios</w:t>
      </w:r>
      <w:r w:rsidR="003075A4">
        <w:t xml:space="preserve"> of Jurys Inn</w:t>
      </w:r>
      <w:bookmarkEnd w:id="11"/>
    </w:p>
    <w:p w:rsidR="00AB2287" w:rsidRDefault="003D36B9" w:rsidP="007622A3">
      <w:r>
        <w:t>Liquidity refers to a firm’s ability to convert assets in its disposal to cash at current market price. Liquidity ratios compares the current assets</w:t>
      </w:r>
      <w:r w:rsidR="007622A3">
        <w:t xml:space="preserve"> of the company</w:t>
      </w:r>
      <w:r>
        <w:t xml:space="preserve"> that can be converted into cash with the current liabilities of the company</w:t>
      </w:r>
      <w:r w:rsidR="000848A6" w:rsidRPr="000848A6">
        <w:t xml:space="preserve"> (Foerster, 2015)</w:t>
      </w:r>
      <w:r>
        <w:t xml:space="preserve">. </w:t>
      </w:r>
      <w:r w:rsidR="007622A3">
        <w:t xml:space="preserve">Current ratio calculation which considers all type of current assets of Jurys Inn. showing an increase in the ratio from 2,15 in 2019 to 2.42 in 2020. Therefore, the company has enough current assets to cover its obligations that are due in short-term. Also, the quick ratio which is stricter of considering current asset as it only counts the assets which are more liquid in nature of Jurys Inn. </w:t>
      </w:r>
      <w:r w:rsidR="00AB2287">
        <w:t>h</w:t>
      </w:r>
      <w:r w:rsidR="007622A3">
        <w:t xml:space="preserve">as increased during this period. </w:t>
      </w:r>
      <w:r w:rsidR="00AB2287">
        <w:t>The company show</w:t>
      </w:r>
      <w:r w:rsidR="0022490E">
        <w:t>s</w:t>
      </w:r>
      <w:r w:rsidR="00AB2287">
        <w:t xml:space="preserve"> an increase of quick ratio from1.33 to 1.58</w:t>
      </w:r>
      <w:r w:rsidR="0022490E">
        <w:t xml:space="preserve"> during </w:t>
      </w:r>
      <w:r w:rsidR="00AB2287">
        <w:t xml:space="preserve">2019 </w:t>
      </w:r>
      <w:r w:rsidR="0022490E">
        <w:t>to</w:t>
      </w:r>
      <w:r w:rsidR="00AB2287">
        <w:t xml:space="preserve"> 2020.  </w:t>
      </w:r>
    </w:p>
    <w:p w:rsidR="00AB2287" w:rsidRDefault="00AB2287" w:rsidP="00395AD4">
      <w:pPr>
        <w:keepNext/>
        <w:spacing w:line="276" w:lineRule="auto"/>
      </w:pPr>
      <w:r>
        <w:rPr>
          <w:noProof/>
          <w:lang w:val="en-GB" w:eastAsia="en-GB"/>
        </w:rPr>
        <w:drawing>
          <wp:inline distT="0" distB="0" distL="0" distR="0">
            <wp:extent cx="4121150" cy="2400300"/>
            <wp:effectExtent l="0" t="0" r="1270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B2287" w:rsidRDefault="00AB2287" w:rsidP="00395AD4">
      <w:pPr>
        <w:pStyle w:val="Caption"/>
        <w:spacing w:line="276" w:lineRule="auto"/>
      </w:pPr>
      <w:r>
        <w:t xml:space="preserve">Figure </w:t>
      </w:r>
      <w:fldSimple w:instr=" SEQ Figure \* ARABIC ">
        <w:r w:rsidR="00B4203A">
          <w:rPr>
            <w:noProof/>
          </w:rPr>
          <w:t>2</w:t>
        </w:r>
      </w:fldSimple>
      <w:r>
        <w:t>: Current &amp; Quick Ratios of Jurys Inn. Source: Author</w:t>
      </w:r>
    </w:p>
    <w:p w:rsidR="00D1410C" w:rsidRDefault="00D1410C" w:rsidP="00B4203A">
      <w:pPr>
        <w:pStyle w:val="Heading2"/>
      </w:pPr>
      <w:bookmarkStart w:id="12" w:name="_Toc95502670"/>
      <w:r>
        <w:lastRenderedPageBreak/>
        <w:t>Gearing Ratios</w:t>
      </w:r>
      <w:r w:rsidR="003075A4">
        <w:t xml:space="preserve"> of Jurys Inn.</w:t>
      </w:r>
      <w:bookmarkEnd w:id="12"/>
    </w:p>
    <w:p w:rsidR="00D1410C" w:rsidRDefault="00D1410C" w:rsidP="007622A3">
      <w:r>
        <w:t>Gearing ratios are used to measure company’s financial leverage which is a comparison of company’s debt &amp; its equity and how they contribute in funding company’s operation. The gearing ratio provides significant insight about company’s financial condition and its source of funds to operate the business</w:t>
      </w:r>
      <w:r w:rsidR="000848A6" w:rsidRPr="000848A6">
        <w:t xml:space="preserve"> (Higgins, Koski and Mitton, 2017)</w:t>
      </w:r>
      <w:r>
        <w:t xml:space="preserve">. </w:t>
      </w:r>
      <w:r w:rsidR="0011300E">
        <w:t xml:space="preserve">To run a business successfully for long-term, it has to have good balance of debt &amp; equity. High dependency on one source may hamper the company in economic instability. Jurys Inn had a debt-to-equity ratio of </w:t>
      </w:r>
      <w:r w:rsidR="0011300E" w:rsidRPr="00A83EB8">
        <w:t>39.44%</w:t>
      </w:r>
      <w:r w:rsidR="0011300E">
        <w:t xml:space="preserve"> in 2019 and it reduced to 36.24%. Also</w:t>
      </w:r>
      <w:r w:rsidR="00B4203A">
        <w:t>,</w:t>
      </w:r>
      <w:r w:rsidR="0011300E">
        <w:t xml:space="preserve"> the debt ratio during this time was </w:t>
      </w:r>
      <w:r w:rsidR="0011300E" w:rsidRPr="006641FF">
        <w:t>28.40%</w:t>
      </w:r>
      <w:r w:rsidR="0011300E">
        <w:t xml:space="preserve"> and </w:t>
      </w:r>
      <w:r w:rsidR="0011300E" w:rsidRPr="006641FF">
        <w:t>26.62%</w:t>
      </w:r>
      <w:r w:rsidR="0011300E">
        <w:t xml:space="preserve"> for years of 2019 &amp; 2020. The Jurys overall gearing ratio is somewhat balanced as the total debt of the company is not too much to create financial risk for the company.  </w:t>
      </w:r>
    </w:p>
    <w:p w:rsidR="00B4203A" w:rsidRDefault="0011300E" w:rsidP="00B4203A">
      <w:pPr>
        <w:keepNext/>
        <w:spacing w:line="276" w:lineRule="auto"/>
      </w:pPr>
      <w:r>
        <w:rPr>
          <w:noProof/>
          <w:lang w:val="en-GB" w:eastAsia="en-GB"/>
        </w:rPr>
        <w:drawing>
          <wp:inline distT="0" distB="0" distL="0" distR="0">
            <wp:extent cx="5080000" cy="2832100"/>
            <wp:effectExtent l="0" t="0" r="635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4203A" w:rsidRDefault="00B4203A" w:rsidP="00B4203A">
      <w:pPr>
        <w:pStyle w:val="Caption"/>
        <w:spacing w:line="276" w:lineRule="auto"/>
      </w:pPr>
      <w:r>
        <w:t xml:space="preserve">Figure </w:t>
      </w:r>
      <w:fldSimple w:instr=" SEQ Figure \* ARABIC ">
        <w:r>
          <w:rPr>
            <w:noProof/>
          </w:rPr>
          <w:t>3</w:t>
        </w:r>
      </w:fldSimple>
      <w:r>
        <w:t xml:space="preserve">: </w:t>
      </w:r>
      <w:r w:rsidRPr="00205F39">
        <w:t>Debt-to-Equity &amp; Debt ratio of Jurys Inn</w:t>
      </w:r>
      <w:r>
        <w:t>. Source: Author.</w:t>
      </w:r>
    </w:p>
    <w:p w:rsidR="00724127" w:rsidRDefault="00724127" w:rsidP="007622A3">
      <w:r>
        <w:br w:type="page"/>
      </w:r>
    </w:p>
    <w:p w:rsidR="00724127" w:rsidRDefault="00724127" w:rsidP="00724127">
      <w:pPr>
        <w:pStyle w:val="Heading1"/>
      </w:pPr>
      <w:bookmarkStart w:id="13" w:name="_Toc95502671"/>
      <w:r>
        <w:lastRenderedPageBreak/>
        <w:t>Knowledge from Analyzing Financial Ratios</w:t>
      </w:r>
      <w:bookmarkEnd w:id="13"/>
    </w:p>
    <w:p w:rsidR="00F76564" w:rsidRDefault="00AF34B1" w:rsidP="00AF34B1">
      <w:r>
        <w:t>The financial ratios give vital information about any company’s financial situation in a particular industry. The knowledge that come from the analysis of financial ratios gives the management to make crucial decisions when they are needed. Without ratio analysis management could even fully understood the issues that the firm is facing as the financial statement gives some data which are not produced based on comparison</w:t>
      </w:r>
      <w:r w:rsidR="00F76564">
        <w:t xml:space="preserve"> and lacks to provide information that can be used for trend analysis and comparison</w:t>
      </w:r>
      <w:r w:rsidR="000848A6" w:rsidRPr="000848A6">
        <w:t xml:space="preserve"> (Revsine, 2019)</w:t>
      </w:r>
      <w:r w:rsidR="00F76564">
        <w:t xml:space="preserve">. </w:t>
      </w:r>
      <w:r w:rsidR="001E6A89">
        <w:t>T</w:t>
      </w:r>
      <w:r w:rsidR="00F76564">
        <w:t xml:space="preserve">wo </w:t>
      </w:r>
      <w:r w:rsidR="001E6A89">
        <w:t>significant</w:t>
      </w:r>
      <w:r w:rsidR="00F76564">
        <w:t xml:space="preserve"> use of financial ratio</w:t>
      </w:r>
      <w:r w:rsidR="001E6A89">
        <w:t>s’ knowledge</w:t>
      </w:r>
      <w:r w:rsidR="00F76564">
        <w:t xml:space="preserve"> are discussed below. </w:t>
      </w:r>
    </w:p>
    <w:p w:rsidR="00F76564" w:rsidRDefault="00F76564" w:rsidP="00F76564">
      <w:pPr>
        <w:pStyle w:val="Heading2"/>
      </w:pPr>
      <w:bookmarkStart w:id="14" w:name="_Toc95502672"/>
      <w:r>
        <w:t>Tracking performance of the company</w:t>
      </w:r>
      <w:bookmarkEnd w:id="14"/>
    </w:p>
    <w:p w:rsidR="006C5314" w:rsidRDefault="00CE5986" w:rsidP="00F76564">
      <w:r>
        <w:t>Determining financial ratios of a company for every period and taking records of the ratios helps the company to track its financial condition in long term</w:t>
      </w:r>
      <w:r w:rsidR="000848A6" w:rsidRPr="000848A6">
        <w:t xml:space="preserve"> (Bowlin, Martin and Scott, 2018)</w:t>
      </w:r>
      <w:r>
        <w:t xml:space="preserve">. It also helps to identify trends in the company’s overall financial situation. For example: A rising rate of net-profit margin will give the indication that the company is producing more profits from its revenue every year. This shows good trend for the company and management will try to keep this trend on going. But any trend that suggests that the </w:t>
      </w:r>
      <w:r w:rsidR="00FC7961">
        <w:t>debt ratio is increasing every year it will be a very alarming information for the management and it will try to reduce the amount of debt from its capital structure. As we can see a trend of decreasing net</w:t>
      </w:r>
      <w:r w:rsidR="006C5314">
        <w:t>-</w:t>
      </w:r>
      <w:r w:rsidR="00FC7961">
        <w:t xml:space="preserve">profit margin in Jurys Inn., the management </w:t>
      </w:r>
      <w:r w:rsidR="006C5314">
        <w:t xml:space="preserve">can identify this issue and take proper step to increase its net-profit with this knowledge of financial information. </w:t>
      </w:r>
    </w:p>
    <w:p w:rsidR="006C5314" w:rsidRDefault="006C5314" w:rsidP="001502C8">
      <w:pPr>
        <w:pStyle w:val="Heading2"/>
      </w:pPr>
      <w:bookmarkStart w:id="15" w:name="_Toc95502673"/>
      <w:r>
        <w:t>Comparative Judgements of the Performance</w:t>
      </w:r>
      <w:bookmarkEnd w:id="15"/>
    </w:p>
    <w:p w:rsidR="006C5314" w:rsidRDefault="006C5314" w:rsidP="00F76564">
      <w:r>
        <w:t xml:space="preserve">To really understand a company’s position in an industry, financial analysts need to </w:t>
      </w:r>
      <w:r w:rsidR="00D975A0">
        <w:t xml:space="preserve">compare the financial ratios of the company with its competitors. </w:t>
      </w:r>
      <w:r w:rsidR="000B2E60">
        <w:t xml:space="preserve">Comparing performance of a company in hotel industry with its major competitors will provide significant information of the company’s performance based on industry average. If the financial ratios of the company fall below the industry average it will indicate that the company is to performing at per with its competitors and it also means that the company can fail to continue in the industry. If the company has financial ratios that goes over industry average, it will mean that the company is in growth stage compared to its </w:t>
      </w:r>
      <w:r w:rsidR="000B2E60">
        <w:lastRenderedPageBreak/>
        <w:t xml:space="preserve">competitors. </w:t>
      </w:r>
      <w:r w:rsidR="001502C8">
        <w:t>Analyzing and comparing financial ratios of hotel industry in UK is more relevant now due to covid-19</w:t>
      </w:r>
      <w:r w:rsidR="000848A6" w:rsidRPr="000848A6">
        <w:t xml:space="preserve"> (Iqbal, 2020)</w:t>
      </w:r>
      <w:r w:rsidR="001502C8">
        <w:t xml:space="preserve">. The pandemic has hit the industry very badly. To understand its position in this situation Jurys Inn. should compare its ratios with its competitors and make right decisions to maintain industry average. </w:t>
      </w:r>
    </w:p>
    <w:p w:rsidR="00724127" w:rsidRDefault="00724127" w:rsidP="00F76564"/>
    <w:p w:rsidR="00724127" w:rsidRDefault="00724127" w:rsidP="00724127">
      <w:pPr>
        <w:pStyle w:val="Heading1"/>
      </w:pPr>
      <w:bookmarkStart w:id="16" w:name="_Toc95502674"/>
      <w:r>
        <w:t>Benefits of Ratio Analysis and Limitations that Affects It</w:t>
      </w:r>
      <w:bookmarkEnd w:id="16"/>
    </w:p>
    <w:p w:rsidR="00724127" w:rsidRDefault="00F93498" w:rsidP="00E4572C">
      <w:pPr>
        <w:pStyle w:val="Heading2"/>
      </w:pPr>
      <w:bookmarkStart w:id="17" w:name="_Toc95502675"/>
      <w:r>
        <w:t>Benefits related to Financial Ratios</w:t>
      </w:r>
      <w:bookmarkEnd w:id="17"/>
    </w:p>
    <w:p w:rsidR="00F93498" w:rsidRPr="00E4572C" w:rsidRDefault="00F93498" w:rsidP="002C2F3A">
      <w:pPr>
        <w:rPr>
          <w:rStyle w:val="Emphasis"/>
        </w:rPr>
      </w:pPr>
      <w:r w:rsidRPr="00E4572C">
        <w:rPr>
          <w:rStyle w:val="Emphasis"/>
        </w:rPr>
        <w:t>Helps to Determine the Benchmark</w:t>
      </w:r>
    </w:p>
    <w:p w:rsidR="00F93498" w:rsidRDefault="00F93498" w:rsidP="002C2F3A">
      <w:r>
        <w:t>Financial ratio analysis opens the door of comparing financial information with other companies in the industry. Companies that lead the industry with their performance helps to identify the target financial ratios of other companies which creates a benchmark for others</w:t>
      </w:r>
      <w:r w:rsidR="000848A6" w:rsidRPr="000848A6">
        <w:t xml:space="preserve"> (Bhat and Rau, 2016)</w:t>
      </w:r>
      <w:r>
        <w:t xml:space="preserve">. </w:t>
      </w:r>
      <w:r w:rsidR="00E4572C">
        <w:t xml:space="preserve">Though there are several ways to create benchmark, the financial ratios are certainly a prominent tool for benchmarking as it makes comparison very easy. </w:t>
      </w:r>
    </w:p>
    <w:p w:rsidR="00E4572C" w:rsidRPr="004F57D7" w:rsidRDefault="00E4572C">
      <w:pPr>
        <w:spacing w:before="0" w:after="160" w:line="259" w:lineRule="auto"/>
        <w:jc w:val="left"/>
        <w:rPr>
          <w:rStyle w:val="Emphasis"/>
        </w:rPr>
      </w:pPr>
      <w:r w:rsidRPr="004F57D7">
        <w:rPr>
          <w:rStyle w:val="Emphasis"/>
        </w:rPr>
        <w:t xml:space="preserve">Helps in Trend Analysis </w:t>
      </w:r>
    </w:p>
    <w:p w:rsidR="004F57D7" w:rsidRDefault="00E4572C" w:rsidP="00E4572C">
      <w:r>
        <w:t xml:space="preserve">When financial analysts keep recording the financial ratios, they will certainly find many trends in different financial ratios. A continuous growth in ROA will mean that the company has able to utilize its assets to </w:t>
      </w:r>
      <w:r w:rsidR="004F57D7">
        <w:t>produce high profit. This trend indicates growth and increasing efficiency for the company. Whereas a declining rate of current ratio will indicate that the company is gradually losing its capacity to repay its current liabilities. Therefore, financial ratios give great benefit to the financial analyst in trend analysis.</w:t>
      </w:r>
    </w:p>
    <w:p w:rsidR="008D6B54" w:rsidRPr="00EF655A" w:rsidRDefault="008D6B54" w:rsidP="00E4572C">
      <w:pPr>
        <w:rPr>
          <w:rStyle w:val="Emphasis"/>
        </w:rPr>
      </w:pPr>
      <w:r w:rsidRPr="00EF655A">
        <w:rPr>
          <w:rStyle w:val="Emphasis"/>
        </w:rPr>
        <w:t xml:space="preserve">Helps in Future Planning </w:t>
      </w:r>
    </w:p>
    <w:p w:rsidR="008D6B54" w:rsidRDefault="008D6B54" w:rsidP="00E4572C">
      <w:r>
        <w:t>For future planning of the company management needs its financial information that will help them to take proper steps regarding financial decision. After analyzing the financial ratios, the financial analysts come up with relevant information of the company’s financial situation. Ratios like net-profit margin which provides information about company’s profitability, can be</w:t>
      </w:r>
      <w:r w:rsidR="00EF655A">
        <w:t xml:space="preserve"> vital consideration to take future steps to increase </w:t>
      </w:r>
      <w:r w:rsidR="00EF655A">
        <w:lastRenderedPageBreak/>
        <w:t xml:space="preserve">company’s profitability. Every financial ratio helps to take different financial decision for the future of the company. </w:t>
      </w:r>
    </w:p>
    <w:p w:rsidR="00EF655A" w:rsidRDefault="00EF655A" w:rsidP="00EF655A">
      <w:pPr>
        <w:pStyle w:val="Heading2"/>
      </w:pPr>
      <w:bookmarkStart w:id="18" w:name="_Toc95502676"/>
      <w:r>
        <w:t>Limitations that affects Financial Ratios</w:t>
      </w:r>
      <w:bookmarkEnd w:id="18"/>
    </w:p>
    <w:p w:rsidR="00EF655A" w:rsidRPr="00EF655A" w:rsidRDefault="00EF655A" w:rsidP="00E4572C">
      <w:pPr>
        <w:rPr>
          <w:rStyle w:val="Emphasis"/>
        </w:rPr>
      </w:pPr>
      <w:r w:rsidRPr="00EF655A">
        <w:rPr>
          <w:rStyle w:val="Emphasis"/>
        </w:rPr>
        <w:t xml:space="preserve">Assumption of </w:t>
      </w:r>
      <w:r w:rsidR="00D91113">
        <w:rPr>
          <w:rStyle w:val="Emphasis"/>
        </w:rPr>
        <w:t>a</w:t>
      </w:r>
      <w:r w:rsidRPr="00EF655A">
        <w:rPr>
          <w:rStyle w:val="Emphasis"/>
        </w:rPr>
        <w:t xml:space="preserve">ccounting </w:t>
      </w:r>
      <w:r w:rsidR="00D91113">
        <w:rPr>
          <w:rStyle w:val="Emphasis"/>
        </w:rPr>
        <w:t>li</w:t>
      </w:r>
      <w:r w:rsidRPr="00EF655A">
        <w:rPr>
          <w:rStyle w:val="Emphasis"/>
        </w:rPr>
        <w:t xml:space="preserve">mits the </w:t>
      </w:r>
      <w:r w:rsidR="00D91113">
        <w:rPr>
          <w:rStyle w:val="Emphasis"/>
        </w:rPr>
        <w:t>a</w:t>
      </w:r>
      <w:r w:rsidRPr="00EF655A">
        <w:rPr>
          <w:rStyle w:val="Emphasis"/>
        </w:rPr>
        <w:t xml:space="preserve">ccuracy of the </w:t>
      </w:r>
      <w:r w:rsidR="00D91113">
        <w:rPr>
          <w:rStyle w:val="Emphasis"/>
        </w:rPr>
        <w:t>r</w:t>
      </w:r>
      <w:r w:rsidRPr="00EF655A">
        <w:rPr>
          <w:rStyle w:val="Emphasis"/>
        </w:rPr>
        <w:t>atios</w:t>
      </w:r>
    </w:p>
    <w:p w:rsidR="008D6B54" w:rsidRDefault="00EF655A" w:rsidP="00E4572C">
      <w:r>
        <w:t>Financial ratios are generally determined through the information of financial statements. But the financial statements are not purely accurate as there are many accounting assumptions are involved in the process</w:t>
      </w:r>
      <w:r w:rsidR="00BB0D85" w:rsidRPr="00BB0D85">
        <w:t xml:space="preserve"> (Brotherton, 2019)</w:t>
      </w:r>
      <w:r>
        <w:t xml:space="preserve">. Therefore, the financial ratios are also affected by this accounting assumptions. </w:t>
      </w:r>
    </w:p>
    <w:p w:rsidR="00EF655A" w:rsidRPr="00D91113" w:rsidRDefault="00D91113" w:rsidP="00E4572C">
      <w:pPr>
        <w:rPr>
          <w:rStyle w:val="Emphasis"/>
        </w:rPr>
      </w:pPr>
      <w:r w:rsidRPr="00D91113">
        <w:rPr>
          <w:rStyle w:val="Emphasis"/>
        </w:rPr>
        <w:t>Macro-economic factors are not considered</w:t>
      </w:r>
    </w:p>
    <w:p w:rsidR="00D91113" w:rsidRDefault="00D91113" w:rsidP="00E4572C">
      <w:r>
        <w:t>Financial ratios are related to specific company or a specific industry which limits the area of ratio analysis. Every company and industry are part of a marc-economic environment and social, political and other factors also influences the company’s financial condition. But financial ratio does not consider these factors.</w:t>
      </w:r>
    </w:p>
    <w:p w:rsidR="00D91113" w:rsidRPr="00677307" w:rsidRDefault="00D91113" w:rsidP="00E4572C">
      <w:pPr>
        <w:rPr>
          <w:rStyle w:val="Emphasis"/>
        </w:rPr>
      </w:pPr>
      <w:r w:rsidRPr="00677307">
        <w:rPr>
          <w:rStyle w:val="Emphasis"/>
        </w:rPr>
        <w:t>Useful for only related industry</w:t>
      </w:r>
    </w:p>
    <w:p w:rsidR="008D6B54" w:rsidRDefault="00D91113" w:rsidP="00E4572C">
      <w:r>
        <w:t xml:space="preserve">Financial ratios </w:t>
      </w:r>
      <w:r w:rsidR="00463D10">
        <w:t>can only be used</w:t>
      </w:r>
      <w:r>
        <w:t xml:space="preserve"> for comparison when it is done for one industry. Comparison of financial ratios can not be done if the companies in consideration operates in different industry</w:t>
      </w:r>
      <w:r w:rsidR="00BB0D85" w:rsidRPr="00BB0D85">
        <w:t xml:space="preserve"> (Higgins, Koski and Mitton, 2017)</w:t>
      </w:r>
      <w:r>
        <w:t xml:space="preserve">. It happens because every industry has different financial requirements. </w:t>
      </w:r>
      <w:r w:rsidR="00677307">
        <w:t>A company in hotel industry requires less inventory than a company in smartphone industry. So, companies from these two different industries cannot be compared.</w:t>
      </w:r>
    </w:p>
    <w:p w:rsidR="00724127" w:rsidRDefault="00724127" w:rsidP="00724127">
      <w:pPr>
        <w:pStyle w:val="Heading1"/>
      </w:pPr>
      <w:bookmarkStart w:id="19" w:name="_Toc95502677"/>
      <w:r>
        <w:t>Conclusion</w:t>
      </w:r>
      <w:bookmarkEnd w:id="19"/>
    </w:p>
    <w:p w:rsidR="00724127" w:rsidRDefault="00677307" w:rsidP="002C2F3A">
      <w:r>
        <w:t xml:space="preserve">Financial ratios are always key for analysis any company’s financial performance. With financial statements, it is not very clear to the management that to what extend revenue represents net profit for the company or what is the portion of contribution of debt to the company’s funds. To know this </w:t>
      </w:r>
      <w:r w:rsidR="00F77E2F">
        <w:t>information,</w:t>
      </w:r>
      <w:r>
        <w:t xml:space="preserve"> one must </w:t>
      </w:r>
      <w:r w:rsidR="00463D10">
        <w:t>have</w:t>
      </w:r>
      <w:r>
        <w:t xml:space="preserve"> to go for financial ratio analysis. The Jurys Inn financial analysis also shows all these factors and more about the hotel group</w:t>
      </w:r>
      <w:r w:rsidR="00F77E2F">
        <w:t>’</w:t>
      </w:r>
      <w:r>
        <w:t xml:space="preserve">s financial condition. </w:t>
      </w:r>
    </w:p>
    <w:p w:rsidR="00724127" w:rsidRDefault="00724127" w:rsidP="00463D10">
      <w:pPr>
        <w:pStyle w:val="Heading1"/>
      </w:pPr>
      <w:r>
        <w:br w:type="page"/>
      </w:r>
      <w:bookmarkStart w:id="20" w:name="_Toc95502678"/>
      <w:r>
        <w:lastRenderedPageBreak/>
        <w:t>Reference</w:t>
      </w:r>
      <w:bookmarkEnd w:id="20"/>
    </w:p>
    <w:p w:rsidR="003075A4" w:rsidRDefault="003075A4" w:rsidP="003075A4">
      <w:r w:rsidRPr="003075A4">
        <w:t>Bhat, M. and Rau, A., 2016. Managerial economics and financial analysis. Hyderabad: BS Publications.</w:t>
      </w:r>
    </w:p>
    <w:p w:rsidR="003075A4" w:rsidRDefault="003075A4" w:rsidP="003075A4">
      <w:r w:rsidRPr="003075A4">
        <w:t>Bowlin, O., Martin, J. and Scott, D., 2018. Guide to financial analysis. New York: McGraw-Hill.</w:t>
      </w:r>
    </w:p>
    <w:p w:rsidR="003075A4" w:rsidRDefault="003075A4" w:rsidP="003075A4">
      <w:r w:rsidRPr="003075A4">
        <w:t>Brotherton, B., 2019. Critical success factors in UK budget hotel operations. International Journal of Operations &amp; Production Management, 24(9), pp.944-969.</w:t>
      </w:r>
    </w:p>
    <w:p w:rsidR="003075A4" w:rsidRDefault="003075A4" w:rsidP="003075A4">
      <w:r w:rsidRPr="003075A4">
        <w:t>Foerster, S., 2015. Financial Management. Welwyn Garden City: Pearson Education UK.</w:t>
      </w:r>
    </w:p>
    <w:p w:rsidR="003075A4" w:rsidRDefault="003075A4" w:rsidP="003075A4">
      <w:r w:rsidRPr="003075A4">
        <w:t>Higgins, R., Koski, J. and Mitton, T., 2017. Analysis for financial management.</w:t>
      </w:r>
    </w:p>
    <w:p w:rsidR="000848A6" w:rsidRDefault="000848A6" w:rsidP="003075A4">
      <w:r w:rsidRPr="000848A6">
        <w:t xml:space="preserve">Iqbal, U., 2020. Financial Performance in Daily Hotel and Business Management. Journal of Hotel &amp; Business Management, 05(02). </w:t>
      </w:r>
    </w:p>
    <w:p w:rsidR="000848A6" w:rsidRDefault="000848A6" w:rsidP="003075A4">
      <w:r w:rsidRPr="000848A6">
        <w:t>Jurysinns.com. 2022. Jurys Inn. [online] Available at: &lt;https://www.jurysinns.com/brands/jurysinns&gt; [Accessed 11 February 2022].</w:t>
      </w:r>
    </w:p>
    <w:p w:rsidR="000848A6" w:rsidRPr="003075A4" w:rsidRDefault="000848A6" w:rsidP="003075A4">
      <w:r w:rsidRPr="000848A6">
        <w:t>Revsine, L., 2019. Financial reporting &amp; analysis.</w:t>
      </w:r>
    </w:p>
    <w:p w:rsidR="00724127" w:rsidRDefault="00724127" w:rsidP="002C2F3A"/>
    <w:p w:rsidR="00724127" w:rsidRPr="00587F11" w:rsidRDefault="00724127" w:rsidP="002C2F3A"/>
    <w:p w:rsidR="00587F11" w:rsidRDefault="00587F11"/>
    <w:sectPr w:rsidR="00587F11" w:rsidSect="00A64D3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6F9" w:rsidRDefault="007676F9" w:rsidP="00986B96">
      <w:pPr>
        <w:spacing w:before="0" w:after="0" w:line="240" w:lineRule="auto"/>
      </w:pPr>
      <w:r>
        <w:separator/>
      </w:r>
    </w:p>
  </w:endnote>
  <w:endnote w:type="continuationSeparator" w:id="1">
    <w:p w:rsidR="007676F9" w:rsidRDefault="007676F9" w:rsidP="00986B9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6F9" w:rsidRDefault="007676F9" w:rsidP="00986B96">
      <w:pPr>
        <w:spacing w:before="0" w:after="0" w:line="240" w:lineRule="auto"/>
      </w:pPr>
      <w:r>
        <w:separator/>
      </w:r>
    </w:p>
  </w:footnote>
  <w:footnote w:type="continuationSeparator" w:id="1">
    <w:p w:rsidR="007676F9" w:rsidRDefault="007676F9" w:rsidP="00986B96">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sDQwszAzMDY0tzA1MzRV0lEKTi0uzszPAykwrAUAIXJmbiwAAAA="/>
  </w:docVars>
  <w:rsids>
    <w:rsidRoot w:val="00B47C62"/>
    <w:rsid w:val="00077603"/>
    <w:rsid w:val="000848A6"/>
    <w:rsid w:val="000B2E60"/>
    <w:rsid w:val="0011300E"/>
    <w:rsid w:val="00124723"/>
    <w:rsid w:val="001502C8"/>
    <w:rsid w:val="001B096E"/>
    <w:rsid w:val="001B6CC4"/>
    <w:rsid w:val="001E6A89"/>
    <w:rsid w:val="0022490E"/>
    <w:rsid w:val="002C2F3A"/>
    <w:rsid w:val="00302AE9"/>
    <w:rsid w:val="003075A4"/>
    <w:rsid w:val="00362BCB"/>
    <w:rsid w:val="00395AD4"/>
    <w:rsid w:val="003D36B9"/>
    <w:rsid w:val="0041014E"/>
    <w:rsid w:val="004452FB"/>
    <w:rsid w:val="00463D10"/>
    <w:rsid w:val="004B4F22"/>
    <w:rsid w:val="004F57D7"/>
    <w:rsid w:val="00587F11"/>
    <w:rsid w:val="005C4132"/>
    <w:rsid w:val="005F151C"/>
    <w:rsid w:val="00631A2A"/>
    <w:rsid w:val="006641FF"/>
    <w:rsid w:val="00677307"/>
    <w:rsid w:val="006C5314"/>
    <w:rsid w:val="00724127"/>
    <w:rsid w:val="00737F6F"/>
    <w:rsid w:val="0076140A"/>
    <w:rsid w:val="007622A3"/>
    <w:rsid w:val="007676F9"/>
    <w:rsid w:val="007A502B"/>
    <w:rsid w:val="007E0841"/>
    <w:rsid w:val="00860412"/>
    <w:rsid w:val="00860AE9"/>
    <w:rsid w:val="008823A6"/>
    <w:rsid w:val="008967E8"/>
    <w:rsid w:val="008A197F"/>
    <w:rsid w:val="008D6B54"/>
    <w:rsid w:val="009208EF"/>
    <w:rsid w:val="009333F9"/>
    <w:rsid w:val="00986B96"/>
    <w:rsid w:val="00992628"/>
    <w:rsid w:val="00A64D3F"/>
    <w:rsid w:val="00A66BC2"/>
    <w:rsid w:val="00A83EB8"/>
    <w:rsid w:val="00AB2287"/>
    <w:rsid w:val="00AF34B1"/>
    <w:rsid w:val="00B4203A"/>
    <w:rsid w:val="00B44BA5"/>
    <w:rsid w:val="00B47C62"/>
    <w:rsid w:val="00BB0D85"/>
    <w:rsid w:val="00BF6743"/>
    <w:rsid w:val="00CE5986"/>
    <w:rsid w:val="00D03DC7"/>
    <w:rsid w:val="00D1410C"/>
    <w:rsid w:val="00D50153"/>
    <w:rsid w:val="00D80DD0"/>
    <w:rsid w:val="00D91113"/>
    <w:rsid w:val="00D975A0"/>
    <w:rsid w:val="00DB562D"/>
    <w:rsid w:val="00DF3728"/>
    <w:rsid w:val="00E4572C"/>
    <w:rsid w:val="00EF17B7"/>
    <w:rsid w:val="00EF655A"/>
    <w:rsid w:val="00F21AEA"/>
    <w:rsid w:val="00F76564"/>
    <w:rsid w:val="00F77E2F"/>
    <w:rsid w:val="00F87D51"/>
    <w:rsid w:val="00F93498"/>
    <w:rsid w:val="00FA6229"/>
    <w:rsid w:val="00FC79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F22"/>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B47C62"/>
    <w:pPr>
      <w:keepNext/>
      <w:keepLines/>
      <w:spacing w:before="240" w:after="24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077603"/>
    <w:pPr>
      <w:keepNext/>
      <w:keepLines/>
      <w:outlineLvl w:val="1"/>
    </w:pPr>
    <w:rPr>
      <w:rFonts w:eastAsiaTheme="majorEastAsia" w:cstheme="majorBidi"/>
      <w:i/>
      <w:color w:val="00B0F0"/>
      <w:sz w:val="28"/>
      <w:szCs w:val="26"/>
    </w:rPr>
  </w:style>
  <w:style w:type="paragraph" w:styleId="Heading3">
    <w:name w:val="heading 3"/>
    <w:basedOn w:val="Normal"/>
    <w:next w:val="Normal"/>
    <w:link w:val="Heading3Char"/>
    <w:uiPriority w:val="9"/>
    <w:semiHidden/>
    <w:unhideWhenUsed/>
    <w:qFormat/>
    <w:rsid w:val="00A66BC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C62"/>
    <w:rPr>
      <w:rFonts w:ascii="Arial" w:eastAsiaTheme="majorEastAsia" w:hAnsi="Arial" w:cstheme="majorBidi"/>
      <w:b/>
      <w:color w:val="0070C0"/>
      <w:sz w:val="32"/>
      <w:szCs w:val="32"/>
    </w:rPr>
  </w:style>
  <w:style w:type="character" w:customStyle="1" w:styleId="Heading2Char">
    <w:name w:val="Heading 2 Char"/>
    <w:basedOn w:val="DefaultParagraphFont"/>
    <w:link w:val="Heading2"/>
    <w:uiPriority w:val="9"/>
    <w:rsid w:val="00077603"/>
    <w:rPr>
      <w:rFonts w:ascii="Arial" w:eastAsiaTheme="majorEastAsia" w:hAnsi="Arial" w:cstheme="majorBidi"/>
      <w:i/>
      <w:color w:val="00B0F0"/>
      <w:sz w:val="28"/>
      <w:szCs w:val="26"/>
    </w:rPr>
  </w:style>
  <w:style w:type="paragraph" w:styleId="ListParagraph">
    <w:name w:val="List Paragraph"/>
    <w:basedOn w:val="Normal"/>
    <w:uiPriority w:val="34"/>
    <w:qFormat/>
    <w:rsid w:val="00A66BC2"/>
    <w:pPr>
      <w:ind w:left="720"/>
      <w:contextualSpacing/>
    </w:pPr>
  </w:style>
  <w:style w:type="character" w:customStyle="1" w:styleId="Heading3Char">
    <w:name w:val="Heading 3 Char"/>
    <w:basedOn w:val="DefaultParagraphFont"/>
    <w:link w:val="Heading3"/>
    <w:uiPriority w:val="9"/>
    <w:semiHidden/>
    <w:rsid w:val="00A66BC2"/>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A66BC2"/>
    <w:rPr>
      <w:rFonts w:ascii="Arial" w:hAnsi="Arial"/>
      <w:b/>
      <w:i w:val="0"/>
      <w:iCs/>
      <w:color w:val="0066FF"/>
      <w:sz w:val="24"/>
      <w:u w:val="single"/>
    </w:rPr>
  </w:style>
  <w:style w:type="table" w:styleId="TableGrid">
    <w:name w:val="Table Grid"/>
    <w:basedOn w:val="TableNormal"/>
    <w:uiPriority w:val="39"/>
    <w:rsid w:val="009333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86B9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86B96"/>
    <w:rPr>
      <w:rFonts w:ascii="Arial" w:hAnsi="Arial"/>
      <w:sz w:val="24"/>
    </w:rPr>
  </w:style>
  <w:style w:type="paragraph" w:styleId="Footer">
    <w:name w:val="footer"/>
    <w:basedOn w:val="Normal"/>
    <w:link w:val="FooterChar"/>
    <w:uiPriority w:val="99"/>
    <w:unhideWhenUsed/>
    <w:rsid w:val="00986B9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86B96"/>
    <w:rPr>
      <w:rFonts w:ascii="Arial" w:hAnsi="Arial"/>
      <w:sz w:val="24"/>
    </w:rPr>
  </w:style>
  <w:style w:type="paragraph" w:styleId="Caption">
    <w:name w:val="caption"/>
    <w:basedOn w:val="Normal"/>
    <w:next w:val="Normal"/>
    <w:uiPriority w:val="35"/>
    <w:unhideWhenUsed/>
    <w:qFormat/>
    <w:rsid w:val="008823A6"/>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075A4"/>
    <w:pPr>
      <w:spacing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075A4"/>
    <w:pPr>
      <w:spacing w:after="100"/>
    </w:pPr>
  </w:style>
  <w:style w:type="paragraph" w:styleId="TOC2">
    <w:name w:val="toc 2"/>
    <w:basedOn w:val="Normal"/>
    <w:next w:val="Normal"/>
    <w:autoRedefine/>
    <w:uiPriority w:val="39"/>
    <w:unhideWhenUsed/>
    <w:rsid w:val="003075A4"/>
    <w:pPr>
      <w:spacing w:after="100"/>
      <w:ind w:left="240"/>
    </w:pPr>
  </w:style>
  <w:style w:type="character" w:styleId="Hyperlink">
    <w:name w:val="Hyperlink"/>
    <w:basedOn w:val="DefaultParagraphFont"/>
    <w:uiPriority w:val="99"/>
    <w:unhideWhenUsed/>
    <w:rsid w:val="003075A4"/>
    <w:rPr>
      <w:color w:val="0563C1" w:themeColor="hyperlink"/>
      <w:u w:val="single"/>
    </w:rPr>
  </w:style>
  <w:style w:type="paragraph" w:styleId="BalloonText">
    <w:name w:val="Balloon Text"/>
    <w:basedOn w:val="Normal"/>
    <w:link w:val="BalloonTextChar"/>
    <w:uiPriority w:val="99"/>
    <w:semiHidden/>
    <w:unhideWhenUsed/>
    <w:rsid w:val="00F21AE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A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style val="4"/>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Net-Profit Margin &amp; ROCE ratio of Jurys Inn</a:t>
            </a:r>
            <a:endParaRPr lang="en-US"/>
          </a:p>
        </c:rich>
      </c:tx>
      <c:spPr>
        <a:noFill/>
        <a:ln>
          <a:noFill/>
        </a:ln>
        <a:effectLst/>
      </c:spPr>
    </c:title>
    <c:plotArea>
      <c:layout/>
      <c:barChart>
        <c:barDir val="col"/>
        <c:grouping val="clustered"/>
        <c:ser>
          <c:idx val="0"/>
          <c:order val="0"/>
          <c:tx>
            <c:strRef>
              <c:f>Sheet1!$B$1</c:f>
              <c:strCache>
                <c:ptCount val="1"/>
                <c:pt idx="0">
                  <c:v>Net-Profit Margin</c:v>
                </c:pt>
              </c:strCache>
            </c:strRef>
          </c:tx>
          <c:spPr>
            <a:solidFill>
              <a:schemeClr val="accent2">
                <a:tint val="77000"/>
              </a:schemeClr>
            </a:solidFill>
            <a:ln>
              <a:noFill/>
            </a:ln>
            <a:effectLst/>
          </c:spPr>
          <c:cat>
            <c:numRef>
              <c:f>Sheet1!$A$2:$A$3</c:f>
              <c:numCache>
                <c:formatCode>General</c:formatCode>
                <c:ptCount val="2"/>
                <c:pt idx="0">
                  <c:v>2019</c:v>
                </c:pt>
                <c:pt idx="1">
                  <c:v>2020</c:v>
                </c:pt>
              </c:numCache>
            </c:numRef>
          </c:cat>
          <c:val>
            <c:numRef>
              <c:f>Sheet1!$B$2:$B$3</c:f>
              <c:numCache>
                <c:formatCode>0.00%</c:formatCode>
                <c:ptCount val="2"/>
                <c:pt idx="0">
                  <c:v>6.9200000000000012E-2</c:v>
                </c:pt>
                <c:pt idx="1">
                  <c:v>3.2300000000000009E-2</c:v>
                </c:pt>
              </c:numCache>
            </c:numRef>
          </c:val>
          <c:extLst xmlns:c16r2="http://schemas.microsoft.com/office/drawing/2015/06/chart">
            <c:ext xmlns:c16="http://schemas.microsoft.com/office/drawing/2014/chart" uri="{C3380CC4-5D6E-409C-BE32-E72D297353CC}">
              <c16:uniqueId val="{00000000-7721-4833-9689-E1C15045A2C7}"/>
            </c:ext>
          </c:extLst>
        </c:ser>
        <c:ser>
          <c:idx val="1"/>
          <c:order val="1"/>
          <c:tx>
            <c:strRef>
              <c:f>Sheet1!$C$1</c:f>
              <c:strCache>
                <c:ptCount val="1"/>
                <c:pt idx="0">
                  <c:v>ROCE</c:v>
                </c:pt>
              </c:strCache>
            </c:strRef>
          </c:tx>
          <c:spPr>
            <a:solidFill>
              <a:schemeClr val="accent2">
                <a:shade val="76000"/>
              </a:schemeClr>
            </a:solidFill>
            <a:ln>
              <a:noFill/>
            </a:ln>
            <a:effectLst/>
          </c:spPr>
          <c:cat>
            <c:numRef>
              <c:f>Sheet1!$A$2:$A$3</c:f>
              <c:numCache>
                <c:formatCode>General</c:formatCode>
                <c:ptCount val="2"/>
                <c:pt idx="0">
                  <c:v>2019</c:v>
                </c:pt>
                <c:pt idx="1">
                  <c:v>2020</c:v>
                </c:pt>
              </c:numCache>
            </c:numRef>
          </c:cat>
          <c:val>
            <c:numRef>
              <c:f>Sheet1!$C$2:$C$3</c:f>
              <c:numCache>
                <c:formatCode>0.00%</c:formatCode>
                <c:ptCount val="2"/>
                <c:pt idx="0">
                  <c:v>0.23580000000000001</c:v>
                </c:pt>
                <c:pt idx="1">
                  <c:v>0.1048</c:v>
                </c:pt>
              </c:numCache>
            </c:numRef>
          </c:val>
          <c:extLst xmlns:c16r2="http://schemas.microsoft.com/office/drawing/2015/06/chart">
            <c:ext xmlns:c16="http://schemas.microsoft.com/office/drawing/2014/chart" uri="{C3380CC4-5D6E-409C-BE32-E72D297353CC}">
              <c16:uniqueId val="{00000001-7721-4833-9689-E1C15045A2C7}"/>
            </c:ext>
          </c:extLst>
        </c:ser>
        <c:gapWidth val="219"/>
        <c:overlap val="-27"/>
        <c:axId val="101203968"/>
        <c:axId val="101205504"/>
      </c:barChart>
      <c:catAx>
        <c:axId val="10120396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1205504"/>
        <c:crosses val="autoZero"/>
        <c:auto val="1"/>
        <c:lblAlgn val="ctr"/>
        <c:lblOffset val="100"/>
      </c:catAx>
      <c:valAx>
        <c:axId val="101205504"/>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120396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Current &amp; Quick</a:t>
            </a:r>
            <a:r>
              <a:rPr lang="en-US" baseline="0"/>
              <a:t> Ratio of Jurys Inn.</a:t>
            </a:r>
            <a:endParaRPr lang="en-US"/>
          </a:p>
        </c:rich>
      </c:tx>
      <c:spPr>
        <a:noFill/>
        <a:ln>
          <a:noFill/>
        </a:ln>
        <a:effectLst/>
      </c:spPr>
    </c:title>
    <c:plotArea>
      <c:layout/>
      <c:barChart>
        <c:barDir val="col"/>
        <c:grouping val="clustered"/>
        <c:ser>
          <c:idx val="0"/>
          <c:order val="0"/>
          <c:tx>
            <c:strRef>
              <c:f>Sheet1!$B$1</c:f>
              <c:strCache>
                <c:ptCount val="1"/>
                <c:pt idx="0">
                  <c:v>Current Ratio</c:v>
                </c:pt>
              </c:strCache>
            </c:strRef>
          </c:tx>
          <c:spPr>
            <a:solidFill>
              <a:schemeClr val="accent1"/>
            </a:solidFill>
            <a:ln>
              <a:noFill/>
            </a:ln>
            <a:effectLst/>
          </c:spPr>
          <c:cat>
            <c:numRef>
              <c:f>Sheet1!$A$2:$A$3</c:f>
              <c:numCache>
                <c:formatCode>General</c:formatCode>
                <c:ptCount val="2"/>
                <c:pt idx="0">
                  <c:v>2019</c:v>
                </c:pt>
                <c:pt idx="1">
                  <c:v>2020</c:v>
                </c:pt>
              </c:numCache>
            </c:numRef>
          </c:cat>
          <c:val>
            <c:numRef>
              <c:f>Sheet1!$B$2:$B$3</c:f>
              <c:numCache>
                <c:formatCode>General</c:formatCode>
                <c:ptCount val="2"/>
                <c:pt idx="0">
                  <c:v>2.15</c:v>
                </c:pt>
                <c:pt idx="1">
                  <c:v>2.42</c:v>
                </c:pt>
              </c:numCache>
            </c:numRef>
          </c:val>
          <c:extLst xmlns:c16r2="http://schemas.microsoft.com/office/drawing/2015/06/chart">
            <c:ext xmlns:c16="http://schemas.microsoft.com/office/drawing/2014/chart" uri="{C3380CC4-5D6E-409C-BE32-E72D297353CC}">
              <c16:uniqueId val="{00000000-D4D1-4E55-AA00-8E5808862E02}"/>
            </c:ext>
          </c:extLst>
        </c:ser>
        <c:gapWidth val="219"/>
        <c:axId val="38480896"/>
        <c:axId val="38486784"/>
      </c:barChart>
      <c:lineChart>
        <c:grouping val="standard"/>
        <c:ser>
          <c:idx val="1"/>
          <c:order val="1"/>
          <c:tx>
            <c:strRef>
              <c:f>Sheet1!$C$1</c:f>
              <c:strCache>
                <c:ptCount val="1"/>
                <c:pt idx="0">
                  <c:v>Quick Ratio</c:v>
                </c:pt>
              </c:strCache>
            </c:strRef>
          </c:tx>
          <c:spPr>
            <a:ln w="28575" cap="rnd">
              <a:solidFill>
                <a:schemeClr val="accent2"/>
              </a:solidFill>
              <a:round/>
            </a:ln>
            <a:effectLst/>
          </c:spPr>
          <c:marker>
            <c:symbol val="none"/>
          </c:marker>
          <c:cat>
            <c:numRef>
              <c:f>Sheet1!$A$2:$A$3</c:f>
              <c:numCache>
                <c:formatCode>General</c:formatCode>
                <c:ptCount val="2"/>
                <c:pt idx="0">
                  <c:v>2019</c:v>
                </c:pt>
                <c:pt idx="1">
                  <c:v>2020</c:v>
                </c:pt>
              </c:numCache>
            </c:numRef>
          </c:cat>
          <c:val>
            <c:numRef>
              <c:f>Sheet1!$C$2:$C$3</c:f>
              <c:numCache>
                <c:formatCode>General</c:formatCode>
                <c:ptCount val="2"/>
                <c:pt idx="0">
                  <c:v>1.33</c:v>
                </c:pt>
                <c:pt idx="1">
                  <c:v>1.58</c:v>
                </c:pt>
              </c:numCache>
            </c:numRef>
          </c:val>
          <c:extLst xmlns:c16r2="http://schemas.microsoft.com/office/drawing/2015/06/chart">
            <c:ext xmlns:c16="http://schemas.microsoft.com/office/drawing/2014/chart" uri="{C3380CC4-5D6E-409C-BE32-E72D297353CC}">
              <c16:uniqueId val="{00000001-D4D1-4E55-AA00-8E5808862E02}"/>
            </c:ext>
          </c:extLst>
        </c:ser>
        <c:marker val="1"/>
        <c:axId val="38480896"/>
        <c:axId val="38486784"/>
      </c:lineChart>
      <c:catAx>
        <c:axId val="384808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8486784"/>
        <c:crosses val="autoZero"/>
        <c:auto val="1"/>
        <c:lblAlgn val="ctr"/>
        <c:lblOffset val="100"/>
      </c:catAx>
      <c:valAx>
        <c:axId val="3848678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848089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Debt</a:t>
            </a:r>
            <a:r>
              <a:rPr lang="en-US" baseline="0"/>
              <a:t>-to-Equity &amp; Debt ratio of Jurys Inn.</a:t>
            </a:r>
            <a:endParaRPr lang="en-US"/>
          </a:p>
        </c:rich>
      </c:tx>
      <c:spPr>
        <a:noFill/>
        <a:ln>
          <a:noFill/>
        </a:ln>
        <a:effectLst/>
      </c:spPr>
    </c:title>
    <c:plotArea>
      <c:layout/>
      <c:barChart>
        <c:barDir val="col"/>
        <c:grouping val="clustered"/>
        <c:ser>
          <c:idx val="0"/>
          <c:order val="0"/>
          <c:tx>
            <c:strRef>
              <c:f>Sheet1!$B$1</c:f>
              <c:strCache>
                <c:ptCount val="1"/>
                <c:pt idx="0">
                  <c:v>Debt-to-Equity</c:v>
                </c:pt>
              </c:strCache>
            </c:strRef>
          </c:tx>
          <c:spPr>
            <a:solidFill>
              <a:schemeClr val="accent2"/>
            </a:solidFill>
            <a:ln>
              <a:noFill/>
            </a:ln>
            <a:effectLst/>
          </c:spPr>
          <c:cat>
            <c:numRef>
              <c:f>Sheet1!$A$2:$A$3</c:f>
              <c:numCache>
                <c:formatCode>General</c:formatCode>
                <c:ptCount val="2"/>
                <c:pt idx="0">
                  <c:v>2019</c:v>
                </c:pt>
                <c:pt idx="1">
                  <c:v>2020</c:v>
                </c:pt>
              </c:numCache>
            </c:numRef>
          </c:cat>
          <c:val>
            <c:numRef>
              <c:f>Sheet1!$B$2:$B$3</c:f>
              <c:numCache>
                <c:formatCode>0.00%</c:formatCode>
                <c:ptCount val="2"/>
                <c:pt idx="0">
                  <c:v>0.39440000000000014</c:v>
                </c:pt>
                <c:pt idx="1">
                  <c:v>0.36240000000000011</c:v>
                </c:pt>
              </c:numCache>
            </c:numRef>
          </c:val>
          <c:extLst xmlns:c16r2="http://schemas.microsoft.com/office/drawing/2015/06/chart">
            <c:ext xmlns:c16="http://schemas.microsoft.com/office/drawing/2014/chart" uri="{C3380CC4-5D6E-409C-BE32-E72D297353CC}">
              <c16:uniqueId val="{00000000-1ECA-444A-A407-7B9E61F83BCA}"/>
            </c:ext>
          </c:extLst>
        </c:ser>
        <c:ser>
          <c:idx val="1"/>
          <c:order val="1"/>
          <c:tx>
            <c:strRef>
              <c:f>Sheet1!$C$1</c:f>
              <c:strCache>
                <c:ptCount val="1"/>
                <c:pt idx="0">
                  <c:v>Debt Ratio</c:v>
                </c:pt>
              </c:strCache>
            </c:strRef>
          </c:tx>
          <c:spPr>
            <a:solidFill>
              <a:schemeClr val="accent4"/>
            </a:solidFill>
            <a:ln>
              <a:noFill/>
            </a:ln>
            <a:effectLst/>
          </c:spPr>
          <c:cat>
            <c:numRef>
              <c:f>Sheet1!$A$2:$A$3</c:f>
              <c:numCache>
                <c:formatCode>General</c:formatCode>
                <c:ptCount val="2"/>
                <c:pt idx="0">
                  <c:v>2019</c:v>
                </c:pt>
                <c:pt idx="1">
                  <c:v>2020</c:v>
                </c:pt>
              </c:numCache>
            </c:numRef>
          </c:cat>
          <c:val>
            <c:numRef>
              <c:f>Sheet1!$C$2:$C$3</c:f>
              <c:numCache>
                <c:formatCode>0.00%</c:formatCode>
                <c:ptCount val="2"/>
                <c:pt idx="0">
                  <c:v>0.28400000000000009</c:v>
                </c:pt>
                <c:pt idx="1">
                  <c:v>0.26620000000000005</c:v>
                </c:pt>
              </c:numCache>
            </c:numRef>
          </c:val>
          <c:extLst xmlns:c16r2="http://schemas.microsoft.com/office/drawing/2015/06/chart">
            <c:ext xmlns:c16="http://schemas.microsoft.com/office/drawing/2014/chart" uri="{C3380CC4-5D6E-409C-BE32-E72D297353CC}">
              <c16:uniqueId val="{00000001-1ECA-444A-A407-7B9E61F83BCA}"/>
            </c:ext>
          </c:extLst>
        </c:ser>
        <c:gapWidth val="219"/>
        <c:overlap val="-27"/>
        <c:axId val="66824064"/>
        <c:axId val="66825600"/>
      </c:barChart>
      <c:catAx>
        <c:axId val="668240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6825600"/>
        <c:crosses val="autoZero"/>
        <c:auto val="1"/>
        <c:lblAlgn val="ctr"/>
        <c:lblOffset val="100"/>
      </c:catAx>
      <c:valAx>
        <c:axId val="6682560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682406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F165B-92B0-40E2-9165-C7827E6D5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2111</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2022-02-16T18:45:00Z</dcterms:created>
  <dcterms:modified xsi:type="dcterms:W3CDTF">2022-02-16T18:45:00Z</dcterms:modified>
</cp:coreProperties>
</file>