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64104" w:rsidRPr="00664104" w:rsidRDefault="00664104" w:rsidP="00664104">
      <w:pPr>
        <w:pStyle w:val="Header"/>
        <w:jc w:val="center"/>
        <w:rPr>
          <w:b/>
          <w:u w:val="single"/>
        </w:rPr>
      </w:pPr>
      <w:r w:rsidRPr="00664104">
        <w:rPr>
          <w:b/>
          <w:u w:val="single"/>
        </w:rPr>
        <w:t>“The Age of Lloyd George – The Liberal Party and British Politics, 1890-1929”</w:t>
      </w:r>
    </w:p>
    <w:p w:rsidR="00664104" w:rsidRPr="00664104" w:rsidRDefault="00664104" w:rsidP="00664104">
      <w:pPr>
        <w:pStyle w:val="Header"/>
        <w:jc w:val="center"/>
        <w:rPr>
          <w:b/>
          <w:u w:val="single"/>
        </w:rPr>
      </w:pPr>
      <w:r w:rsidRPr="00664104">
        <w:rPr>
          <w:b/>
          <w:u w:val="single"/>
        </w:rPr>
        <w:t>Kenneth O. Morgan</w:t>
      </w:r>
    </w:p>
    <w:p w:rsidR="00664104" w:rsidRDefault="00664104" w:rsidP="00664104">
      <w:pPr>
        <w:spacing w:line="240" w:lineRule="auto"/>
        <w:rPr>
          <w:rFonts w:cs="Tahoma"/>
          <w:b/>
          <w:u w:val="single"/>
        </w:rPr>
      </w:pPr>
    </w:p>
    <w:p w:rsidR="00664104" w:rsidRDefault="00664104" w:rsidP="00664104">
      <w:pPr>
        <w:spacing w:line="240" w:lineRule="auto"/>
        <w:rPr>
          <w:rFonts w:cs="Tahoma"/>
        </w:rPr>
      </w:pPr>
      <w:r>
        <w:rPr>
          <w:rFonts w:cs="Tahoma"/>
        </w:rPr>
        <w:t xml:space="preserve">The book analyses the successes and decline of the Liberal Party and the involvement of Lloyd George during the period 1890-1929. The text is not only aimed at students of modern history, for whom it provides a succinct overview of a period which fundamentally changed the nature of British politics, but also the lay person who is sufficiently interested to engage with the detail. Through his concise style and clarity of analysis, the author, Professor Sir Kenneth O Morgan, is highly effective in infusing the topic with energy and at times drama. The book, published in 1971, is unusual in that it consists of an extended essay together with original documents which inform the analysis. It is </w:t>
      </w:r>
      <w:proofErr w:type="spellStart"/>
      <w:r>
        <w:rPr>
          <w:rFonts w:cs="Tahoma"/>
        </w:rPr>
        <w:t>str</w:t>
      </w:r>
      <w:bookmarkStart w:id="0" w:name="_GoBack"/>
      <w:bookmarkEnd w:id="0"/>
      <w:r>
        <w:rPr>
          <w:rFonts w:cs="Tahoma"/>
        </w:rPr>
        <w:t>ucturalist</w:t>
      </w:r>
      <w:proofErr w:type="spellEnd"/>
      <w:r>
        <w:rPr>
          <w:rFonts w:cs="Tahoma"/>
        </w:rPr>
        <w:t xml:space="preserve"> in nature but has a strong </w:t>
      </w:r>
      <w:r w:rsidR="007D6B0E">
        <w:rPr>
          <w:rFonts w:cs="Tahoma"/>
        </w:rPr>
        <w:t>internationalist</w:t>
      </w:r>
      <w:r>
        <w:rPr>
          <w:rFonts w:cs="Tahoma"/>
        </w:rPr>
        <w:t xml:space="preserve"> element centring on Lloyd George. It is fair to conclude that the author, based on the text and other published works</w:t>
      </w:r>
      <w:r>
        <w:rPr>
          <w:rStyle w:val="FootnoteReference"/>
          <w:rFonts w:cs="Tahoma"/>
        </w:rPr>
        <w:footnoteReference w:id="1"/>
      </w:r>
      <w:r>
        <w:rPr>
          <w:rFonts w:cs="Tahoma"/>
        </w:rPr>
        <w:t>, is sympathetic to the aims of left leaning politics to alleviate social and economic injustices.</w:t>
      </w:r>
    </w:p>
    <w:p w:rsidR="00664104" w:rsidRDefault="00664104" w:rsidP="00664104">
      <w:pPr>
        <w:spacing w:line="240" w:lineRule="auto"/>
        <w:rPr>
          <w:rFonts w:cs="Tahoma"/>
        </w:rPr>
      </w:pPr>
      <w:r>
        <w:rPr>
          <w:rFonts w:cs="Tahoma"/>
        </w:rPr>
        <w:t xml:space="preserve">Organised into five chapters, the book covers the shift from the traditional liberal beliefs of the Gladstonian period to new liberalism which saw the party in power under Asquith 1905-15, the challenges of the 1915-18 government period, the Lloyd George Coalition 1918-22 and the decline of the party 1923-29. Across these chapters, the author draws out a number of themes relating to the fortunes of the party and the political dominance of Lloyd George. </w:t>
      </w:r>
    </w:p>
    <w:p w:rsidR="00664104" w:rsidRDefault="00664104" w:rsidP="00664104">
      <w:pPr>
        <w:spacing w:line="240" w:lineRule="auto"/>
        <w:rPr>
          <w:rFonts w:cs="Tahoma"/>
        </w:rPr>
      </w:pPr>
      <w:r>
        <w:rPr>
          <w:rFonts w:cs="Tahoma"/>
        </w:rPr>
        <w:t>The book clarifies developments leading to the Liberal Party in 1903 formally adopting a shift in policy from traditional Liberal Party beliefs in free trade, imperialism, Irish independence, temperance and the disestablishment of the church in Wales to new liberalism based on social reform. The author, as do Thompson</w:t>
      </w:r>
      <w:r>
        <w:rPr>
          <w:rStyle w:val="FootnoteReference"/>
          <w:rFonts w:cs="Tahoma"/>
        </w:rPr>
        <w:footnoteReference w:id="2"/>
      </w:r>
      <w:r>
        <w:rPr>
          <w:rFonts w:cs="Tahoma"/>
        </w:rPr>
        <w:t xml:space="preserve"> and Searle</w:t>
      </w:r>
      <w:r>
        <w:rPr>
          <w:rStyle w:val="FootnoteReference"/>
          <w:rFonts w:cs="Tahoma"/>
        </w:rPr>
        <w:footnoteReference w:id="3"/>
      </w:r>
      <w:r>
        <w:rPr>
          <w:rFonts w:cs="Tahoma"/>
        </w:rPr>
        <w:t>, views the 1890s as a period which unleashed new ideas for the Liberals rather than a time writhen with divisions during which the party struggled to win working class support. Concerns over the conduct of the Boer War marginalised traditional liberal imperialists which helped the party unite over policy and regain moral authority. This unity, the author stresses, was based on local democratic concerns about monopoly and privilege rather than Gladstonian preoccupations such as free trade and Irish independence. As noted by Searle</w:t>
      </w:r>
      <w:r>
        <w:rPr>
          <w:rStyle w:val="FootnoteReference"/>
          <w:rFonts w:cs="Tahoma"/>
        </w:rPr>
        <w:footnoteReference w:id="4"/>
      </w:r>
      <w:r>
        <w:rPr>
          <w:rFonts w:cs="Tahoma"/>
        </w:rPr>
        <w:t>, links and alliances with the Labour Party and socialism were opened through new liberalism and, in the author’s view, were key to the Liberal landslide victory of 1906, notwithstanding Conservative failings during the previous ten years. Dutton concurs but suggests caution regarding over exaggerating the importance of links with Labour.</w:t>
      </w:r>
      <w:r>
        <w:rPr>
          <w:rStyle w:val="FootnoteReference"/>
          <w:rFonts w:cs="Tahoma"/>
        </w:rPr>
        <w:footnoteReference w:id="5"/>
      </w:r>
    </w:p>
    <w:p w:rsidR="00664104" w:rsidRDefault="00664104" w:rsidP="00664104">
      <w:pPr>
        <w:spacing w:line="240" w:lineRule="auto"/>
        <w:rPr>
          <w:rFonts w:cs="Tahoma"/>
        </w:rPr>
      </w:pPr>
      <w:r>
        <w:rPr>
          <w:rFonts w:cs="Tahoma"/>
        </w:rPr>
        <w:t>Whether the Liberal Party had lost its ideological base and middle class values in 1906 being thus doomed to be replaced by the Labour Party is debatable.</w:t>
      </w:r>
      <w:r>
        <w:rPr>
          <w:rStyle w:val="FootnoteReference"/>
          <w:rFonts w:cs="Tahoma"/>
        </w:rPr>
        <w:footnoteReference w:id="6"/>
      </w:r>
      <w:r>
        <w:rPr>
          <w:rFonts w:cs="Tahoma"/>
        </w:rPr>
        <w:t xml:space="preserve"> Thompson</w:t>
      </w:r>
      <w:r>
        <w:rPr>
          <w:rStyle w:val="FootnoteReference"/>
          <w:rFonts w:cs="Tahoma"/>
        </w:rPr>
        <w:footnoteReference w:id="7"/>
      </w:r>
      <w:r>
        <w:rPr>
          <w:rFonts w:cs="Tahoma"/>
        </w:rPr>
        <w:t xml:space="preserve"> and </w:t>
      </w:r>
      <w:proofErr w:type="spellStart"/>
      <w:r>
        <w:rPr>
          <w:rFonts w:cs="Tahoma"/>
        </w:rPr>
        <w:t>Pelling</w:t>
      </w:r>
      <w:proofErr w:type="spellEnd"/>
      <w:r>
        <w:rPr>
          <w:rStyle w:val="FootnoteReference"/>
          <w:rFonts w:cs="Tahoma"/>
        </w:rPr>
        <w:footnoteReference w:id="8"/>
      </w:r>
      <w:r>
        <w:rPr>
          <w:rFonts w:cs="Tahoma"/>
        </w:rPr>
        <w:t xml:space="preserve"> regarded the conflict between Asquith and Lloyd George in 1916 as the occasion rather than the cause of the demise of the party. Morgan, and likewise Searle</w:t>
      </w:r>
      <w:r>
        <w:rPr>
          <w:rStyle w:val="FootnoteReference"/>
          <w:rFonts w:cs="Tahoma"/>
        </w:rPr>
        <w:footnoteReference w:id="9"/>
      </w:r>
      <w:r>
        <w:rPr>
          <w:rFonts w:cs="Tahoma"/>
        </w:rPr>
        <w:t>, refute this view and concurs with Wilson</w:t>
      </w:r>
      <w:r>
        <w:rPr>
          <w:rStyle w:val="FootnoteReference"/>
          <w:rFonts w:cs="Tahoma"/>
        </w:rPr>
        <w:footnoteReference w:id="10"/>
      </w:r>
      <w:r>
        <w:rPr>
          <w:rFonts w:cs="Tahoma"/>
        </w:rPr>
        <w:t xml:space="preserve"> considering the party, despite internal upheaval, to be in a healthy state at that juncture. Lloyd George recognised the significance of the shift in electorate support in 1906 and pushed for social changes such as the old age pension and free </w:t>
      </w:r>
      <w:r>
        <w:rPr>
          <w:rFonts w:cs="Tahoma"/>
        </w:rPr>
        <w:lastRenderedPageBreak/>
        <w:t>school meals but in other respects, the author believes, his views on aspects such as temperance, land reform and church disestablishment remained faithful to traditional liberal beliefs which did little to consolidate the party’s position and fulfil the expectations of its new demographic. Campbell-Bannerman was too cautious fearing divisions within the party so recently united and although the appointment of Asquith as Prime Minister and Lloyd George as Chancellor in 1908 is seen by Morgan, as well as Searle</w:t>
      </w:r>
      <w:r>
        <w:rPr>
          <w:rStyle w:val="FootnoteReference"/>
          <w:rFonts w:cs="Tahoma"/>
        </w:rPr>
        <w:footnoteReference w:id="11"/>
      </w:r>
      <w:r>
        <w:rPr>
          <w:rFonts w:cs="Tahoma"/>
        </w:rPr>
        <w:t xml:space="preserve"> and Dutton</w:t>
      </w:r>
      <w:r>
        <w:rPr>
          <w:rStyle w:val="FootnoteReference"/>
          <w:rFonts w:cs="Tahoma"/>
        </w:rPr>
        <w:footnoteReference w:id="12"/>
      </w:r>
      <w:r>
        <w:rPr>
          <w:rFonts w:cs="Tahoma"/>
        </w:rPr>
        <w:t xml:space="preserve">, to have created opportunities to shift priorities, Asquith provided little leadership as regards reform. Others within the cabinet, with the exception of Churchill, who was a strong advocate of economic and social liberty, were not responsive to pressures for change thus already setting Lloyd George apart from his party.   </w:t>
      </w:r>
    </w:p>
    <w:p w:rsidR="00664104" w:rsidRDefault="00664104" w:rsidP="00664104">
      <w:pPr>
        <w:spacing w:line="240" w:lineRule="auto"/>
        <w:rPr>
          <w:rFonts w:cs="Tahoma"/>
        </w:rPr>
      </w:pPr>
      <w:r>
        <w:rPr>
          <w:rFonts w:cs="Tahoma"/>
        </w:rPr>
        <w:t>Morgan and Dutton</w:t>
      </w:r>
      <w:r>
        <w:rPr>
          <w:rStyle w:val="FootnoteReference"/>
          <w:rFonts w:cs="Tahoma"/>
        </w:rPr>
        <w:footnoteReference w:id="13"/>
      </w:r>
      <w:r>
        <w:rPr>
          <w:rFonts w:cs="Tahoma"/>
        </w:rPr>
        <w:t xml:space="preserve"> regard Lloyd George’s radical budget of 1909 as ground breaking. Constructed to finance social reform through licensing duties and taxation of unearned income, it was true to traditional Liberal values and preserved free trade, underlining Lloyd George’s belief in his party. The crisis it created through its rejection by the House of Lords, the elections of 1910 and, in effect, the ending of the House of Lords veto is seen by Morgan to mark a turning point in the transformation of the Liberal Party which also opened the way for the National Insurance Bill 1911. Searle</w:t>
      </w:r>
      <w:r>
        <w:rPr>
          <w:rStyle w:val="FootnoteReference"/>
          <w:rFonts w:cs="Tahoma"/>
        </w:rPr>
        <w:footnoteReference w:id="14"/>
      </w:r>
      <w:r>
        <w:rPr>
          <w:rFonts w:cs="Tahoma"/>
        </w:rPr>
        <w:t xml:space="preserve"> agrees with the author that 1911 was a crucial juncture in the development of social policy, although the 1911 election was the last in which a party other than Labour or Conservative won a majority marking a highly important event in 20</w:t>
      </w:r>
      <w:r>
        <w:rPr>
          <w:rFonts w:cs="Tahoma"/>
          <w:vertAlign w:val="superscript"/>
        </w:rPr>
        <w:t>th</w:t>
      </w:r>
      <w:r>
        <w:rPr>
          <w:rFonts w:cs="Tahoma"/>
        </w:rPr>
        <w:t xml:space="preserve"> century British politics. </w:t>
      </w:r>
    </w:p>
    <w:p w:rsidR="00664104" w:rsidRDefault="00664104" w:rsidP="00664104">
      <w:pPr>
        <w:spacing w:line="240" w:lineRule="auto"/>
        <w:rPr>
          <w:rFonts w:cs="Tahoma"/>
        </w:rPr>
      </w:pPr>
      <w:r>
        <w:rPr>
          <w:rFonts w:cs="Tahoma"/>
        </w:rPr>
        <w:t xml:space="preserve">The miners’ national stoppage of 1912, over a minimum wage, Churchill’s military intervention following the </w:t>
      </w:r>
      <w:proofErr w:type="spellStart"/>
      <w:r>
        <w:rPr>
          <w:rFonts w:cs="Tahoma"/>
        </w:rPr>
        <w:t>Tonypandy</w:t>
      </w:r>
      <w:proofErr w:type="spellEnd"/>
      <w:r>
        <w:rPr>
          <w:rFonts w:cs="Tahoma"/>
        </w:rPr>
        <w:t xml:space="preserve"> riots and the creation of the Triple Alliance of miners, railwaymen and </w:t>
      </w:r>
      <w:proofErr w:type="spellStart"/>
      <w:r>
        <w:rPr>
          <w:rFonts w:cs="Tahoma"/>
        </w:rPr>
        <w:t>dockers</w:t>
      </w:r>
      <w:proofErr w:type="spellEnd"/>
      <w:r>
        <w:rPr>
          <w:rFonts w:cs="Tahoma"/>
        </w:rPr>
        <w:t xml:space="preserve"> in 1914 created immense class pressures in Morgan’s view, and likewise Dutton</w:t>
      </w:r>
      <w:r>
        <w:rPr>
          <w:rStyle w:val="FootnoteReference"/>
          <w:rFonts w:cs="Tahoma"/>
        </w:rPr>
        <w:footnoteReference w:id="15"/>
      </w:r>
      <w:r>
        <w:rPr>
          <w:rFonts w:cs="Tahoma"/>
        </w:rPr>
        <w:t>, which threatened the cohesion of British society making the demise of the Liberal Party inevitable. This compounded the fact that the party was losing support in its heartland - working class and nonconformist chapel areas where congregations were in decline. The party’s continuing preoccupation with Irish nationalism and the Welsh Church, the author believes, distracted from social reforms. Further, despite the social benefit, the taxation element of the National Insurance Bill was not wholly popular with the working classes.</w:t>
      </w:r>
      <w:r>
        <w:rPr>
          <w:rStyle w:val="FootnoteReference"/>
          <w:rFonts w:cs="Tahoma"/>
        </w:rPr>
        <w:footnoteReference w:id="16"/>
      </w:r>
      <w:r>
        <w:rPr>
          <w:rFonts w:cs="Tahoma"/>
        </w:rPr>
        <w:t xml:space="preserve"> Morgan argues like others</w:t>
      </w:r>
      <w:r>
        <w:rPr>
          <w:rStyle w:val="FootnoteReference"/>
          <w:rFonts w:cs="Tahoma"/>
        </w:rPr>
        <w:footnoteReference w:id="17"/>
      </w:r>
      <w:r>
        <w:rPr>
          <w:rFonts w:cs="Tahoma"/>
        </w:rPr>
        <w:t>, that at this point, the party was still viable as Labour fared worse in bi-elections</w:t>
      </w:r>
      <w:r>
        <w:rPr>
          <w:rStyle w:val="FootnoteReference"/>
          <w:rFonts w:cs="Tahoma"/>
        </w:rPr>
        <w:footnoteReference w:id="18"/>
      </w:r>
      <w:r>
        <w:rPr>
          <w:rFonts w:cs="Tahoma"/>
        </w:rPr>
        <w:t xml:space="preserve"> due to militancy. Further, Lloyd George’s 1914 budget was clearly aimed at supporting further social improvements as had the people’s budget of 1909. </w:t>
      </w:r>
    </w:p>
    <w:p w:rsidR="00664104" w:rsidRDefault="00664104" w:rsidP="00664104">
      <w:pPr>
        <w:spacing w:line="240" w:lineRule="auto"/>
        <w:rPr>
          <w:rFonts w:cs="Tahoma"/>
        </w:rPr>
      </w:pPr>
      <w:r>
        <w:rPr>
          <w:rFonts w:cs="Tahoma"/>
        </w:rPr>
        <w:t>Not surprisingly, the impact of the First World War as a cause of Liberal decline is not fully resolved in the book because, as both Searle</w:t>
      </w:r>
      <w:r>
        <w:rPr>
          <w:rStyle w:val="FootnoteReference"/>
          <w:rFonts w:cs="Tahoma"/>
        </w:rPr>
        <w:footnoteReference w:id="19"/>
      </w:r>
      <w:r>
        <w:rPr>
          <w:rFonts w:cs="Tahoma"/>
        </w:rPr>
        <w:t xml:space="preserve"> and </w:t>
      </w:r>
      <w:proofErr w:type="spellStart"/>
      <w:r>
        <w:rPr>
          <w:rFonts w:cs="Tahoma"/>
        </w:rPr>
        <w:t>Adleman</w:t>
      </w:r>
      <w:proofErr w:type="spellEnd"/>
      <w:r>
        <w:rPr>
          <w:rStyle w:val="FootnoteReference"/>
          <w:rFonts w:cs="Tahoma"/>
        </w:rPr>
        <w:footnoteReference w:id="20"/>
      </w:r>
      <w:r>
        <w:rPr>
          <w:rFonts w:cs="Tahoma"/>
        </w:rPr>
        <w:t xml:space="preserve"> concluded, the path of politics should war not have broken out can only be surmised. In this respect Dutton</w:t>
      </w:r>
      <w:r>
        <w:rPr>
          <w:rStyle w:val="FootnoteReference"/>
          <w:rFonts w:cs="Tahoma"/>
        </w:rPr>
        <w:footnoteReference w:id="21"/>
      </w:r>
      <w:r>
        <w:rPr>
          <w:rFonts w:cs="Tahoma"/>
        </w:rPr>
        <w:t xml:space="preserve"> regards the social and political challenges the party faced between 1911 and 1914 to be unrelated events as opposed to symptoms of a failing party. Asquith’s failures in prosecuting the early phases of the First World War are demonstrated by Morgan, and reflected by Alderman</w:t>
      </w:r>
      <w:r>
        <w:rPr>
          <w:rStyle w:val="FootnoteReference"/>
          <w:rFonts w:cs="Tahoma"/>
        </w:rPr>
        <w:footnoteReference w:id="22"/>
      </w:r>
      <w:r>
        <w:rPr>
          <w:rFonts w:cs="Tahoma"/>
        </w:rPr>
        <w:t xml:space="preserve">, to in effect, have created the circumstances which irrevocably split the Liberal party linking its demise even more directly with the political fortunes of Lloyd George. The crisis of 1915, due to the resignation of the First Sea Lord following clashes with Churchill, according to Morgan, </w:t>
      </w:r>
      <w:r>
        <w:rPr>
          <w:rFonts w:cs="Tahoma"/>
        </w:rPr>
        <w:lastRenderedPageBreak/>
        <w:t>but more complex causes according to Dutton</w:t>
      </w:r>
      <w:r>
        <w:rPr>
          <w:rStyle w:val="FootnoteReference"/>
          <w:rFonts w:cs="Tahoma"/>
        </w:rPr>
        <w:footnoteReference w:id="23"/>
      </w:r>
      <w:r>
        <w:rPr>
          <w:rFonts w:cs="Tahoma"/>
        </w:rPr>
        <w:t>, resulted in Asquith remodelling the Liberal administration through bringing in Conservative ministers. According to Morgan, Lloyd George turned down a Conservative offer to be prime minister and also refutes Koss’s assertions</w:t>
      </w:r>
      <w:r>
        <w:rPr>
          <w:rStyle w:val="FootnoteReference"/>
          <w:rFonts w:cs="Tahoma"/>
        </w:rPr>
        <w:footnoteReference w:id="24"/>
      </w:r>
      <w:r>
        <w:rPr>
          <w:rFonts w:cs="Tahoma"/>
        </w:rPr>
        <w:t xml:space="preserve"> that Lloyd George had been conspiring with the opposition. Dutton</w:t>
      </w:r>
      <w:r>
        <w:rPr>
          <w:rStyle w:val="FootnoteReference"/>
          <w:rFonts w:cs="Tahoma"/>
        </w:rPr>
        <w:footnoteReference w:id="25"/>
      </w:r>
      <w:r>
        <w:rPr>
          <w:rFonts w:cs="Tahoma"/>
        </w:rPr>
        <w:t xml:space="preserve"> confirms the author’s view that the crisis of 1915 isolated Liberal ministers from the back benches and the country and that Lloyd George became increasingly isolated from his party associating more with Balfour and Conservative ministers than his own party.</w:t>
      </w:r>
    </w:p>
    <w:p w:rsidR="00664104" w:rsidRDefault="00664104" w:rsidP="00664104">
      <w:pPr>
        <w:spacing w:line="240" w:lineRule="auto"/>
        <w:rPr>
          <w:rFonts w:cs="Tahoma"/>
          <w:color w:val="FF0000"/>
        </w:rPr>
      </w:pPr>
      <w:r>
        <w:rPr>
          <w:rFonts w:cs="Tahoma"/>
        </w:rPr>
        <w:t>The author’s coverage of the events leading to Asquith’s resignation in 1916 and Lloyd George’s appointment as Prime Minister clearly demonstrate Lloyd George’s leadership qualities, commitment to his beliefs and his pragmatic approach to his own party. His actions in forcing Asquith to introduce conscription through the Military Service Act 1916 enhanced his status according to Morgan but aligned him further with the Conservatives thus isolating him from his party. Although Morgan expresses the view that Lloyd George neither encouraged nor plotted to remove Asquith for his incompetent execution of the war, he was in the vanguard of persuading Asquith to establish a War Committee. Alderman, reviewing the debate, likewise concludes there to be little evidence of collusion in 1916, as does Crosby</w:t>
      </w:r>
      <w:r>
        <w:rPr>
          <w:rStyle w:val="FootnoteReference"/>
          <w:rFonts w:cs="Tahoma"/>
        </w:rPr>
        <w:footnoteReference w:id="26"/>
      </w:r>
      <w:r>
        <w:rPr>
          <w:rFonts w:cs="Tahoma"/>
        </w:rPr>
        <w:t xml:space="preserve">, but recognises </w:t>
      </w:r>
      <w:r>
        <w:rPr>
          <w:rFonts w:cs="Tahoma"/>
          <w:i/>
        </w:rPr>
        <w:t>the desire to be Prime Minister is not an ignoble ambition for a politician of genius.</w:t>
      </w:r>
      <w:r>
        <w:rPr>
          <w:rStyle w:val="FootnoteReference"/>
          <w:rFonts w:cs="Tahoma"/>
          <w:i/>
        </w:rPr>
        <w:footnoteReference w:id="27"/>
      </w:r>
      <w:r>
        <w:rPr>
          <w:rFonts w:cs="Tahoma"/>
          <w:i/>
        </w:rPr>
        <w:t xml:space="preserve">   </w:t>
      </w:r>
      <w:r>
        <w:rPr>
          <w:rFonts w:cs="Tahoma"/>
        </w:rPr>
        <w:t>Although Morgan concludes that Lloyd George, despite his status, was in a politically weak position because of his isolation from his party, he accepted the premiership in 1916, when Bonar Law declined, bringing a fundamental change to the country. According to the author, he was a Prime Minister without a party relying on the Conservatives and was personally the main agent of change in British politics, having brought to an end, if only temporarily, the old class-based conflict between Liberals and Unionists creating an aligned government based on authority. His isolation was underlined by his reliance on his Garden Suburb group of private advisers.</w:t>
      </w:r>
      <w:r>
        <w:rPr>
          <w:rStyle w:val="FootnoteReference"/>
          <w:rFonts w:cs="Tahoma"/>
        </w:rPr>
        <w:footnoteReference w:id="28"/>
      </w:r>
      <w:r>
        <w:rPr>
          <w:rFonts w:cs="Tahoma"/>
        </w:rPr>
        <w:t xml:space="preserve"> The election of 1918, according to Morgan, reinforced the rift between Asquith’s traditional Liberals and Lloyd George’s coalitionists. The latter, by dint of the coalition, leaned to the political right, and oddly so according to Dutton</w:t>
      </w:r>
      <w:r>
        <w:rPr>
          <w:rStyle w:val="FootnoteReference"/>
          <w:rFonts w:cs="Tahoma"/>
        </w:rPr>
        <w:footnoteReference w:id="29"/>
      </w:r>
      <w:r>
        <w:rPr>
          <w:rFonts w:cs="Tahoma"/>
        </w:rPr>
        <w:t xml:space="preserve"> when the pre-war preoccupations of the two men are considered, resulting in Asquith failing to attract the support of the reformers thus strengthening the Labour Party. The author argues that the Liberal Party was only kept alive in post-war politics through the unpredictable influence of Lloyd George and although the 1918 election marked the end of the Liberal Party as major force the book does not fully explain the details of the causation. Dutton</w:t>
      </w:r>
      <w:r>
        <w:rPr>
          <w:rStyle w:val="FootnoteReference"/>
          <w:rFonts w:cs="Tahoma"/>
        </w:rPr>
        <w:footnoteReference w:id="30"/>
      </w:r>
      <w:r>
        <w:rPr>
          <w:rFonts w:cs="Tahoma"/>
        </w:rPr>
        <w:t xml:space="preserve"> for example considers wider factors such as significant changes in the electorate in 1918. </w:t>
      </w:r>
    </w:p>
    <w:p w:rsidR="00664104" w:rsidRDefault="00664104" w:rsidP="00664104">
      <w:pPr>
        <w:spacing w:line="240" w:lineRule="auto"/>
        <w:rPr>
          <w:rFonts w:cs="Tahoma"/>
        </w:rPr>
      </w:pPr>
      <w:r>
        <w:rPr>
          <w:rFonts w:cs="Tahoma"/>
        </w:rPr>
        <w:t>Morgan clearly demonstrates, as does Crosby</w:t>
      </w:r>
      <w:r>
        <w:rPr>
          <w:rStyle w:val="FootnoteReference"/>
          <w:rFonts w:cs="Tahoma"/>
        </w:rPr>
        <w:footnoteReference w:id="31"/>
      </w:r>
      <w:r>
        <w:rPr>
          <w:rFonts w:cs="Tahoma"/>
        </w:rPr>
        <w:t>, the history of the Liberal Party and British politics to be closely linked to the personality and beliefs of Lloyd George. Highly pertinent is the demonstration by the author that the beliefs and policies of the Liberal Party evolved within the broad parameters of liberalism as a political philosophy but, whilst Lloyd George had firm liberal beliefs, his priorities did not always accord with party dogma. Lloyd George’s beliefs were firmly based on the non-conformism, nationalism, temperance and social inequalities of his Welsh roots and the narrative of the text shows him to be true to those beliefs. As confirmed by Dutton, the coalition manifesto of 1918 was fundamentally liberal.</w:t>
      </w:r>
      <w:r>
        <w:rPr>
          <w:rStyle w:val="FootnoteReference"/>
          <w:rFonts w:cs="Tahoma"/>
        </w:rPr>
        <w:footnoteReference w:id="32"/>
      </w:r>
      <w:r>
        <w:rPr>
          <w:rFonts w:cs="Tahoma"/>
        </w:rPr>
        <w:t xml:space="preserve"> The extent to which Lloyd George was responsible for the decline of the Liberal Party is debatable</w:t>
      </w:r>
      <w:r>
        <w:rPr>
          <w:rStyle w:val="FootnoteReference"/>
          <w:rFonts w:cs="Tahoma"/>
        </w:rPr>
        <w:footnoteReference w:id="33"/>
      </w:r>
      <w:r>
        <w:rPr>
          <w:rFonts w:cs="Tahoma"/>
        </w:rPr>
        <w:t xml:space="preserve"> but Morgan sees him and his followers, particularly during his period as Prime Minister, as scapegoats and victims of the nation decline of the liberal ethic and the overall decline of Britain in the 21</w:t>
      </w:r>
      <w:r>
        <w:rPr>
          <w:rFonts w:cs="Tahoma"/>
          <w:vertAlign w:val="superscript"/>
        </w:rPr>
        <w:t>st</w:t>
      </w:r>
      <w:r>
        <w:rPr>
          <w:rFonts w:cs="Tahoma"/>
        </w:rPr>
        <w:t xml:space="preserve"> century. </w:t>
      </w:r>
      <w:r>
        <w:rPr>
          <w:rFonts w:cs="Tahoma"/>
        </w:rPr>
        <w:lastRenderedPageBreak/>
        <w:t>Alderman</w:t>
      </w:r>
      <w:r>
        <w:rPr>
          <w:rStyle w:val="FootnoteReference"/>
          <w:rFonts w:cs="Tahoma"/>
        </w:rPr>
        <w:footnoteReference w:id="34"/>
      </w:r>
      <w:r>
        <w:rPr>
          <w:rFonts w:cs="Tahoma"/>
        </w:rPr>
        <w:t xml:space="preserve"> and </w:t>
      </w:r>
      <w:proofErr w:type="spellStart"/>
      <w:r>
        <w:rPr>
          <w:rFonts w:cs="Tahoma"/>
        </w:rPr>
        <w:t>Grigg</w:t>
      </w:r>
      <w:proofErr w:type="spellEnd"/>
      <w:r>
        <w:rPr>
          <w:rStyle w:val="FootnoteReference"/>
          <w:rFonts w:cs="Tahoma"/>
        </w:rPr>
        <w:footnoteReference w:id="35"/>
      </w:r>
      <w:r>
        <w:rPr>
          <w:rFonts w:cs="Tahoma"/>
        </w:rPr>
        <w:t xml:space="preserve"> support this view considering Asquith’s pride and stubbornness in refusing Lloyd George’s offers to join his government as the main reason for splitting the party.</w:t>
      </w:r>
      <w:r>
        <w:rPr>
          <w:rStyle w:val="FootnoteReference"/>
          <w:rFonts w:cs="Tahoma"/>
        </w:rPr>
        <w:t xml:space="preserve"> </w:t>
      </w:r>
    </w:p>
    <w:p w:rsidR="00664104" w:rsidRDefault="00664104" w:rsidP="00664104">
      <w:pPr>
        <w:spacing w:line="240" w:lineRule="auto"/>
        <w:rPr>
          <w:rFonts w:cs="Tahoma"/>
        </w:rPr>
      </w:pPr>
      <w:r>
        <w:rPr>
          <w:rFonts w:cs="Tahoma"/>
        </w:rPr>
        <w:t xml:space="preserve">The overriding picture Morgan, and </w:t>
      </w:r>
      <w:proofErr w:type="spellStart"/>
      <w:r>
        <w:rPr>
          <w:rFonts w:cs="Tahoma"/>
        </w:rPr>
        <w:t>Grigg</w:t>
      </w:r>
      <w:proofErr w:type="spellEnd"/>
      <w:r>
        <w:rPr>
          <w:rStyle w:val="FootnoteReference"/>
          <w:rFonts w:cs="Tahoma"/>
        </w:rPr>
        <w:footnoteReference w:id="36"/>
      </w:r>
      <w:r>
        <w:rPr>
          <w:rFonts w:cs="Tahoma"/>
        </w:rPr>
        <w:t xml:space="preserve">, convey of Lloyd George is a pragmatist with social insight, vision and exceptional leadership skills. He mobilised the county councils against </w:t>
      </w:r>
      <w:proofErr w:type="spellStart"/>
      <w:r>
        <w:rPr>
          <w:rFonts w:cs="Tahoma"/>
        </w:rPr>
        <w:t>Balfor’s</w:t>
      </w:r>
      <w:proofErr w:type="spellEnd"/>
      <w:r>
        <w:rPr>
          <w:rFonts w:cs="Tahoma"/>
        </w:rPr>
        <w:t xml:space="preserve"> Education Act in 1902, urged his cabinet colleagues to dissolve parliament when the Lords rejected his Education Bill 1906 and Licensing Bill 1908 and stressed the urgency of social reform. His people’s budget of 1909 broke with traditional budgetary policy and appealed both to workers and middle class free traders, and clearly set him out as the leader of the radical wing of the party. Morgan and likewise Crosby</w:t>
      </w:r>
      <w:r>
        <w:rPr>
          <w:rStyle w:val="FootnoteReference"/>
          <w:rFonts w:cs="Tahoma"/>
        </w:rPr>
        <w:footnoteReference w:id="37"/>
      </w:r>
      <w:r>
        <w:rPr>
          <w:rFonts w:cs="Tahoma"/>
        </w:rPr>
        <w:t xml:space="preserve">, view his National Insurance Bill 1911 as immensely complex and politically challenging underlining his political skills in achieving a compromise between state socialism and the laissez-faire liberalism, and in effect setting the foundations for the welfare state. The author draws attention to the exceptional manner Lloyd George dealt with the city following the declaration of war in 1914 and his war budget of 1914 impressed even hardened economists confirming him to be an outstanding minister. The author shows Lloyd George to be instinctively drawn to coalitions and the notion of collaboration which would surmount sectional and party conflicts. Even during the crises following his people’s budget he proposed such an approach, which Balfour was strangely supportive of, but party politics were too ingrained. Only the First World War created the circumstances to give such a proposal credibility and his natural leaning to executive power stood him and the country well. </w:t>
      </w:r>
    </w:p>
    <w:p w:rsidR="00664104" w:rsidRDefault="00664104" w:rsidP="00664104">
      <w:pPr>
        <w:spacing w:line="240" w:lineRule="auto"/>
        <w:rPr>
          <w:rFonts w:cs="Tahoma"/>
        </w:rPr>
      </w:pPr>
      <w:r>
        <w:rPr>
          <w:rFonts w:cs="Tahoma"/>
        </w:rPr>
        <w:t xml:space="preserve">A major strength of this book is that it strikes a balance between the texts cited above which focus on the history and decline of the Liberal Party and biographical works centred specifically on Lloyd George. As such it provides a well-considered overview of a key period of social and political change in Britain whilst opening avenues for further reading. The book is succinctly written whilst probing some events in depth. Particularly useful is the attention given to historical aspects which are debatable or inconclusive. The overarching message of the book is that the decline of the Liberal Party was the consequence of social changes and unpredictable occurrences to which the party, despite the broad nature of liberalism, failed to adapt. Lloyd George’s farsightedness, political shrewdness, determination and pragmatism regarding Liberal Party policies enabled him to adapt and provide leadership at times of crisis. Despite his farsightedness however, his recurring isolation from his party greatly diminished his ability to ensure its survival as a dominant political force. In the words of </w:t>
      </w:r>
      <w:proofErr w:type="spellStart"/>
      <w:r>
        <w:rPr>
          <w:rFonts w:cs="Tahoma"/>
        </w:rPr>
        <w:t>Aneurin</w:t>
      </w:r>
      <w:proofErr w:type="spellEnd"/>
      <w:r>
        <w:rPr>
          <w:rFonts w:cs="Tahoma"/>
        </w:rPr>
        <w:t xml:space="preserve"> Bevan:</w:t>
      </w:r>
    </w:p>
    <w:p w:rsidR="00664104" w:rsidRDefault="00664104" w:rsidP="00664104">
      <w:pPr>
        <w:spacing w:line="240" w:lineRule="auto"/>
        <w:rPr>
          <w:rFonts w:cs="Tahoma"/>
        </w:rPr>
      </w:pPr>
      <w:r>
        <w:rPr>
          <w:rFonts w:cs="Tahoma"/>
          <w:i/>
        </w:rPr>
        <w:t xml:space="preserve">Even the most superabundant personal qualities are irrelevant if not associated with great mass machines </w:t>
      </w:r>
      <w:r>
        <w:rPr>
          <w:rFonts w:cs="Tahoma"/>
        </w:rPr>
        <w:t>(political parties).</w:t>
      </w:r>
      <w:r>
        <w:rPr>
          <w:rStyle w:val="FootnoteReference"/>
          <w:rFonts w:cs="Tahoma"/>
        </w:rPr>
        <w:t xml:space="preserve"> </w:t>
      </w:r>
      <w:r>
        <w:rPr>
          <w:rStyle w:val="FootnoteReference"/>
          <w:rFonts w:cs="Tahoma"/>
        </w:rPr>
        <w:footnoteReference w:id="38"/>
      </w:r>
    </w:p>
    <w:p w:rsidR="00664104" w:rsidRDefault="00664104" w:rsidP="00664104">
      <w:pPr>
        <w:spacing w:line="240" w:lineRule="auto"/>
        <w:rPr>
          <w:rFonts w:cs="Tahoma"/>
          <w:u w:val="single"/>
        </w:rPr>
      </w:pPr>
    </w:p>
    <w:p w:rsidR="00664104" w:rsidRDefault="00664104" w:rsidP="00664104">
      <w:pPr>
        <w:spacing w:line="240" w:lineRule="auto"/>
        <w:rPr>
          <w:rFonts w:cs="Tahoma"/>
          <w:u w:val="single"/>
        </w:rPr>
      </w:pPr>
    </w:p>
    <w:p w:rsidR="00664104" w:rsidRDefault="00664104" w:rsidP="00664104">
      <w:pPr>
        <w:spacing w:line="240" w:lineRule="auto"/>
        <w:rPr>
          <w:rFonts w:cs="Tahoma"/>
          <w:u w:val="single"/>
        </w:rPr>
      </w:pPr>
    </w:p>
    <w:p w:rsidR="00664104" w:rsidRDefault="00664104" w:rsidP="00664104">
      <w:pPr>
        <w:spacing w:line="240" w:lineRule="auto"/>
        <w:rPr>
          <w:rFonts w:cs="Tahoma"/>
          <w:u w:val="single"/>
        </w:rPr>
      </w:pPr>
    </w:p>
    <w:p w:rsidR="00664104" w:rsidRDefault="00664104" w:rsidP="00664104">
      <w:pPr>
        <w:spacing w:line="240" w:lineRule="auto"/>
        <w:rPr>
          <w:rFonts w:cs="Tahoma"/>
          <w:u w:val="single"/>
        </w:rPr>
      </w:pPr>
    </w:p>
    <w:p w:rsidR="00664104" w:rsidRDefault="00664104" w:rsidP="00664104">
      <w:pPr>
        <w:spacing w:line="240" w:lineRule="auto"/>
        <w:rPr>
          <w:rFonts w:cs="Tahoma"/>
          <w:u w:val="single"/>
        </w:rPr>
      </w:pPr>
    </w:p>
    <w:p w:rsidR="00664104" w:rsidRDefault="00664104" w:rsidP="00664104">
      <w:pPr>
        <w:spacing w:line="240" w:lineRule="auto"/>
        <w:rPr>
          <w:rFonts w:cs="Tahoma"/>
          <w:u w:val="single"/>
        </w:rPr>
      </w:pPr>
    </w:p>
    <w:p w:rsidR="00664104" w:rsidRDefault="00664104" w:rsidP="00664104">
      <w:pPr>
        <w:spacing w:line="240" w:lineRule="auto"/>
        <w:rPr>
          <w:rFonts w:cs="Tahoma"/>
          <w:u w:val="single"/>
        </w:rPr>
      </w:pPr>
      <w:r>
        <w:rPr>
          <w:rFonts w:cs="Tahoma"/>
          <w:u w:val="single"/>
        </w:rPr>
        <w:t>Bibliography</w:t>
      </w:r>
    </w:p>
    <w:p w:rsidR="00664104" w:rsidRDefault="00664104" w:rsidP="00664104">
      <w:pPr>
        <w:pStyle w:val="FootnoteText"/>
        <w:rPr>
          <w:rFonts w:cs="Tahoma"/>
          <w:sz w:val="22"/>
          <w:szCs w:val="22"/>
        </w:rPr>
      </w:pPr>
      <w:r>
        <w:rPr>
          <w:rFonts w:cs="Tahoma"/>
          <w:sz w:val="22"/>
          <w:szCs w:val="22"/>
        </w:rPr>
        <w:t xml:space="preserve">P. </w:t>
      </w:r>
      <w:proofErr w:type="spellStart"/>
      <w:r>
        <w:rPr>
          <w:rFonts w:cs="Tahoma"/>
          <w:sz w:val="22"/>
          <w:szCs w:val="22"/>
        </w:rPr>
        <w:t>Adleman</w:t>
      </w:r>
      <w:proofErr w:type="spellEnd"/>
      <w:r>
        <w:rPr>
          <w:rFonts w:cs="Tahoma"/>
          <w:sz w:val="22"/>
          <w:szCs w:val="22"/>
        </w:rPr>
        <w:t xml:space="preserve">, </w:t>
      </w:r>
      <w:proofErr w:type="gramStart"/>
      <w:r>
        <w:rPr>
          <w:rFonts w:cs="Tahoma"/>
          <w:i/>
          <w:sz w:val="22"/>
          <w:szCs w:val="22"/>
        </w:rPr>
        <w:t>The</w:t>
      </w:r>
      <w:proofErr w:type="gramEnd"/>
      <w:r>
        <w:rPr>
          <w:rFonts w:cs="Tahoma"/>
          <w:i/>
          <w:sz w:val="22"/>
          <w:szCs w:val="22"/>
        </w:rPr>
        <w:t xml:space="preserve"> Decline of the Liberal Party 1910-1931</w:t>
      </w:r>
      <w:r>
        <w:rPr>
          <w:rFonts w:cs="Tahoma"/>
          <w:sz w:val="22"/>
          <w:szCs w:val="22"/>
        </w:rPr>
        <w:t xml:space="preserve"> (London and New York: Longman 1995).</w:t>
      </w:r>
    </w:p>
    <w:p w:rsidR="00664104" w:rsidRDefault="00664104" w:rsidP="00664104">
      <w:pPr>
        <w:pStyle w:val="FootnoteText"/>
        <w:rPr>
          <w:rFonts w:cs="Tahoma"/>
          <w:sz w:val="22"/>
          <w:szCs w:val="22"/>
        </w:rPr>
      </w:pPr>
      <w:r>
        <w:rPr>
          <w:rFonts w:cs="Tahoma"/>
          <w:sz w:val="22"/>
          <w:szCs w:val="22"/>
        </w:rPr>
        <w:t xml:space="preserve">T.L. Crosby, </w:t>
      </w:r>
      <w:r>
        <w:rPr>
          <w:rFonts w:cs="Tahoma"/>
          <w:i/>
          <w:sz w:val="22"/>
          <w:szCs w:val="22"/>
        </w:rPr>
        <w:t>The unknown Lloyd George</w:t>
      </w:r>
      <w:r>
        <w:rPr>
          <w:rFonts w:cs="Tahoma"/>
          <w:sz w:val="22"/>
          <w:szCs w:val="22"/>
        </w:rPr>
        <w:t xml:space="preserve"> (London and New York: Tauris 2014). </w:t>
      </w:r>
    </w:p>
    <w:p w:rsidR="00664104" w:rsidRDefault="00664104" w:rsidP="00664104">
      <w:pPr>
        <w:pStyle w:val="FootnoteText"/>
        <w:rPr>
          <w:rFonts w:cs="Tahoma"/>
          <w:sz w:val="22"/>
          <w:szCs w:val="22"/>
        </w:rPr>
      </w:pPr>
      <w:r>
        <w:rPr>
          <w:rFonts w:cs="Tahoma"/>
          <w:sz w:val="22"/>
          <w:szCs w:val="22"/>
        </w:rPr>
        <w:t xml:space="preserve">D. Dutton, </w:t>
      </w:r>
      <w:proofErr w:type="gramStart"/>
      <w:r>
        <w:rPr>
          <w:rFonts w:cs="Tahoma"/>
          <w:i/>
          <w:sz w:val="22"/>
          <w:szCs w:val="22"/>
        </w:rPr>
        <w:t>A</w:t>
      </w:r>
      <w:proofErr w:type="gramEnd"/>
      <w:r>
        <w:rPr>
          <w:rFonts w:cs="Tahoma"/>
          <w:i/>
          <w:sz w:val="22"/>
          <w:szCs w:val="22"/>
        </w:rPr>
        <w:t xml:space="preserve"> History of the Liberal Party Since 1900</w:t>
      </w:r>
      <w:r>
        <w:rPr>
          <w:rFonts w:cs="Tahoma"/>
          <w:sz w:val="22"/>
          <w:szCs w:val="22"/>
        </w:rPr>
        <w:t xml:space="preserve"> (Basingstoke: Palgrave Macmillan 2013).</w:t>
      </w:r>
    </w:p>
    <w:p w:rsidR="00664104" w:rsidRDefault="00664104" w:rsidP="00664104">
      <w:pPr>
        <w:pStyle w:val="FootnoteText"/>
        <w:rPr>
          <w:rFonts w:cs="Tahoma"/>
          <w:sz w:val="22"/>
          <w:szCs w:val="22"/>
        </w:rPr>
      </w:pPr>
      <w:r>
        <w:rPr>
          <w:rFonts w:cs="Tahoma"/>
          <w:sz w:val="22"/>
          <w:szCs w:val="22"/>
        </w:rPr>
        <w:t xml:space="preserve">J. </w:t>
      </w:r>
      <w:proofErr w:type="spellStart"/>
      <w:r>
        <w:rPr>
          <w:rFonts w:cs="Tahoma"/>
          <w:sz w:val="22"/>
          <w:szCs w:val="22"/>
        </w:rPr>
        <w:t>Grigg</w:t>
      </w:r>
      <w:proofErr w:type="spellEnd"/>
      <w:r>
        <w:rPr>
          <w:rFonts w:cs="Tahoma"/>
          <w:sz w:val="22"/>
          <w:szCs w:val="22"/>
        </w:rPr>
        <w:t xml:space="preserve">, </w:t>
      </w:r>
      <w:r>
        <w:rPr>
          <w:rFonts w:cs="Tahoma"/>
          <w:i/>
          <w:sz w:val="22"/>
          <w:szCs w:val="22"/>
        </w:rPr>
        <w:t>Lloyd George the People’s Champion 1902-1911</w:t>
      </w:r>
      <w:r>
        <w:rPr>
          <w:rFonts w:cs="Tahoma"/>
          <w:sz w:val="22"/>
          <w:szCs w:val="22"/>
        </w:rPr>
        <w:t xml:space="preserve"> (London: Penguin Books 2002).</w:t>
      </w:r>
    </w:p>
    <w:p w:rsidR="00664104" w:rsidRDefault="00664104" w:rsidP="00664104">
      <w:pPr>
        <w:pStyle w:val="FootnoteText"/>
        <w:rPr>
          <w:rFonts w:cs="Tahoma"/>
          <w:sz w:val="22"/>
          <w:szCs w:val="22"/>
        </w:rPr>
      </w:pPr>
      <w:r>
        <w:rPr>
          <w:sz w:val="22"/>
          <w:szCs w:val="22"/>
        </w:rPr>
        <w:t xml:space="preserve">J. </w:t>
      </w:r>
      <w:proofErr w:type="spellStart"/>
      <w:r>
        <w:rPr>
          <w:sz w:val="22"/>
          <w:szCs w:val="22"/>
        </w:rPr>
        <w:t>Grigg</w:t>
      </w:r>
      <w:proofErr w:type="spellEnd"/>
      <w:r>
        <w:rPr>
          <w:sz w:val="22"/>
          <w:szCs w:val="22"/>
        </w:rPr>
        <w:t>, Lloyd George War Leader (London: Allen Lane 2002), p. 358.</w:t>
      </w:r>
    </w:p>
    <w:p w:rsidR="00664104" w:rsidRDefault="00664104" w:rsidP="00664104">
      <w:pPr>
        <w:pStyle w:val="FootnoteText"/>
        <w:rPr>
          <w:rFonts w:cs="Tahoma"/>
          <w:sz w:val="22"/>
          <w:szCs w:val="22"/>
        </w:rPr>
      </w:pPr>
      <w:r>
        <w:rPr>
          <w:rFonts w:cs="Tahoma"/>
          <w:sz w:val="22"/>
          <w:szCs w:val="22"/>
        </w:rPr>
        <w:t xml:space="preserve">S. E. Koss, </w:t>
      </w:r>
      <w:r>
        <w:rPr>
          <w:rFonts w:cs="Tahoma"/>
          <w:i/>
          <w:sz w:val="22"/>
          <w:szCs w:val="22"/>
        </w:rPr>
        <w:t>Nonconformity in modern British Politics</w:t>
      </w:r>
      <w:r>
        <w:rPr>
          <w:rFonts w:cs="Tahoma"/>
          <w:sz w:val="22"/>
          <w:szCs w:val="22"/>
        </w:rPr>
        <w:t xml:space="preserve"> (London: Harper Collins 1975).</w:t>
      </w:r>
    </w:p>
    <w:p w:rsidR="00664104" w:rsidRDefault="00664104" w:rsidP="00664104">
      <w:pPr>
        <w:pStyle w:val="FootnoteText"/>
        <w:rPr>
          <w:rFonts w:cs="Tahoma"/>
          <w:sz w:val="22"/>
          <w:szCs w:val="22"/>
        </w:rPr>
      </w:pPr>
      <w:r>
        <w:rPr>
          <w:rFonts w:cs="Tahoma"/>
          <w:sz w:val="22"/>
          <w:szCs w:val="22"/>
        </w:rPr>
        <w:t xml:space="preserve">K.O Morgan, </w:t>
      </w:r>
      <w:proofErr w:type="gramStart"/>
      <w:r>
        <w:rPr>
          <w:rFonts w:cs="Tahoma"/>
          <w:i/>
          <w:sz w:val="22"/>
          <w:szCs w:val="22"/>
        </w:rPr>
        <w:t>The</w:t>
      </w:r>
      <w:proofErr w:type="gramEnd"/>
      <w:r>
        <w:rPr>
          <w:rFonts w:cs="Tahoma"/>
          <w:i/>
          <w:sz w:val="22"/>
          <w:szCs w:val="22"/>
        </w:rPr>
        <w:t xml:space="preserve"> Age of Lloyd George The Liberal Party and British Politics 1890-1929 </w:t>
      </w:r>
      <w:r>
        <w:rPr>
          <w:rFonts w:cs="Tahoma"/>
          <w:sz w:val="22"/>
          <w:szCs w:val="22"/>
        </w:rPr>
        <w:t>(London: George Allen and Unwin 1983).</w:t>
      </w:r>
    </w:p>
    <w:p w:rsidR="00664104" w:rsidRDefault="00664104" w:rsidP="00664104">
      <w:pPr>
        <w:pStyle w:val="FootnoteText"/>
        <w:rPr>
          <w:rFonts w:cs="Tahoma"/>
          <w:sz w:val="22"/>
          <w:szCs w:val="22"/>
        </w:rPr>
      </w:pPr>
      <w:r>
        <w:rPr>
          <w:rFonts w:cs="Tahoma"/>
          <w:sz w:val="22"/>
          <w:szCs w:val="22"/>
        </w:rPr>
        <w:t xml:space="preserve">H. </w:t>
      </w:r>
      <w:proofErr w:type="spellStart"/>
      <w:r>
        <w:rPr>
          <w:rFonts w:cs="Tahoma"/>
          <w:sz w:val="22"/>
          <w:szCs w:val="22"/>
        </w:rPr>
        <w:t>Pelling</w:t>
      </w:r>
      <w:proofErr w:type="spellEnd"/>
      <w:r>
        <w:rPr>
          <w:rFonts w:cs="Tahoma"/>
          <w:sz w:val="22"/>
          <w:szCs w:val="22"/>
        </w:rPr>
        <w:t xml:space="preserve">, </w:t>
      </w:r>
      <w:r>
        <w:rPr>
          <w:rFonts w:cs="Tahoma"/>
          <w:i/>
          <w:sz w:val="22"/>
          <w:szCs w:val="22"/>
        </w:rPr>
        <w:t>Popular Politics and Society in Late Victorian Britain</w:t>
      </w:r>
      <w:r>
        <w:rPr>
          <w:rFonts w:cs="Tahoma"/>
          <w:sz w:val="22"/>
          <w:szCs w:val="22"/>
        </w:rPr>
        <w:t xml:space="preserve"> (London: Macmillan 1968).</w:t>
      </w:r>
    </w:p>
    <w:p w:rsidR="00664104" w:rsidRDefault="00664104" w:rsidP="00664104">
      <w:pPr>
        <w:pStyle w:val="FootnoteText"/>
        <w:rPr>
          <w:rFonts w:cs="Tahoma"/>
          <w:sz w:val="22"/>
          <w:szCs w:val="22"/>
        </w:rPr>
      </w:pPr>
      <w:r>
        <w:rPr>
          <w:rFonts w:cs="Tahoma"/>
          <w:sz w:val="22"/>
          <w:szCs w:val="22"/>
        </w:rPr>
        <w:t xml:space="preserve">G.R. Searle, </w:t>
      </w:r>
      <w:proofErr w:type="gramStart"/>
      <w:r>
        <w:rPr>
          <w:rFonts w:cs="Tahoma"/>
          <w:i/>
          <w:sz w:val="22"/>
          <w:szCs w:val="22"/>
        </w:rPr>
        <w:t>The</w:t>
      </w:r>
      <w:proofErr w:type="gramEnd"/>
      <w:r>
        <w:rPr>
          <w:rFonts w:cs="Tahoma"/>
          <w:i/>
          <w:sz w:val="22"/>
          <w:szCs w:val="22"/>
        </w:rPr>
        <w:t xml:space="preserve"> Liberal </w:t>
      </w:r>
      <w:r>
        <w:rPr>
          <w:rFonts w:cs="Tahoma"/>
          <w:sz w:val="22"/>
          <w:szCs w:val="22"/>
        </w:rPr>
        <w:t>Party Triumph and Disintegration 1886-1929 (Basingstoke: Palgrave 2001).</w:t>
      </w:r>
    </w:p>
    <w:p w:rsidR="00664104" w:rsidRDefault="00664104" w:rsidP="00664104">
      <w:pPr>
        <w:pStyle w:val="FootnoteText"/>
        <w:rPr>
          <w:rFonts w:cs="Tahoma"/>
          <w:sz w:val="22"/>
          <w:szCs w:val="22"/>
        </w:rPr>
      </w:pPr>
      <w:r>
        <w:rPr>
          <w:rFonts w:cs="Tahoma"/>
          <w:sz w:val="22"/>
          <w:szCs w:val="22"/>
        </w:rPr>
        <w:t xml:space="preserve">P. Thompson, </w:t>
      </w:r>
      <w:r>
        <w:rPr>
          <w:rFonts w:cs="Tahoma"/>
          <w:i/>
          <w:sz w:val="22"/>
          <w:szCs w:val="22"/>
        </w:rPr>
        <w:t>Socialists, Liberals and Labour: the struggle for London 1885-1914</w:t>
      </w:r>
      <w:r>
        <w:rPr>
          <w:rFonts w:cs="Tahoma"/>
          <w:sz w:val="22"/>
          <w:szCs w:val="22"/>
        </w:rPr>
        <w:t xml:space="preserve"> (London: Routledge 1967).</w:t>
      </w:r>
    </w:p>
    <w:p w:rsidR="00664104" w:rsidRDefault="00664104" w:rsidP="00664104">
      <w:pPr>
        <w:pStyle w:val="FootnoteText"/>
        <w:rPr>
          <w:rFonts w:cs="Tahoma"/>
          <w:sz w:val="22"/>
          <w:szCs w:val="22"/>
        </w:rPr>
      </w:pPr>
      <w:r>
        <w:rPr>
          <w:rFonts w:cs="Tahoma"/>
          <w:sz w:val="22"/>
          <w:szCs w:val="22"/>
        </w:rPr>
        <w:t xml:space="preserve">R. </w:t>
      </w:r>
      <w:proofErr w:type="spellStart"/>
      <w:r>
        <w:rPr>
          <w:rFonts w:cs="Tahoma"/>
          <w:sz w:val="22"/>
          <w:szCs w:val="22"/>
        </w:rPr>
        <w:t>Toye</w:t>
      </w:r>
      <w:proofErr w:type="spellEnd"/>
      <w:r>
        <w:rPr>
          <w:rFonts w:cs="Tahoma"/>
          <w:sz w:val="22"/>
          <w:szCs w:val="22"/>
        </w:rPr>
        <w:t xml:space="preserve">, </w:t>
      </w:r>
      <w:r>
        <w:rPr>
          <w:rFonts w:cs="Tahoma"/>
          <w:i/>
          <w:sz w:val="22"/>
          <w:szCs w:val="22"/>
        </w:rPr>
        <w:t>Lloyd George and Churchill Rivals for Greatness</w:t>
      </w:r>
      <w:r>
        <w:rPr>
          <w:rFonts w:cs="Tahoma"/>
          <w:sz w:val="22"/>
          <w:szCs w:val="22"/>
        </w:rPr>
        <w:t xml:space="preserve"> (London; Pan Macmillan 2008). </w:t>
      </w:r>
    </w:p>
    <w:p w:rsidR="00664104" w:rsidRDefault="00664104" w:rsidP="00664104">
      <w:pPr>
        <w:pStyle w:val="FootnoteText"/>
        <w:rPr>
          <w:rFonts w:cs="Tahoma"/>
          <w:sz w:val="22"/>
          <w:szCs w:val="22"/>
        </w:rPr>
      </w:pPr>
      <w:r>
        <w:rPr>
          <w:rFonts w:cs="Tahoma"/>
          <w:sz w:val="22"/>
          <w:szCs w:val="22"/>
        </w:rPr>
        <w:t xml:space="preserve">T. Wilson, </w:t>
      </w:r>
      <w:proofErr w:type="gramStart"/>
      <w:r>
        <w:rPr>
          <w:rFonts w:cs="Tahoma"/>
          <w:i/>
          <w:sz w:val="22"/>
          <w:szCs w:val="22"/>
        </w:rPr>
        <w:t>The</w:t>
      </w:r>
      <w:proofErr w:type="gramEnd"/>
      <w:r>
        <w:rPr>
          <w:rFonts w:cs="Tahoma"/>
          <w:i/>
          <w:sz w:val="22"/>
          <w:szCs w:val="22"/>
        </w:rPr>
        <w:t xml:space="preserve"> Downfall of the Liberal Party 1914-1935</w:t>
      </w:r>
      <w:r>
        <w:rPr>
          <w:rFonts w:cs="Tahoma"/>
          <w:sz w:val="22"/>
          <w:szCs w:val="22"/>
        </w:rPr>
        <w:t xml:space="preserve"> (London: Faber and Faber 1966).</w:t>
      </w:r>
    </w:p>
    <w:p w:rsidR="00664104" w:rsidRDefault="00664104" w:rsidP="00664104">
      <w:pPr>
        <w:pStyle w:val="Header"/>
      </w:pPr>
    </w:p>
    <w:p w:rsidR="00664104" w:rsidRDefault="00664104" w:rsidP="00664104">
      <w:pPr>
        <w:pStyle w:val="Header"/>
        <w:jc w:val="center"/>
      </w:pPr>
    </w:p>
    <w:p w:rsidR="00664104" w:rsidRDefault="00664104" w:rsidP="00664104">
      <w:pPr>
        <w:pStyle w:val="Header"/>
        <w:jc w:val="center"/>
      </w:pPr>
    </w:p>
    <w:p w:rsidR="00664104" w:rsidRDefault="00664104" w:rsidP="00664104">
      <w:pPr>
        <w:pStyle w:val="Header"/>
        <w:jc w:val="center"/>
      </w:pPr>
    </w:p>
    <w:p w:rsidR="00664104" w:rsidRDefault="00664104" w:rsidP="00664104">
      <w:pPr>
        <w:pStyle w:val="Header"/>
        <w:jc w:val="center"/>
      </w:pPr>
    </w:p>
    <w:p w:rsidR="00664104" w:rsidRDefault="00664104" w:rsidP="00664104">
      <w:pPr>
        <w:pStyle w:val="Header"/>
        <w:jc w:val="center"/>
      </w:pPr>
    </w:p>
    <w:p w:rsidR="00664104" w:rsidRDefault="00664104" w:rsidP="00664104">
      <w:pPr>
        <w:pStyle w:val="Header"/>
        <w:jc w:val="center"/>
      </w:pPr>
    </w:p>
    <w:p w:rsidR="00664104" w:rsidRDefault="00664104" w:rsidP="00664104">
      <w:pPr>
        <w:pStyle w:val="Header"/>
        <w:jc w:val="center"/>
      </w:pPr>
    </w:p>
    <w:p w:rsidR="00664104" w:rsidRDefault="00664104" w:rsidP="00664104">
      <w:pPr>
        <w:pStyle w:val="Header"/>
        <w:jc w:val="center"/>
      </w:pPr>
    </w:p>
    <w:p w:rsidR="00664104" w:rsidRDefault="00664104" w:rsidP="00664104">
      <w:pPr>
        <w:pStyle w:val="Header"/>
        <w:jc w:val="center"/>
      </w:pPr>
    </w:p>
    <w:p w:rsidR="00664104" w:rsidRDefault="00664104" w:rsidP="00664104">
      <w:pPr>
        <w:pStyle w:val="Header"/>
        <w:jc w:val="center"/>
      </w:pPr>
    </w:p>
    <w:p w:rsidR="00664104" w:rsidRDefault="00664104" w:rsidP="00664104">
      <w:pPr>
        <w:pStyle w:val="Header"/>
        <w:jc w:val="center"/>
      </w:pPr>
    </w:p>
    <w:p w:rsidR="00664104" w:rsidRDefault="00664104" w:rsidP="00664104">
      <w:pPr>
        <w:pStyle w:val="Header"/>
        <w:jc w:val="center"/>
      </w:pPr>
    </w:p>
    <w:p w:rsidR="00664104" w:rsidRDefault="00664104" w:rsidP="00664104">
      <w:pPr>
        <w:pStyle w:val="Header"/>
        <w:jc w:val="center"/>
      </w:pPr>
    </w:p>
    <w:p w:rsidR="00664104" w:rsidRDefault="00664104" w:rsidP="00664104">
      <w:pPr>
        <w:pStyle w:val="Header"/>
        <w:jc w:val="center"/>
      </w:pPr>
    </w:p>
    <w:p w:rsidR="00664104" w:rsidRDefault="00664104" w:rsidP="00664104">
      <w:pPr>
        <w:pStyle w:val="Header"/>
        <w:jc w:val="center"/>
      </w:pPr>
    </w:p>
    <w:p w:rsidR="00664104" w:rsidRDefault="00664104" w:rsidP="00664104">
      <w:pPr>
        <w:pStyle w:val="Header"/>
        <w:jc w:val="center"/>
      </w:pPr>
    </w:p>
    <w:p w:rsidR="00664104" w:rsidRDefault="00664104" w:rsidP="00664104">
      <w:pPr>
        <w:pStyle w:val="Header"/>
        <w:jc w:val="center"/>
      </w:pPr>
    </w:p>
    <w:p w:rsidR="00664104" w:rsidRDefault="00664104" w:rsidP="00664104">
      <w:pPr>
        <w:pStyle w:val="Header"/>
        <w:jc w:val="center"/>
      </w:pPr>
    </w:p>
    <w:p w:rsidR="00664104" w:rsidRDefault="00664104" w:rsidP="00664104">
      <w:pPr>
        <w:pStyle w:val="Header"/>
        <w:jc w:val="center"/>
      </w:pPr>
    </w:p>
    <w:p w:rsidR="00664104" w:rsidRDefault="00664104" w:rsidP="00664104">
      <w:pPr>
        <w:pStyle w:val="Header"/>
        <w:jc w:val="center"/>
      </w:pPr>
    </w:p>
    <w:p w:rsidR="00664104" w:rsidRDefault="00664104" w:rsidP="00664104">
      <w:pPr>
        <w:pStyle w:val="Header"/>
        <w:jc w:val="center"/>
      </w:pPr>
    </w:p>
    <w:p w:rsidR="00664104" w:rsidRDefault="00664104" w:rsidP="00664104">
      <w:pPr>
        <w:pStyle w:val="Header"/>
        <w:jc w:val="center"/>
      </w:pPr>
    </w:p>
    <w:p w:rsidR="00664104" w:rsidRDefault="00664104" w:rsidP="00664104">
      <w:pPr>
        <w:pStyle w:val="Header"/>
        <w:jc w:val="center"/>
      </w:pPr>
    </w:p>
    <w:p w:rsidR="00664104" w:rsidRDefault="00664104" w:rsidP="00664104">
      <w:pPr>
        <w:pStyle w:val="Header"/>
        <w:jc w:val="center"/>
      </w:pPr>
    </w:p>
    <w:p w:rsidR="00664104" w:rsidRDefault="00664104" w:rsidP="00664104">
      <w:pPr>
        <w:pStyle w:val="Header"/>
        <w:jc w:val="center"/>
      </w:pPr>
    </w:p>
    <w:p w:rsidR="00664104" w:rsidRDefault="00664104" w:rsidP="00664104">
      <w:pPr>
        <w:pStyle w:val="Header"/>
        <w:jc w:val="center"/>
      </w:pPr>
    </w:p>
    <w:p w:rsidR="00664104" w:rsidRDefault="00664104" w:rsidP="00664104">
      <w:pPr>
        <w:pStyle w:val="Header"/>
        <w:jc w:val="center"/>
      </w:pPr>
    </w:p>
    <w:p w:rsidR="00664104" w:rsidRDefault="00664104" w:rsidP="00664104">
      <w:pPr>
        <w:pStyle w:val="Header"/>
        <w:jc w:val="center"/>
      </w:pPr>
    </w:p>
    <w:p w:rsidR="00664104" w:rsidRDefault="00664104" w:rsidP="00664104">
      <w:pPr>
        <w:pStyle w:val="Header"/>
        <w:jc w:val="center"/>
      </w:pPr>
    </w:p>
    <w:p w:rsidR="00664104" w:rsidRDefault="00664104" w:rsidP="00664104">
      <w:pPr>
        <w:pStyle w:val="Header"/>
        <w:jc w:val="center"/>
      </w:pPr>
    </w:p>
    <w:p w:rsidR="00664104" w:rsidRDefault="00664104" w:rsidP="00664104">
      <w:pPr>
        <w:pStyle w:val="Header"/>
        <w:jc w:val="center"/>
      </w:pPr>
    </w:p>
    <w:p w:rsidR="00664104" w:rsidRDefault="00664104" w:rsidP="00664104">
      <w:pPr>
        <w:pStyle w:val="Header"/>
        <w:jc w:val="center"/>
      </w:pPr>
    </w:p>
    <w:p w:rsidR="00664104" w:rsidRDefault="00664104" w:rsidP="00664104">
      <w:pPr>
        <w:pStyle w:val="Header"/>
      </w:pPr>
    </w:p>
    <w:p w:rsidR="00664104" w:rsidRPr="00664104" w:rsidRDefault="00664104" w:rsidP="00664104">
      <w:pPr>
        <w:pStyle w:val="Header"/>
        <w:jc w:val="center"/>
        <w:rPr>
          <w:b/>
          <w:u w:val="single"/>
        </w:rPr>
      </w:pPr>
      <w:r w:rsidRPr="00664104">
        <w:rPr>
          <w:b/>
          <w:u w:val="single"/>
        </w:rPr>
        <w:lastRenderedPageBreak/>
        <w:t>An Analysis of the Austro-Hungarian Declaration of War by Franz Joseph I on 28</w:t>
      </w:r>
      <w:r w:rsidRPr="00664104">
        <w:rPr>
          <w:b/>
          <w:u w:val="single"/>
          <w:vertAlign w:val="superscript"/>
        </w:rPr>
        <w:t>th</w:t>
      </w:r>
      <w:r w:rsidRPr="00664104">
        <w:rPr>
          <w:b/>
          <w:u w:val="single"/>
        </w:rPr>
        <w:t xml:space="preserve"> July 1914</w:t>
      </w:r>
    </w:p>
    <w:p w:rsidR="007D1490" w:rsidRDefault="007D1490" w:rsidP="009521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lang w:eastAsia="en-GB"/>
        </w:rPr>
      </w:pPr>
    </w:p>
    <w:p w:rsidR="00F21BBE" w:rsidRDefault="007D1490" w:rsidP="009521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lang w:eastAsia="en-GB"/>
        </w:rPr>
      </w:pPr>
      <w:r>
        <w:rPr>
          <w:rFonts w:eastAsia="Times New Roman" w:cstheme="minorHAnsi"/>
          <w:lang w:eastAsia="en-GB"/>
        </w:rPr>
        <w:t xml:space="preserve">The </w:t>
      </w:r>
      <w:r w:rsidR="00F21BBE">
        <w:rPr>
          <w:rFonts w:eastAsia="Times New Roman" w:cstheme="minorHAnsi"/>
          <w:lang w:eastAsia="en-GB"/>
        </w:rPr>
        <w:t>progenitor of World War I, the Austria-Hungarian</w:t>
      </w:r>
      <w:r>
        <w:rPr>
          <w:rFonts w:eastAsia="Times New Roman" w:cstheme="minorHAnsi"/>
          <w:lang w:eastAsia="en-GB"/>
        </w:rPr>
        <w:t xml:space="preserve"> declaration of war </w:t>
      </w:r>
      <w:r w:rsidR="00C0573F">
        <w:rPr>
          <w:rFonts w:eastAsia="Times New Roman" w:cstheme="minorHAnsi"/>
          <w:lang w:eastAsia="en-GB"/>
        </w:rPr>
        <w:t>on Serbia was published on July 28</w:t>
      </w:r>
      <w:r w:rsidR="00C0573F" w:rsidRPr="00C0573F">
        <w:rPr>
          <w:rFonts w:eastAsia="Times New Roman" w:cstheme="minorHAnsi"/>
          <w:vertAlign w:val="superscript"/>
          <w:lang w:eastAsia="en-GB"/>
        </w:rPr>
        <w:t>th</w:t>
      </w:r>
      <w:r w:rsidR="00F21BBE">
        <w:rPr>
          <w:rFonts w:eastAsia="Times New Roman" w:cstheme="minorHAnsi"/>
          <w:lang w:eastAsia="en-GB"/>
        </w:rPr>
        <w:t>, 1914 in Fre</w:t>
      </w:r>
      <w:r w:rsidR="00C0573F">
        <w:rPr>
          <w:rFonts w:eastAsia="Times New Roman" w:cstheme="minorHAnsi"/>
          <w:lang w:eastAsia="en-GB"/>
        </w:rPr>
        <w:t xml:space="preserve">nch and German in a special edition of the </w:t>
      </w:r>
      <w:r w:rsidR="00C0573F">
        <w:rPr>
          <w:rFonts w:eastAsia="Times New Roman" w:cstheme="minorHAnsi"/>
          <w:i/>
          <w:lang w:eastAsia="en-GB"/>
        </w:rPr>
        <w:t xml:space="preserve">Weiner </w:t>
      </w:r>
      <w:proofErr w:type="spellStart"/>
      <w:r w:rsidR="00C0573F">
        <w:rPr>
          <w:rFonts w:eastAsia="Times New Roman" w:cstheme="minorHAnsi"/>
          <w:i/>
          <w:lang w:eastAsia="en-GB"/>
        </w:rPr>
        <w:t>Zeitung</w:t>
      </w:r>
      <w:proofErr w:type="spellEnd"/>
      <w:r w:rsidR="00C0573F">
        <w:rPr>
          <w:rFonts w:eastAsia="Times New Roman" w:cstheme="minorHAnsi"/>
          <w:lang w:eastAsia="en-GB"/>
        </w:rPr>
        <w:t>, the o</w:t>
      </w:r>
      <w:r w:rsidR="00F21BBE">
        <w:rPr>
          <w:rFonts w:eastAsia="Times New Roman" w:cstheme="minorHAnsi"/>
          <w:lang w:eastAsia="en-GB"/>
        </w:rPr>
        <w:t>fficial publication used by the government for its formal announcements</w:t>
      </w:r>
      <w:r w:rsidR="00122271">
        <w:rPr>
          <w:rFonts w:eastAsia="Times New Roman" w:cstheme="minorHAnsi"/>
          <w:lang w:eastAsia="en-GB"/>
        </w:rPr>
        <w:t xml:space="preserve"> (Figure 1)</w:t>
      </w:r>
      <w:r w:rsidR="00F21BBE">
        <w:rPr>
          <w:rFonts w:eastAsia="Times New Roman" w:cstheme="minorHAnsi"/>
          <w:lang w:eastAsia="en-GB"/>
        </w:rPr>
        <w:t>.</w:t>
      </w:r>
      <w:r w:rsidR="00F21BBE">
        <w:rPr>
          <w:rStyle w:val="FootnoteReference"/>
          <w:rFonts w:eastAsia="Times New Roman" w:cstheme="minorHAnsi"/>
          <w:lang w:eastAsia="en-GB"/>
        </w:rPr>
        <w:footnoteReference w:id="39"/>
      </w:r>
      <w:r w:rsidR="00F21BBE">
        <w:rPr>
          <w:rFonts w:eastAsia="Times New Roman" w:cstheme="minorHAnsi"/>
          <w:lang w:eastAsia="en-GB"/>
        </w:rPr>
        <w:t xml:space="preserve"> </w:t>
      </w:r>
      <w:r w:rsidR="00902C6F">
        <w:rPr>
          <w:rFonts w:eastAsia="Times New Roman" w:cstheme="minorHAnsi"/>
          <w:lang w:eastAsia="en-GB"/>
        </w:rPr>
        <w:t>It e</w:t>
      </w:r>
      <w:r w:rsidR="00F21BBE">
        <w:rPr>
          <w:rFonts w:eastAsia="Times New Roman" w:cstheme="minorHAnsi"/>
          <w:lang w:eastAsia="en-GB"/>
        </w:rPr>
        <w:t xml:space="preserve">ssentially follows the same format used in earlier </w:t>
      </w:r>
      <w:r w:rsidR="00B21D45">
        <w:rPr>
          <w:rFonts w:eastAsia="Times New Roman" w:cstheme="minorHAnsi"/>
          <w:lang w:eastAsia="en-GB"/>
        </w:rPr>
        <w:t xml:space="preserve">Austrian </w:t>
      </w:r>
      <w:r w:rsidR="00F21BBE">
        <w:rPr>
          <w:rFonts w:eastAsia="Times New Roman" w:cstheme="minorHAnsi"/>
          <w:lang w:eastAsia="en-GB"/>
        </w:rPr>
        <w:t>declarations of war against Piedmont-Sardinia in 1859</w:t>
      </w:r>
      <w:r w:rsidR="004B3D53">
        <w:rPr>
          <w:rStyle w:val="FootnoteReference"/>
          <w:rFonts w:eastAsia="Times New Roman" w:cstheme="minorHAnsi"/>
          <w:lang w:eastAsia="en-GB"/>
        </w:rPr>
        <w:footnoteReference w:id="40"/>
      </w:r>
      <w:r w:rsidR="00F21BBE">
        <w:rPr>
          <w:rFonts w:eastAsia="Times New Roman" w:cstheme="minorHAnsi"/>
          <w:lang w:eastAsia="en-GB"/>
        </w:rPr>
        <w:t xml:space="preserve"> and </w:t>
      </w:r>
      <w:r w:rsidR="004B3D53">
        <w:rPr>
          <w:rFonts w:eastAsia="Times New Roman" w:cstheme="minorHAnsi"/>
          <w:lang w:eastAsia="en-GB"/>
        </w:rPr>
        <w:t>Prussia in 1866</w:t>
      </w:r>
      <w:r w:rsidR="00425F87">
        <w:rPr>
          <w:rFonts w:eastAsia="Times New Roman" w:cstheme="minorHAnsi"/>
          <w:lang w:eastAsia="en-GB"/>
        </w:rPr>
        <w:t>.</w:t>
      </w:r>
      <w:r w:rsidR="004B3D53">
        <w:rPr>
          <w:rStyle w:val="FootnoteReference"/>
          <w:rFonts w:eastAsia="Times New Roman" w:cstheme="minorHAnsi"/>
          <w:lang w:eastAsia="en-GB"/>
        </w:rPr>
        <w:footnoteReference w:id="41"/>
      </w:r>
      <w:r w:rsidR="00902C6F">
        <w:rPr>
          <w:rFonts w:eastAsia="Times New Roman" w:cstheme="minorHAnsi"/>
          <w:lang w:eastAsia="en-GB"/>
        </w:rPr>
        <w:t xml:space="preserve"> </w:t>
      </w:r>
      <w:r w:rsidR="00B21D45">
        <w:rPr>
          <w:rFonts w:eastAsia="Times New Roman" w:cstheme="minorHAnsi"/>
          <w:lang w:eastAsia="en-GB"/>
        </w:rPr>
        <w:t xml:space="preserve">Though </w:t>
      </w:r>
      <w:r w:rsidR="002F5675">
        <w:rPr>
          <w:rFonts w:eastAsia="Times New Roman" w:cstheme="minorHAnsi"/>
          <w:lang w:eastAsia="en-GB"/>
        </w:rPr>
        <w:t>as Commander-in-Chief</w:t>
      </w:r>
      <w:r w:rsidR="00D36C30">
        <w:rPr>
          <w:rFonts w:eastAsia="Times New Roman" w:cstheme="minorHAnsi"/>
          <w:lang w:eastAsia="en-GB"/>
        </w:rPr>
        <w:t xml:space="preserve"> of the Armies </w:t>
      </w:r>
      <w:r w:rsidR="00902C6F">
        <w:rPr>
          <w:rFonts w:eastAsia="Times New Roman" w:cstheme="minorHAnsi"/>
          <w:lang w:eastAsia="en-GB"/>
        </w:rPr>
        <w:t xml:space="preserve">Franz </w:t>
      </w:r>
      <w:r w:rsidR="00B21D45">
        <w:rPr>
          <w:rFonts w:eastAsia="Times New Roman" w:cstheme="minorHAnsi"/>
          <w:lang w:eastAsia="en-GB"/>
        </w:rPr>
        <w:t xml:space="preserve">Joseph I is the mouth-piece, </w:t>
      </w:r>
      <w:r w:rsidR="005B0167">
        <w:rPr>
          <w:rFonts w:eastAsia="Times New Roman" w:cstheme="minorHAnsi"/>
          <w:lang w:eastAsia="en-GB"/>
        </w:rPr>
        <w:t>the Declaration is the result</w:t>
      </w:r>
      <w:r w:rsidR="00341D2E">
        <w:rPr>
          <w:rFonts w:eastAsia="Times New Roman" w:cstheme="minorHAnsi"/>
          <w:lang w:eastAsia="en-GB"/>
        </w:rPr>
        <w:t xml:space="preserve"> </w:t>
      </w:r>
      <w:r w:rsidR="005B0167">
        <w:rPr>
          <w:rFonts w:eastAsia="Times New Roman" w:cstheme="minorHAnsi"/>
          <w:lang w:eastAsia="en-GB"/>
        </w:rPr>
        <w:t>of</w:t>
      </w:r>
      <w:r w:rsidR="00341D2E">
        <w:rPr>
          <w:rFonts w:eastAsia="Times New Roman" w:cstheme="minorHAnsi"/>
          <w:lang w:eastAsia="en-GB"/>
        </w:rPr>
        <w:t xml:space="preserve"> </w:t>
      </w:r>
      <w:r w:rsidR="00902C6F">
        <w:rPr>
          <w:rFonts w:eastAsia="Times New Roman" w:cstheme="minorHAnsi"/>
          <w:lang w:eastAsia="en-GB"/>
        </w:rPr>
        <w:t>the culmination of policies produced by ‘interactions of factions and lobbies’</w:t>
      </w:r>
      <w:r w:rsidR="00425F87">
        <w:rPr>
          <w:rStyle w:val="FootnoteReference"/>
          <w:rFonts w:eastAsia="Times New Roman" w:cstheme="minorHAnsi"/>
          <w:lang w:eastAsia="en-GB"/>
        </w:rPr>
        <w:footnoteReference w:id="42"/>
      </w:r>
      <w:r w:rsidR="00902C6F">
        <w:rPr>
          <w:rFonts w:eastAsia="Times New Roman" w:cstheme="minorHAnsi"/>
          <w:lang w:eastAsia="en-GB"/>
        </w:rPr>
        <w:t xml:space="preserve"> within principally </w:t>
      </w:r>
      <w:r w:rsidR="00425F87">
        <w:rPr>
          <w:rFonts w:eastAsia="Times New Roman" w:cstheme="minorHAnsi"/>
          <w:lang w:eastAsia="en-GB"/>
        </w:rPr>
        <w:t xml:space="preserve">the </w:t>
      </w:r>
      <w:r w:rsidR="00902C6F">
        <w:rPr>
          <w:rFonts w:eastAsia="Times New Roman" w:cstheme="minorHAnsi"/>
          <w:lang w:eastAsia="en-GB"/>
        </w:rPr>
        <w:t>Viennese foreign and war ministries.</w:t>
      </w:r>
    </w:p>
    <w:p w:rsidR="00F21BBE" w:rsidRDefault="00F21BBE" w:rsidP="009521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lang w:eastAsia="en-GB"/>
        </w:rPr>
      </w:pPr>
    </w:p>
    <w:p w:rsidR="00C44A4B" w:rsidRDefault="002F4C83" w:rsidP="001A298D">
      <w:pPr>
        <w:pStyle w:val="NoSpacing"/>
      </w:pPr>
      <w:r>
        <w:t xml:space="preserve">The tone of the Declaration is patrician, measured and </w:t>
      </w:r>
      <w:r w:rsidR="00570086">
        <w:t>defensive</w:t>
      </w:r>
      <w:r>
        <w:t xml:space="preserve">. Three themes dominate. </w:t>
      </w:r>
      <w:r w:rsidR="00116AED">
        <w:t xml:space="preserve">The first is the inevitability of </w:t>
      </w:r>
      <w:r w:rsidR="00341D2E">
        <w:t xml:space="preserve">a </w:t>
      </w:r>
      <w:r w:rsidR="00116AED">
        <w:t>war</w:t>
      </w:r>
      <w:r w:rsidR="008E08E4">
        <w:t xml:space="preserve"> that the empire has been forced into</w:t>
      </w:r>
      <w:r w:rsidR="00116AED">
        <w:t>: ‘Providence....has decreed’</w:t>
      </w:r>
      <w:r w:rsidR="00341D2E">
        <w:t xml:space="preserve">. This </w:t>
      </w:r>
      <w:r w:rsidR="008E08E4">
        <w:t>can be linked directly with a cultural ‘deepening readiness for war, particularly amongst European elites’</w:t>
      </w:r>
      <w:r w:rsidR="008E08E4">
        <w:rPr>
          <w:rStyle w:val="FootnoteReference"/>
        </w:rPr>
        <w:footnoteReference w:id="43"/>
      </w:r>
      <w:r w:rsidR="00E717EA">
        <w:t xml:space="preserve"> and the prevalent acceptance that a social Darwinist struggle for primacy was unavoidable between powers. </w:t>
      </w:r>
      <w:r w:rsidR="00341D2E">
        <w:t>European states had all become increasingly militarised, paradoxically not for war but for maintenance of the peace, on the basis of the deterrent value of a ‘perception of power’.</w:t>
      </w:r>
      <w:r w:rsidR="00341D2E">
        <w:rPr>
          <w:rStyle w:val="FootnoteReference"/>
        </w:rPr>
        <w:footnoteReference w:id="44"/>
      </w:r>
      <w:r w:rsidR="00341D2E">
        <w:t xml:space="preserve"> </w:t>
      </w:r>
      <w:r w:rsidR="008E08E4">
        <w:t>The second, vital for the first forma</w:t>
      </w:r>
      <w:r w:rsidR="0014468F">
        <w:t>l aggressor, is that</w:t>
      </w:r>
      <w:r w:rsidR="008E08E4">
        <w:t xml:space="preserve"> war with Serbia is justified</w:t>
      </w:r>
      <w:r w:rsidR="0014468F">
        <w:t xml:space="preserve"> on the grounds of ‘incessant provocations’: Serbia is blamed as the progenitor of violence ‘unrestrained passion and the bitterest of hate’.  A </w:t>
      </w:r>
      <w:r w:rsidR="00341D2E">
        <w:t>third</w:t>
      </w:r>
      <w:r w:rsidR="0014468F">
        <w:t xml:space="preserve"> theme of pacifism runs through the Declaration: ‘long years of peace’, </w:t>
      </w:r>
      <w:r w:rsidR="00570086">
        <w:t xml:space="preserve">‘love of peace’, ‘tranquillity’ and bellicose imagery is minimal. </w:t>
      </w:r>
      <w:r w:rsidR="005B0167">
        <w:t xml:space="preserve"> War as a protection of the peace was </w:t>
      </w:r>
      <w:r w:rsidR="007A1222">
        <w:t xml:space="preserve">very much a product of the times: in 1914, it was </w:t>
      </w:r>
      <w:r w:rsidR="00C44A4B">
        <w:t>a military axiom</w:t>
      </w:r>
      <w:r w:rsidR="007A1222">
        <w:t xml:space="preserve"> that</w:t>
      </w:r>
      <w:r w:rsidR="00D57454">
        <w:t xml:space="preserve"> attack was the only effective means of defence</w:t>
      </w:r>
      <w:r w:rsidR="00E327DE">
        <w:t>,</w:t>
      </w:r>
      <w:r w:rsidR="00D57454">
        <w:rPr>
          <w:rStyle w:val="FootnoteReference"/>
        </w:rPr>
        <w:footnoteReference w:id="45"/>
      </w:r>
      <w:r w:rsidR="00D57454">
        <w:t xml:space="preserve"> </w:t>
      </w:r>
      <w:r w:rsidR="00AD5AB3">
        <w:t xml:space="preserve">though both the Emperor and </w:t>
      </w:r>
      <w:r w:rsidR="00E327DE">
        <w:t>his heir were avowedly non-belligerent: ‘My policy is a policy of peace!’</w:t>
      </w:r>
      <w:r w:rsidR="00E327DE">
        <w:rPr>
          <w:rStyle w:val="FootnoteReference"/>
        </w:rPr>
        <w:footnoteReference w:id="46"/>
      </w:r>
      <w:r w:rsidR="00257F2F">
        <w:t>; ‘the duty of the government [is] to preserve peace’.</w:t>
      </w:r>
      <w:r w:rsidR="00257F2F">
        <w:rPr>
          <w:rStyle w:val="FootnoteReference"/>
        </w:rPr>
        <w:footnoteReference w:id="47"/>
      </w:r>
      <w:r w:rsidR="00257F2F">
        <w:t xml:space="preserve"> </w:t>
      </w:r>
      <w:r w:rsidR="00570086">
        <w:t xml:space="preserve">The assassinations are referred to </w:t>
      </w:r>
      <w:r w:rsidR="00477847">
        <w:t xml:space="preserve">only </w:t>
      </w:r>
      <w:r w:rsidR="00570086">
        <w:t xml:space="preserve">obliquely: </w:t>
      </w:r>
      <w:r w:rsidR="00441AB5">
        <w:t xml:space="preserve">a </w:t>
      </w:r>
      <w:r w:rsidR="00570086">
        <w:t>‘</w:t>
      </w:r>
      <w:r w:rsidR="00441AB5">
        <w:t xml:space="preserve">fruitful success [that] wounded me and my loyal </w:t>
      </w:r>
      <w:proofErr w:type="gramStart"/>
      <w:r w:rsidR="00441AB5">
        <w:t>peoples’</w:t>
      </w:r>
      <w:proofErr w:type="gramEnd"/>
      <w:r w:rsidR="00257F2F">
        <w:t xml:space="preserve"> and are not promoted as a reason for war.</w:t>
      </w:r>
    </w:p>
    <w:p w:rsidR="00257F2F" w:rsidRDefault="00257F2F" w:rsidP="001A298D">
      <w:pPr>
        <w:pStyle w:val="NoSpacing"/>
      </w:pPr>
    </w:p>
    <w:p w:rsidR="008E08E4" w:rsidRDefault="00570086" w:rsidP="001A298D">
      <w:pPr>
        <w:pStyle w:val="NoSpacing"/>
      </w:pPr>
      <w:r>
        <w:t xml:space="preserve">This is truth </w:t>
      </w:r>
      <w:r w:rsidR="00D21BD1">
        <w:t>from the Austrian perspective. T</w:t>
      </w:r>
      <w:r>
        <w:t>he examples given of Austrian beneficence</w:t>
      </w:r>
      <w:r w:rsidR="00257F2F">
        <w:t xml:space="preserve"> and stability</w:t>
      </w:r>
      <w:r>
        <w:t xml:space="preserve"> and</w:t>
      </w:r>
      <w:r w:rsidR="007A1222">
        <w:t xml:space="preserve"> Serbian </w:t>
      </w:r>
      <w:r w:rsidR="00034199">
        <w:t>provocation</w:t>
      </w:r>
      <w:r w:rsidR="007A1222">
        <w:t xml:space="preserve"> have validity </w:t>
      </w:r>
      <w:r w:rsidR="00E31449">
        <w:t>–</w:t>
      </w:r>
      <w:r>
        <w:t xml:space="preserve"> </w:t>
      </w:r>
      <w:r w:rsidR="00AE0764">
        <w:t>Austria</w:t>
      </w:r>
      <w:r w:rsidR="00E31449">
        <w:t xml:space="preserve">-Hungary was generally judged to be </w:t>
      </w:r>
      <w:r w:rsidR="00AE0764">
        <w:t>well-governed</w:t>
      </w:r>
      <w:r w:rsidR="00AE0764">
        <w:rPr>
          <w:rStyle w:val="FootnoteReference"/>
        </w:rPr>
        <w:footnoteReference w:id="48"/>
      </w:r>
      <w:r w:rsidR="00AE0764">
        <w:t xml:space="preserve">, </w:t>
      </w:r>
      <w:r w:rsidR="00257F2F">
        <w:t xml:space="preserve">radical nationalism was present but not wide-spread, </w:t>
      </w:r>
      <w:r w:rsidR="00477847">
        <w:t>Austria had given Serbia past support both economically and politically</w:t>
      </w:r>
      <w:r w:rsidR="00D21BD1">
        <w:t xml:space="preserve"> </w:t>
      </w:r>
      <w:r w:rsidR="00477847">
        <w:t xml:space="preserve">and Serbian atrocities against other ethnic groups </w:t>
      </w:r>
      <w:r w:rsidR="00D21BD1">
        <w:t xml:space="preserve">were constantly reported back to </w:t>
      </w:r>
      <w:r w:rsidR="00C53105">
        <w:t xml:space="preserve">many </w:t>
      </w:r>
      <w:r w:rsidR="00D21BD1">
        <w:t>foreign ministries.</w:t>
      </w:r>
      <w:r w:rsidR="00D21BD1">
        <w:rPr>
          <w:rStyle w:val="FootnoteReference"/>
        </w:rPr>
        <w:footnoteReference w:id="49"/>
      </w:r>
      <w:r w:rsidR="00D21BD1">
        <w:t xml:space="preserve">  </w:t>
      </w:r>
      <w:r w:rsidR="007A1222">
        <w:t xml:space="preserve">There were </w:t>
      </w:r>
      <w:r w:rsidR="00D21BD1">
        <w:t>genuine security threats along its border with Serbia</w:t>
      </w:r>
      <w:r w:rsidR="003C187A">
        <w:t>, a league of Balkan nations headed by Serbia might well become hostile to Austria-Hungary</w:t>
      </w:r>
      <w:r w:rsidR="00D21BD1">
        <w:t xml:space="preserve"> and the growing influence of France and Russia in the Balkans was deeply unsettling for Austria-Hungary.</w:t>
      </w:r>
      <w:r w:rsidR="00D21BD1">
        <w:rPr>
          <w:rStyle w:val="FootnoteReference"/>
        </w:rPr>
        <w:footnoteReference w:id="50"/>
      </w:r>
      <w:r w:rsidR="00500739">
        <w:t xml:space="preserve"> Additionally, though not a </w:t>
      </w:r>
      <w:r w:rsidR="00500739">
        <w:rPr>
          <w:i/>
        </w:rPr>
        <w:t>casus belli</w:t>
      </w:r>
      <w:r w:rsidR="00500739">
        <w:t>, the murder of the Habsburg heir when the emperor was eighty-three was bound to be seen as an attack on the empire.</w:t>
      </w:r>
      <w:r w:rsidR="00500739">
        <w:rPr>
          <w:rStyle w:val="FootnoteReference"/>
        </w:rPr>
        <w:footnoteReference w:id="51"/>
      </w:r>
      <w:r w:rsidR="00500739">
        <w:t xml:space="preserve"> </w:t>
      </w:r>
      <w:r w:rsidR="007A1222">
        <w:t xml:space="preserve">So the Declaration is essentially defensive, or, as Taylor puts it, ‘an extreme </w:t>
      </w:r>
      <w:r w:rsidR="00D57454">
        <w:t>diplomatic manoeuvre’</w:t>
      </w:r>
      <w:r w:rsidR="007A1222">
        <w:t>.</w:t>
      </w:r>
      <w:r w:rsidR="003B29F0">
        <w:rPr>
          <w:rStyle w:val="FootnoteReference"/>
        </w:rPr>
        <w:footnoteReference w:id="52"/>
      </w:r>
      <w:r w:rsidR="00500739">
        <w:t xml:space="preserve"> </w:t>
      </w:r>
      <w:r w:rsidR="00AE0764">
        <w:t>The Declaration</w:t>
      </w:r>
      <w:r w:rsidR="00500739">
        <w:t xml:space="preserve"> is also highly selective</w:t>
      </w:r>
      <w:r w:rsidR="005B0167">
        <w:t>, as any piece of propaganda tends to be</w:t>
      </w:r>
      <w:r w:rsidR="00500739">
        <w:t xml:space="preserve">. The document is a mismatch between national and imperial visions </w:t>
      </w:r>
      <w:r w:rsidR="005B0167">
        <w:t xml:space="preserve">of an imperial Fatherland </w:t>
      </w:r>
      <w:r w:rsidR="00500739">
        <w:t xml:space="preserve">and ethnic realities. The empire </w:t>
      </w:r>
      <w:r w:rsidR="00411185">
        <w:t xml:space="preserve">comprised </w:t>
      </w:r>
      <w:r w:rsidR="00461916">
        <w:t>at least ten</w:t>
      </w:r>
      <w:r w:rsidR="00411185">
        <w:t xml:space="preserve"> ethnic groups</w:t>
      </w:r>
      <w:r w:rsidR="00441AB5">
        <w:t xml:space="preserve"> and </w:t>
      </w:r>
      <w:r w:rsidR="00461916">
        <w:t xml:space="preserve">ethnic </w:t>
      </w:r>
      <w:r w:rsidR="00441AB5">
        <w:t xml:space="preserve">tensions were exacerbated by nationalism – which was routinely suppressed by the authorities. There </w:t>
      </w:r>
      <w:r w:rsidR="00500739">
        <w:t xml:space="preserve">had not </w:t>
      </w:r>
      <w:r w:rsidR="00441AB5">
        <w:t>been</w:t>
      </w:r>
      <w:r w:rsidR="00500739">
        <w:t xml:space="preserve"> ‘long years of peace’ – </w:t>
      </w:r>
      <w:r w:rsidR="0000500F">
        <w:t>troops were frequently mobilised along Austria’s south-eastern borders</w:t>
      </w:r>
      <w:r w:rsidR="00034199">
        <w:t xml:space="preserve">, and the annexation of </w:t>
      </w:r>
      <w:r w:rsidR="00034199">
        <w:lastRenderedPageBreak/>
        <w:t xml:space="preserve">Bosnia-Herzegovina, described as an extension of ‘Sovereign rights’, was bitterly resented by Slavs </w:t>
      </w:r>
      <w:r w:rsidR="00D36C30">
        <w:t xml:space="preserve">within and outside Austria-Hungary </w:t>
      </w:r>
      <w:r w:rsidR="003B29F0">
        <w:t>and Russia.</w:t>
      </w:r>
      <w:r w:rsidR="00441AB5">
        <w:t xml:space="preserve"> </w:t>
      </w:r>
      <w:r w:rsidR="0029290B">
        <w:t>The ‘assistance’ given by the empire masked an economic stranglehold on the Serbian economy which created wide dissatisfaction.</w:t>
      </w:r>
      <w:r w:rsidR="0029290B">
        <w:rPr>
          <w:rStyle w:val="FootnoteReference"/>
        </w:rPr>
        <w:footnoteReference w:id="53"/>
      </w:r>
      <w:r w:rsidR="0029290B">
        <w:t xml:space="preserve"> </w:t>
      </w:r>
      <w:r w:rsidR="00441AB5">
        <w:t>Finally, t</w:t>
      </w:r>
      <w:r w:rsidR="003B29F0">
        <w:t>he ultimatum referred to in the Declaration</w:t>
      </w:r>
      <w:r w:rsidR="00411185">
        <w:t xml:space="preserve"> (‘just and moderate demands’)</w:t>
      </w:r>
      <w:r w:rsidR="003B29F0">
        <w:t xml:space="preserve"> was couched in a way that Serbian refusal</w:t>
      </w:r>
      <w:r w:rsidR="00411185">
        <w:t xml:space="preserve"> was guaranteed.</w:t>
      </w:r>
    </w:p>
    <w:p w:rsidR="00475FEB" w:rsidRPr="00C53105" w:rsidRDefault="00116AED" w:rsidP="00475FEB">
      <w:pPr>
        <w:pStyle w:val="NoSpacing"/>
      </w:pPr>
      <w:r>
        <w:t xml:space="preserve">  </w:t>
      </w:r>
    </w:p>
    <w:p w:rsidR="001C23B5" w:rsidRDefault="00C64DEC" w:rsidP="001C23B5">
      <w:pPr>
        <w:pStyle w:val="NoSpacing"/>
      </w:pPr>
      <w:r>
        <w:t xml:space="preserve">The public address </w:t>
      </w:r>
      <w:r w:rsidR="00D139B6">
        <w:t>given by</w:t>
      </w:r>
      <w:r>
        <w:t xml:space="preserve"> Kaiser Wilhelm on the 6</w:t>
      </w:r>
      <w:r w:rsidRPr="00C64DEC">
        <w:rPr>
          <w:vertAlign w:val="superscript"/>
        </w:rPr>
        <w:t>th</w:t>
      </w:r>
      <w:r>
        <w:t xml:space="preserve"> August 1914 (Figure 2</w:t>
      </w:r>
      <w:r w:rsidR="006907B2">
        <w:rPr>
          <w:rStyle w:val="FootnoteReference"/>
        </w:rPr>
        <w:footnoteReference w:id="54"/>
      </w:r>
      <w:r>
        <w:t>)</w:t>
      </w:r>
      <w:r w:rsidR="00C53105">
        <w:t xml:space="preserve"> is in stark contrast to the Austrian Declaration</w:t>
      </w:r>
      <w:r w:rsidR="001C23B5">
        <w:t xml:space="preserve">. Although both Declarations </w:t>
      </w:r>
      <w:r w:rsidR="00034199">
        <w:t>were drafted by others</w:t>
      </w:r>
      <w:r w:rsidR="00852839">
        <w:t xml:space="preserve">, the respective characters of the two emperors are apparent: </w:t>
      </w:r>
      <w:r w:rsidR="001C23B5">
        <w:t>Franz Joseph, the ‘supreme bureaucrat’</w:t>
      </w:r>
      <w:r w:rsidR="001C23B5">
        <w:rPr>
          <w:rStyle w:val="FootnoteReference"/>
        </w:rPr>
        <w:footnoteReference w:id="55"/>
      </w:r>
      <w:r w:rsidR="00D139B6">
        <w:t xml:space="preserve"> </w:t>
      </w:r>
      <w:r w:rsidR="00EF1F43">
        <w:t xml:space="preserve">carefully </w:t>
      </w:r>
      <w:r w:rsidR="0092054A">
        <w:t xml:space="preserve">marshalling </w:t>
      </w:r>
      <w:r w:rsidR="00EF1F43">
        <w:t xml:space="preserve">his grievances and justifications, </w:t>
      </w:r>
      <w:r w:rsidR="00852839">
        <w:t>and Kaiser Wilhelm, a swaggering, quixotic</w:t>
      </w:r>
      <w:r w:rsidR="00902C6F">
        <w:t xml:space="preserve"> bombast</w:t>
      </w:r>
      <w:r w:rsidR="00C53105">
        <w:t xml:space="preserve"> who needed careful management by his ministers</w:t>
      </w:r>
      <w:r w:rsidR="00902C6F">
        <w:t>.</w:t>
      </w:r>
      <w:r w:rsidR="00902C6F">
        <w:rPr>
          <w:rStyle w:val="FootnoteReference"/>
        </w:rPr>
        <w:footnoteReference w:id="56"/>
      </w:r>
      <w:r w:rsidR="00441AB5">
        <w:t xml:space="preserve"> </w:t>
      </w:r>
      <w:r w:rsidR="00C53105">
        <w:t>There</w:t>
      </w:r>
      <w:r w:rsidR="00441AB5">
        <w:t xml:space="preserve"> are </w:t>
      </w:r>
      <w:r w:rsidR="00C53105">
        <w:t xml:space="preserve">superficial </w:t>
      </w:r>
      <w:r w:rsidR="00441AB5">
        <w:t xml:space="preserve">similarities in that both are written in florid black Gothic script, </w:t>
      </w:r>
      <w:r w:rsidR="00134EF1">
        <w:t>and both pose as the peaceful ‘attacked nation’ forced to defend itself. B</w:t>
      </w:r>
      <w:r w:rsidR="00441AB5">
        <w:t xml:space="preserve">ut whereas the Austrian document is scrupulous in </w:t>
      </w:r>
      <w:r w:rsidR="00D139B6">
        <w:t xml:space="preserve">its </w:t>
      </w:r>
      <w:r w:rsidR="0092054A">
        <w:t>list</w:t>
      </w:r>
      <w:r w:rsidR="00D139B6">
        <w:t xml:space="preserve"> of justifications, Wilhelm’s Declaration is</w:t>
      </w:r>
      <w:r w:rsidR="00B815AF">
        <w:t xml:space="preserve"> impenetrable and unfocussed (even allowing for </w:t>
      </w:r>
      <w:r w:rsidR="00134EF1">
        <w:t xml:space="preserve">the vagaries of </w:t>
      </w:r>
      <w:r w:rsidR="00B815AF">
        <w:t xml:space="preserve">Google Translate). </w:t>
      </w:r>
      <w:r w:rsidR="00134EF1">
        <w:t>A</w:t>
      </w:r>
      <w:r w:rsidR="00EF1F43">
        <w:t xml:space="preserve">ggressor, </w:t>
      </w:r>
      <w:r w:rsidR="00134EF1">
        <w:t xml:space="preserve">ally </w:t>
      </w:r>
      <w:r w:rsidR="00EF1F43">
        <w:t xml:space="preserve">and the </w:t>
      </w:r>
      <w:r w:rsidR="00EF1F43">
        <w:rPr>
          <w:i/>
        </w:rPr>
        <w:t xml:space="preserve">casus belli </w:t>
      </w:r>
      <w:r w:rsidR="00134EF1">
        <w:t xml:space="preserve">are unspecified, the pace is hurried and cajoling and </w:t>
      </w:r>
      <w:r w:rsidR="00EF1F43">
        <w:t xml:space="preserve">the text is peppered with Wagnerian grandiosity. </w:t>
      </w:r>
      <w:r w:rsidR="0092054A">
        <w:t>It</w:t>
      </w:r>
      <w:r w:rsidR="00EF1F43">
        <w:t xml:space="preserve"> was at least partially ghost-written by a Protestant theologian</w:t>
      </w:r>
      <w:r w:rsidR="00461916">
        <w:t xml:space="preserve">, Adolf von </w:t>
      </w:r>
      <w:proofErr w:type="spellStart"/>
      <w:r w:rsidR="00461916">
        <w:t>Harnack</w:t>
      </w:r>
      <w:proofErr w:type="spellEnd"/>
      <w:r w:rsidR="00461916">
        <w:t xml:space="preserve">, which, together with the somewhat manic language </w:t>
      </w:r>
      <w:r w:rsidR="006907B2">
        <w:t xml:space="preserve">frequently </w:t>
      </w:r>
      <w:r w:rsidR="00461916">
        <w:t>used by the Kaiser, give</w:t>
      </w:r>
      <w:r w:rsidR="006907B2">
        <w:t>s</w:t>
      </w:r>
      <w:r w:rsidR="00461916">
        <w:t xml:space="preserve"> </w:t>
      </w:r>
      <w:r w:rsidR="006907B2">
        <w:t>an air of crusading religiosity: ‘Forward with God who will be with us as he was w</w:t>
      </w:r>
      <w:r w:rsidR="00C44A4B">
        <w:t>ith our Fathers.’ By contrast, C</w:t>
      </w:r>
      <w:r w:rsidR="006907B2">
        <w:t xml:space="preserve">atholic Franz Joseph uses </w:t>
      </w:r>
      <w:r w:rsidR="00C53105">
        <w:t xml:space="preserve">much </w:t>
      </w:r>
      <w:r w:rsidR="006907B2">
        <w:t xml:space="preserve">more measured language: ‘I am fully conscious of...my responsibility before the Almighty’. </w:t>
      </w:r>
      <w:r w:rsidR="00C44A4B">
        <w:t xml:space="preserve">In contrast again, </w:t>
      </w:r>
      <w:r w:rsidR="002F5675">
        <w:t>in</w:t>
      </w:r>
      <w:r w:rsidR="00B21D45">
        <w:t xml:space="preserve"> just two sentences </w:t>
      </w:r>
      <w:r w:rsidR="00C44A4B">
        <w:t>the Declaration of War issued by the British government on 12</w:t>
      </w:r>
      <w:r w:rsidR="00C44A4B" w:rsidRPr="00C44A4B">
        <w:rPr>
          <w:vertAlign w:val="superscript"/>
        </w:rPr>
        <w:t>th</w:t>
      </w:r>
      <w:r w:rsidR="00C44A4B">
        <w:t xml:space="preserve"> August </w:t>
      </w:r>
      <w:r w:rsidR="002F5675">
        <w:t xml:space="preserve">in the </w:t>
      </w:r>
      <w:r w:rsidR="002F5675">
        <w:rPr>
          <w:i/>
        </w:rPr>
        <w:t>Supple</w:t>
      </w:r>
      <w:r w:rsidR="00E31449">
        <w:rPr>
          <w:i/>
        </w:rPr>
        <w:t>m</w:t>
      </w:r>
      <w:r w:rsidR="002F5675">
        <w:rPr>
          <w:i/>
        </w:rPr>
        <w:t xml:space="preserve">ent to the London Gazette </w:t>
      </w:r>
      <w:r w:rsidR="00C44A4B">
        <w:t>is a model of brevity</w:t>
      </w:r>
      <w:r w:rsidR="00B21D45">
        <w:t xml:space="preserve"> and clarity</w:t>
      </w:r>
      <w:r w:rsidR="00C44A4B">
        <w:t xml:space="preserve"> (Figure 3)</w:t>
      </w:r>
      <w:r w:rsidR="00B21D45">
        <w:t xml:space="preserve"> – the only justification needed</w:t>
      </w:r>
      <w:r w:rsidR="002F5675">
        <w:t xml:space="preserve"> wa</w:t>
      </w:r>
      <w:r w:rsidR="00B21D45">
        <w:t>s that</w:t>
      </w:r>
      <w:r w:rsidR="005B0167">
        <w:t xml:space="preserve"> the neutrality of Belgium had</w:t>
      </w:r>
      <w:r w:rsidR="00B21D45">
        <w:t xml:space="preserve"> been breached.</w:t>
      </w:r>
    </w:p>
    <w:p w:rsidR="006907B2" w:rsidRDefault="006907B2" w:rsidP="001C23B5">
      <w:pPr>
        <w:pStyle w:val="NoSpacing"/>
      </w:pPr>
    </w:p>
    <w:p w:rsidR="00664104" w:rsidRDefault="00F43FE8" w:rsidP="00873E01">
      <w:pPr>
        <w:pStyle w:val="NoSpacing"/>
        <w:rPr>
          <w:rStyle w:val="field-content"/>
          <w:rFonts w:ascii="Calibri" w:hAnsi="Calibri" w:cs="Calibri"/>
        </w:rPr>
      </w:pPr>
      <w:r>
        <w:t xml:space="preserve">Both Austrian and German Declarations </w:t>
      </w:r>
      <w:r w:rsidR="002F5675">
        <w:t>were</w:t>
      </w:r>
      <w:r>
        <w:t xml:space="preserve"> propaganda </w:t>
      </w:r>
      <w:r w:rsidR="006907B2">
        <w:t>designed for public consumption.</w:t>
      </w:r>
      <w:r w:rsidR="00A96319">
        <w:t xml:space="preserve"> </w:t>
      </w:r>
      <w:r>
        <w:t>The Austrian Declaration is a war against Serbia</w:t>
      </w:r>
      <w:r w:rsidR="00C53105">
        <w:t xml:space="preserve"> </w:t>
      </w:r>
      <w:r w:rsidR="002F5675">
        <w:t xml:space="preserve">alone </w:t>
      </w:r>
      <w:r w:rsidR="00C53105">
        <w:t>and allies and potential enemies are not mentioned</w:t>
      </w:r>
      <w:r w:rsidR="00AC46C9">
        <w:t xml:space="preserve"> (though Austria-Hungary did not make its final move until it was assured of German support)</w:t>
      </w:r>
      <w:r w:rsidR="002F5675">
        <w:t>,</w:t>
      </w:r>
      <w:r>
        <w:t xml:space="preserve"> </w:t>
      </w:r>
      <w:r w:rsidR="00C53105">
        <w:t>so</w:t>
      </w:r>
      <w:r>
        <w:t xml:space="preserve"> did </w:t>
      </w:r>
      <w:r w:rsidR="00AC46C9">
        <w:t>it</w:t>
      </w:r>
      <w:r w:rsidR="005B0167">
        <w:t xml:space="preserve"> </w:t>
      </w:r>
      <w:r>
        <w:t>expect it to remain a localised conflict? Certainly there was an appreciation</w:t>
      </w:r>
      <w:r w:rsidR="00C53105">
        <w:t xml:space="preserve"> by </w:t>
      </w:r>
      <w:r w:rsidR="00E31449">
        <w:t xml:space="preserve">Viennese </w:t>
      </w:r>
      <w:r w:rsidR="00C53105">
        <w:t>ministers that the situation c</w:t>
      </w:r>
      <w:r>
        <w:t>ould escalate</w:t>
      </w:r>
      <w:r w:rsidR="00AE0764">
        <w:t xml:space="preserve"> into </w:t>
      </w:r>
      <w:r w:rsidR="002F5675">
        <w:t>pan-European conflict</w:t>
      </w:r>
      <w:r w:rsidR="00E717EA">
        <w:t>,</w:t>
      </w:r>
      <w:r w:rsidR="0092054A">
        <w:rPr>
          <w:rStyle w:val="FootnoteReference"/>
        </w:rPr>
        <w:footnoteReference w:id="57"/>
      </w:r>
      <w:r>
        <w:t xml:space="preserve"> given the complex alliances between European powers</w:t>
      </w:r>
      <w:r w:rsidR="003C187A">
        <w:t xml:space="preserve"> </w:t>
      </w:r>
      <w:r w:rsidR="00AE0764">
        <w:t>– which is why</w:t>
      </w:r>
      <w:r w:rsidR="003C187A">
        <w:t xml:space="preserve"> justifications</w:t>
      </w:r>
      <w:r w:rsidR="00C53105">
        <w:t xml:space="preserve"> are carefully </w:t>
      </w:r>
      <w:r w:rsidR="00AE0764">
        <w:t>presented</w:t>
      </w:r>
      <w:r w:rsidR="00033A97">
        <w:t>. Analyses by various ministries suggested that a European conflict might be protracted</w:t>
      </w:r>
      <w:r w:rsidR="00AC46C9">
        <w:t>.</w:t>
      </w:r>
      <w:r w:rsidR="00033A97">
        <w:rPr>
          <w:rStyle w:val="FootnoteReference"/>
        </w:rPr>
        <w:footnoteReference w:id="58"/>
      </w:r>
      <w:r w:rsidR="00AC46C9">
        <w:t xml:space="preserve"> </w:t>
      </w:r>
      <w:r w:rsidR="00E31449">
        <w:t xml:space="preserve">But Austrian insecurities and well-founded concerns that Serbian irredentist activities threatened the existence of the empire </w:t>
      </w:r>
      <w:r w:rsidR="00AE0764">
        <w:t xml:space="preserve">led her to take a gamble on a short, decisive campaign against a smaller adversary. </w:t>
      </w:r>
      <w:r w:rsidR="00ED0AB2">
        <w:t>She had good grounds for supposing strong-arm tactics might work: t</w:t>
      </w:r>
      <w:r w:rsidR="00314616">
        <w:t>he Austrian ultimatum of 17</w:t>
      </w:r>
      <w:r w:rsidR="00314616" w:rsidRPr="00314616">
        <w:rPr>
          <w:vertAlign w:val="superscript"/>
        </w:rPr>
        <w:t>th</w:t>
      </w:r>
      <w:r w:rsidR="00314616">
        <w:t xml:space="preserve"> October 1913 </w:t>
      </w:r>
      <w:r w:rsidR="00E717EA">
        <w:t>demanding</w:t>
      </w:r>
      <w:r w:rsidR="00ED0AB2">
        <w:t xml:space="preserve"> Serbian troop removal in eight days or Austria-Hungary would deploy ‘proper means to ensure the realisation of its demands’ </w:t>
      </w:r>
      <w:r w:rsidR="00E717EA">
        <w:t>was successful</w:t>
      </w:r>
      <w:r w:rsidR="00ED0AB2">
        <w:t>.</w:t>
      </w:r>
      <w:r w:rsidR="00ED0AB2">
        <w:rPr>
          <w:rStyle w:val="FootnoteReference"/>
        </w:rPr>
        <w:footnoteReference w:id="59"/>
      </w:r>
      <w:r w:rsidR="00ED0AB2">
        <w:t xml:space="preserve"> Concomitantly, the cost of maintaining peace-time troop mobilisations increased the empire’s financial problems, making a </w:t>
      </w:r>
      <w:r w:rsidR="00E717EA">
        <w:t>forceful solution to the Balkan problem more attractive.</w:t>
      </w:r>
      <w:r w:rsidR="00E717EA">
        <w:rPr>
          <w:rStyle w:val="FootnoteReference"/>
        </w:rPr>
        <w:footnoteReference w:id="60"/>
      </w:r>
      <w:r w:rsidR="00E717EA">
        <w:t xml:space="preserve"> </w:t>
      </w:r>
      <w:r>
        <w:t xml:space="preserve">We view the Declaration from the perspective of </w:t>
      </w:r>
      <w:r w:rsidR="002F5675">
        <w:t xml:space="preserve">two </w:t>
      </w:r>
      <w:r w:rsidR="00AE0764">
        <w:t xml:space="preserve">world wars and </w:t>
      </w:r>
      <w:r w:rsidR="0092054A">
        <w:t xml:space="preserve">global </w:t>
      </w:r>
      <w:r w:rsidR="00AE0764">
        <w:t>nuclear threat but</w:t>
      </w:r>
      <w:r>
        <w:t xml:space="preserve"> the 1914 Austrian perspective was coloured</w:t>
      </w:r>
      <w:r w:rsidR="00AC46C9">
        <w:t xml:space="preserve"> instead</w:t>
      </w:r>
      <w:r>
        <w:t xml:space="preserve"> by the </w:t>
      </w:r>
      <w:r w:rsidR="00AE0764">
        <w:t>fairly</w:t>
      </w:r>
      <w:r>
        <w:t xml:space="preserve"> recent Franco-Prussian and Austro-German wars, </w:t>
      </w:r>
      <w:r w:rsidR="002F5675">
        <w:t xml:space="preserve">both of </w:t>
      </w:r>
      <w:r>
        <w:t>which lasted months</w:t>
      </w:r>
      <w:r w:rsidR="00AC46C9">
        <w:t>, not years</w:t>
      </w:r>
      <w:r>
        <w:t>.</w:t>
      </w:r>
      <w:r w:rsidR="00AC46C9">
        <w:t xml:space="preserve"> The Austria-Hungarian Declaration of War is therefore a defensive attempt to </w:t>
      </w:r>
      <w:r w:rsidR="00E717EA">
        <w:t>protect</w:t>
      </w:r>
      <w:r w:rsidR="00AC46C9">
        <w:t xml:space="preserve"> </w:t>
      </w:r>
      <w:r w:rsidR="00AC46C9">
        <w:lastRenderedPageBreak/>
        <w:t>the empire</w:t>
      </w:r>
      <w:r w:rsidR="00C1433B">
        <w:t>,</w:t>
      </w:r>
      <w:r w:rsidR="00AC46C9">
        <w:rPr>
          <w:rStyle w:val="FootnoteReference"/>
        </w:rPr>
        <w:footnoteReference w:id="61"/>
      </w:r>
      <w:r w:rsidR="00C1433B">
        <w:t xml:space="preserve"> </w:t>
      </w:r>
      <w:r w:rsidR="0092054A">
        <w:t>but</w:t>
      </w:r>
      <w:r w:rsidR="00C1433B">
        <w:t xml:space="preserve"> Clark’s counterfactual analysis of the empire in 1914 indicates </w:t>
      </w:r>
      <w:r w:rsidR="00C1433B" w:rsidRPr="00B617D5">
        <w:rPr>
          <w:rStyle w:val="field-content"/>
          <w:rFonts w:ascii="Calibri" w:hAnsi="Calibri" w:cs="Calibri"/>
        </w:rPr>
        <w:t>that although the state had internal problems, it was not in terminal decline.</w:t>
      </w:r>
      <w:r w:rsidR="00C1433B" w:rsidRPr="00B617D5">
        <w:rPr>
          <w:rStyle w:val="FootnoteReference"/>
          <w:rFonts w:ascii="Calibri" w:hAnsi="Calibri" w:cs="Calibri"/>
        </w:rPr>
        <w:footnoteReference w:id="62"/>
      </w:r>
    </w:p>
    <w:p w:rsidR="00664104" w:rsidRDefault="00664104" w:rsidP="00873E01">
      <w:pPr>
        <w:pStyle w:val="NoSpacing"/>
        <w:rPr>
          <w:rStyle w:val="field-content"/>
          <w:rFonts w:ascii="Calibri" w:hAnsi="Calibri" w:cs="Calibri"/>
        </w:rPr>
      </w:pPr>
    </w:p>
    <w:p w:rsidR="00664104" w:rsidRDefault="00664104" w:rsidP="00873E01">
      <w:pPr>
        <w:pStyle w:val="NoSpacing"/>
        <w:rPr>
          <w:rStyle w:val="field-content"/>
          <w:rFonts w:ascii="Calibri" w:hAnsi="Calibri" w:cs="Calibri"/>
        </w:rPr>
      </w:pPr>
    </w:p>
    <w:p w:rsidR="00664104" w:rsidRDefault="00664104" w:rsidP="00873E01">
      <w:pPr>
        <w:pStyle w:val="NoSpacing"/>
        <w:rPr>
          <w:rStyle w:val="field-content"/>
          <w:rFonts w:ascii="Calibri" w:hAnsi="Calibri" w:cs="Calibri"/>
        </w:rPr>
      </w:pPr>
    </w:p>
    <w:p w:rsidR="00F1627E" w:rsidRDefault="00873E01" w:rsidP="007249E5">
      <w:pPr>
        <w:pStyle w:val="NoSpacing"/>
        <w:rPr>
          <w:rFonts w:cstheme="minorHAnsi"/>
        </w:rPr>
      </w:pPr>
      <w:r>
        <w:rPr>
          <w:rFonts w:cstheme="minorHAnsi"/>
        </w:rPr>
        <w:t>Appendix:</w:t>
      </w:r>
    </w:p>
    <w:p w:rsidR="00CD3E42" w:rsidRDefault="00CD3E42" w:rsidP="007249E5">
      <w:pPr>
        <w:pStyle w:val="NoSpacing"/>
        <w:rPr>
          <w:rFonts w:cstheme="minorHAnsi"/>
        </w:rPr>
      </w:pPr>
    </w:p>
    <w:p w:rsidR="00D57454" w:rsidRDefault="00D57454"/>
    <w:p w:rsidR="008313A8" w:rsidRPr="00FE77E8" w:rsidRDefault="008313A8" w:rsidP="00FE77E8">
      <w:pPr>
        <w:pStyle w:val="NoSpacing"/>
        <w:rPr>
          <w:rFonts w:ascii="Calibri" w:hAnsi="Calibri" w:cs="Calibri"/>
        </w:rPr>
      </w:pPr>
      <w:r w:rsidRPr="008313A8">
        <w:rPr>
          <w:rFonts w:eastAsia="Times New Roman" w:cstheme="minorHAnsi"/>
          <w:b/>
          <w:noProof/>
          <w:sz w:val="20"/>
          <w:szCs w:val="20"/>
          <w:lang w:eastAsia="en-GB"/>
        </w:rPr>
        <w:drawing>
          <wp:inline distT="0" distB="0" distL="0" distR="0">
            <wp:extent cx="5549237" cy="4168819"/>
            <wp:effectExtent l="19050" t="0" r="0" b="0"/>
            <wp:docPr id="1" name="irc_mi" descr="Image result for franz joseph declaration of war">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franz joseph declaration of war">
                      <a:hlinkClick r:id="rId7"/>
                    </pic:cNvPr>
                    <pic:cNvPicPr>
                      <a:picLocks noChangeAspect="1" noChangeArrowheads="1"/>
                    </pic:cNvPicPr>
                  </pic:nvPicPr>
                  <pic:blipFill>
                    <a:blip r:embed="rId8" cstate="print"/>
                    <a:srcRect/>
                    <a:stretch>
                      <a:fillRect/>
                    </a:stretch>
                  </pic:blipFill>
                  <pic:spPr bwMode="auto">
                    <a:xfrm>
                      <a:off x="0" y="0"/>
                      <a:ext cx="5552346" cy="4171155"/>
                    </a:xfrm>
                    <a:prstGeom prst="rect">
                      <a:avLst/>
                    </a:prstGeom>
                    <a:noFill/>
                    <a:ln w="9525">
                      <a:noFill/>
                      <a:miter lim="800000"/>
                      <a:headEnd/>
                      <a:tailEnd/>
                    </a:ln>
                  </pic:spPr>
                </pic:pic>
              </a:graphicData>
            </a:graphic>
          </wp:inline>
        </w:drawing>
      </w:r>
    </w:p>
    <w:p w:rsidR="008313A8" w:rsidRDefault="008313A8" w:rsidP="00A963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sz w:val="20"/>
          <w:szCs w:val="20"/>
          <w:lang w:eastAsia="en-GB"/>
        </w:rPr>
      </w:pPr>
    </w:p>
    <w:p w:rsidR="008313A8" w:rsidRDefault="008313A8" w:rsidP="00A963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sz w:val="20"/>
          <w:szCs w:val="20"/>
          <w:lang w:eastAsia="en-GB"/>
        </w:rPr>
      </w:pPr>
      <w:r>
        <w:rPr>
          <w:rFonts w:eastAsia="Times New Roman" w:cstheme="minorHAnsi"/>
          <w:b/>
          <w:sz w:val="20"/>
          <w:szCs w:val="20"/>
          <w:lang w:eastAsia="en-GB"/>
        </w:rPr>
        <w:t>Figure 1</w:t>
      </w:r>
      <w:r w:rsidR="007D6B0E">
        <w:rPr>
          <w:rFonts w:eastAsia="Times New Roman" w:cstheme="minorHAnsi"/>
          <w:b/>
          <w:sz w:val="20"/>
          <w:szCs w:val="20"/>
          <w:lang w:eastAsia="en-GB"/>
        </w:rPr>
        <w:t>:</w:t>
      </w:r>
      <w:r w:rsidR="00C226EF">
        <w:rPr>
          <w:rFonts w:eastAsia="Times New Roman" w:cstheme="minorHAnsi"/>
          <w:b/>
          <w:sz w:val="20"/>
          <w:szCs w:val="20"/>
          <w:lang w:eastAsia="en-GB"/>
        </w:rPr>
        <w:t xml:space="preserve"> Original transcript of the Declaration of War by the Austro-Hungarian Empire </w:t>
      </w:r>
      <w:r w:rsidR="00C226EF">
        <w:rPr>
          <w:rStyle w:val="FootnoteReference"/>
          <w:rFonts w:eastAsia="Times New Roman" w:cstheme="minorHAnsi"/>
          <w:b/>
          <w:sz w:val="20"/>
          <w:szCs w:val="20"/>
          <w:lang w:eastAsia="en-GB"/>
        </w:rPr>
        <w:footnoteReference w:id="63"/>
      </w:r>
      <w:r w:rsidR="00C226EF">
        <w:rPr>
          <w:rFonts w:eastAsia="Times New Roman" w:cstheme="minorHAnsi"/>
          <w:b/>
          <w:sz w:val="20"/>
          <w:szCs w:val="20"/>
          <w:lang w:eastAsia="en-GB"/>
        </w:rPr>
        <w:t xml:space="preserve"> with </w:t>
      </w:r>
      <w:r>
        <w:rPr>
          <w:rFonts w:eastAsia="Times New Roman" w:cstheme="minorHAnsi"/>
          <w:b/>
          <w:sz w:val="20"/>
          <w:szCs w:val="20"/>
          <w:lang w:eastAsia="en-GB"/>
        </w:rPr>
        <w:t>English translation</w:t>
      </w:r>
    </w:p>
    <w:p w:rsidR="008313A8" w:rsidRPr="008313A8" w:rsidRDefault="008313A8" w:rsidP="00A963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sz w:val="20"/>
          <w:szCs w:val="20"/>
          <w:lang w:eastAsia="en-GB"/>
        </w:rPr>
      </w:pPr>
    </w:p>
    <w:p w:rsidR="008313A8" w:rsidRDefault="00A96319" w:rsidP="00A963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sz w:val="20"/>
          <w:szCs w:val="20"/>
          <w:lang w:eastAsia="en-GB"/>
        </w:rPr>
      </w:pPr>
      <w:r w:rsidRPr="00A96319">
        <w:rPr>
          <w:rFonts w:eastAsia="Times New Roman" w:cstheme="minorHAnsi"/>
          <w:sz w:val="20"/>
          <w:szCs w:val="20"/>
          <w:lang w:eastAsia="en-GB"/>
        </w:rPr>
        <w:t xml:space="preserve">To my peoples! </w:t>
      </w:r>
    </w:p>
    <w:p w:rsidR="00A96319" w:rsidRPr="00A96319" w:rsidRDefault="00A96319" w:rsidP="00A963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sz w:val="20"/>
          <w:szCs w:val="20"/>
          <w:lang w:eastAsia="en-GB"/>
        </w:rPr>
      </w:pPr>
      <w:r w:rsidRPr="00A96319">
        <w:rPr>
          <w:rFonts w:eastAsia="Times New Roman" w:cstheme="minorHAnsi"/>
          <w:sz w:val="20"/>
          <w:szCs w:val="20"/>
          <w:lang w:eastAsia="en-GB"/>
        </w:rPr>
        <w:t>It was my fervent wish to consecrate the years</w:t>
      </w:r>
      <w:r w:rsidR="008313A8">
        <w:rPr>
          <w:rFonts w:eastAsia="Times New Roman" w:cstheme="minorHAnsi"/>
          <w:sz w:val="20"/>
          <w:szCs w:val="20"/>
          <w:lang w:eastAsia="en-GB"/>
        </w:rPr>
        <w:t xml:space="preserve"> </w:t>
      </w:r>
      <w:r w:rsidRPr="00A96319">
        <w:rPr>
          <w:rFonts w:eastAsia="Times New Roman" w:cstheme="minorHAnsi"/>
          <w:sz w:val="20"/>
          <w:szCs w:val="20"/>
          <w:lang w:eastAsia="en-GB"/>
        </w:rPr>
        <w:t>which, by the grace of God, still remain to me, to the works of</w:t>
      </w:r>
      <w:r w:rsidR="007D6B0E">
        <w:rPr>
          <w:rFonts w:eastAsia="Times New Roman" w:cstheme="minorHAnsi"/>
          <w:sz w:val="20"/>
          <w:szCs w:val="20"/>
          <w:lang w:eastAsia="en-GB"/>
        </w:rPr>
        <w:t xml:space="preserve"> </w:t>
      </w:r>
      <w:r w:rsidRPr="00A96319">
        <w:rPr>
          <w:rFonts w:eastAsia="Times New Roman" w:cstheme="minorHAnsi"/>
          <w:sz w:val="20"/>
          <w:szCs w:val="20"/>
          <w:lang w:eastAsia="en-GB"/>
        </w:rPr>
        <w:t>peace and to protect my peoples from the heavy sacrifices and</w:t>
      </w:r>
      <w:r w:rsidR="008313A8">
        <w:rPr>
          <w:rFonts w:eastAsia="Times New Roman" w:cstheme="minorHAnsi"/>
          <w:sz w:val="20"/>
          <w:szCs w:val="20"/>
          <w:lang w:eastAsia="en-GB"/>
        </w:rPr>
        <w:t xml:space="preserve"> </w:t>
      </w:r>
      <w:r w:rsidRPr="00A96319">
        <w:rPr>
          <w:rFonts w:eastAsia="Times New Roman" w:cstheme="minorHAnsi"/>
          <w:sz w:val="20"/>
          <w:szCs w:val="20"/>
          <w:lang w:eastAsia="en-GB"/>
        </w:rPr>
        <w:t>burdens of war. Providence, in its wisdom, has otherwise decreed.</w:t>
      </w:r>
      <w:r w:rsidR="008313A8">
        <w:rPr>
          <w:rFonts w:eastAsia="Times New Roman" w:cstheme="minorHAnsi"/>
          <w:sz w:val="20"/>
          <w:szCs w:val="20"/>
          <w:lang w:eastAsia="en-GB"/>
        </w:rPr>
        <w:t xml:space="preserve"> </w:t>
      </w:r>
      <w:r w:rsidRPr="00A96319">
        <w:rPr>
          <w:rFonts w:eastAsia="Times New Roman" w:cstheme="minorHAnsi"/>
          <w:sz w:val="20"/>
          <w:szCs w:val="20"/>
          <w:lang w:eastAsia="en-GB"/>
        </w:rPr>
        <w:t>The intrigues of a malevolent o</w:t>
      </w:r>
      <w:r w:rsidR="00C226EF">
        <w:rPr>
          <w:rFonts w:eastAsia="Times New Roman" w:cstheme="minorHAnsi"/>
          <w:sz w:val="20"/>
          <w:szCs w:val="20"/>
          <w:lang w:eastAsia="en-GB"/>
        </w:rPr>
        <w:t>pponent compel me, in the defenc</w:t>
      </w:r>
      <w:r w:rsidRPr="00A96319">
        <w:rPr>
          <w:rFonts w:eastAsia="Times New Roman" w:cstheme="minorHAnsi"/>
          <w:sz w:val="20"/>
          <w:szCs w:val="20"/>
          <w:lang w:eastAsia="en-GB"/>
        </w:rPr>
        <w:t>e of</w:t>
      </w:r>
      <w:r w:rsidR="008313A8">
        <w:rPr>
          <w:rFonts w:eastAsia="Times New Roman" w:cstheme="minorHAnsi"/>
          <w:sz w:val="20"/>
          <w:szCs w:val="20"/>
          <w:lang w:eastAsia="en-GB"/>
        </w:rPr>
        <w:t xml:space="preserve"> </w:t>
      </w:r>
      <w:r w:rsidRPr="00A96319">
        <w:rPr>
          <w:rFonts w:eastAsia="Times New Roman" w:cstheme="minorHAnsi"/>
          <w:sz w:val="20"/>
          <w:szCs w:val="20"/>
          <w:lang w:eastAsia="en-GB"/>
        </w:rPr>
        <w:t>the hono</w:t>
      </w:r>
      <w:r w:rsidR="00C226EF">
        <w:rPr>
          <w:rFonts w:eastAsia="Times New Roman" w:cstheme="minorHAnsi"/>
          <w:sz w:val="20"/>
          <w:szCs w:val="20"/>
          <w:lang w:eastAsia="en-GB"/>
        </w:rPr>
        <w:t>u</w:t>
      </w:r>
      <w:r w:rsidRPr="00A96319">
        <w:rPr>
          <w:rFonts w:eastAsia="Times New Roman" w:cstheme="minorHAnsi"/>
          <w:sz w:val="20"/>
          <w:szCs w:val="20"/>
          <w:lang w:eastAsia="en-GB"/>
        </w:rPr>
        <w:t>r of my Monarchy, for the protection of its dignity and its</w:t>
      </w:r>
      <w:r w:rsidR="008313A8">
        <w:rPr>
          <w:rFonts w:eastAsia="Times New Roman" w:cstheme="minorHAnsi"/>
          <w:sz w:val="20"/>
          <w:szCs w:val="20"/>
          <w:lang w:eastAsia="en-GB"/>
        </w:rPr>
        <w:t xml:space="preserve"> </w:t>
      </w:r>
      <w:r w:rsidRPr="00A96319">
        <w:rPr>
          <w:rFonts w:eastAsia="Times New Roman" w:cstheme="minorHAnsi"/>
          <w:sz w:val="20"/>
          <w:szCs w:val="20"/>
          <w:lang w:eastAsia="en-GB"/>
        </w:rPr>
        <w:t>position as a power, for the security of its possessions, to grasp</w:t>
      </w:r>
      <w:r w:rsidR="007D6B0E">
        <w:rPr>
          <w:rFonts w:eastAsia="Times New Roman" w:cstheme="minorHAnsi"/>
          <w:sz w:val="20"/>
          <w:szCs w:val="20"/>
          <w:lang w:eastAsia="en-GB"/>
        </w:rPr>
        <w:t xml:space="preserve"> </w:t>
      </w:r>
      <w:r w:rsidRPr="00A96319">
        <w:rPr>
          <w:rFonts w:eastAsia="Times New Roman" w:cstheme="minorHAnsi"/>
          <w:sz w:val="20"/>
          <w:szCs w:val="20"/>
          <w:lang w:eastAsia="en-GB"/>
        </w:rPr>
        <w:t>the sword after long years of peace.</w:t>
      </w:r>
    </w:p>
    <w:p w:rsidR="00A96319" w:rsidRPr="00A96319" w:rsidRDefault="00A96319" w:rsidP="00A963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sz w:val="20"/>
          <w:szCs w:val="20"/>
          <w:lang w:eastAsia="en-GB"/>
        </w:rPr>
      </w:pPr>
    </w:p>
    <w:p w:rsidR="00A96319" w:rsidRPr="00A96319" w:rsidRDefault="00A96319" w:rsidP="00A963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sz w:val="20"/>
          <w:szCs w:val="20"/>
          <w:lang w:eastAsia="en-GB"/>
        </w:rPr>
      </w:pPr>
      <w:r w:rsidRPr="00A96319">
        <w:rPr>
          <w:rFonts w:eastAsia="Times New Roman" w:cstheme="minorHAnsi"/>
          <w:sz w:val="20"/>
          <w:szCs w:val="20"/>
          <w:lang w:eastAsia="en-GB"/>
        </w:rPr>
        <w:t>With a quickly forgetful ingratitude, the Kingdom of Serbia, which,</w:t>
      </w:r>
      <w:r w:rsidR="008313A8">
        <w:rPr>
          <w:rFonts w:eastAsia="Times New Roman" w:cstheme="minorHAnsi"/>
          <w:sz w:val="20"/>
          <w:szCs w:val="20"/>
          <w:lang w:eastAsia="en-GB"/>
        </w:rPr>
        <w:t xml:space="preserve"> </w:t>
      </w:r>
      <w:r w:rsidRPr="00A96319">
        <w:rPr>
          <w:rFonts w:eastAsia="Times New Roman" w:cstheme="minorHAnsi"/>
          <w:sz w:val="20"/>
          <w:szCs w:val="20"/>
          <w:lang w:eastAsia="en-GB"/>
        </w:rPr>
        <w:t>from the first beginnings of its independence as a State until</w:t>
      </w:r>
      <w:r w:rsidR="008313A8">
        <w:rPr>
          <w:rFonts w:eastAsia="Times New Roman" w:cstheme="minorHAnsi"/>
          <w:sz w:val="20"/>
          <w:szCs w:val="20"/>
          <w:lang w:eastAsia="en-GB"/>
        </w:rPr>
        <w:t xml:space="preserve"> </w:t>
      </w:r>
      <w:r w:rsidRPr="00A96319">
        <w:rPr>
          <w:rFonts w:eastAsia="Times New Roman" w:cstheme="minorHAnsi"/>
          <w:sz w:val="20"/>
          <w:szCs w:val="20"/>
          <w:lang w:eastAsia="en-GB"/>
        </w:rPr>
        <w:t>quite recently, had been supported and assisted by my ancestors,</w:t>
      </w:r>
      <w:r w:rsidR="008313A8">
        <w:rPr>
          <w:rFonts w:eastAsia="Times New Roman" w:cstheme="minorHAnsi"/>
          <w:sz w:val="20"/>
          <w:szCs w:val="20"/>
          <w:lang w:eastAsia="en-GB"/>
        </w:rPr>
        <w:t xml:space="preserve"> </w:t>
      </w:r>
      <w:r w:rsidRPr="00A96319">
        <w:rPr>
          <w:rFonts w:eastAsia="Times New Roman" w:cstheme="minorHAnsi"/>
          <w:sz w:val="20"/>
          <w:szCs w:val="20"/>
          <w:lang w:eastAsia="en-GB"/>
        </w:rPr>
        <w:t>has for years trodden the path of open hostility to</w:t>
      </w:r>
      <w:r w:rsidR="008313A8">
        <w:rPr>
          <w:rFonts w:eastAsia="Times New Roman" w:cstheme="minorHAnsi"/>
          <w:sz w:val="20"/>
          <w:szCs w:val="20"/>
          <w:lang w:eastAsia="en-GB"/>
        </w:rPr>
        <w:t xml:space="preserve"> </w:t>
      </w:r>
      <w:r w:rsidRPr="00A96319">
        <w:rPr>
          <w:rFonts w:eastAsia="Times New Roman" w:cstheme="minorHAnsi"/>
          <w:sz w:val="20"/>
          <w:szCs w:val="20"/>
          <w:lang w:eastAsia="en-GB"/>
        </w:rPr>
        <w:t>Austria-Hungary. When, after three decades of fruitful work for</w:t>
      </w:r>
      <w:r w:rsidR="008313A8">
        <w:rPr>
          <w:rFonts w:eastAsia="Times New Roman" w:cstheme="minorHAnsi"/>
          <w:sz w:val="20"/>
          <w:szCs w:val="20"/>
          <w:lang w:eastAsia="en-GB"/>
        </w:rPr>
        <w:t xml:space="preserve"> </w:t>
      </w:r>
      <w:r w:rsidRPr="00A96319">
        <w:rPr>
          <w:rFonts w:eastAsia="Times New Roman" w:cstheme="minorHAnsi"/>
          <w:sz w:val="20"/>
          <w:szCs w:val="20"/>
          <w:lang w:eastAsia="en-GB"/>
        </w:rPr>
        <w:t>peace in Bosnia and Herzegovina, I extended my Sovereign rights to</w:t>
      </w:r>
      <w:r w:rsidR="008313A8">
        <w:rPr>
          <w:rFonts w:eastAsia="Times New Roman" w:cstheme="minorHAnsi"/>
          <w:sz w:val="20"/>
          <w:szCs w:val="20"/>
          <w:lang w:eastAsia="en-GB"/>
        </w:rPr>
        <w:t xml:space="preserve"> </w:t>
      </w:r>
      <w:r w:rsidRPr="00A96319">
        <w:rPr>
          <w:rFonts w:eastAsia="Times New Roman" w:cstheme="minorHAnsi"/>
          <w:sz w:val="20"/>
          <w:szCs w:val="20"/>
          <w:lang w:eastAsia="en-GB"/>
        </w:rPr>
        <w:t xml:space="preserve">those lands, my decree called forth in the Kingdom of Serbia, whose rights were in </w:t>
      </w:r>
      <w:r w:rsidRPr="00A96319">
        <w:rPr>
          <w:rFonts w:eastAsia="Times New Roman" w:cstheme="minorHAnsi"/>
          <w:sz w:val="20"/>
          <w:szCs w:val="20"/>
          <w:lang w:eastAsia="en-GB"/>
        </w:rPr>
        <w:lastRenderedPageBreak/>
        <w:t>nowise injured, outbreaks of unrestrained passion</w:t>
      </w:r>
      <w:r w:rsidR="008313A8">
        <w:rPr>
          <w:rFonts w:eastAsia="Times New Roman" w:cstheme="minorHAnsi"/>
          <w:sz w:val="20"/>
          <w:szCs w:val="20"/>
          <w:lang w:eastAsia="en-GB"/>
        </w:rPr>
        <w:t xml:space="preserve"> </w:t>
      </w:r>
      <w:r w:rsidRPr="00A96319">
        <w:rPr>
          <w:rFonts w:eastAsia="Times New Roman" w:cstheme="minorHAnsi"/>
          <w:sz w:val="20"/>
          <w:szCs w:val="20"/>
          <w:lang w:eastAsia="en-GB"/>
        </w:rPr>
        <w:t>and the bitterest hate. My Government at that time employed the</w:t>
      </w:r>
      <w:r w:rsidR="008313A8">
        <w:rPr>
          <w:rFonts w:eastAsia="Times New Roman" w:cstheme="minorHAnsi"/>
          <w:sz w:val="20"/>
          <w:szCs w:val="20"/>
          <w:lang w:eastAsia="en-GB"/>
        </w:rPr>
        <w:t xml:space="preserve"> </w:t>
      </w:r>
      <w:r w:rsidRPr="00A96319">
        <w:rPr>
          <w:rFonts w:eastAsia="Times New Roman" w:cstheme="minorHAnsi"/>
          <w:sz w:val="20"/>
          <w:szCs w:val="20"/>
          <w:lang w:eastAsia="en-GB"/>
        </w:rPr>
        <w:t>handsome privileges of the stronger, and with extreme consideration</w:t>
      </w:r>
      <w:r w:rsidR="008313A8">
        <w:rPr>
          <w:rFonts w:eastAsia="Times New Roman" w:cstheme="minorHAnsi"/>
          <w:sz w:val="20"/>
          <w:szCs w:val="20"/>
          <w:lang w:eastAsia="en-GB"/>
        </w:rPr>
        <w:t xml:space="preserve"> </w:t>
      </w:r>
      <w:r w:rsidRPr="00A96319">
        <w:rPr>
          <w:rFonts w:eastAsia="Times New Roman" w:cstheme="minorHAnsi"/>
          <w:sz w:val="20"/>
          <w:szCs w:val="20"/>
          <w:lang w:eastAsia="en-GB"/>
        </w:rPr>
        <w:t>and leniency only requested Serbia to reduce her army to a peac</w:t>
      </w:r>
      <w:r w:rsidR="008313A8">
        <w:rPr>
          <w:rFonts w:eastAsia="Times New Roman" w:cstheme="minorHAnsi"/>
          <w:sz w:val="20"/>
          <w:szCs w:val="20"/>
          <w:lang w:eastAsia="en-GB"/>
        </w:rPr>
        <w:t>e</w:t>
      </w:r>
      <w:r w:rsidRPr="00A96319">
        <w:rPr>
          <w:rFonts w:eastAsia="Times New Roman" w:cstheme="minorHAnsi"/>
          <w:sz w:val="20"/>
          <w:szCs w:val="20"/>
          <w:lang w:eastAsia="en-GB"/>
        </w:rPr>
        <w:t xml:space="preserve"> footing and to promise that, for the future, she would tread th</w:t>
      </w:r>
      <w:r w:rsidR="008313A8">
        <w:rPr>
          <w:rFonts w:eastAsia="Times New Roman" w:cstheme="minorHAnsi"/>
          <w:sz w:val="20"/>
          <w:szCs w:val="20"/>
          <w:lang w:eastAsia="en-GB"/>
        </w:rPr>
        <w:t>e</w:t>
      </w:r>
      <w:r w:rsidRPr="00A96319">
        <w:rPr>
          <w:rFonts w:eastAsia="Times New Roman" w:cstheme="minorHAnsi"/>
          <w:sz w:val="20"/>
          <w:szCs w:val="20"/>
          <w:lang w:eastAsia="en-GB"/>
        </w:rPr>
        <w:t xml:space="preserve"> path of peace and friendship. Guided by the same spirit of</w:t>
      </w:r>
      <w:r w:rsidR="008313A8">
        <w:rPr>
          <w:rFonts w:eastAsia="Times New Roman" w:cstheme="minorHAnsi"/>
          <w:sz w:val="20"/>
          <w:szCs w:val="20"/>
          <w:lang w:eastAsia="en-GB"/>
        </w:rPr>
        <w:t xml:space="preserve"> </w:t>
      </w:r>
      <w:r w:rsidRPr="00A96319">
        <w:rPr>
          <w:rFonts w:eastAsia="Times New Roman" w:cstheme="minorHAnsi"/>
          <w:sz w:val="20"/>
          <w:szCs w:val="20"/>
          <w:lang w:eastAsia="en-GB"/>
        </w:rPr>
        <w:t>moderation, my Government, when Serbia, two years ago, was</w:t>
      </w:r>
      <w:r w:rsidR="008313A8">
        <w:rPr>
          <w:rFonts w:eastAsia="Times New Roman" w:cstheme="minorHAnsi"/>
          <w:sz w:val="20"/>
          <w:szCs w:val="20"/>
          <w:lang w:eastAsia="en-GB"/>
        </w:rPr>
        <w:t xml:space="preserve"> </w:t>
      </w:r>
      <w:r w:rsidRPr="00A96319">
        <w:rPr>
          <w:rFonts w:eastAsia="Times New Roman" w:cstheme="minorHAnsi"/>
          <w:sz w:val="20"/>
          <w:szCs w:val="20"/>
          <w:lang w:eastAsia="en-GB"/>
        </w:rPr>
        <w:t>embroiled in a struggle with the Turkish Empire, restricted its</w:t>
      </w:r>
      <w:r w:rsidR="008313A8">
        <w:rPr>
          <w:rFonts w:eastAsia="Times New Roman" w:cstheme="minorHAnsi"/>
          <w:sz w:val="20"/>
          <w:szCs w:val="20"/>
          <w:lang w:eastAsia="en-GB"/>
        </w:rPr>
        <w:t xml:space="preserve"> </w:t>
      </w:r>
      <w:r w:rsidRPr="00A96319">
        <w:rPr>
          <w:rFonts w:eastAsia="Times New Roman" w:cstheme="minorHAnsi"/>
          <w:sz w:val="20"/>
          <w:szCs w:val="20"/>
          <w:lang w:eastAsia="en-GB"/>
        </w:rPr>
        <w:t xml:space="preserve">action to the </w:t>
      </w:r>
      <w:r w:rsidR="00140DA6" w:rsidRPr="00A96319">
        <w:rPr>
          <w:rFonts w:eastAsia="Times New Roman" w:cstheme="minorHAnsi"/>
          <w:sz w:val="20"/>
          <w:szCs w:val="20"/>
          <w:lang w:eastAsia="en-GB"/>
        </w:rPr>
        <w:t>defence</w:t>
      </w:r>
      <w:r w:rsidRPr="00A96319">
        <w:rPr>
          <w:rFonts w:eastAsia="Times New Roman" w:cstheme="minorHAnsi"/>
          <w:sz w:val="20"/>
          <w:szCs w:val="20"/>
          <w:lang w:eastAsia="en-GB"/>
        </w:rPr>
        <w:t xml:space="preserve"> of the most serious and vital interests of</w:t>
      </w:r>
      <w:r w:rsidR="008313A8">
        <w:rPr>
          <w:rFonts w:eastAsia="Times New Roman" w:cstheme="minorHAnsi"/>
          <w:sz w:val="20"/>
          <w:szCs w:val="20"/>
          <w:lang w:eastAsia="en-GB"/>
        </w:rPr>
        <w:t xml:space="preserve"> </w:t>
      </w:r>
      <w:r w:rsidRPr="00A96319">
        <w:rPr>
          <w:rFonts w:eastAsia="Times New Roman" w:cstheme="minorHAnsi"/>
          <w:sz w:val="20"/>
          <w:szCs w:val="20"/>
          <w:lang w:eastAsia="en-GB"/>
        </w:rPr>
        <w:t xml:space="preserve"> the Monarchy. It was to this attitude that Serbia primarily owed the attainment of the objects of that war.</w:t>
      </w:r>
    </w:p>
    <w:p w:rsidR="00A96319" w:rsidRPr="00A96319" w:rsidRDefault="00A96319" w:rsidP="00A963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sz w:val="20"/>
          <w:szCs w:val="20"/>
          <w:lang w:eastAsia="en-GB"/>
        </w:rPr>
      </w:pPr>
    </w:p>
    <w:p w:rsidR="00A96319" w:rsidRPr="00A96319" w:rsidRDefault="00A96319" w:rsidP="00A963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sz w:val="20"/>
          <w:szCs w:val="20"/>
          <w:lang w:eastAsia="en-GB"/>
        </w:rPr>
      </w:pPr>
      <w:r w:rsidRPr="00A96319">
        <w:rPr>
          <w:rFonts w:eastAsia="Times New Roman" w:cstheme="minorHAnsi"/>
          <w:sz w:val="20"/>
          <w:szCs w:val="20"/>
          <w:lang w:eastAsia="en-GB"/>
        </w:rPr>
        <w:t>The hope that the Serbian Kingdom would appreciate the patience and</w:t>
      </w:r>
      <w:r w:rsidR="008313A8">
        <w:rPr>
          <w:rFonts w:eastAsia="Times New Roman" w:cstheme="minorHAnsi"/>
          <w:sz w:val="20"/>
          <w:szCs w:val="20"/>
          <w:lang w:eastAsia="en-GB"/>
        </w:rPr>
        <w:t xml:space="preserve"> </w:t>
      </w:r>
      <w:r w:rsidRPr="00A96319">
        <w:rPr>
          <w:rFonts w:eastAsia="Times New Roman" w:cstheme="minorHAnsi"/>
          <w:sz w:val="20"/>
          <w:szCs w:val="20"/>
          <w:lang w:eastAsia="en-GB"/>
        </w:rPr>
        <w:t>love of peace of my Government and would keep its word has not been</w:t>
      </w:r>
      <w:r w:rsidR="008313A8">
        <w:rPr>
          <w:rFonts w:eastAsia="Times New Roman" w:cstheme="minorHAnsi"/>
          <w:sz w:val="20"/>
          <w:szCs w:val="20"/>
          <w:lang w:eastAsia="en-GB"/>
        </w:rPr>
        <w:t xml:space="preserve"> </w:t>
      </w:r>
      <w:r w:rsidRPr="00A96319">
        <w:rPr>
          <w:rFonts w:eastAsia="Times New Roman" w:cstheme="minorHAnsi"/>
          <w:sz w:val="20"/>
          <w:szCs w:val="20"/>
          <w:lang w:eastAsia="en-GB"/>
        </w:rPr>
        <w:t>fulfilled. The flame of its hatred for myself and my house ha</w:t>
      </w:r>
      <w:r w:rsidR="008313A8">
        <w:rPr>
          <w:rFonts w:eastAsia="Times New Roman" w:cstheme="minorHAnsi"/>
          <w:sz w:val="20"/>
          <w:szCs w:val="20"/>
          <w:lang w:eastAsia="en-GB"/>
        </w:rPr>
        <w:t xml:space="preserve">s </w:t>
      </w:r>
      <w:r w:rsidRPr="00A96319">
        <w:rPr>
          <w:rFonts w:eastAsia="Times New Roman" w:cstheme="minorHAnsi"/>
          <w:sz w:val="20"/>
          <w:szCs w:val="20"/>
          <w:lang w:eastAsia="en-GB"/>
        </w:rPr>
        <w:t>blazed always higher; the design to tear from us by force inseparable portions of Austria-Hungary has been made manifest with less and less disguise. A criminal propaganda has extended over the</w:t>
      </w:r>
      <w:r w:rsidR="008313A8">
        <w:rPr>
          <w:rFonts w:eastAsia="Times New Roman" w:cstheme="minorHAnsi"/>
          <w:sz w:val="20"/>
          <w:szCs w:val="20"/>
          <w:lang w:eastAsia="en-GB"/>
        </w:rPr>
        <w:t xml:space="preserve"> </w:t>
      </w:r>
      <w:r w:rsidRPr="00A96319">
        <w:rPr>
          <w:rFonts w:eastAsia="Times New Roman" w:cstheme="minorHAnsi"/>
          <w:sz w:val="20"/>
          <w:szCs w:val="20"/>
          <w:lang w:eastAsia="en-GB"/>
        </w:rPr>
        <w:t>frontier with the object of destroying the foundations of State</w:t>
      </w:r>
      <w:r w:rsidR="008313A8">
        <w:rPr>
          <w:rFonts w:eastAsia="Times New Roman" w:cstheme="minorHAnsi"/>
          <w:sz w:val="20"/>
          <w:szCs w:val="20"/>
          <w:lang w:eastAsia="en-GB"/>
        </w:rPr>
        <w:t xml:space="preserve"> </w:t>
      </w:r>
      <w:r w:rsidRPr="00A96319">
        <w:rPr>
          <w:rFonts w:eastAsia="Times New Roman" w:cstheme="minorHAnsi"/>
          <w:sz w:val="20"/>
          <w:szCs w:val="20"/>
          <w:lang w:eastAsia="en-GB"/>
        </w:rPr>
        <w:t xml:space="preserve">order in the </w:t>
      </w:r>
      <w:proofErr w:type="spellStart"/>
      <w:r w:rsidRPr="00A96319">
        <w:rPr>
          <w:rFonts w:eastAsia="Times New Roman" w:cstheme="minorHAnsi"/>
          <w:sz w:val="20"/>
          <w:szCs w:val="20"/>
          <w:lang w:eastAsia="en-GB"/>
        </w:rPr>
        <w:t>southeastern</w:t>
      </w:r>
      <w:proofErr w:type="spellEnd"/>
      <w:r w:rsidRPr="00A96319">
        <w:rPr>
          <w:rFonts w:eastAsia="Times New Roman" w:cstheme="minorHAnsi"/>
          <w:sz w:val="20"/>
          <w:szCs w:val="20"/>
          <w:lang w:eastAsia="en-GB"/>
        </w:rPr>
        <w:t xml:space="preserve"> part of the monarchy; of making the people, to whom I, in my paternal affection, extended my full confidence, waver in its loyalty to the ruling house and to the Fatherland; of leading astray its growing youth and inciting it to mischievous deeds of madness and high treason. A series of murderous attacks, an organized, carefully prepared, and well</w:t>
      </w:r>
      <w:r w:rsidR="008313A8">
        <w:rPr>
          <w:rFonts w:eastAsia="Times New Roman" w:cstheme="minorHAnsi"/>
          <w:sz w:val="20"/>
          <w:szCs w:val="20"/>
          <w:lang w:eastAsia="en-GB"/>
        </w:rPr>
        <w:t xml:space="preserve"> </w:t>
      </w:r>
      <w:r w:rsidRPr="00A96319">
        <w:rPr>
          <w:rFonts w:eastAsia="Times New Roman" w:cstheme="minorHAnsi"/>
          <w:sz w:val="20"/>
          <w:szCs w:val="20"/>
          <w:lang w:eastAsia="en-GB"/>
        </w:rPr>
        <w:t>carried out conspiracy, whose fru</w:t>
      </w:r>
      <w:r w:rsidR="00140DA6">
        <w:rPr>
          <w:rFonts w:eastAsia="Times New Roman" w:cstheme="minorHAnsi"/>
          <w:sz w:val="20"/>
          <w:szCs w:val="20"/>
          <w:lang w:eastAsia="en-GB"/>
        </w:rPr>
        <w:t>itful success wounded me and my</w:t>
      </w:r>
      <w:r w:rsidRPr="00A96319">
        <w:rPr>
          <w:rFonts w:eastAsia="Times New Roman" w:cstheme="minorHAnsi"/>
          <w:sz w:val="20"/>
          <w:szCs w:val="20"/>
          <w:lang w:eastAsia="en-GB"/>
        </w:rPr>
        <w:t xml:space="preserve"> loyal peoples to the heart, forms a visible bloody track of those</w:t>
      </w:r>
      <w:r w:rsidR="008313A8">
        <w:rPr>
          <w:rFonts w:eastAsia="Times New Roman" w:cstheme="minorHAnsi"/>
          <w:sz w:val="20"/>
          <w:szCs w:val="20"/>
          <w:lang w:eastAsia="en-GB"/>
        </w:rPr>
        <w:t xml:space="preserve"> </w:t>
      </w:r>
      <w:r w:rsidRPr="00A96319">
        <w:rPr>
          <w:rFonts w:eastAsia="Times New Roman" w:cstheme="minorHAnsi"/>
          <w:sz w:val="20"/>
          <w:szCs w:val="20"/>
          <w:lang w:eastAsia="en-GB"/>
        </w:rPr>
        <w:t>secret machinations which were operated and directed in Serbia.</w:t>
      </w:r>
    </w:p>
    <w:p w:rsidR="00A96319" w:rsidRPr="00A96319" w:rsidRDefault="00A96319" w:rsidP="00A963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sz w:val="20"/>
          <w:szCs w:val="20"/>
          <w:lang w:eastAsia="en-GB"/>
        </w:rPr>
      </w:pPr>
    </w:p>
    <w:p w:rsidR="00A96319" w:rsidRPr="00A96319" w:rsidRDefault="00A96319" w:rsidP="008313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sz w:val="20"/>
          <w:szCs w:val="20"/>
          <w:lang w:eastAsia="en-GB"/>
        </w:rPr>
      </w:pPr>
      <w:r w:rsidRPr="00A96319">
        <w:rPr>
          <w:rFonts w:eastAsia="Times New Roman" w:cstheme="minorHAnsi"/>
          <w:sz w:val="20"/>
          <w:szCs w:val="20"/>
          <w:lang w:eastAsia="en-GB"/>
        </w:rPr>
        <w:t xml:space="preserve"> A halt must be called to these intolerable proceedings and an end</w:t>
      </w:r>
      <w:r w:rsidR="008313A8">
        <w:rPr>
          <w:rFonts w:eastAsia="Times New Roman" w:cstheme="minorHAnsi"/>
          <w:sz w:val="20"/>
          <w:szCs w:val="20"/>
          <w:lang w:eastAsia="en-GB"/>
        </w:rPr>
        <w:t xml:space="preserve"> </w:t>
      </w:r>
      <w:r w:rsidRPr="00A96319">
        <w:rPr>
          <w:rFonts w:eastAsia="Times New Roman" w:cstheme="minorHAnsi"/>
          <w:sz w:val="20"/>
          <w:szCs w:val="20"/>
          <w:lang w:eastAsia="en-GB"/>
        </w:rPr>
        <w:t>must be put to the incessant provocations of Serbia. The hono</w:t>
      </w:r>
      <w:r w:rsidR="008313A8">
        <w:rPr>
          <w:rFonts w:eastAsia="Times New Roman" w:cstheme="minorHAnsi"/>
          <w:sz w:val="20"/>
          <w:szCs w:val="20"/>
          <w:lang w:eastAsia="en-GB"/>
        </w:rPr>
        <w:t>u</w:t>
      </w:r>
      <w:r w:rsidRPr="00A96319">
        <w:rPr>
          <w:rFonts w:eastAsia="Times New Roman" w:cstheme="minorHAnsi"/>
          <w:sz w:val="20"/>
          <w:szCs w:val="20"/>
          <w:lang w:eastAsia="en-GB"/>
        </w:rPr>
        <w:t>r and dignity of my monarchy must be preserved unimpaired, and its</w:t>
      </w:r>
      <w:r w:rsidR="008313A8">
        <w:rPr>
          <w:rFonts w:eastAsia="Times New Roman" w:cstheme="minorHAnsi"/>
          <w:sz w:val="20"/>
          <w:szCs w:val="20"/>
          <w:lang w:eastAsia="en-GB"/>
        </w:rPr>
        <w:t xml:space="preserve"> </w:t>
      </w:r>
      <w:r w:rsidRPr="00A96319">
        <w:rPr>
          <w:rFonts w:eastAsia="Times New Roman" w:cstheme="minorHAnsi"/>
          <w:sz w:val="20"/>
          <w:szCs w:val="20"/>
          <w:lang w:eastAsia="en-GB"/>
        </w:rPr>
        <w:t>political, economic, and military development must be guarded from</w:t>
      </w:r>
      <w:r w:rsidR="008313A8">
        <w:rPr>
          <w:rFonts w:eastAsia="Times New Roman" w:cstheme="minorHAnsi"/>
          <w:sz w:val="20"/>
          <w:szCs w:val="20"/>
          <w:lang w:eastAsia="en-GB"/>
        </w:rPr>
        <w:t xml:space="preserve"> </w:t>
      </w:r>
      <w:r w:rsidRPr="00A96319">
        <w:rPr>
          <w:rFonts w:eastAsia="Times New Roman" w:cstheme="minorHAnsi"/>
          <w:sz w:val="20"/>
          <w:szCs w:val="20"/>
          <w:lang w:eastAsia="en-GB"/>
        </w:rPr>
        <w:t>these continual shocks. In vain did my Government make a last</w:t>
      </w:r>
      <w:r w:rsidR="007D6B0E">
        <w:rPr>
          <w:rFonts w:eastAsia="Times New Roman" w:cstheme="minorHAnsi"/>
          <w:sz w:val="20"/>
          <w:szCs w:val="20"/>
          <w:lang w:eastAsia="en-GB"/>
        </w:rPr>
        <w:t xml:space="preserve"> </w:t>
      </w:r>
      <w:r w:rsidRPr="00A96319">
        <w:rPr>
          <w:rFonts w:eastAsia="Times New Roman" w:cstheme="minorHAnsi"/>
          <w:sz w:val="20"/>
          <w:szCs w:val="20"/>
          <w:lang w:eastAsia="en-GB"/>
        </w:rPr>
        <w:t>attempt to accomplish this object by peaceful means and to induce</w:t>
      </w:r>
      <w:r w:rsidR="008313A8">
        <w:rPr>
          <w:rFonts w:eastAsia="Times New Roman" w:cstheme="minorHAnsi"/>
          <w:sz w:val="20"/>
          <w:szCs w:val="20"/>
          <w:lang w:eastAsia="en-GB"/>
        </w:rPr>
        <w:t xml:space="preserve"> </w:t>
      </w:r>
      <w:r w:rsidRPr="00A96319">
        <w:rPr>
          <w:rFonts w:eastAsia="Times New Roman" w:cstheme="minorHAnsi"/>
          <w:sz w:val="20"/>
          <w:szCs w:val="20"/>
          <w:lang w:eastAsia="en-GB"/>
        </w:rPr>
        <w:t xml:space="preserve">Serbia, by means of a serious warning, to </w:t>
      </w:r>
      <w:proofErr w:type="gramStart"/>
      <w:r w:rsidRPr="00A96319">
        <w:rPr>
          <w:rFonts w:eastAsia="Times New Roman" w:cstheme="minorHAnsi"/>
          <w:sz w:val="20"/>
          <w:szCs w:val="20"/>
          <w:lang w:eastAsia="en-GB"/>
        </w:rPr>
        <w:t>desist.</w:t>
      </w:r>
      <w:proofErr w:type="gramEnd"/>
      <w:r w:rsidRPr="00A96319">
        <w:rPr>
          <w:rFonts w:eastAsia="Times New Roman" w:cstheme="minorHAnsi"/>
          <w:sz w:val="20"/>
          <w:szCs w:val="20"/>
          <w:lang w:eastAsia="en-GB"/>
        </w:rPr>
        <w:t xml:space="preserve"> Serbia has rejected the just and moderate demands of my Government and refused</w:t>
      </w:r>
      <w:r w:rsidR="008313A8">
        <w:rPr>
          <w:rFonts w:eastAsia="Times New Roman" w:cstheme="minorHAnsi"/>
          <w:sz w:val="20"/>
          <w:szCs w:val="20"/>
          <w:lang w:eastAsia="en-GB"/>
        </w:rPr>
        <w:t xml:space="preserve"> </w:t>
      </w:r>
      <w:r w:rsidRPr="00A96319">
        <w:rPr>
          <w:rFonts w:eastAsia="Times New Roman" w:cstheme="minorHAnsi"/>
          <w:sz w:val="20"/>
          <w:szCs w:val="20"/>
          <w:lang w:eastAsia="en-GB"/>
        </w:rPr>
        <w:t xml:space="preserve">to conform to those obligations the </w:t>
      </w:r>
      <w:r w:rsidR="00140DA6" w:rsidRPr="00A96319">
        <w:rPr>
          <w:rFonts w:eastAsia="Times New Roman" w:cstheme="minorHAnsi"/>
          <w:sz w:val="20"/>
          <w:szCs w:val="20"/>
          <w:lang w:eastAsia="en-GB"/>
        </w:rPr>
        <w:t>fulfilment</w:t>
      </w:r>
      <w:r w:rsidRPr="00A96319">
        <w:rPr>
          <w:rFonts w:eastAsia="Times New Roman" w:cstheme="minorHAnsi"/>
          <w:sz w:val="20"/>
          <w:szCs w:val="20"/>
          <w:lang w:eastAsia="en-GB"/>
        </w:rPr>
        <w:t xml:space="preserve"> of which forms the</w:t>
      </w:r>
      <w:r w:rsidR="008313A8">
        <w:rPr>
          <w:rFonts w:eastAsia="Times New Roman" w:cstheme="minorHAnsi"/>
          <w:sz w:val="20"/>
          <w:szCs w:val="20"/>
          <w:lang w:eastAsia="en-GB"/>
        </w:rPr>
        <w:t xml:space="preserve"> </w:t>
      </w:r>
      <w:r w:rsidRPr="00A96319">
        <w:rPr>
          <w:rFonts w:eastAsia="Times New Roman" w:cstheme="minorHAnsi"/>
          <w:sz w:val="20"/>
          <w:szCs w:val="20"/>
          <w:lang w:eastAsia="en-GB"/>
        </w:rPr>
        <w:t>natural and necessary foundation of peace in the life of people</w:t>
      </w:r>
      <w:r w:rsidR="008313A8">
        <w:rPr>
          <w:rFonts w:eastAsia="Times New Roman" w:cstheme="minorHAnsi"/>
          <w:sz w:val="20"/>
          <w:szCs w:val="20"/>
          <w:lang w:eastAsia="en-GB"/>
        </w:rPr>
        <w:t xml:space="preserve"> </w:t>
      </w:r>
      <w:r w:rsidRPr="00A96319">
        <w:rPr>
          <w:rFonts w:eastAsia="Times New Roman" w:cstheme="minorHAnsi"/>
          <w:sz w:val="20"/>
          <w:szCs w:val="20"/>
          <w:lang w:eastAsia="en-GB"/>
        </w:rPr>
        <w:t>and States. I must therefore proceed by force of arms to secure</w:t>
      </w:r>
      <w:r w:rsidR="008313A8">
        <w:rPr>
          <w:rFonts w:eastAsia="Times New Roman" w:cstheme="minorHAnsi"/>
          <w:sz w:val="20"/>
          <w:szCs w:val="20"/>
          <w:lang w:eastAsia="en-GB"/>
        </w:rPr>
        <w:t xml:space="preserve"> </w:t>
      </w:r>
      <w:r w:rsidRPr="00A96319">
        <w:rPr>
          <w:rFonts w:eastAsia="Times New Roman" w:cstheme="minorHAnsi"/>
          <w:sz w:val="20"/>
          <w:szCs w:val="20"/>
          <w:lang w:eastAsia="en-GB"/>
        </w:rPr>
        <w:t>those indispensable pledges which alone can insure tranquillity to</w:t>
      </w:r>
      <w:r w:rsidR="008313A8">
        <w:rPr>
          <w:rFonts w:eastAsia="Times New Roman" w:cstheme="minorHAnsi"/>
          <w:sz w:val="20"/>
          <w:szCs w:val="20"/>
          <w:lang w:eastAsia="en-GB"/>
        </w:rPr>
        <w:t xml:space="preserve"> </w:t>
      </w:r>
      <w:r w:rsidRPr="00A96319">
        <w:rPr>
          <w:rFonts w:eastAsia="Times New Roman" w:cstheme="minorHAnsi"/>
          <w:sz w:val="20"/>
          <w:szCs w:val="20"/>
          <w:lang w:eastAsia="en-GB"/>
        </w:rPr>
        <w:t>my States within and lasting peace without.</w:t>
      </w:r>
    </w:p>
    <w:p w:rsidR="00A96319" w:rsidRPr="00A96319" w:rsidRDefault="00A96319" w:rsidP="00A963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sz w:val="20"/>
          <w:szCs w:val="20"/>
          <w:lang w:eastAsia="en-GB"/>
        </w:rPr>
      </w:pPr>
    </w:p>
    <w:p w:rsidR="00A96319" w:rsidRPr="00A96319" w:rsidRDefault="008313A8" w:rsidP="008313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sz w:val="20"/>
          <w:szCs w:val="20"/>
          <w:lang w:eastAsia="en-GB"/>
        </w:rPr>
      </w:pPr>
      <w:r>
        <w:rPr>
          <w:rFonts w:eastAsia="Times New Roman" w:cstheme="minorHAnsi"/>
          <w:sz w:val="20"/>
          <w:szCs w:val="20"/>
          <w:lang w:eastAsia="en-GB"/>
        </w:rPr>
        <w:t xml:space="preserve"> </w:t>
      </w:r>
      <w:r w:rsidR="00A96319" w:rsidRPr="00A96319">
        <w:rPr>
          <w:rFonts w:eastAsia="Times New Roman" w:cstheme="minorHAnsi"/>
          <w:sz w:val="20"/>
          <w:szCs w:val="20"/>
          <w:lang w:eastAsia="en-GB"/>
        </w:rPr>
        <w:t>In this solemn hour I am fully conscious of the whole significance</w:t>
      </w:r>
      <w:r w:rsidR="00C226EF">
        <w:rPr>
          <w:rFonts w:eastAsia="Times New Roman" w:cstheme="minorHAnsi"/>
          <w:sz w:val="20"/>
          <w:szCs w:val="20"/>
          <w:lang w:eastAsia="en-GB"/>
        </w:rPr>
        <w:t xml:space="preserve"> </w:t>
      </w:r>
      <w:r w:rsidR="00A96319" w:rsidRPr="00A96319">
        <w:rPr>
          <w:rFonts w:eastAsia="Times New Roman" w:cstheme="minorHAnsi"/>
          <w:sz w:val="20"/>
          <w:szCs w:val="20"/>
          <w:lang w:eastAsia="en-GB"/>
        </w:rPr>
        <w:t>of my resolve and my responsibility before the Almighty. I have examined and weighed everything, and with a serene conscience I set out on the path to which my duty points. I trust in my peoples, who, throughout every storm, have always rallied in unity and loyalty around my throne, and have always been prepared for th</w:t>
      </w:r>
      <w:r>
        <w:rPr>
          <w:rFonts w:eastAsia="Times New Roman" w:cstheme="minorHAnsi"/>
          <w:sz w:val="20"/>
          <w:szCs w:val="20"/>
          <w:lang w:eastAsia="en-GB"/>
        </w:rPr>
        <w:t>e</w:t>
      </w:r>
      <w:r w:rsidR="00A96319" w:rsidRPr="00A96319">
        <w:rPr>
          <w:rFonts w:eastAsia="Times New Roman" w:cstheme="minorHAnsi"/>
          <w:sz w:val="20"/>
          <w:szCs w:val="20"/>
          <w:lang w:eastAsia="en-GB"/>
        </w:rPr>
        <w:t xml:space="preserve">   severest sacrifices for the hono</w:t>
      </w:r>
      <w:r w:rsidR="00C226EF">
        <w:rPr>
          <w:rFonts w:eastAsia="Times New Roman" w:cstheme="minorHAnsi"/>
          <w:sz w:val="20"/>
          <w:szCs w:val="20"/>
          <w:lang w:eastAsia="en-GB"/>
        </w:rPr>
        <w:t>u</w:t>
      </w:r>
      <w:r w:rsidR="00A96319" w:rsidRPr="00A96319">
        <w:rPr>
          <w:rFonts w:eastAsia="Times New Roman" w:cstheme="minorHAnsi"/>
          <w:sz w:val="20"/>
          <w:szCs w:val="20"/>
          <w:lang w:eastAsia="en-GB"/>
        </w:rPr>
        <w:t>r, the greatness, and the might of the Fatherland. I trust in Austria-Hungary's brave and devoted</w:t>
      </w:r>
      <w:r>
        <w:rPr>
          <w:rFonts w:eastAsia="Times New Roman" w:cstheme="minorHAnsi"/>
          <w:sz w:val="20"/>
          <w:szCs w:val="20"/>
          <w:lang w:eastAsia="en-GB"/>
        </w:rPr>
        <w:t xml:space="preserve"> </w:t>
      </w:r>
      <w:r w:rsidR="00A96319" w:rsidRPr="00A96319">
        <w:rPr>
          <w:rFonts w:eastAsia="Times New Roman" w:cstheme="minorHAnsi"/>
          <w:sz w:val="20"/>
          <w:szCs w:val="20"/>
          <w:lang w:eastAsia="en-GB"/>
        </w:rPr>
        <w:t>forces, and I trust in the Almighty to give the victory to my arms.</w:t>
      </w:r>
    </w:p>
    <w:p w:rsidR="00A96319" w:rsidRPr="00A96319" w:rsidRDefault="00A96319" w:rsidP="00A963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sz w:val="20"/>
          <w:szCs w:val="20"/>
          <w:lang w:eastAsia="en-GB"/>
        </w:rPr>
      </w:pPr>
    </w:p>
    <w:p w:rsidR="00A96319" w:rsidRPr="00EA356C" w:rsidRDefault="00A96319" w:rsidP="00A963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sz w:val="20"/>
          <w:szCs w:val="20"/>
          <w:lang w:eastAsia="en-GB"/>
        </w:rPr>
      </w:pPr>
      <w:r w:rsidRPr="00A96319">
        <w:rPr>
          <w:rFonts w:eastAsia="Times New Roman" w:cstheme="minorHAnsi"/>
          <w:sz w:val="20"/>
          <w:szCs w:val="20"/>
          <w:lang w:eastAsia="en-GB"/>
        </w:rPr>
        <w:t xml:space="preserve">     </w:t>
      </w:r>
      <w:r w:rsidRPr="00EA356C">
        <w:rPr>
          <w:rFonts w:eastAsia="Times New Roman" w:cstheme="minorHAnsi"/>
          <w:sz w:val="20"/>
          <w:szCs w:val="20"/>
          <w:lang w:eastAsia="en-GB"/>
        </w:rPr>
        <w:t xml:space="preserve">FRANZ JOSEPH </w:t>
      </w:r>
      <w:proofErr w:type="spellStart"/>
      <w:r w:rsidRPr="00EA356C">
        <w:rPr>
          <w:rFonts w:eastAsia="Times New Roman" w:cstheme="minorHAnsi"/>
          <w:sz w:val="20"/>
          <w:szCs w:val="20"/>
          <w:lang w:eastAsia="en-GB"/>
        </w:rPr>
        <w:t>mppria</w:t>
      </w:r>
      <w:proofErr w:type="spellEnd"/>
    </w:p>
    <w:p w:rsidR="00B522DC" w:rsidRPr="00EA356C" w:rsidRDefault="00B522DC"/>
    <w:p w:rsidR="00C226EF" w:rsidRDefault="001B4076">
      <w:pPr>
        <w:rPr>
          <w:rFonts w:cstheme="minorHAnsi"/>
          <w:b/>
        </w:rPr>
      </w:pPr>
      <w:r w:rsidRPr="00C226EF">
        <w:rPr>
          <w:rFonts w:cstheme="minorHAnsi"/>
        </w:rPr>
        <w:br w:type="page"/>
      </w:r>
      <w:r w:rsidR="00C226EF" w:rsidRPr="00C226EF">
        <w:rPr>
          <w:rFonts w:cstheme="minorHAnsi"/>
          <w:b/>
        </w:rPr>
        <w:lastRenderedPageBreak/>
        <w:t>Figure 2</w:t>
      </w:r>
      <w:r w:rsidR="007D6B0E">
        <w:rPr>
          <w:rFonts w:cstheme="minorHAnsi"/>
          <w:b/>
        </w:rPr>
        <w:t>:</w:t>
      </w:r>
      <w:r w:rsidR="00C226EF" w:rsidRPr="00C226EF">
        <w:rPr>
          <w:rFonts w:cstheme="minorHAnsi"/>
          <w:b/>
        </w:rPr>
        <w:t xml:space="preserve"> Original transcript of ‘Call to Arms’</w:t>
      </w:r>
      <w:r w:rsidR="00FE77E8">
        <w:rPr>
          <w:rStyle w:val="FootnoteReference"/>
          <w:rFonts w:cstheme="minorHAnsi"/>
          <w:b/>
        </w:rPr>
        <w:footnoteReference w:id="64"/>
      </w:r>
      <w:r w:rsidR="00C226EF">
        <w:rPr>
          <w:rFonts w:cstheme="minorHAnsi"/>
          <w:b/>
        </w:rPr>
        <w:t xml:space="preserve"> with English translation</w:t>
      </w:r>
    </w:p>
    <w:p w:rsidR="00C226EF" w:rsidRDefault="00C226EF">
      <w:pPr>
        <w:rPr>
          <w:rFonts w:cstheme="minorHAnsi"/>
          <w:b/>
        </w:rPr>
      </w:pPr>
      <w:r w:rsidRPr="00C226EF">
        <w:rPr>
          <w:rFonts w:cstheme="minorHAnsi"/>
          <w:b/>
          <w:noProof/>
          <w:lang w:eastAsia="en-GB"/>
        </w:rPr>
        <w:drawing>
          <wp:inline distT="0" distB="0" distL="0" distR="0">
            <wp:extent cx="2564708" cy="3384036"/>
            <wp:effectExtent l="19050" t="0" r="7042" b="0"/>
            <wp:docPr id="3" name="irc_mi" descr="Image result for declaration of war ww1 by kaiser wilhelm">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declaration of war ww1 by kaiser wilhelm">
                      <a:hlinkClick r:id="rId9"/>
                    </pic:cNvPr>
                    <pic:cNvPicPr>
                      <a:picLocks noChangeAspect="1" noChangeArrowheads="1"/>
                    </pic:cNvPicPr>
                  </pic:nvPicPr>
                  <pic:blipFill>
                    <a:blip r:embed="rId10" cstate="print"/>
                    <a:srcRect/>
                    <a:stretch>
                      <a:fillRect/>
                    </a:stretch>
                  </pic:blipFill>
                  <pic:spPr bwMode="auto">
                    <a:xfrm>
                      <a:off x="0" y="0"/>
                      <a:ext cx="2568062" cy="3388461"/>
                    </a:xfrm>
                    <a:prstGeom prst="rect">
                      <a:avLst/>
                    </a:prstGeom>
                    <a:noFill/>
                    <a:ln w="9525">
                      <a:noFill/>
                      <a:miter lim="800000"/>
                      <a:headEnd/>
                      <a:tailEnd/>
                    </a:ln>
                  </pic:spPr>
                </pic:pic>
              </a:graphicData>
            </a:graphic>
          </wp:inline>
        </w:drawing>
      </w:r>
    </w:p>
    <w:p w:rsidR="00C226EF" w:rsidRDefault="00C226EF">
      <w:pPr>
        <w:rPr>
          <w:rFonts w:cstheme="minorHAnsi"/>
          <w:b/>
        </w:rPr>
      </w:pPr>
    </w:p>
    <w:p w:rsidR="00FE77E8" w:rsidRPr="00FE77E8" w:rsidRDefault="00FE77E8" w:rsidP="00FE77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color w:val="222222"/>
          <w:sz w:val="20"/>
          <w:szCs w:val="20"/>
          <w:lang w:eastAsia="en-GB"/>
        </w:rPr>
      </w:pPr>
      <w:r w:rsidRPr="00FE77E8">
        <w:rPr>
          <w:rFonts w:eastAsia="Times New Roman" w:cstheme="minorHAnsi"/>
          <w:color w:val="222222"/>
          <w:sz w:val="20"/>
          <w:szCs w:val="20"/>
          <w:lang w:eastAsia="en-GB"/>
        </w:rPr>
        <w:t>Since the founding of the Reich, through 43 years of my ancestors and me, it has been a difficult task to keep the world at peace and to promote our mighty development in peace. But our enemies envy our success.</w:t>
      </w:r>
    </w:p>
    <w:p w:rsidR="00FE77E8" w:rsidRPr="00FE77E8" w:rsidRDefault="00FE77E8" w:rsidP="00FE77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color w:val="222222"/>
          <w:sz w:val="20"/>
          <w:szCs w:val="20"/>
          <w:lang w:eastAsia="en-GB"/>
        </w:rPr>
      </w:pPr>
      <w:r w:rsidRPr="00FE77E8">
        <w:rPr>
          <w:rFonts w:eastAsia="Times New Roman" w:cstheme="minorHAnsi"/>
          <w:color w:val="222222"/>
          <w:sz w:val="20"/>
          <w:szCs w:val="20"/>
          <w:lang w:eastAsia="en-GB"/>
        </w:rPr>
        <w:t>We have endured much, manifestly and in secret, from our enemies from East and West and from beyond the sea.</w:t>
      </w:r>
    </w:p>
    <w:p w:rsidR="00FE77E8" w:rsidRDefault="00FE77E8" w:rsidP="00FE77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color w:val="222222"/>
          <w:sz w:val="20"/>
          <w:szCs w:val="20"/>
          <w:lang w:eastAsia="en-GB"/>
        </w:rPr>
      </w:pPr>
      <w:r w:rsidRPr="00FE77E8">
        <w:rPr>
          <w:rFonts w:eastAsia="Times New Roman" w:cstheme="minorHAnsi"/>
          <w:color w:val="222222"/>
          <w:sz w:val="20"/>
          <w:szCs w:val="20"/>
          <w:lang w:eastAsia="en-GB"/>
        </w:rPr>
        <w:t>But now we must humble ourselves. We must stand with folded arms, as our enemies prepare themselves to treacherously attack us; we will remain faithful to our ally, who fights for his reputation as a great power and with his humiliation our power and honour is lost.</w:t>
      </w:r>
    </w:p>
    <w:p w:rsidR="00FE77E8" w:rsidRPr="00FE77E8" w:rsidRDefault="00FE77E8" w:rsidP="00FE77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color w:val="222222"/>
          <w:sz w:val="20"/>
          <w:szCs w:val="20"/>
          <w:lang w:eastAsia="en-GB"/>
        </w:rPr>
      </w:pPr>
    </w:p>
    <w:p w:rsidR="00FE77E8" w:rsidRPr="00FE77E8" w:rsidRDefault="00FE77E8" w:rsidP="00FE77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color w:val="222222"/>
          <w:sz w:val="20"/>
          <w:szCs w:val="20"/>
          <w:lang w:eastAsia="en-GB"/>
        </w:rPr>
      </w:pPr>
      <w:r w:rsidRPr="00FE77E8">
        <w:rPr>
          <w:rFonts w:eastAsia="Times New Roman" w:cstheme="minorHAnsi"/>
          <w:color w:val="222222"/>
          <w:sz w:val="20"/>
          <w:szCs w:val="20"/>
          <w:lang w:eastAsia="en-GB"/>
        </w:rPr>
        <w:t xml:space="preserve">So now the sword must decide. In the midst of peace, the enemy attacks. So rise up! To arms! Any dithering, any hesitation would be treason to the Fatherland........ It is a matter of being or not-being. We will defend ourselves to the last breath of man and horse. And we will fight this battle against a world of enemies. Never was Germany overcome. Forward with God, who will be with us as he was with our </w:t>
      </w:r>
      <w:proofErr w:type="gramStart"/>
      <w:r w:rsidRPr="00FE77E8">
        <w:rPr>
          <w:rFonts w:eastAsia="Times New Roman" w:cstheme="minorHAnsi"/>
          <w:color w:val="222222"/>
          <w:sz w:val="20"/>
          <w:szCs w:val="20"/>
          <w:lang w:eastAsia="en-GB"/>
        </w:rPr>
        <w:t>Fathers.</w:t>
      </w:r>
      <w:proofErr w:type="gramEnd"/>
    </w:p>
    <w:p w:rsidR="00FE77E8" w:rsidRPr="00B522DC" w:rsidRDefault="00FE77E8" w:rsidP="00FE77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222222"/>
          <w:sz w:val="20"/>
          <w:szCs w:val="20"/>
          <w:lang w:eastAsia="en-GB"/>
        </w:rPr>
      </w:pPr>
    </w:p>
    <w:p w:rsidR="00C226EF" w:rsidRDefault="00C226EF">
      <w:pPr>
        <w:rPr>
          <w:rFonts w:cstheme="minorHAnsi"/>
        </w:rPr>
      </w:pPr>
    </w:p>
    <w:p w:rsidR="00FE77E8" w:rsidRDefault="00FE77E8">
      <w:pPr>
        <w:rPr>
          <w:rFonts w:cstheme="minorHAnsi"/>
        </w:rPr>
      </w:pPr>
    </w:p>
    <w:p w:rsidR="00FE77E8" w:rsidRDefault="00FE77E8">
      <w:pPr>
        <w:rPr>
          <w:rFonts w:cstheme="minorHAnsi"/>
        </w:rPr>
      </w:pPr>
    </w:p>
    <w:p w:rsidR="00FE77E8" w:rsidRDefault="00FE77E8">
      <w:pPr>
        <w:rPr>
          <w:rFonts w:cstheme="minorHAnsi"/>
        </w:rPr>
      </w:pPr>
    </w:p>
    <w:p w:rsidR="00FE77E8" w:rsidRDefault="00FE77E8">
      <w:pPr>
        <w:rPr>
          <w:rFonts w:cstheme="minorHAnsi"/>
        </w:rPr>
      </w:pPr>
    </w:p>
    <w:p w:rsidR="00FE77E8" w:rsidRPr="00C226EF" w:rsidRDefault="00FE77E8">
      <w:pPr>
        <w:rPr>
          <w:rFonts w:cstheme="minorHAnsi"/>
        </w:rPr>
      </w:pPr>
    </w:p>
    <w:p w:rsidR="001B4076" w:rsidRPr="00C226EF" w:rsidRDefault="001B4076" w:rsidP="00B522DC">
      <w:pPr>
        <w:rPr>
          <w:rFonts w:cstheme="minorHAnsi"/>
        </w:rPr>
      </w:pPr>
    </w:p>
    <w:p w:rsidR="00CD3E42" w:rsidRDefault="00B21D45" w:rsidP="007249E5">
      <w:pPr>
        <w:pStyle w:val="NoSpacing"/>
        <w:rPr>
          <w:rFonts w:cstheme="minorHAnsi"/>
          <w:b/>
        </w:rPr>
      </w:pPr>
      <w:r>
        <w:rPr>
          <w:rFonts w:cstheme="minorHAnsi"/>
          <w:b/>
        </w:rPr>
        <w:lastRenderedPageBreak/>
        <w:t>Figure 3</w:t>
      </w:r>
      <w:r w:rsidR="007D6B0E">
        <w:rPr>
          <w:rFonts w:cstheme="minorHAnsi"/>
          <w:b/>
        </w:rPr>
        <w:t>:</w:t>
      </w:r>
      <w:r>
        <w:rPr>
          <w:rFonts w:cstheme="minorHAnsi"/>
          <w:b/>
        </w:rPr>
        <w:t xml:space="preserve"> Declaration of War</w:t>
      </w:r>
      <w:r>
        <w:rPr>
          <w:rStyle w:val="FootnoteReference"/>
          <w:rFonts w:cstheme="minorHAnsi"/>
          <w:b/>
        </w:rPr>
        <w:footnoteReference w:id="65"/>
      </w:r>
    </w:p>
    <w:p w:rsidR="00B21D45" w:rsidRDefault="00B21D45" w:rsidP="007249E5">
      <w:pPr>
        <w:pStyle w:val="NoSpacing"/>
        <w:rPr>
          <w:rFonts w:cstheme="minorHAnsi"/>
          <w:b/>
        </w:rPr>
      </w:pPr>
    </w:p>
    <w:p w:rsidR="00873E01" w:rsidRDefault="00B21D45" w:rsidP="00F300BC">
      <w:pPr>
        <w:rPr>
          <w:rFonts w:cstheme="minorHAnsi"/>
          <w:b/>
        </w:rPr>
      </w:pPr>
      <w:r w:rsidRPr="00F300BC">
        <w:rPr>
          <w:rFonts w:cstheme="minorHAnsi"/>
          <w:b/>
          <w:noProof/>
          <w:lang w:eastAsia="en-GB"/>
        </w:rPr>
        <w:drawing>
          <wp:inline distT="0" distB="0" distL="0" distR="0">
            <wp:extent cx="2465070" cy="3745230"/>
            <wp:effectExtent l="19050" t="0" r="0" b="0"/>
            <wp:docPr id="4" name="irc_mi" descr="Image result for british declaration of war 1914">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british declaration of war 1914">
                      <a:hlinkClick r:id="rId11"/>
                    </pic:cNvPr>
                    <pic:cNvPicPr>
                      <a:picLocks noChangeAspect="1" noChangeArrowheads="1"/>
                    </pic:cNvPicPr>
                  </pic:nvPicPr>
                  <pic:blipFill>
                    <a:blip r:embed="rId12" cstate="print"/>
                    <a:srcRect/>
                    <a:stretch>
                      <a:fillRect/>
                    </a:stretch>
                  </pic:blipFill>
                  <pic:spPr bwMode="auto">
                    <a:xfrm>
                      <a:off x="0" y="0"/>
                      <a:ext cx="2465070" cy="3745230"/>
                    </a:xfrm>
                    <a:prstGeom prst="rect">
                      <a:avLst/>
                    </a:prstGeom>
                    <a:noFill/>
                    <a:ln w="9525">
                      <a:noFill/>
                      <a:miter lim="800000"/>
                      <a:headEnd/>
                      <a:tailEnd/>
                    </a:ln>
                  </pic:spPr>
                </pic:pic>
              </a:graphicData>
            </a:graphic>
          </wp:inline>
        </w:drawing>
      </w:r>
    </w:p>
    <w:p w:rsidR="00873E01" w:rsidRPr="00873E01" w:rsidRDefault="00873E01" w:rsidP="00873E01">
      <w:pPr>
        <w:rPr>
          <w:rFonts w:cstheme="minorHAnsi"/>
        </w:rPr>
      </w:pPr>
    </w:p>
    <w:p w:rsidR="00873E01" w:rsidRPr="00873E01" w:rsidRDefault="00873E01" w:rsidP="00873E01">
      <w:pPr>
        <w:rPr>
          <w:rFonts w:cstheme="minorHAnsi"/>
        </w:rPr>
      </w:pPr>
    </w:p>
    <w:p w:rsidR="00873E01" w:rsidRPr="00873E01" w:rsidRDefault="00873E01" w:rsidP="00873E01">
      <w:pPr>
        <w:rPr>
          <w:rFonts w:cstheme="minorHAnsi"/>
        </w:rPr>
      </w:pPr>
    </w:p>
    <w:p w:rsidR="00873E01" w:rsidRPr="00873E01" w:rsidRDefault="00873E01" w:rsidP="00873E01">
      <w:pPr>
        <w:rPr>
          <w:rFonts w:cstheme="minorHAnsi"/>
        </w:rPr>
      </w:pPr>
    </w:p>
    <w:p w:rsidR="00873E01" w:rsidRPr="00873E01" w:rsidRDefault="00873E01" w:rsidP="00873E01">
      <w:pPr>
        <w:rPr>
          <w:rFonts w:cstheme="minorHAnsi"/>
        </w:rPr>
      </w:pPr>
    </w:p>
    <w:p w:rsidR="00873E01" w:rsidRPr="00873E01" w:rsidRDefault="00873E01" w:rsidP="00873E01">
      <w:pPr>
        <w:rPr>
          <w:rFonts w:cstheme="minorHAnsi"/>
        </w:rPr>
      </w:pPr>
    </w:p>
    <w:p w:rsidR="00873E01" w:rsidRPr="00873E01" w:rsidRDefault="00873E01" w:rsidP="00873E01">
      <w:pPr>
        <w:rPr>
          <w:rFonts w:cstheme="minorHAnsi"/>
        </w:rPr>
      </w:pPr>
    </w:p>
    <w:p w:rsidR="00873E01" w:rsidRDefault="00873E01" w:rsidP="00873E01">
      <w:pPr>
        <w:rPr>
          <w:rFonts w:cstheme="minorHAnsi"/>
        </w:rPr>
      </w:pPr>
    </w:p>
    <w:p w:rsidR="00B21D45" w:rsidRDefault="00B21D45" w:rsidP="00873E01">
      <w:pPr>
        <w:rPr>
          <w:rFonts w:cstheme="minorHAnsi"/>
        </w:rPr>
      </w:pPr>
    </w:p>
    <w:p w:rsidR="00873E01" w:rsidRDefault="00873E01" w:rsidP="00873E01">
      <w:pPr>
        <w:rPr>
          <w:rFonts w:cstheme="minorHAnsi"/>
        </w:rPr>
      </w:pPr>
    </w:p>
    <w:p w:rsidR="00873E01" w:rsidRDefault="00873E01" w:rsidP="00873E01">
      <w:pPr>
        <w:rPr>
          <w:rFonts w:cstheme="minorHAnsi"/>
        </w:rPr>
      </w:pPr>
    </w:p>
    <w:p w:rsidR="00873E01" w:rsidRDefault="00873E01" w:rsidP="00873E01">
      <w:pPr>
        <w:rPr>
          <w:rStyle w:val="field-content"/>
          <w:rFonts w:ascii="Calibri" w:hAnsi="Calibri" w:cs="Calibri"/>
        </w:rPr>
      </w:pPr>
      <w:r>
        <w:rPr>
          <w:rStyle w:val="field-content"/>
          <w:rFonts w:ascii="Calibri" w:hAnsi="Calibri" w:cs="Calibri"/>
        </w:rPr>
        <w:lastRenderedPageBreak/>
        <w:t>Word count 1192</w:t>
      </w:r>
    </w:p>
    <w:p w:rsidR="00873E01" w:rsidRDefault="00873E01" w:rsidP="00873E01">
      <w:pPr>
        <w:rPr>
          <w:rStyle w:val="field-content"/>
          <w:rFonts w:ascii="Calibri" w:hAnsi="Calibri" w:cs="Calibri"/>
        </w:rPr>
      </w:pPr>
    </w:p>
    <w:p w:rsidR="00873E01" w:rsidRDefault="00873E01" w:rsidP="00873E01">
      <w:pPr>
        <w:rPr>
          <w:rStyle w:val="field-content"/>
          <w:rFonts w:ascii="Calibri" w:hAnsi="Calibri" w:cs="Calibri"/>
        </w:rPr>
      </w:pPr>
      <w:r>
        <w:rPr>
          <w:rStyle w:val="field-content"/>
          <w:rFonts w:ascii="Calibri" w:hAnsi="Calibri" w:cs="Calibri"/>
        </w:rPr>
        <w:t>Bibliography</w:t>
      </w:r>
    </w:p>
    <w:p w:rsidR="00140DA6" w:rsidRPr="00B04851" w:rsidRDefault="00140DA6" w:rsidP="00140DA6">
      <w:pPr>
        <w:pStyle w:val="FootnoteText"/>
        <w:rPr>
          <w:sz w:val="22"/>
          <w:szCs w:val="22"/>
        </w:rPr>
      </w:pPr>
      <w:r w:rsidRPr="00B04851">
        <w:rPr>
          <w:sz w:val="22"/>
          <w:szCs w:val="22"/>
        </w:rPr>
        <w:t xml:space="preserve">A.J.P. Taylor, </w:t>
      </w:r>
      <w:proofErr w:type="gramStart"/>
      <w:r w:rsidRPr="00B04851">
        <w:rPr>
          <w:i/>
          <w:sz w:val="22"/>
          <w:szCs w:val="22"/>
        </w:rPr>
        <w:t>The</w:t>
      </w:r>
      <w:proofErr w:type="gramEnd"/>
      <w:r w:rsidRPr="00B04851">
        <w:rPr>
          <w:i/>
          <w:sz w:val="22"/>
          <w:szCs w:val="22"/>
        </w:rPr>
        <w:t xml:space="preserve"> First World War: An Illustrated History</w:t>
      </w:r>
      <w:r>
        <w:rPr>
          <w:sz w:val="22"/>
          <w:szCs w:val="22"/>
        </w:rPr>
        <w:t xml:space="preserve"> (London: Penguin Press, 1963).</w:t>
      </w:r>
    </w:p>
    <w:p w:rsidR="00140DA6" w:rsidRPr="00B04851" w:rsidRDefault="00140DA6" w:rsidP="00140DA6">
      <w:pPr>
        <w:pStyle w:val="FootnoteText"/>
        <w:rPr>
          <w:sz w:val="22"/>
          <w:szCs w:val="22"/>
        </w:rPr>
      </w:pPr>
      <w:r w:rsidRPr="00B04851">
        <w:rPr>
          <w:sz w:val="22"/>
          <w:szCs w:val="22"/>
        </w:rPr>
        <w:t xml:space="preserve">C. Clark, </w:t>
      </w:r>
      <w:proofErr w:type="gramStart"/>
      <w:r w:rsidRPr="00B04851">
        <w:rPr>
          <w:i/>
          <w:sz w:val="22"/>
          <w:szCs w:val="22"/>
        </w:rPr>
        <w:t>The</w:t>
      </w:r>
      <w:proofErr w:type="gramEnd"/>
      <w:r w:rsidRPr="00B04851">
        <w:rPr>
          <w:i/>
          <w:sz w:val="22"/>
          <w:szCs w:val="22"/>
        </w:rPr>
        <w:t xml:space="preserve"> Sleepwalkers: How Europe went to War in 1914</w:t>
      </w:r>
      <w:r w:rsidRPr="00B04851">
        <w:rPr>
          <w:sz w:val="22"/>
          <w:szCs w:val="22"/>
        </w:rPr>
        <w:t xml:space="preserve"> (London: Penguin Press, 2013</w:t>
      </w:r>
      <w:r>
        <w:rPr>
          <w:sz w:val="22"/>
          <w:szCs w:val="22"/>
        </w:rPr>
        <w:t>).</w:t>
      </w:r>
    </w:p>
    <w:p w:rsidR="00140DA6" w:rsidRPr="00B04851" w:rsidRDefault="00140DA6" w:rsidP="00140DA6">
      <w:pPr>
        <w:pStyle w:val="NoSpacing"/>
        <w:rPr>
          <w:lang w:eastAsia="en-GB"/>
        </w:rPr>
      </w:pPr>
      <w:r w:rsidRPr="00B04851">
        <w:t xml:space="preserve">Gutenberg [online]. Available: </w:t>
      </w:r>
      <w:hyperlink r:id="rId13" w:history="1">
        <w:r w:rsidRPr="00B04851">
          <w:rPr>
            <w:rStyle w:val="Hyperlink"/>
            <w:lang w:eastAsia="en-GB"/>
          </w:rPr>
          <w:t>https://www.gutenberg.org/files/16331/16331-h/16331-h.htm</w:t>
        </w:r>
      </w:hyperlink>
      <w:r w:rsidRPr="00B04851">
        <w:rPr>
          <w:lang w:eastAsia="en-GB"/>
        </w:rPr>
        <w:t xml:space="preserve"> Accessed on [10/11/2017].</w:t>
      </w:r>
    </w:p>
    <w:p w:rsidR="00140DA6" w:rsidRPr="00B04851" w:rsidRDefault="00140DA6" w:rsidP="00140DA6">
      <w:pPr>
        <w:pStyle w:val="FootnoteText"/>
        <w:rPr>
          <w:sz w:val="22"/>
          <w:szCs w:val="22"/>
        </w:rPr>
      </w:pPr>
      <w:r w:rsidRPr="00B04851">
        <w:rPr>
          <w:sz w:val="22"/>
          <w:szCs w:val="22"/>
        </w:rPr>
        <w:t>I. Armour, ‘</w:t>
      </w:r>
      <w:proofErr w:type="gramStart"/>
      <w:r w:rsidRPr="00B04851">
        <w:rPr>
          <w:sz w:val="22"/>
          <w:szCs w:val="22"/>
        </w:rPr>
        <w:t>The</w:t>
      </w:r>
      <w:proofErr w:type="gramEnd"/>
      <w:r w:rsidRPr="00B04851">
        <w:rPr>
          <w:sz w:val="22"/>
          <w:szCs w:val="22"/>
        </w:rPr>
        <w:t xml:space="preserve"> Roots of Sarajevo: Austria-Hungary and Serbia, 1867-81’, </w:t>
      </w:r>
      <w:r w:rsidRPr="00B04851">
        <w:rPr>
          <w:i/>
          <w:sz w:val="22"/>
          <w:szCs w:val="22"/>
        </w:rPr>
        <w:t>History Today,</w:t>
      </w:r>
      <w:r w:rsidRPr="00B04851">
        <w:rPr>
          <w:sz w:val="22"/>
          <w:szCs w:val="22"/>
        </w:rPr>
        <w:t xml:space="preserve"> vol. 38 (1988</w:t>
      </w:r>
      <w:r>
        <w:rPr>
          <w:sz w:val="22"/>
          <w:szCs w:val="22"/>
        </w:rPr>
        <w:t>).</w:t>
      </w:r>
    </w:p>
    <w:p w:rsidR="00140DA6" w:rsidRPr="00B04851" w:rsidRDefault="00140DA6" w:rsidP="00140DA6">
      <w:pPr>
        <w:pStyle w:val="FootnoteText"/>
        <w:rPr>
          <w:sz w:val="22"/>
          <w:szCs w:val="22"/>
        </w:rPr>
      </w:pPr>
      <w:r w:rsidRPr="00B04851">
        <w:rPr>
          <w:sz w:val="22"/>
          <w:szCs w:val="22"/>
        </w:rPr>
        <w:t xml:space="preserve">The Spectator [online]. Available: </w:t>
      </w:r>
      <w:hyperlink r:id="rId14" w:history="1">
        <w:r w:rsidRPr="00B04851">
          <w:rPr>
            <w:rStyle w:val="Hyperlink"/>
            <w:sz w:val="22"/>
            <w:szCs w:val="22"/>
          </w:rPr>
          <w:t>https://archive.spectator.co.uk/issue/7th-may-1859</w:t>
        </w:r>
      </w:hyperlink>
      <w:r w:rsidRPr="00B04851">
        <w:rPr>
          <w:sz w:val="22"/>
          <w:szCs w:val="22"/>
          <w:u w:val="single"/>
        </w:rPr>
        <w:t>.</w:t>
      </w:r>
      <w:r w:rsidRPr="00B04851">
        <w:rPr>
          <w:sz w:val="22"/>
          <w:szCs w:val="22"/>
        </w:rPr>
        <w:t xml:space="preserve"> Accessed on [10/11/2017].</w:t>
      </w:r>
    </w:p>
    <w:p w:rsidR="00140DA6" w:rsidRPr="00B04851" w:rsidRDefault="00140DA6" w:rsidP="00140DA6">
      <w:pPr>
        <w:pStyle w:val="NoSpacing"/>
      </w:pPr>
      <w:r w:rsidRPr="00B04851">
        <w:t xml:space="preserve">The World of the Habsburgs [online]. Available: </w:t>
      </w:r>
      <w:hyperlink r:id="rId15" w:history="1">
        <w:r w:rsidRPr="00B04851">
          <w:rPr>
            <w:rStyle w:val="Hyperlink"/>
          </w:rPr>
          <w:t>http://www.habsburger.net/en/chapter/franz-joseph-supreme-bureaucrat</w:t>
        </w:r>
      </w:hyperlink>
      <w:r w:rsidRPr="00B04851">
        <w:t xml:space="preserve"> Accessed on [10/11/2017]</w:t>
      </w:r>
      <w:r>
        <w:t>.</w:t>
      </w:r>
    </w:p>
    <w:p w:rsidR="00873E01" w:rsidRPr="00873E01" w:rsidRDefault="00873E01" w:rsidP="00873E01">
      <w:pPr>
        <w:rPr>
          <w:rFonts w:cstheme="minorHAnsi"/>
        </w:rPr>
      </w:pPr>
    </w:p>
    <w:sectPr w:rsidR="00873E01" w:rsidRPr="00873E01" w:rsidSect="00A96319">
      <w:headerReference w:type="default" r:id="rId16"/>
      <w:pgSz w:w="11906" w:h="16838"/>
      <w:pgMar w:top="1440" w:right="991"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0921" w:rsidRDefault="005B0921" w:rsidP="003B6033">
      <w:pPr>
        <w:spacing w:after="0" w:line="240" w:lineRule="auto"/>
      </w:pPr>
      <w:r>
        <w:separator/>
      </w:r>
    </w:p>
  </w:endnote>
  <w:endnote w:type="continuationSeparator" w:id="0">
    <w:p w:rsidR="005B0921" w:rsidRDefault="005B0921" w:rsidP="003B60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0921" w:rsidRDefault="005B0921" w:rsidP="003B6033">
      <w:pPr>
        <w:spacing w:after="0" w:line="240" w:lineRule="auto"/>
      </w:pPr>
      <w:r>
        <w:separator/>
      </w:r>
    </w:p>
  </w:footnote>
  <w:footnote w:type="continuationSeparator" w:id="0">
    <w:p w:rsidR="005B0921" w:rsidRDefault="005B0921" w:rsidP="003B6033">
      <w:pPr>
        <w:spacing w:after="0" w:line="240" w:lineRule="auto"/>
      </w:pPr>
      <w:r>
        <w:continuationSeparator/>
      </w:r>
    </w:p>
  </w:footnote>
  <w:footnote w:id="1">
    <w:p w:rsidR="00664104" w:rsidRDefault="00664104" w:rsidP="00664104">
      <w:pPr>
        <w:pStyle w:val="FootnoteText"/>
      </w:pPr>
      <w:r>
        <w:rPr>
          <w:rStyle w:val="FootnoteReference"/>
        </w:rPr>
        <w:footnoteRef/>
      </w:r>
      <w:r>
        <w:t xml:space="preserve"> For example</w:t>
      </w:r>
      <w:r>
        <w:rPr>
          <w:i/>
        </w:rPr>
        <w:t>, British Empire Ministers: Lloyd George</w:t>
      </w:r>
      <w:r>
        <w:t xml:space="preserve"> (London: Purnell Book Services 1974), </w:t>
      </w:r>
      <w:r>
        <w:rPr>
          <w:i/>
        </w:rPr>
        <w:t xml:space="preserve">Labour People: Leaders and Lieutenants </w:t>
      </w:r>
      <w:proofErr w:type="spellStart"/>
      <w:r>
        <w:rPr>
          <w:i/>
        </w:rPr>
        <w:t>Hardie</w:t>
      </w:r>
      <w:proofErr w:type="spellEnd"/>
      <w:r>
        <w:rPr>
          <w:i/>
        </w:rPr>
        <w:t xml:space="preserve"> to Kinnock</w:t>
      </w:r>
      <w:r>
        <w:t xml:space="preserve"> (London: Faber and Faber 2010), Britain Since 1945: the People’s Peace (Oxford and New York: Oxford University Press 2010). </w:t>
      </w:r>
    </w:p>
  </w:footnote>
  <w:footnote w:id="2">
    <w:p w:rsidR="00664104" w:rsidRDefault="00664104" w:rsidP="00664104">
      <w:pPr>
        <w:pStyle w:val="FootnoteText"/>
      </w:pPr>
      <w:r>
        <w:rPr>
          <w:rStyle w:val="FootnoteReference"/>
        </w:rPr>
        <w:footnoteRef/>
      </w:r>
      <w:r>
        <w:t xml:space="preserve"> P. Thompson, </w:t>
      </w:r>
      <w:r>
        <w:rPr>
          <w:i/>
        </w:rPr>
        <w:t>Socialists, Liberals and Labour: the struggle for London 1885-1914</w:t>
      </w:r>
      <w:r>
        <w:t xml:space="preserve"> (London: Routledge 1967) </w:t>
      </w:r>
    </w:p>
  </w:footnote>
  <w:footnote w:id="3">
    <w:p w:rsidR="00664104" w:rsidRDefault="00664104" w:rsidP="00664104">
      <w:pPr>
        <w:pStyle w:val="FootnoteText"/>
      </w:pPr>
      <w:r>
        <w:rPr>
          <w:rStyle w:val="FootnoteReference"/>
        </w:rPr>
        <w:footnoteRef/>
      </w:r>
      <w:r>
        <w:t xml:space="preserve"> G.R. Searle, </w:t>
      </w:r>
      <w:proofErr w:type="gramStart"/>
      <w:r>
        <w:rPr>
          <w:i/>
        </w:rPr>
        <w:t>The</w:t>
      </w:r>
      <w:proofErr w:type="gramEnd"/>
      <w:r>
        <w:rPr>
          <w:i/>
        </w:rPr>
        <w:t xml:space="preserve"> Liberal </w:t>
      </w:r>
      <w:r>
        <w:t>Party Triumph and Disintegration 1886-1929 (Basingstoke: Palgrave 2001), pp. 26-45.</w:t>
      </w:r>
    </w:p>
  </w:footnote>
  <w:footnote w:id="4">
    <w:p w:rsidR="00664104" w:rsidRDefault="00664104" w:rsidP="00664104">
      <w:pPr>
        <w:pStyle w:val="FootnoteText"/>
      </w:pPr>
      <w:r>
        <w:rPr>
          <w:rStyle w:val="FootnoteReference"/>
        </w:rPr>
        <w:footnoteRef/>
      </w:r>
      <w:r>
        <w:t xml:space="preserve"> G.R. Searle, </w:t>
      </w:r>
      <w:proofErr w:type="gramStart"/>
      <w:r>
        <w:rPr>
          <w:i/>
        </w:rPr>
        <w:t>The</w:t>
      </w:r>
      <w:proofErr w:type="gramEnd"/>
      <w:r>
        <w:rPr>
          <w:i/>
        </w:rPr>
        <w:t xml:space="preserve"> Liberal </w:t>
      </w:r>
      <w:r>
        <w:t>Party Triumph and Disintegration 1886-1929 (Basingstoke: Palgrave 2001), p. 69.</w:t>
      </w:r>
    </w:p>
  </w:footnote>
  <w:footnote w:id="5">
    <w:p w:rsidR="00664104" w:rsidRDefault="00664104" w:rsidP="00664104">
      <w:pPr>
        <w:pStyle w:val="FootnoteText"/>
      </w:pPr>
      <w:r>
        <w:rPr>
          <w:rStyle w:val="FootnoteReference"/>
        </w:rPr>
        <w:footnoteRef/>
      </w:r>
      <w:r>
        <w:t xml:space="preserve"> D. Dutton, </w:t>
      </w:r>
      <w:r>
        <w:rPr>
          <w:i/>
        </w:rPr>
        <w:t xml:space="preserve">A History of the Liberal Party </w:t>
      </w:r>
      <w:proofErr w:type="gramStart"/>
      <w:r>
        <w:rPr>
          <w:i/>
        </w:rPr>
        <w:t>Since</w:t>
      </w:r>
      <w:proofErr w:type="gramEnd"/>
      <w:r>
        <w:rPr>
          <w:i/>
        </w:rPr>
        <w:t xml:space="preserve"> 1900</w:t>
      </w:r>
      <w:r>
        <w:t xml:space="preserve"> (Basingstoke: Palgrave Macmillan 2013), pp. 18-19.</w:t>
      </w:r>
    </w:p>
  </w:footnote>
  <w:footnote w:id="6">
    <w:p w:rsidR="00664104" w:rsidRDefault="00664104" w:rsidP="00664104">
      <w:pPr>
        <w:pStyle w:val="FootnoteText"/>
      </w:pPr>
      <w:r>
        <w:rPr>
          <w:rStyle w:val="FootnoteReference"/>
        </w:rPr>
        <w:footnoteRef/>
      </w:r>
      <w:r>
        <w:t xml:space="preserve"> D. Dutton, </w:t>
      </w:r>
      <w:r>
        <w:rPr>
          <w:i/>
        </w:rPr>
        <w:t xml:space="preserve">A History of the Liberal Party </w:t>
      </w:r>
      <w:proofErr w:type="gramStart"/>
      <w:r>
        <w:rPr>
          <w:i/>
        </w:rPr>
        <w:t>Since</w:t>
      </w:r>
      <w:proofErr w:type="gramEnd"/>
      <w:r>
        <w:rPr>
          <w:i/>
        </w:rPr>
        <w:t xml:space="preserve"> 1900</w:t>
      </w:r>
      <w:r>
        <w:t xml:space="preserve"> (Basingstoke: Palgrave Macmillan 2013), pp. 35-36.</w:t>
      </w:r>
    </w:p>
  </w:footnote>
  <w:footnote w:id="7">
    <w:p w:rsidR="00664104" w:rsidRDefault="00664104" w:rsidP="00664104">
      <w:pPr>
        <w:pStyle w:val="FootnoteText"/>
      </w:pPr>
      <w:r>
        <w:rPr>
          <w:rStyle w:val="FootnoteReference"/>
        </w:rPr>
        <w:footnoteRef/>
      </w:r>
      <w:r>
        <w:t xml:space="preserve"> P. Thompson, </w:t>
      </w:r>
      <w:r>
        <w:rPr>
          <w:i/>
        </w:rPr>
        <w:t>Socialists, Liberals and Labour: the struggle for London 1885-1914</w:t>
      </w:r>
      <w:r>
        <w:t xml:space="preserve"> (London: Routledge 1967), pp. 179.</w:t>
      </w:r>
    </w:p>
  </w:footnote>
  <w:footnote w:id="8">
    <w:p w:rsidR="00664104" w:rsidRDefault="00664104" w:rsidP="00664104">
      <w:pPr>
        <w:pStyle w:val="FootnoteText"/>
      </w:pPr>
      <w:r>
        <w:rPr>
          <w:rStyle w:val="FootnoteReference"/>
        </w:rPr>
        <w:footnoteRef/>
      </w:r>
      <w:r>
        <w:t xml:space="preserve"> H. </w:t>
      </w:r>
      <w:proofErr w:type="spellStart"/>
      <w:r>
        <w:t>Pelling</w:t>
      </w:r>
      <w:proofErr w:type="spellEnd"/>
      <w:r>
        <w:t xml:space="preserve">, </w:t>
      </w:r>
      <w:r>
        <w:rPr>
          <w:i/>
        </w:rPr>
        <w:t>Popular Politics and Society in Late Victorian Britain</w:t>
      </w:r>
      <w:r>
        <w:t xml:space="preserve"> (London: Macmillan 1968), pp.110-118.</w:t>
      </w:r>
    </w:p>
  </w:footnote>
  <w:footnote w:id="9">
    <w:p w:rsidR="00664104" w:rsidRDefault="00664104" w:rsidP="00664104">
      <w:pPr>
        <w:pStyle w:val="FootnoteText"/>
      </w:pPr>
      <w:r>
        <w:rPr>
          <w:rStyle w:val="FootnoteReference"/>
        </w:rPr>
        <w:footnoteRef/>
      </w:r>
      <w:r>
        <w:t xml:space="preserve"> G.R. Searle, </w:t>
      </w:r>
      <w:proofErr w:type="gramStart"/>
      <w:r>
        <w:rPr>
          <w:i/>
        </w:rPr>
        <w:t>The</w:t>
      </w:r>
      <w:proofErr w:type="gramEnd"/>
      <w:r>
        <w:rPr>
          <w:i/>
        </w:rPr>
        <w:t xml:space="preserve"> Liberal </w:t>
      </w:r>
      <w:r>
        <w:t>Party Triumph and Disintegration 1886-1929 (Basingstoke: Palgrave 2001), pp. 2-3, 86-87.</w:t>
      </w:r>
    </w:p>
  </w:footnote>
  <w:footnote w:id="10">
    <w:p w:rsidR="00664104" w:rsidRDefault="00664104" w:rsidP="00664104">
      <w:pPr>
        <w:pStyle w:val="FootnoteText"/>
      </w:pPr>
      <w:r>
        <w:rPr>
          <w:rStyle w:val="FootnoteReference"/>
        </w:rPr>
        <w:footnoteRef/>
      </w:r>
      <w:r>
        <w:t xml:space="preserve"> T. Wilson, </w:t>
      </w:r>
      <w:proofErr w:type="gramStart"/>
      <w:r>
        <w:rPr>
          <w:i/>
        </w:rPr>
        <w:t>The</w:t>
      </w:r>
      <w:proofErr w:type="gramEnd"/>
      <w:r>
        <w:rPr>
          <w:i/>
        </w:rPr>
        <w:t xml:space="preserve"> Downfall of the Liberal Party 1914-1935</w:t>
      </w:r>
      <w:r>
        <w:t xml:space="preserve"> (London: Faber and Faber 1966), pp.15-19.</w:t>
      </w:r>
    </w:p>
  </w:footnote>
  <w:footnote w:id="11">
    <w:p w:rsidR="00664104" w:rsidRDefault="00664104" w:rsidP="00664104">
      <w:pPr>
        <w:pStyle w:val="FootnoteText"/>
      </w:pPr>
      <w:r>
        <w:rPr>
          <w:rStyle w:val="FootnoteReference"/>
        </w:rPr>
        <w:footnoteRef/>
      </w:r>
      <w:r>
        <w:t xml:space="preserve"> G.R. Searle, </w:t>
      </w:r>
      <w:proofErr w:type="gramStart"/>
      <w:r>
        <w:rPr>
          <w:i/>
        </w:rPr>
        <w:t>The</w:t>
      </w:r>
      <w:proofErr w:type="gramEnd"/>
      <w:r>
        <w:rPr>
          <w:i/>
        </w:rPr>
        <w:t xml:space="preserve"> Liberal </w:t>
      </w:r>
      <w:r>
        <w:t>Party Triumph and Disintegration 1886-1929 (Basingstoke: Palgrave 2001), pp. 94-95.</w:t>
      </w:r>
    </w:p>
  </w:footnote>
  <w:footnote w:id="12">
    <w:p w:rsidR="00664104" w:rsidRDefault="00664104" w:rsidP="00664104">
      <w:pPr>
        <w:pStyle w:val="FootnoteText"/>
      </w:pPr>
      <w:r>
        <w:rPr>
          <w:rStyle w:val="FootnoteReference"/>
        </w:rPr>
        <w:footnoteRef/>
      </w:r>
      <w:r>
        <w:t xml:space="preserve"> D. Dutton, </w:t>
      </w:r>
      <w:r>
        <w:rPr>
          <w:i/>
        </w:rPr>
        <w:t xml:space="preserve">A History of the Liberal Party </w:t>
      </w:r>
      <w:proofErr w:type="gramStart"/>
      <w:r>
        <w:rPr>
          <w:i/>
        </w:rPr>
        <w:t>Since</w:t>
      </w:r>
      <w:proofErr w:type="gramEnd"/>
      <w:r>
        <w:rPr>
          <w:i/>
        </w:rPr>
        <w:t xml:space="preserve"> 1900</w:t>
      </w:r>
      <w:r>
        <w:t xml:space="preserve"> (Basingstoke: Palgrave Macmillan 2013), pp. 20-21.</w:t>
      </w:r>
    </w:p>
  </w:footnote>
  <w:footnote w:id="13">
    <w:p w:rsidR="00664104" w:rsidRDefault="00664104" w:rsidP="00664104">
      <w:pPr>
        <w:pStyle w:val="FootnoteText"/>
      </w:pPr>
      <w:r>
        <w:rPr>
          <w:rStyle w:val="FootnoteReference"/>
        </w:rPr>
        <w:footnoteRef/>
      </w:r>
      <w:r>
        <w:t xml:space="preserve"> D. Dutton, </w:t>
      </w:r>
      <w:r>
        <w:rPr>
          <w:i/>
        </w:rPr>
        <w:t xml:space="preserve">A History of the Liberal Party </w:t>
      </w:r>
      <w:proofErr w:type="gramStart"/>
      <w:r>
        <w:rPr>
          <w:i/>
        </w:rPr>
        <w:t>Since</w:t>
      </w:r>
      <w:proofErr w:type="gramEnd"/>
      <w:r>
        <w:rPr>
          <w:i/>
        </w:rPr>
        <w:t xml:space="preserve"> 1900</w:t>
      </w:r>
      <w:r>
        <w:t xml:space="preserve"> (Basingstoke: Palgrave Macmillan 2013), p. 21.</w:t>
      </w:r>
    </w:p>
  </w:footnote>
  <w:footnote w:id="14">
    <w:p w:rsidR="00664104" w:rsidRDefault="00664104" w:rsidP="00664104">
      <w:pPr>
        <w:pStyle w:val="FootnoteText"/>
      </w:pPr>
      <w:r>
        <w:rPr>
          <w:rStyle w:val="FootnoteReference"/>
        </w:rPr>
        <w:footnoteRef/>
      </w:r>
      <w:r>
        <w:t xml:space="preserve"> G.R. Searle, </w:t>
      </w:r>
      <w:proofErr w:type="gramStart"/>
      <w:r>
        <w:rPr>
          <w:i/>
        </w:rPr>
        <w:t>The</w:t>
      </w:r>
      <w:proofErr w:type="gramEnd"/>
      <w:r>
        <w:rPr>
          <w:i/>
        </w:rPr>
        <w:t xml:space="preserve"> Liberal </w:t>
      </w:r>
      <w:r>
        <w:t>Party Triumph and Disintegration, 1886-1929 (Basingstoke: Palgrave 2001), p. 1. pp. 67-68.</w:t>
      </w:r>
    </w:p>
  </w:footnote>
  <w:footnote w:id="15">
    <w:p w:rsidR="00664104" w:rsidRDefault="00664104" w:rsidP="00664104">
      <w:pPr>
        <w:pStyle w:val="FootnoteText"/>
      </w:pPr>
      <w:r>
        <w:rPr>
          <w:rStyle w:val="FootnoteReference"/>
        </w:rPr>
        <w:footnoteRef/>
      </w:r>
      <w:r>
        <w:t xml:space="preserve"> D. Dutton, </w:t>
      </w:r>
      <w:r>
        <w:rPr>
          <w:i/>
        </w:rPr>
        <w:t xml:space="preserve">A History of the Liberal Party </w:t>
      </w:r>
      <w:proofErr w:type="gramStart"/>
      <w:r>
        <w:rPr>
          <w:i/>
        </w:rPr>
        <w:t>Since</w:t>
      </w:r>
      <w:proofErr w:type="gramEnd"/>
      <w:r>
        <w:rPr>
          <w:i/>
        </w:rPr>
        <w:t xml:space="preserve"> 1900</w:t>
      </w:r>
      <w:r>
        <w:t xml:space="preserve"> (Basingstoke: Palgrave Macmillan 2013), p. 24.</w:t>
      </w:r>
    </w:p>
  </w:footnote>
  <w:footnote w:id="16">
    <w:p w:rsidR="00664104" w:rsidRDefault="00664104" w:rsidP="00664104">
      <w:pPr>
        <w:pStyle w:val="FootnoteText"/>
      </w:pPr>
      <w:r>
        <w:rPr>
          <w:rStyle w:val="FootnoteReference"/>
        </w:rPr>
        <w:footnoteRef/>
      </w:r>
      <w:r>
        <w:t xml:space="preserve"> H. </w:t>
      </w:r>
      <w:proofErr w:type="spellStart"/>
      <w:r>
        <w:t>Pelling</w:t>
      </w:r>
      <w:proofErr w:type="spellEnd"/>
      <w:r>
        <w:t xml:space="preserve">, </w:t>
      </w:r>
      <w:r>
        <w:rPr>
          <w:i/>
        </w:rPr>
        <w:t>Popular Politics and Society in Late Victorian Britain</w:t>
      </w:r>
      <w:r>
        <w:t xml:space="preserve"> (London: Macmillan 1968), p. 13.</w:t>
      </w:r>
    </w:p>
  </w:footnote>
  <w:footnote w:id="17">
    <w:p w:rsidR="00664104" w:rsidRDefault="00664104" w:rsidP="00664104">
      <w:pPr>
        <w:pStyle w:val="FootnoteText"/>
      </w:pPr>
      <w:r>
        <w:rPr>
          <w:rStyle w:val="FootnoteReference"/>
        </w:rPr>
        <w:footnoteRef/>
      </w:r>
      <w:r>
        <w:t xml:space="preserve"> G.R. Searle, </w:t>
      </w:r>
      <w:proofErr w:type="gramStart"/>
      <w:r>
        <w:rPr>
          <w:i/>
        </w:rPr>
        <w:t>The</w:t>
      </w:r>
      <w:proofErr w:type="gramEnd"/>
      <w:r>
        <w:rPr>
          <w:i/>
        </w:rPr>
        <w:t xml:space="preserve"> Liberal </w:t>
      </w:r>
      <w:r>
        <w:t>Party Triumph and Disintegration 1886-1929 (Basingstoke: Palgrave 2001), pp. 86-87.</w:t>
      </w:r>
    </w:p>
  </w:footnote>
  <w:footnote w:id="18">
    <w:p w:rsidR="00664104" w:rsidRDefault="00664104" w:rsidP="00664104">
      <w:pPr>
        <w:pStyle w:val="FootnoteText"/>
      </w:pPr>
      <w:r>
        <w:rPr>
          <w:rStyle w:val="FootnoteReference"/>
        </w:rPr>
        <w:footnoteRef/>
      </w:r>
      <w:r>
        <w:t xml:space="preserve"> P. </w:t>
      </w:r>
      <w:proofErr w:type="spellStart"/>
      <w:r>
        <w:t>Adleman</w:t>
      </w:r>
      <w:proofErr w:type="spellEnd"/>
      <w:r>
        <w:t xml:space="preserve">, </w:t>
      </w:r>
      <w:proofErr w:type="gramStart"/>
      <w:r>
        <w:t>The</w:t>
      </w:r>
      <w:proofErr w:type="gramEnd"/>
      <w:r>
        <w:t xml:space="preserve"> Decline of the Liberal Party 1910-1931 (London and New York: Longman 1995), p. 7.</w:t>
      </w:r>
    </w:p>
  </w:footnote>
  <w:footnote w:id="19">
    <w:p w:rsidR="00664104" w:rsidRDefault="00664104" w:rsidP="00664104">
      <w:pPr>
        <w:pStyle w:val="FootnoteText"/>
      </w:pPr>
      <w:r>
        <w:rPr>
          <w:rStyle w:val="FootnoteReference"/>
        </w:rPr>
        <w:footnoteRef/>
      </w:r>
      <w:r>
        <w:t xml:space="preserve"> G.R. Searle, </w:t>
      </w:r>
      <w:proofErr w:type="gramStart"/>
      <w:r>
        <w:rPr>
          <w:i/>
        </w:rPr>
        <w:t>The</w:t>
      </w:r>
      <w:proofErr w:type="gramEnd"/>
      <w:r>
        <w:rPr>
          <w:i/>
        </w:rPr>
        <w:t xml:space="preserve"> Liberal </w:t>
      </w:r>
      <w:r>
        <w:t>Party Triumph and Disintegration, 1886-1929 (Basingstoke: Palgrave 2001), p. 87.</w:t>
      </w:r>
    </w:p>
  </w:footnote>
  <w:footnote w:id="20">
    <w:p w:rsidR="00664104" w:rsidRDefault="00664104" w:rsidP="00664104">
      <w:pPr>
        <w:pStyle w:val="FootnoteText"/>
      </w:pPr>
      <w:r>
        <w:rPr>
          <w:rStyle w:val="FootnoteReference"/>
        </w:rPr>
        <w:footnoteRef/>
      </w:r>
      <w:r>
        <w:t xml:space="preserve"> P. </w:t>
      </w:r>
      <w:proofErr w:type="spellStart"/>
      <w:r>
        <w:t>Adleman</w:t>
      </w:r>
      <w:proofErr w:type="spellEnd"/>
      <w:r>
        <w:t xml:space="preserve">, </w:t>
      </w:r>
      <w:proofErr w:type="gramStart"/>
      <w:r>
        <w:t>The</w:t>
      </w:r>
      <w:proofErr w:type="gramEnd"/>
      <w:r>
        <w:t xml:space="preserve"> Decline of the Liberal Party 1910-1931 (London and New York: Longman 1995), p. 6.</w:t>
      </w:r>
    </w:p>
  </w:footnote>
  <w:footnote w:id="21">
    <w:p w:rsidR="00664104" w:rsidRDefault="00664104" w:rsidP="00664104">
      <w:pPr>
        <w:pStyle w:val="FootnoteText"/>
      </w:pPr>
      <w:r>
        <w:rPr>
          <w:rStyle w:val="FootnoteReference"/>
        </w:rPr>
        <w:footnoteRef/>
      </w:r>
      <w:r>
        <w:t xml:space="preserve"> D. Dutton, </w:t>
      </w:r>
      <w:r>
        <w:rPr>
          <w:i/>
        </w:rPr>
        <w:t xml:space="preserve">A History of the Liberal Party </w:t>
      </w:r>
      <w:proofErr w:type="gramStart"/>
      <w:r>
        <w:rPr>
          <w:i/>
        </w:rPr>
        <w:t>Since</w:t>
      </w:r>
      <w:proofErr w:type="gramEnd"/>
      <w:r>
        <w:rPr>
          <w:i/>
        </w:rPr>
        <w:t xml:space="preserve"> 1900</w:t>
      </w:r>
      <w:r>
        <w:t>, (Basingstoke: Palgrave Macmillan 2013), pp. 34-35.</w:t>
      </w:r>
    </w:p>
  </w:footnote>
  <w:footnote w:id="22">
    <w:p w:rsidR="00664104" w:rsidRDefault="00664104" w:rsidP="00664104">
      <w:pPr>
        <w:pStyle w:val="FootnoteText"/>
      </w:pPr>
      <w:r>
        <w:rPr>
          <w:rStyle w:val="FootnoteReference"/>
        </w:rPr>
        <w:footnoteRef/>
      </w:r>
      <w:r>
        <w:t xml:space="preserve"> P. </w:t>
      </w:r>
      <w:proofErr w:type="spellStart"/>
      <w:r>
        <w:t>Adleman</w:t>
      </w:r>
      <w:proofErr w:type="spellEnd"/>
      <w:r>
        <w:t xml:space="preserve">, </w:t>
      </w:r>
      <w:proofErr w:type="gramStart"/>
      <w:r>
        <w:t>The</w:t>
      </w:r>
      <w:proofErr w:type="gramEnd"/>
      <w:r>
        <w:t xml:space="preserve"> Decline of the Liberal Party 1910-1931 (London and New York: Longman 1995), pp. 6 – 22.</w:t>
      </w:r>
    </w:p>
  </w:footnote>
  <w:footnote w:id="23">
    <w:p w:rsidR="00664104" w:rsidRDefault="00664104" w:rsidP="00664104">
      <w:pPr>
        <w:pStyle w:val="FootnoteText"/>
      </w:pPr>
      <w:r>
        <w:rPr>
          <w:rStyle w:val="FootnoteReference"/>
        </w:rPr>
        <w:footnoteRef/>
      </w:r>
      <w:r>
        <w:t xml:space="preserve"> D. Dutton, </w:t>
      </w:r>
      <w:r>
        <w:rPr>
          <w:i/>
        </w:rPr>
        <w:t xml:space="preserve">A History of the Liberal Party </w:t>
      </w:r>
      <w:proofErr w:type="gramStart"/>
      <w:r>
        <w:rPr>
          <w:i/>
        </w:rPr>
        <w:t>Since</w:t>
      </w:r>
      <w:proofErr w:type="gramEnd"/>
      <w:r>
        <w:rPr>
          <w:i/>
        </w:rPr>
        <w:t xml:space="preserve"> 1900</w:t>
      </w:r>
      <w:r>
        <w:t xml:space="preserve"> (Basingstoke: Palgrave Macmillan 2013), pp. 57-58.</w:t>
      </w:r>
    </w:p>
  </w:footnote>
  <w:footnote w:id="24">
    <w:p w:rsidR="00664104" w:rsidRDefault="00664104" w:rsidP="00664104">
      <w:pPr>
        <w:pStyle w:val="FootnoteText"/>
      </w:pPr>
      <w:r>
        <w:rPr>
          <w:rStyle w:val="FootnoteReference"/>
        </w:rPr>
        <w:footnoteRef/>
      </w:r>
      <w:r>
        <w:t xml:space="preserve"> S. E. Koss, Nonconformity in modern British Politics (London: Harper Collins 1975).</w:t>
      </w:r>
    </w:p>
  </w:footnote>
  <w:footnote w:id="25">
    <w:p w:rsidR="00664104" w:rsidRDefault="00664104" w:rsidP="00664104">
      <w:pPr>
        <w:pStyle w:val="FootnoteText"/>
      </w:pPr>
      <w:r>
        <w:rPr>
          <w:rStyle w:val="FootnoteReference"/>
        </w:rPr>
        <w:footnoteRef/>
      </w:r>
      <w:r>
        <w:t xml:space="preserve"> D. Dutton, </w:t>
      </w:r>
      <w:r>
        <w:rPr>
          <w:i/>
        </w:rPr>
        <w:t xml:space="preserve">A History of the Liberal Party </w:t>
      </w:r>
      <w:proofErr w:type="gramStart"/>
      <w:r>
        <w:rPr>
          <w:i/>
        </w:rPr>
        <w:t>Since</w:t>
      </w:r>
      <w:proofErr w:type="gramEnd"/>
      <w:r>
        <w:rPr>
          <w:i/>
        </w:rPr>
        <w:t xml:space="preserve"> 1900</w:t>
      </w:r>
      <w:r>
        <w:t xml:space="preserve"> (Basingstoke: Palgrave Macmillan 2013), p. 60.</w:t>
      </w:r>
    </w:p>
  </w:footnote>
  <w:footnote w:id="26">
    <w:p w:rsidR="00664104" w:rsidRDefault="00664104" w:rsidP="00664104">
      <w:pPr>
        <w:pStyle w:val="FootnoteText"/>
      </w:pPr>
      <w:r>
        <w:rPr>
          <w:rStyle w:val="FootnoteReference"/>
        </w:rPr>
        <w:footnoteRef/>
      </w:r>
      <w:r>
        <w:t xml:space="preserve"> </w:t>
      </w:r>
      <w:proofErr w:type="spellStart"/>
      <w:r>
        <w:t>T.L.Crosby</w:t>
      </w:r>
      <w:proofErr w:type="spellEnd"/>
      <w:r>
        <w:t xml:space="preserve">, </w:t>
      </w:r>
      <w:r>
        <w:rPr>
          <w:i/>
        </w:rPr>
        <w:t>The unknown Lloyd George</w:t>
      </w:r>
      <w:r>
        <w:t xml:space="preserve"> (London and New York: Tauris 2014), pp. 212-214. </w:t>
      </w:r>
    </w:p>
  </w:footnote>
  <w:footnote w:id="27">
    <w:p w:rsidR="00664104" w:rsidRDefault="00664104" w:rsidP="00664104">
      <w:pPr>
        <w:pStyle w:val="FootnoteText"/>
      </w:pPr>
      <w:r>
        <w:rPr>
          <w:rStyle w:val="FootnoteReference"/>
        </w:rPr>
        <w:footnoteRef/>
      </w:r>
      <w:r>
        <w:t xml:space="preserve"> P. </w:t>
      </w:r>
      <w:proofErr w:type="spellStart"/>
      <w:r>
        <w:t>Adleman</w:t>
      </w:r>
      <w:proofErr w:type="spellEnd"/>
      <w:r>
        <w:t xml:space="preserve">, </w:t>
      </w:r>
      <w:proofErr w:type="gramStart"/>
      <w:r>
        <w:t>The</w:t>
      </w:r>
      <w:proofErr w:type="gramEnd"/>
      <w:r>
        <w:t xml:space="preserve"> Decline of the Liberal Party 1910-1931 (London and New York: Longman 1995), p. 22.</w:t>
      </w:r>
    </w:p>
  </w:footnote>
  <w:footnote w:id="28">
    <w:p w:rsidR="00664104" w:rsidRDefault="00664104" w:rsidP="00664104">
      <w:pPr>
        <w:pStyle w:val="FootnoteText"/>
      </w:pPr>
      <w:r>
        <w:rPr>
          <w:rStyle w:val="FootnoteReference"/>
        </w:rPr>
        <w:footnoteRef/>
      </w:r>
      <w:r>
        <w:t xml:space="preserve"> </w:t>
      </w:r>
      <w:proofErr w:type="spellStart"/>
      <w:r>
        <w:t>T.L.Crosby</w:t>
      </w:r>
      <w:proofErr w:type="spellEnd"/>
      <w:r>
        <w:t xml:space="preserve">, </w:t>
      </w:r>
      <w:r>
        <w:rPr>
          <w:i/>
        </w:rPr>
        <w:t>The unknown Lloyd George</w:t>
      </w:r>
      <w:r>
        <w:t xml:space="preserve"> (London and New York: Tauris 2014), p. 217.</w:t>
      </w:r>
    </w:p>
  </w:footnote>
  <w:footnote w:id="29">
    <w:p w:rsidR="00664104" w:rsidRDefault="00664104" w:rsidP="00664104">
      <w:pPr>
        <w:pStyle w:val="FootnoteText"/>
      </w:pPr>
      <w:r>
        <w:rPr>
          <w:rStyle w:val="FootnoteReference"/>
        </w:rPr>
        <w:footnoteRef/>
      </w:r>
      <w:r>
        <w:t xml:space="preserve"> D. Dutton, </w:t>
      </w:r>
      <w:r>
        <w:rPr>
          <w:i/>
        </w:rPr>
        <w:t xml:space="preserve">A History of the Liberal Party </w:t>
      </w:r>
      <w:proofErr w:type="gramStart"/>
      <w:r>
        <w:rPr>
          <w:i/>
        </w:rPr>
        <w:t>Since</w:t>
      </w:r>
      <w:proofErr w:type="gramEnd"/>
      <w:r>
        <w:rPr>
          <w:i/>
        </w:rPr>
        <w:t xml:space="preserve"> 1900</w:t>
      </w:r>
      <w:r>
        <w:t xml:space="preserve"> (Basingstoke: Palgrave Macmillan 2013), pp. 65-67.</w:t>
      </w:r>
    </w:p>
  </w:footnote>
  <w:footnote w:id="30">
    <w:p w:rsidR="00664104" w:rsidRDefault="00664104" w:rsidP="00664104">
      <w:pPr>
        <w:pStyle w:val="FootnoteText"/>
      </w:pPr>
      <w:r>
        <w:rPr>
          <w:rStyle w:val="FootnoteReference"/>
        </w:rPr>
        <w:footnoteRef/>
      </w:r>
      <w:r>
        <w:t xml:space="preserve"> D. Dutton, </w:t>
      </w:r>
      <w:r>
        <w:rPr>
          <w:i/>
        </w:rPr>
        <w:t xml:space="preserve">A History of the Liberal Party </w:t>
      </w:r>
      <w:proofErr w:type="gramStart"/>
      <w:r>
        <w:rPr>
          <w:i/>
        </w:rPr>
        <w:t>Since</w:t>
      </w:r>
      <w:proofErr w:type="gramEnd"/>
      <w:r>
        <w:rPr>
          <w:i/>
        </w:rPr>
        <w:t xml:space="preserve"> 1900</w:t>
      </w:r>
      <w:r>
        <w:t xml:space="preserve"> (Basingstoke: Palgrave Macmillan 2013), p. 71.</w:t>
      </w:r>
    </w:p>
  </w:footnote>
  <w:footnote w:id="31">
    <w:p w:rsidR="00664104" w:rsidRDefault="00664104" w:rsidP="00664104">
      <w:pPr>
        <w:pStyle w:val="FootnoteText"/>
      </w:pPr>
      <w:r>
        <w:rPr>
          <w:rStyle w:val="FootnoteReference"/>
        </w:rPr>
        <w:footnoteRef/>
      </w:r>
      <w:r>
        <w:t xml:space="preserve"> </w:t>
      </w:r>
      <w:proofErr w:type="spellStart"/>
      <w:r>
        <w:t>T.L.Crosby</w:t>
      </w:r>
      <w:proofErr w:type="spellEnd"/>
      <w:r>
        <w:t xml:space="preserve">, </w:t>
      </w:r>
      <w:r>
        <w:rPr>
          <w:i/>
        </w:rPr>
        <w:t>The unknown Lloyd George</w:t>
      </w:r>
      <w:r>
        <w:t xml:space="preserve"> (London and New York: Tauris 2014), pp 110-149.</w:t>
      </w:r>
    </w:p>
  </w:footnote>
  <w:footnote w:id="32">
    <w:p w:rsidR="00664104" w:rsidRDefault="00664104" w:rsidP="00664104">
      <w:pPr>
        <w:pStyle w:val="FootnoteText"/>
      </w:pPr>
      <w:r>
        <w:rPr>
          <w:rStyle w:val="FootnoteReference"/>
        </w:rPr>
        <w:footnoteRef/>
      </w:r>
      <w:r>
        <w:t xml:space="preserve"> D. Dutton, </w:t>
      </w:r>
      <w:r>
        <w:rPr>
          <w:i/>
        </w:rPr>
        <w:t xml:space="preserve">A History of the Liberal Party </w:t>
      </w:r>
      <w:proofErr w:type="gramStart"/>
      <w:r>
        <w:rPr>
          <w:i/>
        </w:rPr>
        <w:t>Since</w:t>
      </w:r>
      <w:proofErr w:type="gramEnd"/>
      <w:r>
        <w:rPr>
          <w:i/>
        </w:rPr>
        <w:t xml:space="preserve"> 1900</w:t>
      </w:r>
      <w:r>
        <w:t xml:space="preserve"> (Basingstoke: Palgrave Macmillan 2013), p. 69.</w:t>
      </w:r>
    </w:p>
  </w:footnote>
  <w:footnote w:id="33">
    <w:p w:rsidR="00664104" w:rsidRDefault="00664104" w:rsidP="00664104">
      <w:pPr>
        <w:pStyle w:val="FootnoteText"/>
      </w:pPr>
      <w:r>
        <w:rPr>
          <w:rStyle w:val="FootnoteReference"/>
        </w:rPr>
        <w:footnoteRef/>
      </w:r>
      <w:r>
        <w:t xml:space="preserve"> P. </w:t>
      </w:r>
      <w:proofErr w:type="spellStart"/>
      <w:r>
        <w:t>Adleman</w:t>
      </w:r>
      <w:proofErr w:type="spellEnd"/>
      <w:r>
        <w:t xml:space="preserve">, </w:t>
      </w:r>
      <w:proofErr w:type="gramStart"/>
      <w:r>
        <w:t>The</w:t>
      </w:r>
      <w:proofErr w:type="gramEnd"/>
      <w:r>
        <w:t xml:space="preserve"> Decline of the Liberal Party 1910-1931 (London and New York: Longman 1995), pp. 22-23.</w:t>
      </w:r>
    </w:p>
  </w:footnote>
  <w:footnote w:id="34">
    <w:p w:rsidR="00664104" w:rsidRDefault="00664104" w:rsidP="00664104">
      <w:pPr>
        <w:pStyle w:val="FootnoteText"/>
      </w:pPr>
      <w:r>
        <w:rPr>
          <w:rStyle w:val="FootnoteReference"/>
        </w:rPr>
        <w:footnoteRef/>
      </w:r>
      <w:r>
        <w:t xml:space="preserve"> P. </w:t>
      </w:r>
      <w:proofErr w:type="spellStart"/>
      <w:r>
        <w:t>Adleman</w:t>
      </w:r>
      <w:proofErr w:type="spellEnd"/>
      <w:r>
        <w:t xml:space="preserve">, </w:t>
      </w:r>
      <w:proofErr w:type="gramStart"/>
      <w:r>
        <w:t>The</w:t>
      </w:r>
      <w:proofErr w:type="gramEnd"/>
      <w:r>
        <w:t xml:space="preserve"> Decline of the Liberal Party 1910-1931 (London and New York: Longman 1995), pp. 22-23. </w:t>
      </w:r>
    </w:p>
  </w:footnote>
  <w:footnote w:id="35">
    <w:p w:rsidR="00664104" w:rsidRDefault="00664104" w:rsidP="00664104">
      <w:pPr>
        <w:pStyle w:val="FootnoteText"/>
      </w:pPr>
      <w:r>
        <w:rPr>
          <w:rStyle w:val="FootnoteReference"/>
        </w:rPr>
        <w:footnoteRef/>
      </w:r>
      <w:r>
        <w:t xml:space="preserve"> J. </w:t>
      </w:r>
      <w:proofErr w:type="spellStart"/>
      <w:r>
        <w:t>Grigg</w:t>
      </w:r>
      <w:proofErr w:type="spellEnd"/>
      <w:r>
        <w:t>, Lloyd George War Leader (London: Allen Lane 2002), p. 358.</w:t>
      </w:r>
    </w:p>
  </w:footnote>
  <w:footnote w:id="36">
    <w:p w:rsidR="00664104" w:rsidRDefault="00664104" w:rsidP="00664104">
      <w:pPr>
        <w:pStyle w:val="FootnoteText"/>
      </w:pPr>
      <w:r>
        <w:rPr>
          <w:rStyle w:val="FootnoteReference"/>
        </w:rPr>
        <w:footnoteRef/>
      </w:r>
      <w:r>
        <w:t xml:space="preserve"> J. </w:t>
      </w:r>
      <w:proofErr w:type="spellStart"/>
      <w:r>
        <w:t>Grigg</w:t>
      </w:r>
      <w:proofErr w:type="spellEnd"/>
      <w:r>
        <w:t>, Lloyd George the People’s Champion 1902-1911 (London: Penguin Books 2002), pp.94-131.</w:t>
      </w:r>
    </w:p>
  </w:footnote>
  <w:footnote w:id="37">
    <w:p w:rsidR="00664104" w:rsidRDefault="00664104" w:rsidP="00664104">
      <w:pPr>
        <w:pStyle w:val="FootnoteText"/>
      </w:pPr>
      <w:r>
        <w:rPr>
          <w:rStyle w:val="FootnoteReference"/>
        </w:rPr>
        <w:footnoteRef/>
      </w:r>
      <w:r>
        <w:t xml:space="preserve"> </w:t>
      </w:r>
      <w:proofErr w:type="spellStart"/>
      <w:r>
        <w:t>T.L.Crosby</w:t>
      </w:r>
      <w:proofErr w:type="spellEnd"/>
      <w:r>
        <w:t xml:space="preserve">, </w:t>
      </w:r>
      <w:r>
        <w:rPr>
          <w:i/>
        </w:rPr>
        <w:t>The unknown Lloyd George</w:t>
      </w:r>
      <w:r>
        <w:t xml:space="preserve"> (London and New York: Tauris 2014), pp. 214-118.</w:t>
      </w:r>
    </w:p>
  </w:footnote>
  <w:footnote w:id="38">
    <w:p w:rsidR="00664104" w:rsidRDefault="00664104" w:rsidP="00664104">
      <w:pPr>
        <w:pStyle w:val="FootnoteText"/>
      </w:pPr>
      <w:r>
        <w:rPr>
          <w:rStyle w:val="FootnoteReference"/>
        </w:rPr>
        <w:footnoteRef/>
      </w:r>
      <w:r>
        <w:t xml:space="preserve"> R. </w:t>
      </w:r>
      <w:proofErr w:type="spellStart"/>
      <w:r>
        <w:t>Toye</w:t>
      </w:r>
      <w:proofErr w:type="spellEnd"/>
      <w:r>
        <w:t xml:space="preserve">, </w:t>
      </w:r>
      <w:r>
        <w:rPr>
          <w:i/>
        </w:rPr>
        <w:t>Lloyd George and Churchill Rivals for Greatness</w:t>
      </w:r>
      <w:r>
        <w:t xml:space="preserve"> (London: Pan Macmillan 2008), p. 9. Citing </w:t>
      </w:r>
      <w:proofErr w:type="spellStart"/>
      <w:r>
        <w:t>Aneurin</w:t>
      </w:r>
      <w:proofErr w:type="spellEnd"/>
      <w:r>
        <w:t xml:space="preserve"> Bevan’s speech to parliament in 1945 following the death of Lloyd George.</w:t>
      </w:r>
    </w:p>
  </w:footnote>
  <w:footnote w:id="39">
    <w:p w:rsidR="00477847" w:rsidRPr="00E327DE" w:rsidRDefault="00477847">
      <w:pPr>
        <w:pStyle w:val="FootnoteText"/>
        <w:rPr>
          <w:sz w:val="16"/>
          <w:szCs w:val="16"/>
        </w:rPr>
      </w:pPr>
      <w:r w:rsidRPr="00E327DE">
        <w:rPr>
          <w:rStyle w:val="FootnoteReference"/>
          <w:sz w:val="16"/>
          <w:szCs w:val="16"/>
        </w:rPr>
        <w:footnoteRef/>
      </w:r>
      <w:r w:rsidRPr="00E327DE">
        <w:rPr>
          <w:sz w:val="16"/>
          <w:szCs w:val="16"/>
        </w:rPr>
        <w:t xml:space="preserve"> The multi-ethnic diversity of the Empire required translations into Hungarian, Czech and Slovenian.</w:t>
      </w:r>
    </w:p>
  </w:footnote>
  <w:footnote w:id="40">
    <w:p w:rsidR="00477847" w:rsidRPr="00457BC9" w:rsidRDefault="00477847">
      <w:pPr>
        <w:pStyle w:val="FootnoteText"/>
        <w:rPr>
          <w:sz w:val="16"/>
          <w:szCs w:val="16"/>
        </w:rPr>
      </w:pPr>
      <w:r w:rsidRPr="00E327DE">
        <w:rPr>
          <w:rStyle w:val="FootnoteReference"/>
          <w:sz w:val="16"/>
          <w:szCs w:val="16"/>
        </w:rPr>
        <w:footnoteRef/>
      </w:r>
      <w:r w:rsidRPr="00E327DE">
        <w:rPr>
          <w:sz w:val="16"/>
          <w:szCs w:val="16"/>
        </w:rPr>
        <w:t xml:space="preserve"> </w:t>
      </w:r>
      <w:r w:rsidR="00457BC9">
        <w:rPr>
          <w:sz w:val="16"/>
          <w:szCs w:val="16"/>
        </w:rPr>
        <w:t xml:space="preserve">The Spectator [online]. Available: </w:t>
      </w:r>
      <w:hyperlink r:id="rId1" w:history="1">
        <w:r w:rsidR="00457BC9" w:rsidRPr="007909A9">
          <w:rPr>
            <w:rStyle w:val="Hyperlink"/>
            <w:sz w:val="16"/>
            <w:szCs w:val="16"/>
          </w:rPr>
          <w:t>https://archive.spectator.co.</w:t>
        </w:r>
        <w:r w:rsidR="00457BC9" w:rsidRPr="007909A9">
          <w:rPr>
            <w:rStyle w:val="Hyperlink"/>
            <w:sz w:val="16"/>
            <w:szCs w:val="16"/>
          </w:rPr>
          <w:t>u</w:t>
        </w:r>
        <w:r w:rsidR="00457BC9" w:rsidRPr="007909A9">
          <w:rPr>
            <w:rStyle w:val="Hyperlink"/>
            <w:sz w:val="16"/>
            <w:szCs w:val="16"/>
          </w:rPr>
          <w:t>k/issue/7th-may-1859</w:t>
        </w:r>
      </w:hyperlink>
      <w:r w:rsidRPr="00E327DE">
        <w:rPr>
          <w:sz w:val="16"/>
          <w:szCs w:val="16"/>
          <w:u w:val="single"/>
        </w:rPr>
        <w:t>.</w:t>
      </w:r>
      <w:r w:rsidR="00457BC9">
        <w:rPr>
          <w:sz w:val="16"/>
          <w:szCs w:val="16"/>
        </w:rPr>
        <w:t xml:space="preserve"> Accessed on [10/11/2017].</w:t>
      </w:r>
    </w:p>
  </w:footnote>
  <w:footnote w:id="41">
    <w:p w:rsidR="00477847" w:rsidRPr="00E327DE" w:rsidRDefault="00477847" w:rsidP="004B3D53">
      <w:pPr>
        <w:pStyle w:val="FootnoteText"/>
        <w:rPr>
          <w:sz w:val="16"/>
          <w:szCs w:val="16"/>
        </w:rPr>
      </w:pPr>
      <w:r w:rsidRPr="00E327DE">
        <w:rPr>
          <w:rStyle w:val="FootnoteReference"/>
          <w:sz w:val="16"/>
          <w:szCs w:val="16"/>
        </w:rPr>
        <w:footnoteRef/>
      </w:r>
      <w:r w:rsidRPr="00E327DE">
        <w:rPr>
          <w:sz w:val="16"/>
          <w:szCs w:val="16"/>
        </w:rPr>
        <w:t xml:space="preserve"> C. Clark, </w:t>
      </w:r>
      <w:proofErr w:type="gramStart"/>
      <w:r w:rsidRPr="00E327DE">
        <w:rPr>
          <w:i/>
          <w:sz w:val="16"/>
          <w:szCs w:val="16"/>
        </w:rPr>
        <w:t>The</w:t>
      </w:r>
      <w:proofErr w:type="gramEnd"/>
      <w:r w:rsidRPr="00E327DE">
        <w:rPr>
          <w:i/>
          <w:sz w:val="16"/>
          <w:szCs w:val="16"/>
        </w:rPr>
        <w:t xml:space="preserve"> Sleepwalkers: How Europe went to War in 1914</w:t>
      </w:r>
      <w:r w:rsidRPr="00E327DE">
        <w:rPr>
          <w:sz w:val="16"/>
          <w:szCs w:val="16"/>
        </w:rPr>
        <w:t xml:space="preserve"> (London: Penguin Press, 2013), p. 469.</w:t>
      </w:r>
    </w:p>
  </w:footnote>
  <w:footnote w:id="42">
    <w:p w:rsidR="00477847" w:rsidRPr="00E327DE" w:rsidRDefault="00477847">
      <w:pPr>
        <w:pStyle w:val="FootnoteText"/>
        <w:rPr>
          <w:sz w:val="16"/>
          <w:szCs w:val="16"/>
        </w:rPr>
      </w:pPr>
      <w:r w:rsidRPr="00E327DE">
        <w:rPr>
          <w:rStyle w:val="FootnoteReference"/>
          <w:sz w:val="16"/>
          <w:szCs w:val="16"/>
        </w:rPr>
        <w:footnoteRef/>
      </w:r>
      <w:r w:rsidRPr="00E327DE">
        <w:rPr>
          <w:sz w:val="16"/>
          <w:szCs w:val="16"/>
        </w:rPr>
        <w:t xml:space="preserve"> Clark, </w:t>
      </w:r>
      <w:proofErr w:type="gramStart"/>
      <w:r w:rsidRPr="00E327DE">
        <w:rPr>
          <w:i/>
          <w:sz w:val="16"/>
          <w:szCs w:val="16"/>
        </w:rPr>
        <w:t>ibid</w:t>
      </w:r>
      <w:r w:rsidRPr="00E327DE">
        <w:rPr>
          <w:sz w:val="16"/>
          <w:szCs w:val="16"/>
        </w:rPr>
        <w:t>.,</w:t>
      </w:r>
      <w:proofErr w:type="gramEnd"/>
      <w:r w:rsidRPr="00E327DE">
        <w:rPr>
          <w:sz w:val="16"/>
          <w:szCs w:val="16"/>
        </w:rPr>
        <w:t xml:space="preserve"> p. 183.</w:t>
      </w:r>
    </w:p>
  </w:footnote>
  <w:footnote w:id="43">
    <w:p w:rsidR="00477847" w:rsidRPr="00E327DE" w:rsidRDefault="00477847">
      <w:pPr>
        <w:pStyle w:val="FootnoteText"/>
        <w:rPr>
          <w:sz w:val="16"/>
          <w:szCs w:val="16"/>
        </w:rPr>
      </w:pPr>
      <w:r w:rsidRPr="00E327DE">
        <w:rPr>
          <w:rStyle w:val="FootnoteReference"/>
          <w:sz w:val="16"/>
          <w:szCs w:val="16"/>
        </w:rPr>
        <w:footnoteRef/>
      </w:r>
      <w:r w:rsidRPr="00E327DE">
        <w:rPr>
          <w:sz w:val="16"/>
          <w:szCs w:val="16"/>
        </w:rPr>
        <w:t xml:space="preserve"> Clark, </w:t>
      </w:r>
      <w:proofErr w:type="gramStart"/>
      <w:r w:rsidRPr="00E327DE">
        <w:rPr>
          <w:i/>
          <w:sz w:val="16"/>
          <w:szCs w:val="16"/>
        </w:rPr>
        <w:t>ibid</w:t>
      </w:r>
      <w:r w:rsidRPr="00E327DE">
        <w:rPr>
          <w:sz w:val="16"/>
          <w:szCs w:val="16"/>
        </w:rPr>
        <w:t>.,</w:t>
      </w:r>
      <w:proofErr w:type="gramEnd"/>
      <w:r w:rsidRPr="00E327DE">
        <w:rPr>
          <w:sz w:val="16"/>
          <w:szCs w:val="16"/>
        </w:rPr>
        <w:t xml:space="preserve"> p. 237.</w:t>
      </w:r>
    </w:p>
  </w:footnote>
  <w:footnote w:id="44">
    <w:p w:rsidR="00341D2E" w:rsidRPr="00E327DE" w:rsidRDefault="00341D2E">
      <w:pPr>
        <w:pStyle w:val="FootnoteText"/>
        <w:rPr>
          <w:sz w:val="16"/>
          <w:szCs w:val="16"/>
        </w:rPr>
      </w:pPr>
      <w:r w:rsidRPr="00E327DE">
        <w:rPr>
          <w:rStyle w:val="FootnoteReference"/>
          <w:sz w:val="16"/>
          <w:szCs w:val="16"/>
        </w:rPr>
        <w:footnoteRef/>
      </w:r>
      <w:r w:rsidRPr="00E327DE">
        <w:rPr>
          <w:sz w:val="16"/>
          <w:szCs w:val="16"/>
        </w:rPr>
        <w:t xml:space="preserve"> A.J.P. Taylor, </w:t>
      </w:r>
      <w:proofErr w:type="gramStart"/>
      <w:r w:rsidRPr="00E327DE">
        <w:rPr>
          <w:i/>
          <w:sz w:val="16"/>
          <w:szCs w:val="16"/>
        </w:rPr>
        <w:t>The</w:t>
      </w:r>
      <w:proofErr w:type="gramEnd"/>
      <w:r w:rsidRPr="00E327DE">
        <w:rPr>
          <w:i/>
          <w:sz w:val="16"/>
          <w:szCs w:val="16"/>
        </w:rPr>
        <w:t xml:space="preserve"> First World War: An Illustrated History</w:t>
      </w:r>
      <w:r w:rsidRPr="00E327DE">
        <w:rPr>
          <w:sz w:val="16"/>
          <w:szCs w:val="16"/>
        </w:rPr>
        <w:t xml:space="preserve"> (London: Penguin Press, 1963), p. 17.</w:t>
      </w:r>
    </w:p>
  </w:footnote>
  <w:footnote w:id="45">
    <w:p w:rsidR="00D57454" w:rsidRPr="00E327DE" w:rsidRDefault="00D57454">
      <w:pPr>
        <w:pStyle w:val="FootnoteText"/>
        <w:rPr>
          <w:sz w:val="16"/>
          <w:szCs w:val="16"/>
        </w:rPr>
      </w:pPr>
      <w:r w:rsidRPr="00E327DE">
        <w:rPr>
          <w:rStyle w:val="FootnoteReference"/>
          <w:sz w:val="16"/>
          <w:szCs w:val="16"/>
        </w:rPr>
        <w:footnoteRef/>
      </w:r>
      <w:r w:rsidRPr="00E327DE">
        <w:rPr>
          <w:sz w:val="16"/>
          <w:szCs w:val="16"/>
        </w:rPr>
        <w:t xml:space="preserve"> </w:t>
      </w:r>
      <w:r w:rsidR="00341D2E" w:rsidRPr="00E327DE">
        <w:rPr>
          <w:sz w:val="16"/>
          <w:szCs w:val="16"/>
        </w:rPr>
        <w:t xml:space="preserve">Taylor, </w:t>
      </w:r>
      <w:proofErr w:type="gramStart"/>
      <w:r w:rsidR="00341D2E" w:rsidRPr="00E327DE">
        <w:rPr>
          <w:i/>
          <w:sz w:val="16"/>
          <w:szCs w:val="16"/>
        </w:rPr>
        <w:t>ibid</w:t>
      </w:r>
      <w:r w:rsidR="00341D2E" w:rsidRPr="00E327DE">
        <w:rPr>
          <w:sz w:val="16"/>
          <w:szCs w:val="16"/>
        </w:rPr>
        <w:t>.,</w:t>
      </w:r>
      <w:proofErr w:type="gramEnd"/>
      <w:r w:rsidR="00341D2E" w:rsidRPr="00E327DE">
        <w:rPr>
          <w:sz w:val="16"/>
          <w:szCs w:val="16"/>
        </w:rPr>
        <w:t xml:space="preserve"> </w:t>
      </w:r>
      <w:r w:rsidRPr="00E327DE">
        <w:rPr>
          <w:sz w:val="16"/>
          <w:szCs w:val="16"/>
        </w:rPr>
        <w:t>pp.13-65.</w:t>
      </w:r>
    </w:p>
  </w:footnote>
  <w:footnote w:id="46">
    <w:p w:rsidR="00E327DE" w:rsidRPr="00257F2F" w:rsidRDefault="00E327DE">
      <w:pPr>
        <w:pStyle w:val="FootnoteText"/>
        <w:rPr>
          <w:sz w:val="16"/>
          <w:szCs w:val="16"/>
        </w:rPr>
      </w:pPr>
      <w:r w:rsidRPr="00E327DE">
        <w:rPr>
          <w:rStyle w:val="FootnoteReference"/>
          <w:sz w:val="16"/>
          <w:szCs w:val="16"/>
        </w:rPr>
        <w:footnoteRef/>
      </w:r>
      <w:r w:rsidRPr="00E327DE">
        <w:rPr>
          <w:sz w:val="16"/>
          <w:szCs w:val="16"/>
        </w:rPr>
        <w:t xml:space="preserve"> </w:t>
      </w:r>
      <w:r>
        <w:rPr>
          <w:sz w:val="16"/>
          <w:szCs w:val="16"/>
        </w:rPr>
        <w:t>Franz Joseph</w:t>
      </w:r>
      <w:r w:rsidR="00257F2F">
        <w:rPr>
          <w:sz w:val="16"/>
          <w:szCs w:val="16"/>
        </w:rPr>
        <w:t xml:space="preserve"> exclamation</w:t>
      </w:r>
      <w:r>
        <w:rPr>
          <w:sz w:val="16"/>
          <w:szCs w:val="16"/>
        </w:rPr>
        <w:t xml:space="preserve"> in a clash was Conrad von </w:t>
      </w:r>
      <w:proofErr w:type="spellStart"/>
      <w:r>
        <w:rPr>
          <w:sz w:val="16"/>
          <w:szCs w:val="16"/>
        </w:rPr>
        <w:t>H</w:t>
      </w:r>
      <w:r>
        <w:rPr>
          <w:rFonts w:cstheme="minorHAnsi"/>
          <w:sz w:val="16"/>
          <w:szCs w:val="16"/>
        </w:rPr>
        <w:t>ō</w:t>
      </w:r>
      <w:r>
        <w:rPr>
          <w:sz w:val="16"/>
          <w:szCs w:val="16"/>
        </w:rPr>
        <w:t>tzendorf</w:t>
      </w:r>
      <w:proofErr w:type="spellEnd"/>
      <w:r w:rsidR="00257F2F">
        <w:rPr>
          <w:sz w:val="16"/>
          <w:szCs w:val="16"/>
        </w:rPr>
        <w:t xml:space="preserve">, cited by Clark, </w:t>
      </w:r>
      <w:r w:rsidR="00257F2F" w:rsidRPr="00E327DE">
        <w:rPr>
          <w:i/>
          <w:sz w:val="16"/>
          <w:szCs w:val="16"/>
        </w:rPr>
        <w:t>The Sleepwalkers: How Europe went to War in 1914</w:t>
      </w:r>
      <w:r w:rsidR="00257F2F">
        <w:rPr>
          <w:sz w:val="16"/>
          <w:szCs w:val="16"/>
        </w:rPr>
        <w:t>, p. 105.</w:t>
      </w:r>
    </w:p>
  </w:footnote>
  <w:footnote w:id="47">
    <w:p w:rsidR="00257F2F" w:rsidRPr="00257F2F" w:rsidRDefault="00257F2F">
      <w:pPr>
        <w:pStyle w:val="FootnoteText"/>
        <w:rPr>
          <w:sz w:val="16"/>
          <w:szCs w:val="16"/>
        </w:rPr>
      </w:pPr>
      <w:r>
        <w:rPr>
          <w:rStyle w:val="FootnoteReference"/>
        </w:rPr>
        <w:footnoteRef/>
      </w:r>
      <w:r>
        <w:t xml:space="preserve"> </w:t>
      </w:r>
      <w:r>
        <w:rPr>
          <w:sz w:val="16"/>
          <w:szCs w:val="16"/>
        </w:rPr>
        <w:t xml:space="preserve">Franz Ferdinand to </w:t>
      </w:r>
      <w:proofErr w:type="spellStart"/>
      <w:r>
        <w:rPr>
          <w:sz w:val="16"/>
          <w:szCs w:val="16"/>
        </w:rPr>
        <w:t>H</w:t>
      </w:r>
      <w:r>
        <w:rPr>
          <w:rFonts w:cstheme="minorHAnsi"/>
          <w:sz w:val="16"/>
          <w:szCs w:val="16"/>
        </w:rPr>
        <w:t>ō</w:t>
      </w:r>
      <w:r>
        <w:rPr>
          <w:sz w:val="16"/>
          <w:szCs w:val="16"/>
        </w:rPr>
        <w:t>tzendorf</w:t>
      </w:r>
      <w:proofErr w:type="spellEnd"/>
      <w:r>
        <w:rPr>
          <w:sz w:val="16"/>
          <w:szCs w:val="16"/>
        </w:rPr>
        <w:t xml:space="preserve">, cited by Clark, </w:t>
      </w:r>
      <w:proofErr w:type="gramStart"/>
      <w:r>
        <w:rPr>
          <w:i/>
          <w:sz w:val="16"/>
          <w:szCs w:val="16"/>
        </w:rPr>
        <w:t>ibid.,</w:t>
      </w:r>
      <w:proofErr w:type="gramEnd"/>
      <w:r>
        <w:rPr>
          <w:sz w:val="16"/>
          <w:szCs w:val="16"/>
        </w:rPr>
        <w:t xml:space="preserve"> p. 117.</w:t>
      </w:r>
    </w:p>
  </w:footnote>
  <w:footnote w:id="48">
    <w:p w:rsidR="00AE0764" w:rsidRPr="00E327DE" w:rsidRDefault="00AE0764">
      <w:pPr>
        <w:pStyle w:val="FootnoteText"/>
        <w:rPr>
          <w:sz w:val="16"/>
          <w:szCs w:val="16"/>
        </w:rPr>
      </w:pPr>
      <w:r w:rsidRPr="00E327DE">
        <w:rPr>
          <w:rStyle w:val="FootnoteReference"/>
          <w:sz w:val="16"/>
          <w:szCs w:val="16"/>
        </w:rPr>
        <w:footnoteRef/>
      </w:r>
      <w:r w:rsidRPr="00E327DE">
        <w:rPr>
          <w:sz w:val="16"/>
          <w:szCs w:val="16"/>
        </w:rPr>
        <w:t xml:space="preserve"> Clark, </w:t>
      </w:r>
      <w:r w:rsidRPr="00E327DE">
        <w:rPr>
          <w:i/>
          <w:sz w:val="16"/>
          <w:szCs w:val="16"/>
        </w:rPr>
        <w:t>The Sleepwalkers: How Europe went to War in 1914</w:t>
      </w:r>
      <w:r w:rsidRPr="00E327DE">
        <w:rPr>
          <w:sz w:val="16"/>
          <w:szCs w:val="16"/>
        </w:rPr>
        <w:t>, p. 71.</w:t>
      </w:r>
    </w:p>
  </w:footnote>
  <w:footnote w:id="49">
    <w:p w:rsidR="00D21BD1" w:rsidRPr="00E327DE" w:rsidRDefault="00D21BD1" w:rsidP="00D21BD1">
      <w:pPr>
        <w:pStyle w:val="FootnoteText"/>
        <w:rPr>
          <w:sz w:val="16"/>
          <w:szCs w:val="16"/>
        </w:rPr>
      </w:pPr>
      <w:r w:rsidRPr="00E327DE">
        <w:rPr>
          <w:rStyle w:val="FootnoteReference"/>
          <w:sz w:val="16"/>
          <w:szCs w:val="16"/>
        </w:rPr>
        <w:footnoteRef/>
      </w:r>
      <w:r w:rsidRPr="00E327DE">
        <w:rPr>
          <w:sz w:val="16"/>
          <w:szCs w:val="16"/>
        </w:rPr>
        <w:t xml:space="preserve"> Austria loaned money to keep the Serbian economy afloat in the 1880-90s and supported Serbian ambitions in Macedonia. </w:t>
      </w:r>
      <w:r w:rsidR="005B194A" w:rsidRPr="00E327DE">
        <w:rPr>
          <w:sz w:val="16"/>
          <w:szCs w:val="16"/>
        </w:rPr>
        <w:t xml:space="preserve">Massacres were routinely reported during the Balkan wars e.g. Skopje and </w:t>
      </w:r>
      <w:proofErr w:type="spellStart"/>
      <w:r w:rsidR="005B194A" w:rsidRPr="00E327DE">
        <w:rPr>
          <w:sz w:val="16"/>
          <w:szCs w:val="16"/>
        </w:rPr>
        <w:t>Prizren</w:t>
      </w:r>
      <w:proofErr w:type="spellEnd"/>
      <w:r w:rsidR="005B194A" w:rsidRPr="00E327DE">
        <w:rPr>
          <w:sz w:val="16"/>
          <w:szCs w:val="16"/>
        </w:rPr>
        <w:t xml:space="preserve">. </w:t>
      </w:r>
      <w:r w:rsidRPr="00E327DE">
        <w:rPr>
          <w:sz w:val="16"/>
          <w:szCs w:val="16"/>
        </w:rPr>
        <w:t xml:space="preserve">Clark, </w:t>
      </w:r>
      <w:proofErr w:type="gramStart"/>
      <w:r w:rsidRPr="00E327DE">
        <w:rPr>
          <w:i/>
          <w:sz w:val="16"/>
          <w:szCs w:val="16"/>
        </w:rPr>
        <w:t>ibid</w:t>
      </w:r>
      <w:r w:rsidRPr="00E327DE">
        <w:rPr>
          <w:sz w:val="16"/>
          <w:szCs w:val="16"/>
        </w:rPr>
        <w:t>.,</w:t>
      </w:r>
      <w:proofErr w:type="gramEnd"/>
      <w:r w:rsidRPr="00E327DE">
        <w:rPr>
          <w:sz w:val="16"/>
          <w:szCs w:val="16"/>
        </w:rPr>
        <w:t xml:space="preserve"> pp. 3-64 and p. 112</w:t>
      </w:r>
      <w:r w:rsidR="005B194A" w:rsidRPr="00E327DE">
        <w:rPr>
          <w:sz w:val="16"/>
          <w:szCs w:val="16"/>
        </w:rPr>
        <w:t>-3</w:t>
      </w:r>
      <w:r w:rsidRPr="00E327DE">
        <w:rPr>
          <w:sz w:val="16"/>
          <w:szCs w:val="16"/>
        </w:rPr>
        <w:t>.</w:t>
      </w:r>
    </w:p>
  </w:footnote>
  <w:footnote w:id="50">
    <w:p w:rsidR="00D21BD1" w:rsidRPr="00E327DE" w:rsidRDefault="00D21BD1">
      <w:pPr>
        <w:pStyle w:val="FootnoteText"/>
        <w:rPr>
          <w:sz w:val="16"/>
          <w:szCs w:val="16"/>
        </w:rPr>
      </w:pPr>
      <w:r w:rsidRPr="00E327DE">
        <w:rPr>
          <w:rStyle w:val="FootnoteReference"/>
          <w:sz w:val="16"/>
          <w:szCs w:val="16"/>
        </w:rPr>
        <w:footnoteRef/>
      </w:r>
      <w:r w:rsidRPr="00E327DE">
        <w:rPr>
          <w:sz w:val="16"/>
          <w:szCs w:val="16"/>
        </w:rPr>
        <w:t xml:space="preserve"> France made multiple loans to Serbia who used them primarily for armaments; Russia </w:t>
      </w:r>
      <w:r w:rsidR="005B194A" w:rsidRPr="00E327DE">
        <w:rPr>
          <w:sz w:val="16"/>
          <w:szCs w:val="16"/>
        </w:rPr>
        <w:t>was a focus for pan-Slavic nationalism.</w:t>
      </w:r>
      <w:r w:rsidRPr="00E327DE">
        <w:rPr>
          <w:sz w:val="16"/>
          <w:szCs w:val="16"/>
        </w:rPr>
        <w:t xml:space="preserve"> </w:t>
      </w:r>
    </w:p>
  </w:footnote>
  <w:footnote w:id="51">
    <w:p w:rsidR="00500739" w:rsidRPr="00E327DE" w:rsidRDefault="00500739">
      <w:pPr>
        <w:pStyle w:val="FootnoteText"/>
        <w:rPr>
          <w:sz w:val="16"/>
          <w:szCs w:val="16"/>
        </w:rPr>
      </w:pPr>
      <w:r w:rsidRPr="00E327DE">
        <w:rPr>
          <w:rStyle w:val="FootnoteReference"/>
          <w:sz w:val="16"/>
          <w:szCs w:val="16"/>
        </w:rPr>
        <w:footnoteRef/>
      </w:r>
      <w:r w:rsidRPr="00E327DE">
        <w:rPr>
          <w:sz w:val="16"/>
          <w:szCs w:val="16"/>
        </w:rPr>
        <w:t xml:space="preserve"> Clark, </w:t>
      </w:r>
      <w:r w:rsidRPr="00E327DE">
        <w:rPr>
          <w:i/>
          <w:sz w:val="16"/>
          <w:szCs w:val="16"/>
        </w:rPr>
        <w:t>The Sleepwalkers: How Europe went to War in 1914</w:t>
      </w:r>
      <w:r w:rsidRPr="00E327DE">
        <w:rPr>
          <w:sz w:val="16"/>
          <w:szCs w:val="16"/>
        </w:rPr>
        <w:t>, p. 49.</w:t>
      </w:r>
    </w:p>
  </w:footnote>
  <w:footnote w:id="52">
    <w:p w:rsidR="003B29F0" w:rsidRPr="00E327DE" w:rsidRDefault="003B29F0">
      <w:pPr>
        <w:pStyle w:val="FootnoteText"/>
        <w:rPr>
          <w:sz w:val="16"/>
          <w:szCs w:val="16"/>
        </w:rPr>
      </w:pPr>
      <w:r w:rsidRPr="00E327DE">
        <w:rPr>
          <w:rStyle w:val="FootnoteReference"/>
          <w:sz w:val="16"/>
          <w:szCs w:val="16"/>
        </w:rPr>
        <w:footnoteRef/>
      </w:r>
      <w:r w:rsidRPr="00E327DE">
        <w:rPr>
          <w:sz w:val="16"/>
          <w:szCs w:val="16"/>
        </w:rPr>
        <w:t xml:space="preserve"> Taylor, </w:t>
      </w:r>
      <w:r w:rsidRPr="00E327DE">
        <w:rPr>
          <w:i/>
          <w:sz w:val="16"/>
          <w:szCs w:val="16"/>
        </w:rPr>
        <w:t>The First World War: An Illustrated History</w:t>
      </w:r>
      <w:r w:rsidRPr="00E327DE">
        <w:rPr>
          <w:sz w:val="16"/>
          <w:szCs w:val="16"/>
        </w:rPr>
        <w:t>, pp.13-65</w:t>
      </w:r>
    </w:p>
  </w:footnote>
  <w:footnote w:id="53">
    <w:p w:rsidR="0029290B" w:rsidRPr="0029290B" w:rsidRDefault="0029290B">
      <w:pPr>
        <w:pStyle w:val="FootnoteText"/>
      </w:pPr>
      <w:r w:rsidRPr="00E327DE">
        <w:rPr>
          <w:rStyle w:val="FootnoteReference"/>
          <w:sz w:val="16"/>
          <w:szCs w:val="16"/>
        </w:rPr>
        <w:footnoteRef/>
      </w:r>
      <w:r w:rsidRPr="00E327DE">
        <w:rPr>
          <w:sz w:val="16"/>
          <w:szCs w:val="16"/>
        </w:rPr>
        <w:t xml:space="preserve"> I. Armour, ‘The Roots of Sarajevo: Austria-Hungary and Serbia, 1867-81’, </w:t>
      </w:r>
      <w:r w:rsidRPr="00E327DE">
        <w:rPr>
          <w:i/>
          <w:sz w:val="16"/>
          <w:szCs w:val="16"/>
        </w:rPr>
        <w:t>History Today,</w:t>
      </w:r>
      <w:r w:rsidRPr="00E327DE">
        <w:rPr>
          <w:sz w:val="16"/>
          <w:szCs w:val="16"/>
        </w:rPr>
        <w:t xml:space="preserve"> vol. 38 (1988), available </w:t>
      </w:r>
      <w:r w:rsidRPr="00033A97">
        <w:rPr>
          <w:sz w:val="16"/>
          <w:szCs w:val="16"/>
        </w:rPr>
        <w:t xml:space="preserve">at </w:t>
      </w:r>
      <w:hyperlink r:id="rId2" w:history="1">
        <w:r w:rsidRPr="00033A97">
          <w:rPr>
            <w:rStyle w:val="Hyperlink"/>
            <w:color w:val="auto"/>
            <w:sz w:val="16"/>
            <w:szCs w:val="16"/>
          </w:rPr>
          <w:t>www.historytoday.com</w:t>
        </w:r>
      </w:hyperlink>
      <w:r w:rsidRPr="00E327DE">
        <w:rPr>
          <w:sz w:val="16"/>
          <w:szCs w:val="16"/>
        </w:rPr>
        <w:t xml:space="preserve"> (Accessed: 29</w:t>
      </w:r>
      <w:r w:rsidRPr="00E327DE">
        <w:rPr>
          <w:sz w:val="16"/>
          <w:szCs w:val="16"/>
          <w:vertAlign w:val="superscript"/>
        </w:rPr>
        <w:t>th</w:t>
      </w:r>
      <w:r w:rsidRPr="00E327DE">
        <w:rPr>
          <w:sz w:val="16"/>
          <w:szCs w:val="16"/>
        </w:rPr>
        <w:t xml:space="preserve"> October 2017)</w:t>
      </w:r>
    </w:p>
  </w:footnote>
  <w:footnote w:id="54">
    <w:p w:rsidR="006907B2" w:rsidRPr="00E327DE" w:rsidRDefault="006907B2" w:rsidP="006907B2">
      <w:pPr>
        <w:pStyle w:val="NoSpacing"/>
        <w:rPr>
          <w:sz w:val="16"/>
          <w:szCs w:val="16"/>
          <w:lang w:eastAsia="en-GB"/>
        </w:rPr>
      </w:pPr>
      <w:r w:rsidRPr="00E327DE">
        <w:rPr>
          <w:rStyle w:val="FootnoteReference"/>
          <w:rFonts w:cstheme="minorHAnsi"/>
          <w:sz w:val="16"/>
          <w:szCs w:val="16"/>
        </w:rPr>
        <w:footnoteRef/>
      </w:r>
      <w:r w:rsidRPr="00E327DE">
        <w:rPr>
          <w:sz w:val="16"/>
          <w:szCs w:val="16"/>
        </w:rPr>
        <w:t xml:space="preserve"> </w:t>
      </w:r>
      <w:r w:rsidR="00457BC9">
        <w:rPr>
          <w:sz w:val="16"/>
          <w:szCs w:val="16"/>
        </w:rPr>
        <w:t xml:space="preserve">Gutenberg [online]. Available: </w:t>
      </w:r>
      <w:hyperlink r:id="rId3" w:history="1">
        <w:r w:rsidR="00457BC9" w:rsidRPr="007909A9">
          <w:rPr>
            <w:rStyle w:val="Hyperlink"/>
            <w:sz w:val="16"/>
            <w:szCs w:val="16"/>
            <w:lang w:eastAsia="en-GB"/>
          </w:rPr>
          <w:t>https://www.gutenberg.org/files/16331/16331-h/16331-h.htm</w:t>
        </w:r>
      </w:hyperlink>
      <w:r w:rsidR="00457BC9">
        <w:rPr>
          <w:sz w:val="16"/>
          <w:szCs w:val="16"/>
          <w:lang w:eastAsia="en-GB"/>
        </w:rPr>
        <w:t xml:space="preserve"> Accessed on [10/11/2017].</w:t>
      </w:r>
    </w:p>
  </w:footnote>
  <w:footnote w:id="55">
    <w:p w:rsidR="00477847" w:rsidRPr="00E327DE" w:rsidRDefault="00477847" w:rsidP="006907B2">
      <w:pPr>
        <w:pStyle w:val="NoSpacing"/>
        <w:rPr>
          <w:sz w:val="16"/>
          <w:szCs w:val="16"/>
        </w:rPr>
      </w:pPr>
      <w:r w:rsidRPr="00E327DE">
        <w:rPr>
          <w:rStyle w:val="FootnoteReference"/>
          <w:sz w:val="16"/>
          <w:szCs w:val="16"/>
        </w:rPr>
        <w:footnoteRef/>
      </w:r>
      <w:r w:rsidRPr="00E327DE">
        <w:rPr>
          <w:sz w:val="16"/>
          <w:szCs w:val="16"/>
        </w:rPr>
        <w:t xml:space="preserve"> </w:t>
      </w:r>
      <w:r w:rsidR="00457BC9">
        <w:rPr>
          <w:sz w:val="16"/>
          <w:szCs w:val="16"/>
        </w:rPr>
        <w:t xml:space="preserve">The World of the Habsburgs [online]. Available: </w:t>
      </w:r>
      <w:hyperlink r:id="rId4" w:history="1">
        <w:r w:rsidR="00457BC9" w:rsidRPr="007909A9">
          <w:rPr>
            <w:rStyle w:val="Hyperlink"/>
            <w:sz w:val="16"/>
            <w:szCs w:val="16"/>
          </w:rPr>
          <w:t>http://www.habsburger.net/en/chapter/franz-joseph-supreme-bureaucrat</w:t>
        </w:r>
      </w:hyperlink>
      <w:r w:rsidR="00457BC9">
        <w:rPr>
          <w:sz w:val="16"/>
          <w:szCs w:val="16"/>
        </w:rPr>
        <w:t xml:space="preserve"> Accessed on [10/11/2017]</w:t>
      </w:r>
    </w:p>
  </w:footnote>
  <w:footnote w:id="56">
    <w:p w:rsidR="00477847" w:rsidRPr="00C1433B" w:rsidRDefault="00477847" w:rsidP="006907B2">
      <w:pPr>
        <w:pStyle w:val="NoSpacing"/>
        <w:rPr>
          <w:sz w:val="16"/>
          <w:szCs w:val="16"/>
        </w:rPr>
      </w:pPr>
      <w:r w:rsidRPr="00C1433B">
        <w:rPr>
          <w:rStyle w:val="FootnoteReference"/>
          <w:sz w:val="16"/>
          <w:szCs w:val="16"/>
        </w:rPr>
        <w:footnoteRef/>
      </w:r>
      <w:r w:rsidRPr="00C1433B">
        <w:rPr>
          <w:sz w:val="16"/>
          <w:szCs w:val="16"/>
        </w:rPr>
        <w:t xml:space="preserve"> Clark, </w:t>
      </w:r>
      <w:r w:rsidRPr="00C1433B">
        <w:rPr>
          <w:i/>
          <w:sz w:val="16"/>
          <w:szCs w:val="16"/>
        </w:rPr>
        <w:t>The Sleepwalkers: How Europe went to War in 1914</w:t>
      </w:r>
      <w:r w:rsidRPr="00C1433B">
        <w:rPr>
          <w:sz w:val="16"/>
          <w:szCs w:val="16"/>
        </w:rPr>
        <w:t>, pp. 168-241.</w:t>
      </w:r>
    </w:p>
  </w:footnote>
  <w:footnote w:id="57">
    <w:p w:rsidR="0092054A" w:rsidRPr="00ED0AB2" w:rsidRDefault="0092054A">
      <w:pPr>
        <w:pStyle w:val="FootnoteText"/>
        <w:rPr>
          <w:sz w:val="16"/>
          <w:szCs w:val="16"/>
        </w:rPr>
      </w:pPr>
      <w:r>
        <w:rPr>
          <w:rStyle w:val="FootnoteReference"/>
        </w:rPr>
        <w:footnoteRef/>
      </w:r>
      <w:r>
        <w:t xml:space="preserve"> </w:t>
      </w:r>
      <w:r w:rsidR="00314616">
        <w:rPr>
          <w:sz w:val="16"/>
          <w:szCs w:val="16"/>
        </w:rPr>
        <w:t xml:space="preserve">Imperial Foreign Minister </w:t>
      </w:r>
      <w:r w:rsidRPr="00314616">
        <w:rPr>
          <w:sz w:val="16"/>
          <w:szCs w:val="16"/>
        </w:rPr>
        <w:t xml:space="preserve">Count </w:t>
      </w:r>
      <w:proofErr w:type="spellStart"/>
      <w:r w:rsidRPr="00314616">
        <w:rPr>
          <w:sz w:val="16"/>
          <w:szCs w:val="16"/>
        </w:rPr>
        <w:t>Aehrenthal</w:t>
      </w:r>
      <w:proofErr w:type="spellEnd"/>
      <w:r w:rsidRPr="00314616">
        <w:rPr>
          <w:sz w:val="16"/>
          <w:szCs w:val="16"/>
        </w:rPr>
        <w:t xml:space="preserve"> repeatedly</w:t>
      </w:r>
      <w:r w:rsidR="00314616">
        <w:rPr>
          <w:sz w:val="16"/>
          <w:szCs w:val="16"/>
        </w:rPr>
        <w:t xml:space="preserve"> urged restraint on Italy in North Africa because of possible consequences in the </w:t>
      </w:r>
      <w:r w:rsidR="00314616" w:rsidRPr="00ED0AB2">
        <w:rPr>
          <w:sz w:val="16"/>
          <w:szCs w:val="16"/>
        </w:rPr>
        <w:t xml:space="preserve">Balkans so the possibilities of a domino effect following hostilities was understood, Clark, </w:t>
      </w:r>
      <w:proofErr w:type="gramStart"/>
      <w:r w:rsidR="00314616" w:rsidRPr="00ED0AB2">
        <w:rPr>
          <w:i/>
          <w:sz w:val="16"/>
          <w:szCs w:val="16"/>
        </w:rPr>
        <w:t>ibid.,</w:t>
      </w:r>
      <w:proofErr w:type="gramEnd"/>
      <w:r w:rsidR="00314616" w:rsidRPr="00ED0AB2">
        <w:rPr>
          <w:i/>
          <w:sz w:val="16"/>
          <w:szCs w:val="16"/>
        </w:rPr>
        <w:t xml:space="preserve"> </w:t>
      </w:r>
      <w:r w:rsidR="00314616" w:rsidRPr="00ED0AB2">
        <w:rPr>
          <w:sz w:val="16"/>
          <w:szCs w:val="16"/>
        </w:rPr>
        <w:t>p. 246.</w:t>
      </w:r>
    </w:p>
  </w:footnote>
  <w:footnote w:id="58">
    <w:p w:rsidR="00033A97" w:rsidRPr="00033A97" w:rsidRDefault="00033A97">
      <w:pPr>
        <w:pStyle w:val="FootnoteText"/>
        <w:rPr>
          <w:sz w:val="16"/>
          <w:szCs w:val="16"/>
        </w:rPr>
      </w:pPr>
      <w:r w:rsidRPr="00033A97">
        <w:rPr>
          <w:rStyle w:val="FootnoteReference"/>
          <w:sz w:val="16"/>
          <w:szCs w:val="16"/>
        </w:rPr>
        <w:footnoteRef/>
      </w:r>
      <w:r w:rsidRPr="00033A97">
        <w:rPr>
          <w:sz w:val="16"/>
          <w:szCs w:val="16"/>
        </w:rPr>
        <w:t xml:space="preserve"> </w:t>
      </w:r>
      <w:r>
        <w:rPr>
          <w:sz w:val="16"/>
          <w:szCs w:val="16"/>
        </w:rPr>
        <w:t xml:space="preserve">French, German, British and Russian decision-makers independently concluded that a continental war might be long-lasting. Clark, </w:t>
      </w:r>
      <w:proofErr w:type="gramStart"/>
      <w:r>
        <w:rPr>
          <w:i/>
          <w:sz w:val="16"/>
          <w:szCs w:val="16"/>
        </w:rPr>
        <w:t>ibid.,</w:t>
      </w:r>
      <w:proofErr w:type="gramEnd"/>
      <w:r>
        <w:rPr>
          <w:i/>
          <w:sz w:val="16"/>
          <w:szCs w:val="16"/>
        </w:rPr>
        <w:t xml:space="preserve"> </w:t>
      </w:r>
      <w:r>
        <w:rPr>
          <w:sz w:val="16"/>
          <w:szCs w:val="16"/>
        </w:rPr>
        <w:t>p. 561.</w:t>
      </w:r>
    </w:p>
  </w:footnote>
  <w:footnote w:id="59">
    <w:p w:rsidR="00ED0AB2" w:rsidRPr="00E717EA" w:rsidRDefault="00ED0AB2">
      <w:pPr>
        <w:pStyle w:val="FootnoteText"/>
        <w:rPr>
          <w:sz w:val="16"/>
          <w:szCs w:val="16"/>
        </w:rPr>
      </w:pPr>
      <w:r w:rsidRPr="00E717EA">
        <w:rPr>
          <w:rStyle w:val="FootnoteReference"/>
          <w:sz w:val="16"/>
          <w:szCs w:val="16"/>
        </w:rPr>
        <w:footnoteRef/>
      </w:r>
      <w:r w:rsidRPr="00E717EA">
        <w:rPr>
          <w:sz w:val="16"/>
          <w:szCs w:val="16"/>
        </w:rPr>
        <w:t xml:space="preserve"> Clark, </w:t>
      </w:r>
      <w:proofErr w:type="gramStart"/>
      <w:r w:rsidRPr="00E717EA">
        <w:rPr>
          <w:i/>
          <w:sz w:val="16"/>
          <w:szCs w:val="16"/>
        </w:rPr>
        <w:t>ibid.,</w:t>
      </w:r>
      <w:proofErr w:type="gramEnd"/>
      <w:r w:rsidRPr="00E717EA">
        <w:rPr>
          <w:i/>
          <w:sz w:val="16"/>
          <w:szCs w:val="16"/>
        </w:rPr>
        <w:t xml:space="preserve"> </w:t>
      </w:r>
      <w:r w:rsidRPr="00E717EA">
        <w:rPr>
          <w:sz w:val="16"/>
          <w:szCs w:val="16"/>
        </w:rPr>
        <w:t>p. 288.</w:t>
      </w:r>
    </w:p>
  </w:footnote>
  <w:footnote w:id="60">
    <w:p w:rsidR="00E717EA" w:rsidRPr="00E717EA" w:rsidRDefault="00E717EA">
      <w:pPr>
        <w:pStyle w:val="FootnoteText"/>
        <w:rPr>
          <w:sz w:val="16"/>
          <w:szCs w:val="16"/>
        </w:rPr>
      </w:pPr>
      <w:r w:rsidRPr="00E717EA">
        <w:rPr>
          <w:rStyle w:val="FootnoteReference"/>
          <w:sz w:val="16"/>
          <w:szCs w:val="16"/>
        </w:rPr>
        <w:footnoteRef/>
      </w:r>
      <w:r w:rsidRPr="00E717EA">
        <w:rPr>
          <w:sz w:val="16"/>
          <w:szCs w:val="16"/>
        </w:rPr>
        <w:t xml:space="preserve"> Clark, </w:t>
      </w:r>
      <w:proofErr w:type="gramStart"/>
      <w:r w:rsidRPr="00E717EA">
        <w:rPr>
          <w:i/>
          <w:sz w:val="16"/>
          <w:szCs w:val="16"/>
        </w:rPr>
        <w:t>ibid.,</w:t>
      </w:r>
      <w:proofErr w:type="gramEnd"/>
      <w:r w:rsidRPr="00E717EA">
        <w:rPr>
          <w:i/>
          <w:sz w:val="16"/>
          <w:szCs w:val="16"/>
        </w:rPr>
        <w:t xml:space="preserve"> </w:t>
      </w:r>
      <w:r w:rsidRPr="00E717EA">
        <w:rPr>
          <w:sz w:val="16"/>
          <w:szCs w:val="16"/>
        </w:rPr>
        <w:t xml:space="preserve">p. </w:t>
      </w:r>
      <w:r>
        <w:rPr>
          <w:sz w:val="16"/>
          <w:szCs w:val="16"/>
        </w:rPr>
        <w:t>357</w:t>
      </w:r>
      <w:r w:rsidRPr="00E717EA">
        <w:rPr>
          <w:sz w:val="16"/>
          <w:szCs w:val="16"/>
        </w:rPr>
        <w:t>.</w:t>
      </w:r>
    </w:p>
  </w:footnote>
  <w:footnote w:id="61">
    <w:p w:rsidR="00AC46C9" w:rsidRPr="00C1433B" w:rsidRDefault="00AC46C9" w:rsidP="00AC46C9">
      <w:pPr>
        <w:pStyle w:val="FootnoteText"/>
        <w:rPr>
          <w:sz w:val="16"/>
          <w:szCs w:val="16"/>
        </w:rPr>
      </w:pPr>
      <w:r w:rsidRPr="00E717EA">
        <w:rPr>
          <w:rStyle w:val="FootnoteReference"/>
          <w:sz w:val="16"/>
          <w:szCs w:val="16"/>
        </w:rPr>
        <w:footnoteRef/>
      </w:r>
      <w:r w:rsidRPr="00E717EA">
        <w:rPr>
          <w:sz w:val="16"/>
          <w:szCs w:val="16"/>
        </w:rPr>
        <w:t xml:space="preserve"> </w:t>
      </w:r>
      <w:r w:rsidR="00E327DE" w:rsidRPr="00E717EA">
        <w:rPr>
          <w:sz w:val="16"/>
          <w:szCs w:val="16"/>
        </w:rPr>
        <w:t xml:space="preserve">Clark, </w:t>
      </w:r>
      <w:proofErr w:type="gramStart"/>
      <w:r w:rsidR="00E327DE" w:rsidRPr="00E717EA">
        <w:rPr>
          <w:i/>
          <w:sz w:val="16"/>
          <w:szCs w:val="16"/>
        </w:rPr>
        <w:t>ibid.,</w:t>
      </w:r>
      <w:proofErr w:type="gramEnd"/>
      <w:r w:rsidR="00E327DE" w:rsidRPr="00E717EA">
        <w:rPr>
          <w:sz w:val="16"/>
          <w:szCs w:val="16"/>
        </w:rPr>
        <w:t xml:space="preserve"> </w:t>
      </w:r>
      <w:r w:rsidRPr="00E717EA">
        <w:rPr>
          <w:sz w:val="16"/>
          <w:szCs w:val="16"/>
        </w:rPr>
        <w:t>p. 73</w:t>
      </w:r>
      <w:r w:rsidRPr="00ED0AB2">
        <w:rPr>
          <w:sz w:val="16"/>
          <w:szCs w:val="16"/>
        </w:rPr>
        <w:t>.</w:t>
      </w:r>
    </w:p>
  </w:footnote>
  <w:footnote w:id="62">
    <w:p w:rsidR="00C1433B" w:rsidRPr="00C1433B" w:rsidRDefault="00C1433B" w:rsidP="00C1433B">
      <w:pPr>
        <w:pStyle w:val="FootnoteText"/>
        <w:rPr>
          <w:sz w:val="16"/>
          <w:szCs w:val="16"/>
        </w:rPr>
      </w:pPr>
      <w:r w:rsidRPr="00C1433B">
        <w:rPr>
          <w:rStyle w:val="FootnoteReference"/>
          <w:sz w:val="16"/>
          <w:szCs w:val="16"/>
        </w:rPr>
        <w:footnoteRef/>
      </w:r>
      <w:r w:rsidRPr="00C1433B">
        <w:rPr>
          <w:sz w:val="16"/>
          <w:szCs w:val="16"/>
        </w:rPr>
        <w:t xml:space="preserve"> The </w:t>
      </w:r>
      <w:r w:rsidRPr="00C1433B">
        <w:rPr>
          <w:i/>
          <w:sz w:val="16"/>
          <w:szCs w:val="16"/>
        </w:rPr>
        <w:t xml:space="preserve">Times </w:t>
      </w:r>
      <w:r w:rsidRPr="00C1433B">
        <w:rPr>
          <w:sz w:val="16"/>
          <w:szCs w:val="16"/>
        </w:rPr>
        <w:t>correspondent Henry Wickham Steed wrote in 1913 that there no reason why ‘the Habsburg monarchy should not retain its rightful pl</w:t>
      </w:r>
      <w:r>
        <w:rPr>
          <w:sz w:val="16"/>
          <w:szCs w:val="16"/>
        </w:rPr>
        <w:t xml:space="preserve">ace in the European Community’, cited by </w:t>
      </w:r>
      <w:r w:rsidRPr="00C1433B">
        <w:rPr>
          <w:sz w:val="16"/>
          <w:szCs w:val="16"/>
        </w:rPr>
        <w:t>Clark,</w:t>
      </w:r>
      <w:r>
        <w:rPr>
          <w:sz w:val="16"/>
          <w:szCs w:val="16"/>
        </w:rPr>
        <w:t xml:space="preserve"> </w:t>
      </w:r>
      <w:r>
        <w:rPr>
          <w:i/>
          <w:sz w:val="16"/>
          <w:szCs w:val="16"/>
        </w:rPr>
        <w:t>ibid.,</w:t>
      </w:r>
      <w:r w:rsidRPr="00C1433B">
        <w:rPr>
          <w:sz w:val="16"/>
          <w:szCs w:val="16"/>
        </w:rPr>
        <w:t xml:space="preserve"> p. 77</w:t>
      </w:r>
    </w:p>
    <w:p w:rsidR="00C1433B" w:rsidRDefault="00C1433B" w:rsidP="00C1433B">
      <w:pPr>
        <w:pStyle w:val="FootnoteText"/>
      </w:pPr>
    </w:p>
  </w:footnote>
  <w:footnote w:id="63">
    <w:p w:rsidR="00C226EF" w:rsidRPr="00C226EF" w:rsidRDefault="00C226EF">
      <w:pPr>
        <w:pStyle w:val="FootnoteText"/>
      </w:pPr>
      <w:r>
        <w:rPr>
          <w:rStyle w:val="FootnoteReference"/>
        </w:rPr>
        <w:footnoteRef/>
      </w:r>
      <w:r>
        <w:t xml:space="preserve"> </w:t>
      </w:r>
      <w:r w:rsidR="00457BC9" w:rsidRPr="00457BC9">
        <w:rPr>
          <w:sz w:val="16"/>
          <w:szCs w:val="16"/>
        </w:rPr>
        <w:t xml:space="preserve">Getty Images [online]. Available: </w:t>
      </w:r>
      <w:hyperlink r:id="rId5" w:history="1">
        <w:r w:rsidRPr="00457BC9">
          <w:rPr>
            <w:rStyle w:val="Hyperlink"/>
            <w:rFonts w:cstheme="minorHAnsi"/>
            <w:color w:val="auto"/>
            <w:sz w:val="16"/>
            <w:szCs w:val="16"/>
            <w:u w:val="none"/>
          </w:rPr>
          <w:t>http://www.gettyimages.com/detail/news-photo/an-meine-volker-poster-with-a-message-from-by-emperor-franz-news-photo/118123728</w:t>
        </w:r>
      </w:hyperlink>
      <w:r w:rsidRPr="00033A97">
        <w:rPr>
          <w:rFonts w:cstheme="minorHAnsi"/>
          <w:sz w:val="16"/>
          <w:szCs w:val="16"/>
        </w:rPr>
        <w:t>.</w:t>
      </w:r>
      <w:r w:rsidR="00457BC9">
        <w:rPr>
          <w:rFonts w:cstheme="minorHAnsi"/>
          <w:sz w:val="16"/>
          <w:szCs w:val="16"/>
        </w:rPr>
        <w:t xml:space="preserve"> Accessed on [9/11/2017]. </w:t>
      </w:r>
    </w:p>
  </w:footnote>
  <w:footnote w:id="64">
    <w:p w:rsidR="00FE77E8" w:rsidRPr="00033A97" w:rsidRDefault="00FE77E8" w:rsidP="00FE77E8">
      <w:pPr>
        <w:spacing w:line="240" w:lineRule="auto"/>
        <w:rPr>
          <w:rFonts w:eastAsia="Times New Roman" w:cstheme="minorHAnsi"/>
          <w:color w:val="666666"/>
          <w:sz w:val="16"/>
          <w:szCs w:val="16"/>
          <w:lang w:eastAsia="en-GB"/>
        </w:rPr>
      </w:pPr>
      <w:r w:rsidRPr="00033A97">
        <w:rPr>
          <w:rStyle w:val="FootnoteReference"/>
          <w:sz w:val="16"/>
          <w:szCs w:val="16"/>
        </w:rPr>
        <w:footnoteRef/>
      </w:r>
      <w:r w:rsidRPr="00033A97">
        <w:rPr>
          <w:sz w:val="16"/>
          <w:szCs w:val="16"/>
        </w:rPr>
        <w:t xml:space="preserve"> </w:t>
      </w:r>
      <w:r w:rsidR="00457BC9">
        <w:rPr>
          <w:sz w:val="16"/>
          <w:szCs w:val="16"/>
        </w:rPr>
        <w:t xml:space="preserve">Gutenberg [online]. Available: </w:t>
      </w:r>
      <w:hyperlink r:id="rId6" w:history="1">
        <w:r w:rsidR="00457BC9" w:rsidRPr="007909A9">
          <w:rPr>
            <w:rStyle w:val="Hyperlink"/>
            <w:rFonts w:eastAsia="Times New Roman" w:cstheme="minorHAnsi"/>
            <w:iCs/>
            <w:sz w:val="16"/>
            <w:szCs w:val="16"/>
            <w:lang w:eastAsia="en-GB"/>
          </w:rPr>
          <w:t>https://www.gutenberg.org/files/16331/16331-h/16331-h.htm</w:t>
        </w:r>
      </w:hyperlink>
      <w:r w:rsidR="00457BC9">
        <w:rPr>
          <w:rFonts w:eastAsia="Times New Roman" w:cstheme="minorHAnsi"/>
          <w:iCs/>
          <w:sz w:val="16"/>
          <w:szCs w:val="16"/>
          <w:lang w:eastAsia="en-GB"/>
        </w:rPr>
        <w:t xml:space="preserve"> Accessed on [9/11/2017].</w:t>
      </w:r>
    </w:p>
  </w:footnote>
  <w:footnote w:id="65">
    <w:p w:rsidR="00B21D45" w:rsidRPr="00033A97" w:rsidRDefault="00B21D45" w:rsidP="00B21D45">
      <w:pPr>
        <w:rPr>
          <w:sz w:val="16"/>
          <w:szCs w:val="16"/>
        </w:rPr>
      </w:pPr>
      <w:r w:rsidRPr="00033A97">
        <w:rPr>
          <w:rStyle w:val="FootnoteReference"/>
          <w:sz w:val="16"/>
          <w:szCs w:val="16"/>
        </w:rPr>
        <w:footnoteRef/>
      </w:r>
      <w:r w:rsidRPr="00033A97">
        <w:rPr>
          <w:sz w:val="16"/>
          <w:szCs w:val="16"/>
        </w:rPr>
        <w:t xml:space="preserve"> Foreign Office, Notice of State of War Between Great Britain and Austria-Hungary, August 12, 1914, </w:t>
      </w:r>
      <w:r w:rsidRPr="00033A97">
        <w:rPr>
          <w:rStyle w:val="Emphasis"/>
          <w:sz w:val="16"/>
          <w:szCs w:val="16"/>
        </w:rPr>
        <w:t>Supplement to the London Gazette</w:t>
      </w:r>
      <w:r w:rsidRPr="00033A97">
        <w:rPr>
          <w:sz w:val="16"/>
          <w:szCs w:val="16"/>
        </w:rPr>
        <w:t xml:space="preserve"> no. 28868 (August 13, 1914): 6375, </w:t>
      </w:r>
      <w:r w:rsidRPr="00033A97">
        <w:rPr>
          <w:sz w:val="16"/>
          <w:szCs w:val="16"/>
        </w:rPr>
        <w:br/>
        <w:t>Available online at  </w:t>
      </w:r>
      <w:hyperlink r:id="rId7" w:history="1">
        <w:r w:rsidRPr="00033A97">
          <w:rPr>
            <w:rStyle w:val="Hyperlink"/>
            <w:color w:val="auto"/>
            <w:sz w:val="16"/>
            <w:szCs w:val="16"/>
          </w:rPr>
          <w:t>https://www.thegazette.co.uk/London/issue/28868/</w:t>
        </w:r>
        <w:r w:rsidRPr="00033A97">
          <w:rPr>
            <w:sz w:val="16"/>
            <w:szCs w:val="16"/>
            <w:u w:val="single"/>
          </w:rPr>
          <w:br/>
        </w:r>
        <w:r w:rsidRPr="00033A97">
          <w:rPr>
            <w:rStyle w:val="Hyperlink"/>
            <w:color w:val="auto"/>
            <w:sz w:val="16"/>
            <w:szCs w:val="16"/>
          </w:rPr>
          <w:t>supplement/6375/data.pdf</w:t>
        </w:r>
      </w:hyperlink>
    </w:p>
    <w:p w:rsidR="00B21D45" w:rsidRDefault="00B21D45">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4A4B" w:rsidRDefault="00C44A4B" w:rsidP="00C44A4B">
    <w:pPr>
      <w:pStyle w:val="Header"/>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1A1"/>
    <w:rsid w:val="0000500F"/>
    <w:rsid w:val="00010ED4"/>
    <w:rsid w:val="00013316"/>
    <w:rsid w:val="00015B22"/>
    <w:rsid w:val="00025B73"/>
    <w:rsid w:val="00030195"/>
    <w:rsid w:val="000324D7"/>
    <w:rsid w:val="00033A97"/>
    <w:rsid w:val="00034199"/>
    <w:rsid w:val="0005777C"/>
    <w:rsid w:val="000714DA"/>
    <w:rsid w:val="00087185"/>
    <w:rsid w:val="000A38A0"/>
    <w:rsid w:val="000B0CF5"/>
    <w:rsid w:val="000D7969"/>
    <w:rsid w:val="000F5B43"/>
    <w:rsid w:val="00113543"/>
    <w:rsid w:val="001139DC"/>
    <w:rsid w:val="00116AED"/>
    <w:rsid w:val="00122271"/>
    <w:rsid w:val="00134EF1"/>
    <w:rsid w:val="00140DA6"/>
    <w:rsid w:val="0014468F"/>
    <w:rsid w:val="001520A1"/>
    <w:rsid w:val="001827B7"/>
    <w:rsid w:val="00185F79"/>
    <w:rsid w:val="00197BBB"/>
    <w:rsid w:val="001A298D"/>
    <w:rsid w:val="001B0C2B"/>
    <w:rsid w:val="001B4076"/>
    <w:rsid w:val="001B65B1"/>
    <w:rsid w:val="001C23B5"/>
    <w:rsid w:val="001D4F1D"/>
    <w:rsid w:val="001E2E99"/>
    <w:rsid w:val="002107E9"/>
    <w:rsid w:val="00257F2F"/>
    <w:rsid w:val="00272B25"/>
    <w:rsid w:val="00285331"/>
    <w:rsid w:val="0029290B"/>
    <w:rsid w:val="002A470F"/>
    <w:rsid w:val="002F4C83"/>
    <w:rsid w:val="002F5675"/>
    <w:rsid w:val="00314616"/>
    <w:rsid w:val="003348E2"/>
    <w:rsid w:val="00335702"/>
    <w:rsid w:val="00341D2E"/>
    <w:rsid w:val="00362821"/>
    <w:rsid w:val="00363A2B"/>
    <w:rsid w:val="003652A7"/>
    <w:rsid w:val="003B29F0"/>
    <w:rsid w:val="003B6033"/>
    <w:rsid w:val="003B6AB5"/>
    <w:rsid w:val="003C187A"/>
    <w:rsid w:val="003F6159"/>
    <w:rsid w:val="004019DE"/>
    <w:rsid w:val="00404B87"/>
    <w:rsid w:val="00411185"/>
    <w:rsid w:val="004112F9"/>
    <w:rsid w:val="004204B6"/>
    <w:rsid w:val="00425F87"/>
    <w:rsid w:val="00441AB5"/>
    <w:rsid w:val="00452075"/>
    <w:rsid w:val="00457BC9"/>
    <w:rsid w:val="00461916"/>
    <w:rsid w:val="00470953"/>
    <w:rsid w:val="00475FEB"/>
    <w:rsid w:val="00477847"/>
    <w:rsid w:val="00490D7C"/>
    <w:rsid w:val="004947B5"/>
    <w:rsid w:val="004A06EF"/>
    <w:rsid w:val="004A11CD"/>
    <w:rsid w:val="004B3D53"/>
    <w:rsid w:val="004B400A"/>
    <w:rsid w:val="004C6200"/>
    <w:rsid w:val="00500739"/>
    <w:rsid w:val="00500D5E"/>
    <w:rsid w:val="00532A22"/>
    <w:rsid w:val="005565AD"/>
    <w:rsid w:val="00563C12"/>
    <w:rsid w:val="00570086"/>
    <w:rsid w:val="005827CF"/>
    <w:rsid w:val="00596BDE"/>
    <w:rsid w:val="005A5928"/>
    <w:rsid w:val="005B0167"/>
    <w:rsid w:val="005B0921"/>
    <w:rsid w:val="005B194A"/>
    <w:rsid w:val="005B72E9"/>
    <w:rsid w:val="005E18B3"/>
    <w:rsid w:val="00606DE7"/>
    <w:rsid w:val="00664104"/>
    <w:rsid w:val="006712AB"/>
    <w:rsid w:val="006907B2"/>
    <w:rsid w:val="00695DEA"/>
    <w:rsid w:val="006C3ED8"/>
    <w:rsid w:val="006C684A"/>
    <w:rsid w:val="007249E5"/>
    <w:rsid w:val="00737801"/>
    <w:rsid w:val="0076743B"/>
    <w:rsid w:val="00780D17"/>
    <w:rsid w:val="007A1222"/>
    <w:rsid w:val="007A2A46"/>
    <w:rsid w:val="007B500C"/>
    <w:rsid w:val="007D1490"/>
    <w:rsid w:val="007D6B0E"/>
    <w:rsid w:val="008313A8"/>
    <w:rsid w:val="00852839"/>
    <w:rsid w:val="00873E01"/>
    <w:rsid w:val="00881C44"/>
    <w:rsid w:val="008A1467"/>
    <w:rsid w:val="008E08E4"/>
    <w:rsid w:val="008E2FF8"/>
    <w:rsid w:val="00902C6F"/>
    <w:rsid w:val="0092054A"/>
    <w:rsid w:val="00933133"/>
    <w:rsid w:val="00947408"/>
    <w:rsid w:val="009521A1"/>
    <w:rsid w:val="009B3D3D"/>
    <w:rsid w:val="009C1244"/>
    <w:rsid w:val="009C5626"/>
    <w:rsid w:val="009D698B"/>
    <w:rsid w:val="009D7B8C"/>
    <w:rsid w:val="009F4146"/>
    <w:rsid w:val="00A129B3"/>
    <w:rsid w:val="00A238A7"/>
    <w:rsid w:val="00A608D3"/>
    <w:rsid w:val="00A75D28"/>
    <w:rsid w:val="00A84CDA"/>
    <w:rsid w:val="00A8768D"/>
    <w:rsid w:val="00A9337B"/>
    <w:rsid w:val="00A94A48"/>
    <w:rsid w:val="00A96319"/>
    <w:rsid w:val="00A97814"/>
    <w:rsid w:val="00AA3985"/>
    <w:rsid w:val="00AC46C9"/>
    <w:rsid w:val="00AD0B00"/>
    <w:rsid w:val="00AD5AB3"/>
    <w:rsid w:val="00AE0764"/>
    <w:rsid w:val="00AF104C"/>
    <w:rsid w:val="00AF69E0"/>
    <w:rsid w:val="00B06090"/>
    <w:rsid w:val="00B21D45"/>
    <w:rsid w:val="00B24A4D"/>
    <w:rsid w:val="00B522DC"/>
    <w:rsid w:val="00B56ACF"/>
    <w:rsid w:val="00B617D5"/>
    <w:rsid w:val="00B61F65"/>
    <w:rsid w:val="00B625DE"/>
    <w:rsid w:val="00B742D7"/>
    <w:rsid w:val="00B80400"/>
    <w:rsid w:val="00B815AF"/>
    <w:rsid w:val="00BD27DA"/>
    <w:rsid w:val="00BE3CEA"/>
    <w:rsid w:val="00C01B01"/>
    <w:rsid w:val="00C0573F"/>
    <w:rsid w:val="00C1433B"/>
    <w:rsid w:val="00C16B0E"/>
    <w:rsid w:val="00C226EF"/>
    <w:rsid w:val="00C35EED"/>
    <w:rsid w:val="00C44A4B"/>
    <w:rsid w:val="00C521FE"/>
    <w:rsid w:val="00C53105"/>
    <w:rsid w:val="00C53997"/>
    <w:rsid w:val="00C63E7F"/>
    <w:rsid w:val="00C64DEC"/>
    <w:rsid w:val="00C67285"/>
    <w:rsid w:val="00C86A22"/>
    <w:rsid w:val="00CA638B"/>
    <w:rsid w:val="00CC31DE"/>
    <w:rsid w:val="00CD3E42"/>
    <w:rsid w:val="00CD7A3B"/>
    <w:rsid w:val="00CE6BF5"/>
    <w:rsid w:val="00CF377A"/>
    <w:rsid w:val="00D05A3E"/>
    <w:rsid w:val="00D139B6"/>
    <w:rsid w:val="00D15D20"/>
    <w:rsid w:val="00D21BD1"/>
    <w:rsid w:val="00D24146"/>
    <w:rsid w:val="00D27D18"/>
    <w:rsid w:val="00D36C30"/>
    <w:rsid w:val="00D44FE7"/>
    <w:rsid w:val="00D57454"/>
    <w:rsid w:val="00D61A24"/>
    <w:rsid w:val="00D6478A"/>
    <w:rsid w:val="00D76CD2"/>
    <w:rsid w:val="00D83C19"/>
    <w:rsid w:val="00D85DEE"/>
    <w:rsid w:val="00DC3729"/>
    <w:rsid w:val="00DC740A"/>
    <w:rsid w:val="00DD24CF"/>
    <w:rsid w:val="00E31449"/>
    <w:rsid w:val="00E327DE"/>
    <w:rsid w:val="00E366DB"/>
    <w:rsid w:val="00E4643D"/>
    <w:rsid w:val="00E467D2"/>
    <w:rsid w:val="00E713C3"/>
    <w:rsid w:val="00E717EA"/>
    <w:rsid w:val="00E75D3D"/>
    <w:rsid w:val="00E82611"/>
    <w:rsid w:val="00E852BD"/>
    <w:rsid w:val="00E91F0D"/>
    <w:rsid w:val="00E91F63"/>
    <w:rsid w:val="00E931CC"/>
    <w:rsid w:val="00EA356C"/>
    <w:rsid w:val="00EA5E02"/>
    <w:rsid w:val="00EB12C8"/>
    <w:rsid w:val="00EB35D2"/>
    <w:rsid w:val="00EC4E53"/>
    <w:rsid w:val="00ED0AB2"/>
    <w:rsid w:val="00EE756C"/>
    <w:rsid w:val="00EF1F43"/>
    <w:rsid w:val="00F136F8"/>
    <w:rsid w:val="00F1627E"/>
    <w:rsid w:val="00F1698C"/>
    <w:rsid w:val="00F21BBE"/>
    <w:rsid w:val="00F300BC"/>
    <w:rsid w:val="00F43FE8"/>
    <w:rsid w:val="00F507F7"/>
    <w:rsid w:val="00F754E1"/>
    <w:rsid w:val="00FA71AD"/>
    <w:rsid w:val="00FB2224"/>
    <w:rsid w:val="00FB2F40"/>
    <w:rsid w:val="00FC3BCC"/>
    <w:rsid w:val="00FD5EA1"/>
    <w:rsid w:val="00FE4E56"/>
    <w:rsid w:val="00FE77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19AC797-99AC-4D60-B178-CE55DA7B7D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3CEA"/>
  </w:style>
  <w:style w:type="paragraph" w:styleId="Heading2">
    <w:name w:val="heading 2"/>
    <w:basedOn w:val="Normal"/>
    <w:link w:val="Heading2Char"/>
    <w:uiPriority w:val="9"/>
    <w:qFormat/>
    <w:rsid w:val="001827B7"/>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9521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9521A1"/>
    <w:rPr>
      <w:rFonts w:ascii="Courier New" w:eastAsia="Times New Roman" w:hAnsi="Courier New" w:cs="Courier New"/>
      <w:sz w:val="20"/>
      <w:szCs w:val="20"/>
      <w:lang w:eastAsia="en-GB"/>
    </w:rPr>
  </w:style>
  <w:style w:type="character" w:styleId="Hyperlink">
    <w:name w:val="Hyperlink"/>
    <w:basedOn w:val="DefaultParagraphFont"/>
    <w:uiPriority w:val="99"/>
    <w:unhideWhenUsed/>
    <w:rsid w:val="008A1467"/>
    <w:rPr>
      <w:color w:val="0000FF"/>
      <w:u w:val="single"/>
    </w:rPr>
  </w:style>
  <w:style w:type="character" w:styleId="Emphasis">
    <w:name w:val="Emphasis"/>
    <w:basedOn w:val="DefaultParagraphFont"/>
    <w:uiPriority w:val="20"/>
    <w:qFormat/>
    <w:rsid w:val="008A1467"/>
    <w:rPr>
      <w:i/>
      <w:iCs/>
    </w:rPr>
  </w:style>
  <w:style w:type="paragraph" w:styleId="NormalWeb">
    <w:name w:val="Normal (Web)"/>
    <w:basedOn w:val="Normal"/>
    <w:uiPriority w:val="99"/>
    <w:semiHidden/>
    <w:unhideWhenUsed/>
    <w:rsid w:val="00FB222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noteText">
    <w:name w:val="footnote text"/>
    <w:basedOn w:val="Normal"/>
    <w:link w:val="FootnoteTextChar"/>
    <w:uiPriority w:val="99"/>
    <w:semiHidden/>
    <w:unhideWhenUsed/>
    <w:rsid w:val="003B603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B6033"/>
    <w:rPr>
      <w:sz w:val="20"/>
      <w:szCs w:val="20"/>
    </w:rPr>
  </w:style>
  <w:style w:type="character" w:styleId="FootnoteReference">
    <w:name w:val="footnote reference"/>
    <w:basedOn w:val="DefaultParagraphFont"/>
    <w:uiPriority w:val="99"/>
    <w:semiHidden/>
    <w:unhideWhenUsed/>
    <w:rsid w:val="003B6033"/>
    <w:rPr>
      <w:vertAlign w:val="superscript"/>
    </w:rPr>
  </w:style>
  <w:style w:type="character" w:customStyle="1" w:styleId="Heading2Char">
    <w:name w:val="Heading 2 Char"/>
    <w:basedOn w:val="DefaultParagraphFont"/>
    <w:link w:val="Heading2"/>
    <w:uiPriority w:val="9"/>
    <w:rsid w:val="001827B7"/>
    <w:rPr>
      <w:rFonts w:ascii="Times New Roman" w:eastAsia="Times New Roman" w:hAnsi="Times New Roman" w:cs="Times New Roman"/>
      <w:b/>
      <w:bCs/>
      <w:sz w:val="36"/>
      <w:szCs w:val="36"/>
      <w:lang w:eastAsia="en-GB"/>
    </w:rPr>
  </w:style>
  <w:style w:type="paragraph" w:styleId="NoSpacing">
    <w:name w:val="No Spacing"/>
    <w:uiPriority w:val="1"/>
    <w:qFormat/>
    <w:rsid w:val="00D27D18"/>
    <w:pPr>
      <w:spacing w:after="0" w:line="240" w:lineRule="auto"/>
    </w:pPr>
  </w:style>
  <w:style w:type="character" w:customStyle="1" w:styleId="mw-cite-backlink">
    <w:name w:val="mw-cite-backlink"/>
    <w:basedOn w:val="DefaultParagraphFont"/>
    <w:rsid w:val="00FE4E56"/>
  </w:style>
  <w:style w:type="character" w:customStyle="1" w:styleId="reference-text">
    <w:name w:val="reference-text"/>
    <w:basedOn w:val="DefaultParagraphFont"/>
    <w:rsid w:val="00FE4E56"/>
  </w:style>
  <w:style w:type="character" w:customStyle="1" w:styleId="field-content">
    <w:name w:val="field-content"/>
    <w:basedOn w:val="DefaultParagraphFont"/>
    <w:rsid w:val="004C6200"/>
  </w:style>
  <w:style w:type="character" w:customStyle="1" w:styleId="italic">
    <w:name w:val="italic"/>
    <w:basedOn w:val="DefaultParagraphFont"/>
    <w:rsid w:val="00CD3E42"/>
  </w:style>
  <w:style w:type="character" w:styleId="HTMLCite">
    <w:name w:val="HTML Cite"/>
    <w:basedOn w:val="DefaultParagraphFont"/>
    <w:uiPriority w:val="99"/>
    <w:semiHidden/>
    <w:unhideWhenUsed/>
    <w:rsid w:val="004B3D53"/>
    <w:rPr>
      <w:i/>
      <w:iCs/>
    </w:rPr>
  </w:style>
  <w:style w:type="character" w:customStyle="1" w:styleId="vdur">
    <w:name w:val="vdur"/>
    <w:basedOn w:val="DefaultParagraphFont"/>
    <w:rsid w:val="006907B2"/>
  </w:style>
  <w:style w:type="paragraph" w:styleId="BalloonText">
    <w:name w:val="Balloon Text"/>
    <w:basedOn w:val="Normal"/>
    <w:link w:val="BalloonTextChar"/>
    <w:uiPriority w:val="99"/>
    <w:semiHidden/>
    <w:unhideWhenUsed/>
    <w:rsid w:val="008313A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13A8"/>
    <w:rPr>
      <w:rFonts w:ascii="Tahoma" w:hAnsi="Tahoma" w:cs="Tahoma"/>
      <w:sz w:val="16"/>
      <w:szCs w:val="16"/>
    </w:rPr>
  </w:style>
  <w:style w:type="paragraph" w:styleId="Header">
    <w:name w:val="header"/>
    <w:basedOn w:val="Normal"/>
    <w:link w:val="HeaderChar"/>
    <w:uiPriority w:val="99"/>
    <w:unhideWhenUsed/>
    <w:rsid w:val="00C44A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4A4B"/>
  </w:style>
  <w:style w:type="paragraph" w:styleId="Footer">
    <w:name w:val="footer"/>
    <w:basedOn w:val="Normal"/>
    <w:link w:val="FooterChar"/>
    <w:uiPriority w:val="99"/>
    <w:unhideWhenUsed/>
    <w:rsid w:val="00C44A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4A4B"/>
  </w:style>
  <w:style w:type="character" w:styleId="FollowedHyperlink">
    <w:name w:val="FollowedHyperlink"/>
    <w:basedOn w:val="DefaultParagraphFont"/>
    <w:uiPriority w:val="99"/>
    <w:semiHidden/>
    <w:unhideWhenUsed/>
    <w:rsid w:val="00457BC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832790">
      <w:bodyDiv w:val="1"/>
      <w:marLeft w:val="0"/>
      <w:marRight w:val="0"/>
      <w:marTop w:val="0"/>
      <w:marBottom w:val="0"/>
      <w:divBdr>
        <w:top w:val="none" w:sz="0" w:space="0" w:color="auto"/>
        <w:left w:val="none" w:sz="0" w:space="0" w:color="auto"/>
        <w:bottom w:val="none" w:sz="0" w:space="0" w:color="auto"/>
        <w:right w:val="none" w:sz="0" w:space="0" w:color="auto"/>
      </w:divBdr>
    </w:div>
    <w:div w:id="163404349">
      <w:bodyDiv w:val="1"/>
      <w:marLeft w:val="0"/>
      <w:marRight w:val="0"/>
      <w:marTop w:val="0"/>
      <w:marBottom w:val="0"/>
      <w:divBdr>
        <w:top w:val="none" w:sz="0" w:space="0" w:color="auto"/>
        <w:left w:val="none" w:sz="0" w:space="0" w:color="auto"/>
        <w:bottom w:val="none" w:sz="0" w:space="0" w:color="auto"/>
        <w:right w:val="none" w:sz="0" w:space="0" w:color="auto"/>
      </w:divBdr>
      <w:divsChild>
        <w:div w:id="1181745823">
          <w:marLeft w:val="0"/>
          <w:marRight w:val="0"/>
          <w:marTop w:val="0"/>
          <w:marBottom w:val="0"/>
          <w:divBdr>
            <w:top w:val="none" w:sz="0" w:space="0" w:color="auto"/>
            <w:left w:val="none" w:sz="0" w:space="0" w:color="auto"/>
            <w:bottom w:val="none" w:sz="0" w:space="0" w:color="auto"/>
            <w:right w:val="none" w:sz="0" w:space="0" w:color="auto"/>
          </w:divBdr>
          <w:divsChild>
            <w:div w:id="712846584">
              <w:marLeft w:val="0"/>
              <w:marRight w:val="0"/>
              <w:marTop w:val="0"/>
              <w:marBottom w:val="0"/>
              <w:divBdr>
                <w:top w:val="none" w:sz="0" w:space="0" w:color="auto"/>
                <w:left w:val="none" w:sz="0" w:space="0" w:color="auto"/>
                <w:bottom w:val="none" w:sz="0" w:space="0" w:color="auto"/>
                <w:right w:val="none" w:sz="0" w:space="0" w:color="auto"/>
              </w:divBdr>
              <w:divsChild>
                <w:div w:id="1821992755">
                  <w:marLeft w:val="-115"/>
                  <w:marRight w:val="-115"/>
                  <w:marTop w:val="0"/>
                  <w:marBottom w:val="0"/>
                  <w:divBdr>
                    <w:top w:val="none" w:sz="0" w:space="0" w:color="auto"/>
                    <w:left w:val="none" w:sz="0" w:space="0" w:color="auto"/>
                    <w:bottom w:val="none" w:sz="0" w:space="0" w:color="auto"/>
                    <w:right w:val="none" w:sz="0" w:space="0" w:color="auto"/>
                  </w:divBdr>
                  <w:divsChild>
                    <w:div w:id="94249619">
                      <w:marLeft w:val="0"/>
                      <w:marRight w:val="0"/>
                      <w:marTop w:val="0"/>
                      <w:marBottom w:val="0"/>
                      <w:divBdr>
                        <w:top w:val="none" w:sz="0" w:space="0" w:color="auto"/>
                        <w:left w:val="none" w:sz="0" w:space="0" w:color="auto"/>
                        <w:bottom w:val="none" w:sz="0" w:space="0" w:color="auto"/>
                        <w:right w:val="none" w:sz="0" w:space="0" w:color="auto"/>
                      </w:divBdr>
                      <w:divsChild>
                        <w:div w:id="1569683194">
                          <w:marLeft w:val="0"/>
                          <w:marRight w:val="0"/>
                          <w:marTop w:val="0"/>
                          <w:marBottom w:val="0"/>
                          <w:divBdr>
                            <w:top w:val="none" w:sz="0" w:space="0" w:color="auto"/>
                            <w:left w:val="none" w:sz="0" w:space="0" w:color="auto"/>
                            <w:bottom w:val="none" w:sz="0" w:space="0" w:color="auto"/>
                            <w:right w:val="none" w:sz="0" w:space="0" w:color="auto"/>
                          </w:divBdr>
                          <w:divsChild>
                            <w:div w:id="669530539">
                              <w:marLeft w:val="0"/>
                              <w:marRight w:val="0"/>
                              <w:marTop w:val="0"/>
                              <w:marBottom w:val="0"/>
                              <w:divBdr>
                                <w:top w:val="none" w:sz="0" w:space="0" w:color="auto"/>
                                <w:left w:val="none" w:sz="0" w:space="0" w:color="auto"/>
                                <w:bottom w:val="none" w:sz="0" w:space="0" w:color="auto"/>
                                <w:right w:val="none" w:sz="0" w:space="0" w:color="auto"/>
                              </w:divBdr>
                              <w:divsChild>
                                <w:div w:id="1809202538">
                                  <w:marLeft w:val="0"/>
                                  <w:marRight w:val="0"/>
                                  <w:marTop w:val="0"/>
                                  <w:marBottom w:val="0"/>
                                  <w:divBdr>
                                    <w:top w:val="none" w:sz="0" w:space="0" w:color="auto"/>
                                    <w:left w:val="none" w:sz="0" w:space="0" w:color="auto"/>
                                    <w:bottom w:val="none" w:sz="0" w:space="0" w:color="auto"/>
                                    <w:right w:val="none" w:sz="0" w:space="0" w:color="auto"/>
                                  </w:divBdr>
                                  <w:divsChild>
                                    <w:div w:id="1127895682">
                                      <w:marLeft w:val="0"/>
                                      <w:marRight w:val="0"/>
                                      <w:marTop w:val="0"/>
                                      <w:marBottom w:val="0"/>
                                      <w:divBdr>
                                        <w:top w:val="none" w:sz="0" w:space="0" w:color="auto"/>
                                        <w:left w:val="none" w:sz="0" w:space="0" w:color="auto"/>
                                        <w:bottom w:val="none" w:sz="0" w:space="0" w:color="auto"/>
                                        <w:right w:val="none" w:sz="0" w:space="0" w:color="auto"/>
                                      </w:divBdr>
                                      <w:divsChild>
                                        <w:div w:id="101461734">
                                          <w:marLeft w:val="0"/>
                                          <w:marRight w:val="0"/>
                                          <w:marTop w:val="0"/>
                                          <w:marBottom w:val="0"/>
                                          <w:divBdr>
                                            <w:top w:val="none" w:sz="0" w:space="0" w:color="auto"/>
                                            <w:left w:val="none" w:sz="0" w:space="0" w:color="auto"/>
                                            <w:bottom w:val="none" w:sz="0" w:space="0" w:color="auto"/>
                                            <w:right w:val="none" w:sz="0" w:space="0" w:color="auto"/>
                                          </w:divBdr>
                                          <w:divsChild>
                                            <w:div w:id="175460566">
                                              <w:marLeft w:val="0"/>
                                              <w:marRight w:val="0"/>
                                              <w:marTop w:val="0"/>
                                              <w:marBottom w:val="0"/>
                                              <w:divBdr>
                                                <w:top w:val="none" w:sz="0" w:space="0" w:color="auto"/>
                                                <w:left w:val="none" w:sz="0" w:space="0" w:color="auto"/>
                                                <w:bottom w:val="none" w:sz="0" w:space="0" w:color="auto"/>
                                                <w:right w:val="none" w:sz="0" w:space="0" w:color="auto"/>
                                              </w:divBdr>
                                              <w:divsChild>
                                                <w:div w:id="1524783974">
                                                  <w:marLeft w:val="0"/>
                                                  <w:marRight w:val="0"/>
                                                  <w:marTop w:val="0"/>
                                                  <w:marBottom w:val="0"/>
                                                  <w:divBdr>
                                                    <w:top w:val="none" w:sz="0" w:space="0" w:color="auto"/>
                                                    <w:left w:val="none" w:sz="0" w:space="0" w:color="auto"/>
                                                    <w:bottom w:val="none" w:sz="0" w:space="0" w:color="auto"/>
                                                    <w:right w:val="none" w:sz="0" w:space="0" w:color="auto"/>
                                                  </w:divBdr>
                                                  <w:divsChild>
                                                    <w:div w:id="1227491791">
                                                      <w:marLeft w:val="0"/>
                                                      <w:marRight w:val="0"/>
                                                      <w:marTop w:val="0"/>
                                                      <w:marBottom w:val="0"/>
                                                      <w:divBdr>
                                                        <w:top w:val="none" w:sz="0" w:space="0" w:color="auto"/>
                                                        <w:left w:val="none" w:sz="0" w:space="0" w:color="auto"/>
                                                        <w:bottom w:val="none" w:sz="0" w:space="0" w:color="auto"/>
                                                        <w:right w:val="none" w:sz="0" w:space="0" w:color="auto"/>
                                                      </w:divBdr>
                                                      <w:divsChild>
                                                        <w:div w:id="635375649">
                                                          <w:marLeft w:val="0"/>
                                                          <w:marRight w:val="0"/>
                                                          <w:marTop w:val="0"/>
                                                          <w:marBottom w:val="0"/>
                                                          <w:divBdr>
                                                            <w:top w:val="none" w:sz="0" w:space="0" w:color="auto"/>
                                                            <w:left w:val="none" w:sz="0" w:space="0" w:color="auto"/>
                                                            <w:bottom w:val="none" w:sz="0" w:space="0" w:color="auto"/>
                                                            <w:right w:val="none" w:sz="0" w:space="0" w:color="auto"/>
                                                          </w:divBdr>
                                                          <w:divsChild>
                                                            <w:div w:id="1379671196">
                                                              <w:marLeft w:val="0"/>
                                                              <w:marRight w:val="0"/>
                                                              <w:marTop w:val="0"/>
                                                              <w:marBottom w:val="0"/>
                                                              <w:divBdr>
                                                                <w:top w:val="none" w:sz="0" w:space="0" w:color="auto"/>
                                                                <w:left w:val="none" w:sz="0" w:space="0" w:color="auto"/>
                                                                <w:bottom w:val="none" w:sz="0" w:space="0" w:color="auto"/>
                                                                <w:right w:val="none" w:sz="0" w:space="0" w:color="auto"/>
                                                              </w:divBdr>
                                                              <w:divsChild>
                                                                <w:div w:id="743798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86183492">
                                              <w:marLeft w:val="0"/>
                                              <w:marRight w:val="0"/>
                                              <w:marTop w:val="0"/>
                                              <w:marBottom w:val="0"/>
                                              <w:divBdr>
                                                <w:top w:val="none" w:sz="0" w:space="0" w:color="auto"/>
                                                <w:left w:val="none" w:sz="0" w:space="0" w:color="auto"/>
                                                <w:bottom w:val="none" w:sz="0" w:space="0" w:color="auto"/>
                                                <w:right w:val="none" w:sz="0" w:space="0" w:color="auto"/>
                                              </w:divBdr>
                                              <w:divsChild>
                                                <w:div w:id="216744387">
                                                  <w:marLeft w:val="0"/>
                                                  <w:marRight w:val="0"/>
                                                  <w:marTop w:val="0"/>
                                                  <w:marBottom w:val="0"/>
                                                  <w:divBdr>
                                                    <w:top w:val="none" w:sz="0" w:space="0" w:color="auto"/>
                                                    <w:left w:val="none" w:sz="0" w:space="0" w:color="auto"/>
                                                    <w:bottom w:val="none" w:sz="0" w:space="0" w:color="auto"/>
                                                    <w:right w:val="none" w:sz="0" w:space="0" w:color="auto"/>
                                                  </w:divBdr>
                                                  <w:divsChild>
                                                    <w:div w:id="1398435017">
                                                      <w:marLeft w:val="0"/>
                                                      <w:marRight w:val="0"/>
                                                      <w:marTop w:val="0"/>
                                                      <w:marBottom w:val="0"/>
                                                      <w:divBdr>
                                                        <w:top w:val="none" w:sz="0" w:space="0" w:color="auto"/>
                                                        <w:left w:val="none" w:sz="0" w:space="0" w:color="auto"/>
                                                        <w:bottom w:val="none" w:sz="0" w:space="0" w:color="auto"/>
                                                        <w:right w:val="none" w:sz="0" w:space="0" w:color="auto"/>
                                                      </w:divBdr>
                                                      <w:divsChild>
                                                        <w:div w:id="802576963">
                                                          <w:marLeft w:val="0"/>
                                                          <w:marRight w:val="0"/>
                                                          <w:marTop w:val="0"/>
                                                          <w:marBottom w:val="0"/>
                                                          <w:divBdr>
                                                            <w:top w:val="none" w:sz="0" w:space="0" w:color="auto"/>
                                                            <w:left w:val="none" w:sz="0" w:space="0" w:color="auto"/>
                                                            <w:bottom w:val="none" w:sz="0" w:space="0" w:color="auto"/>
                                                            <w:right w:val="none" w:sz="0" w:space="0" w:color="auto"/>
                                                          </w:divBdr>
                                                          <w:divsChild>
                                                            <w:div w:id="1168131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336006520">
      <w:bodyDiv w:val="1"/>
      <w:marLeft w:val="0"/>
      <w:marRight w:val="0"/>
      <w:marTop w:val="0"/>
      <w:marBottom w:val="0"/>
      <w:divBdr>
        <w:top w:val="none" w:sz="0" w:space="0" w:color="auto"/>
        <w:left w:val="none" w:sz="0" w:space="0" w:color="auto"/>
        <w:bottom w:val="none" w:sz="0" w:space="0" w:color="auto"/>
        <w:right w:val="none" w:sz="0" w:space="0" w:color="auto"/>
      </w:divBdr>
      <w:divsChild>
        <w:div w:id="1261330853">
          <w:marLeft w:val="0"/>
          <w:marRight w:val="0"/>
          <w:marTop w:val="0"/>
          <w:marBottom w:val="0"/>
          <w:divBdr>
            <w:top w:val="none" w:sz="0" w:space="0" w:color="auto"/>
            <w:left w:val="none" w:sz="0" w:space="0" w:color="auto"/>
            <w:bottom w:val="none" w:sz="0" w:space="0" w:color="auto"/>
            <w:right w:val="none" w:sz="0" w:space="0" w:color="auto"/>
          </w:divBdr>
          <w:divsChild>
            <w:div w:id="1398936829">
              <w:marLeft w:val="0"/>
              <w:marRight w:val="0"/>
              <w:marTop w:val="0"/>
              <w:marBottom w:val="0"/>
              <w:divBdr>
                <w:top w:val="none" w:sz="0" w:space="0" w:color="auto"/>
                <w:left w:val="none" w:sz="0" w:space="0" w:color="auto"/>
                <w:bottom w:val="none" w:sz="0" w:space="0" w:color="auto"/>
                <w:right w:val="none" w:sz="0" w:space="0" w:color="auto"/>
              </w:divBdr>
              <w:divsChild>
                <w:div w:id="1146968703">
                  <w:marLeft w:val="0"/>
                  <w:marRight w:val="0"/>
                  <w:marTop w:val="0"/>
                  <w:marBottom w:val="0"/>
                  <w:divBdr>
                    <w:top w:val="none" w:sz="0" w:space="0" w:color="auto"/>
                    <w:left w:val="none" w:sz="0" w:space="0" w:color="auto"/>
                    <w:bottom w:val="none" w:sz="0" w:space="0" w:color="auto"/>
                    <w:right w:val="none" w:sz="0" w:space="0" w:color="auto"/>
                  </w:divBdr>
                  <w:divsChild>
                    <w:div w:id="1031027511">
                      <w:marLeft w:val="0"/>
                      <w:marRight w:val="0"/>
                      <w:marTop w:val="32"/>
                      <w:marBottom w:val="0"/>
                      <w:divBdr>
                        <w:top w:val="none" w:sz="0" w:space="0" w:color="auto"/>
                        <w:left w:val="none" w:sz="0" w:space="0" w:color="auto"/>
                        <w:bottom w:val="none" w:sz="0" w:space="0" w:color="auto"/>
                        <w:right w:val="none" w:sz="0" w:space="0" w:color="auto"/>
                      </w:divBdr>
                      <w:divsChild>
                        <w:div w:id="811022305">
                          <w:marLeft w:val="0"/>
                          <w:marRight w:val="0"/>
                          <w:marTop w:val="0"/>
                          <w:marBottom w:val="0"/>
                          <w:divBdr>
                            <w:top w:val="none" w:sz="0" w:space="0" w:color="auto"/>
                            <w:left w:val="none" w:sz="0" w:space="0" w:color="auto"/>
                            <w:bottom w:val="none" w:sz="0" w:space="0" w:color="auto"/>
                            <w:right w:val="none" w:sz="0" w:space="0" w:color="auto"/>
                          </w:divBdr>
                          <w:divsChild>
                            <w:div w:id="989864053">
                              <w:marLeft w:val="1483"/>
                              <w:marRight w:val="2837"/>
                              <w:marTop w:val="0"/>
                              <w:marBottom w:val="0"/>
                              <w:divBdr>
                                <w:top w:val="none" w:sz="0" w:space="0" w:color="auto"/>
                                <w:left w:val="none" w:sz="0" w:space="0" w:color="auto"/>
                                <w:bottom w:val="none" w:sz="0" w:space="0" w:color="auto"/>
                                <w:right w:val="none" w:sz="0" w:space="0" w:color="auto"/>
                              </w:divBdr>
                              <w:divsChild>
                                <w:div w:id="1594700728">
                                  <w:marLeft w:val="0"/>
                                  <w:marRight w:val="0"/>
                                  <w:marTop w:val="0"/>
                                  <w:marBottom w:val="0"/>
                                  <w:divBdr>
                                    <w:top w:val="none" w:sz="0" w:space="0" w:color="auto"/>
                                    <w:left w:val="none" w:sz="0" w:space="0" w:color="auto"/>
                                    <w:bottom w:val="none" w:sz="0" w:space="0" w:color="auto"/>
                                    <w:right w:val="none" w:sz="0" w:space="0" w:color="auto"/>
                                  </w:divBdr>
                                  <w:divsChild>
                                    <w:div w:id="1122840522">
                                      <w:marLeft w:val="0"/>
                                      <w:marRight w:val="0"/>
                                      <w:marTop w:val="0"/>
                                      <w:marBottom w:val="0"/>
                                      <w:divBdr>
                                        <w:top w:val="none" w:sz="0" w:space="0" w:color="auto"/>
                                        <w:left w:val="none" w:sz="0" w:space="0" w:color="auto"/>
                                        <w:bottom w:val="none" w:sz="0" w:space="0" w:color="auto"/>
                                        <w:right w:val="none" w:sz="0" w:space="0" w:color="auto"/>
                                      </w:divBdr>
                                      <w:divsChild>
                                        <w:div w:id="1602646876">
                                          <w:marLeft w:val="0"/>
                                          <w:marRight w:val="0"/>
                                          <w:marTop w:val="0"/>
                                          <w:marBottom w:val="0"/>
                                          <w:divBdr>
                                            <w:top w:val="none" w:sz="0" w:space="0" w:color="auto"/>
                                            <w:left w:val="none" w:sz="0" w:space="0" w:color="auto"/>
                                            <w:bottom w:val="none" w:sz="0" w:space="0" w:color="auto"/>
                                            <w:right w:val="none" w:sz="0" w:space="0" w:color="auto"/>
                                          </w:divBdr>
                                          <w:divsChild>
                                            <w:div w:id="1797678843">
                                              <w:marLeft w:val="0"/>
                                              <w:marRight w:val="0"/>
                                              <w:marTop w:val="64"/>
                                              <w:marBottom w:val="0"/>
                                              <w:divBdr>
                                                <w:top w:val="none" w:sz="0" w:space="0" w:color="auto"/>
                                                <w:left w:val="none" w:sz="0" w:space="0" w:color="auto"/>
                                                <w:bottom w:val="none" w:sz="0" w:space="0" w:color="auto"/>
                                                <w:right w:val="none" w:sz="0" w:space="0" w:color="auto"/>
                                              </w:divBdr>
                                              <w:divsChild>
                                                <w:div w:id="1177496438">
                                                  <w:marLeft w:val="0"/>
                                                  <w:marRight w:val="0"/>
                                                  <w:marTop w:val="0"/>
                                                  <w:marBottom w:val="0"/>
                                                  <w:divBdr>
                                                    <w:top w:val="none" w:sz="0" w:space="0" w:color="auto"/>
                                                    <w:left w:val="none" w:sz="0" w:space="0" w:color="auto"/>
                                                    <w:bottom w:val="none" w:sz="0" w:space="0" w:color="auto"/>
                                                    <w:right w:val="none" w:sz="0" w:space="0" w:color="auto"/>
                                                  </w:divBdr>
                                                  <w:divsChild>
                                                    <w:div w:id="1875851076">
                                                      <w:marLeft w:val="0"/>
                                                      <w:marRight w:val="0"/>
                                                      <w:marTop w:val="0"/>
                                                      <w:marBottom w:val="0"/>
                                                      <w:divBdr>
                                                        <w:top w:val="none" w:sz="0" w:space="0" w:color="auto"/>
                                                        <w:left w:val="none" w:sz="0" w:space="0" w:color="auto"/>
                                                        <w:bottom w:val="none" w:sz="0" w:space="0" w:color="auto"/>
                                                        <w:right w:val="none" w:sz="0" w:space="0" w:color="auto"/>
                                                      </w:divBdr>
                                                      <w:divsChild>
                                                        <w:div w:id="2085713631">
                                                          <w:marLeft w:val="0"/>
                                                          <w:marRight w:val="0"/>
                                                          <w:marTop w:val="0"/>
                                                          <w:marBottom w:val="0"/>
                                                          <w:divBdr>
                                                            <w:top w:val="none" w:sz="0" w:space="0" w:color="auto"/>
                                                            <w:left w:val="none" w:sz="0" w:space="0" w:color="auto"/>
                                                            <w:bottom w:val="none" w:sz="0" w:space="0" w:color="auto"/>
                                                            <w:right w:val="none" w:sz="0" w:space="0" w:color="auto"/>
                                                          </w:divBdr>
                                                          <w:divsChild>
                                                            <w:div w:id="730811844">
                                                              <w:marLeft w:val="0"/>
                                                              <w:marRight w:val="0"/>
                                                              <w:marTop w:val="0"/>
                                                              <w:marBottom w:val="279"/>
                                                              <w:divBdr>
                                                                <w:top w:val="none" w:sz="0" w:space="0" w:color="auto"/>
                                                                <w:left w:val="none" w:sz="0" w:space="0" w:color="auto"/>
                                                                <w:bottom w:val="none" w:sz="0" w:space="0" w:color="auto"/>
                                                                <w:right w:val="none" w:sz="0" w:space="0" w:color="auto"/>
                                                              </w:divBdr>
                                                              <w:divsChild>
                                                                <w:div w:id="800150595">
                                                                  <w:marLeft w:val="0"/>
                                                                  <w:marRight w:val="0"/>
                                                                  <w:marTop w:val="0"/>
                                                                  <w:marBottom w:val="0"/>
                                                                  <w:divBdr>
                                                                    <w:top w:val="none" w:sz="0" w:space="0" w:color="auto"/>
                                                                    <w:left w:val="none" w:sz="0" w:space="0" w:color="auto"/>
                                                                    <w:bottom w:val="none" w:sz="0" w:space="0" w:color="auto"/>
                                                                    <w:right w:val="none" w:sz="0" w:space="0" w:color="auto"/>
                                                                  </w:divBdr>
                                                                  <w:divsChild>
                                                                    <w:div w:id="1829129766">
                                                                      <w:marLeft w:val="0"/>
                                                                      <w:marRight w:val="0"/>
                                                                      <w:marTop w:val="0"/>
                                                                      <w:marBottom w:val="0"/>
                                                                      <w:divBdr>
                                                                        <w:top w:val="none" w:sz="0" w:space="0" w:color="auto"/>
                                                                        <w:left w:val="none" w:sz="0" w:space="0" w:color="auto"/>
                                                                        <w:bottom w:val="none" w:sz="0" w:space="0" w:color="auto"/>
                                                                        <w:right w:val="none" w:sz="0" w:space="0" w:color="auto"/>
                                                                      </w:divBdr>
                                                                      <w:divsChild>
                                                                        <w:div w:id="658732039">
                                                                          <w:marLeft w:val="0"/>
                                                                          <w:marRight w:val="0"/>
                                                                          <w:marTop w:val="0"/>
                                                                          <w:marBottom w:val="0"/>
                                                                          <w:divBdr>
                                                                            <w:top w:val="none" w:sz="0" w:space="0" w:color="auto"/>
                                                                            <w:left w:val="none" w:sz="0" w:space="0" w:color="auto"/>
                                                                            <w:bottom w:val="none" w:sz="0" w:space="0" w:color="auto"/>
                                                                            <w:right w:val="none" w:sz="0" w:space="0" w:color="auto"/>
                                                                          </w:divBdr>
                                                                          <w:divsChild>
                                                                            <w:div w:id="737242788">
                                                                              <w:marLeft w:val="0"/>
                                                                              <w:marRight w:val="0"/>
                                                                              <w:marTop w:val="0"/>
                                                                              <w:marBottom w:val="0"/>
                                                                              <w:divBdr>
                                                                                <w:top w:val="none" w:sz="0" w:space="0" w:color="auto"/>
                                                                                <w:left w:val="none" w:sz="0" w:space="0" w:color="auto"/>
                                                                                <w:bottom w:val="none" w:sz="0" w:space="0" w:color="auto"/>
                                                                                <w:right w:val="none" w:sz="0" w:space="0" w:color="auto"/>
                                                                              </w:divBdr>
                                                                              <w:divsChild>
                                                                                <w:div w:id="1186867928">
                                                                                  <w:marLeft w:val="0"/>
                                                                                  <w:marRight w:val="0"/>
                                                                                  <w:marTop w:val="0"/>
                                                                                  <w:marBottom w:val="0"/>
                                                                                  <w:divBdr>
                                                                                    <w:top w:val="single" w:sz="4" w:space="0" w:color="EBEBEB"/>
                                                                                    <w:left w:val="single" w:sz="4" w:space="0" w:color="EBEBEB"/>
                                                                                    <w:bottom w:val="single" w:sz="4" w:space="0" w:color="EBEBEB"/>
                                                                                    <w:right w:val="single" w:sz="4" w:space="0" w:color="EBEBEB"/>
                                                                                  </w:divBdr>
                                                                                </w:div>
                                                                              </w:divsChild>
                                                                            </w:div>
                                                                            <w:div w:id="1608075273">
                                                                              <w:marLeft w:val="1343"/>
                                                                              <w:marRight w:val="0"/>
                                                                              <w:marTop w:val="0"/>
                                                                              <w:marBottom w:val="0"/>
                                                                              <w:divBdr>
                                                                                <w:top w:val="none" w:sz="0" w:space="0" w:color="auto"/>
                                                                                <w:left w:val="none" w:sz="0" w:space="0" w:color="auto"/>
                                                                                <w:bottom w:val="none" w:sz="0" w:space="0" w:color="auto"/>
                                                                                <w:right w:val="none" w:sz="0" w:space="0" w:color="auto"/>
                                                                              </w:divBdr>
                                                                              <w:divsChild>
                                                                                <w:div w:id="595601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82355185">
      <w:bodyDiv w:val="1"/>
      <w:marLeft w:val="0"/>
      <w:marRight w:val="0"/>
      <w:marTop w:val="0"/>
      <w:marBottom w:val="0"/>
      <w:divBdr>
        <w:top w:val="none" w:sz="0" w:space="0" w:color="auto"/>
        <w:left w:val="none" w:sz="0" w:space="0" w:color="auto"/>
        <w:bottom w:val="none" w:sz="0" w:space="0" w:color="auto"/>
        <w:right w:val="none" w:sz="0" w:space="0" w:color="auto"/>
      </w:divBdr>
    </w:div>
    <w:div w:id="590822210">
      <w:bodyDiv w:val="1"/>
      <w:marLeft w:val="0"/>
      <w:marRight w:val="0"/>
      <w:marTop w:val="0"/>
      <w:marBottom w:val="0"/>
      <w:divBdr>
        <w:top w:val="none" w:sz="0" w:space="0" w:color="auto"/>
        <w:left w:val="none" w:sz="0" w:space="0" w:color="auto"/>
        <w:bottom w:val="none" w:sz="0" w:space="0" w:color="auto"/>
        <w:right w:val="none" w:sz="0" w:space="0" w:color="auto"/>
      </w:divBdr>
      <w:divsChild>
        <w:div w:id="1300068411">
          <w:marLeft w:val="0"/>
          <w:marRight w:val="0"/>
          <w:marTop w:val="0"/>
          <w:marBottom w:val="0"/>
          <w:divBdr>
            <w:top w:val="none" w:sz="0" w:space="0" w:color="auto"/>
            <w:left w:val="none" w:sz="0" w:space="0" w:color="auto"/>
            <w:bottom w:val="none" w:sz="0" w:space="0" w:color="auto"/>
            <w:right w:val="none" w:sz="0" w:space="0" w:color="auto"/>
          </w:divBdr>
          <w:divsChild>
            <w:div w:id="849412812">
              <w:marLeft w:val="0"/>
              <w:marRight w:val="0"/>
              <w:marTop w:val="0"/>
              <w:marBottom w:val="0"/>
              <w:divBdr>
                <w:top w:val="none" w:sz="0" w:space="0" w:color="auto"/>
                <w:left w:val="none" w:sz="0" w:space="0" w:color="auto"/>
                <w:bottom w:val="none" w:sz="0" w:space="0" w:color="auto"/>
                <w:right w:val="none" w:sz="0" w:space="0" w:color="auto"/>
              </w:divBdr>
              <w:divsChild>
                <w:div w:id="101917703">
                  <w:marLeft w:val="0"/>
                  <w:marRight w:val="0"/>
                  <w:marTop w:val="0"/>
                  <w:marBottom w:val="0"/>
                  <w:divBdr>
                    <w:top w:val="none" w:sz="0" w:space="0" w:color="auto"/>
                    <w:left w:val="none" w:sz="0" w:space="0" w:color="auto"/>
                    <w:bottom w:val="none" w:sz="0" w:space="0" w:color="auto"/>
                    <w:right w:val="none" w:sz="0" w:space="0" w:color="auto"/>
                  </w:divBdr>
                  <w:divsChild>
                    <w:div w:id="526873798">
                      <w:marLeft w:val="0"/>
                      <w:marRight w:val="0"/>
                      <w:marTop w:val="32"/>
                      <w:marBottom w:val="0"/>
                      <w:divBdr>
                        <w:top w:val="none" w:sz="0" w:space="0" w:color="auto"/>
                        <w:left w:val="none" w:sz="0" w:space="0" w:color="auto"/>
                        <w:bottom w:val="none" w:sz="0" w:space="0" w:color="auto"/>
                        <w:right w:val="none" w:sz="0" w:space="0" w:color="auto"/>
                      </w:divBdr>
                      <w:divsChild>
                        <w:div w:id="211309751">
                          <w:marLeft w:val="0"/>
                          <w:marRight w:val="0"/>
                          <w:marTop w:val="0"/>
                          <w:marBottom w:val="0"/>
                          <w:divBdr>
                            <w:top w:val="none" w:sz="0" w:space="0" w:color="auto"/>
                            <w:left w:val="none" w:sz="0" w:space="0" w:color="auto"/>
                            <w:bottom w:val="none" w:sz="0" w:space="0" w:color="auto"/>
                            <w:right w:val="none" w:sz="0" w:space="0" w:color="auto"/>
                          </w:divBdr>
                          <w:divsChild>
                            <w:div w:id="670377727">
                              <w:marLeft w:val="1483"/>
                              <w:marRight w:val="2837"/>
                              <w:marTop w:val="0"/>
                              <w:marBottom w:val="0"/>
                              <w:divBdr>
                                <w:top w:val="none" w:sz="0" w:space="0" w:color="auto"/>
                                <w:left w:val="none" w:sz="0" w:space="0" w:color="auto"/>
                                <w:bottom w:val="none" w:sz="0" w:space="0" w:color="auto"/>
                                <w:right w:val="none" w:sz="0" w:space="0" w:color="auto"/>
                              </w:divBdr>
                              <w:divsChild>
                                <w:div w:id="2077623384">
                                  <w:marLeft w:val="0"/>
                                  <w:marRight w:val="0"/>
                                  <w:marTop w:val="0"/>
                                  <w:marBottom w:val="0"/>
                                  <w:divBdr>
                                    <w:top w:val="none" w:sz="0" w:space="0" w:color="auto"/>
                                    <w:left w:val="none" w:sz="0" w:space="0" w:color="auto"/>
                                    <w:bottom w:val="none" w:sz="0" w:space="0" w:color="auto"/>
                                    <w:right w:val="none" w:sz="0" w:space="0" w:color="auto"/>
                                  </w:divBdr>
                                  <w:divsChild>
                                    <w:div w:id="1539195291">
                                      <w:marLeft w:val="0"/>
                                      <w:marRight w:val="0"/>
                                      <w:marTop w:val="0"/>
                                      <w:marBottom w:val="0"/>
                                      <w:divBdr>
                                        <w:top w:val="none" w:sz="0" w:space="0" w:color="auto"/>
                                        <w:left w:val="none" w:sz="0" w:space="0" w:color="auto"/>
                                        <w:bottom w:val="none" w:sz="0" w:space="0" w:color="auto"/>
                                        <w:right w:val="none" w:sz="0" w:space="0" w:color="auto"/>
                                      </w:divBdr>
                                      <w:divsChild>
                                        <w:div w:id="841432908">
                                          <w:marLeft w:val="0"/>
                                          <w:marRight w:val="0"/>
                                          <w:marTop w:val="0"/>
                                          <w:marBottom w:val="0"/>
                                          <w:divBdr>
                                            <w:top w:val="none" w:sz="0" w:space="0" w:color="auto"/>
                                            <w:left w:val="none" w:sz="0" w:space="0" w:color="auto"/>
                                            <w:bottom w:val="none" w:sz="0" w:space="0" w:color="auto"/>
                                            <w:right w:val="none" w:sz="0" w:space="0" w:color="auto"/>
                                          </w:divBdr>
                                          <w:divsChild>
                                            <w:div w:id="1411581346">
                                              <w:marLeft w:val="0"/>
                                              <w:marRight w:val="0"/>
                                              <w:marTop w:val="64"/>
                                              <w:marBottom w:val="0"/>
                                              <w:divBdr>
                                                <w:top w:val="none" w:sz="0" w:space="0" w:color="auto"/>
                                                <w:left w:val="none" w:sz="0" w:space="0" w:color="auto"/>
                                                <w:bottom w:val="none" w:sz="0" w:space="0" w:color="auto"/>
                                                <w:right w:val="none" w:sz="0" w:space="0" w:color="auto"/>
                                              </w:divBdr>
                                              <w:divsChild>
                                                <w:div w:id="153760640">
                                                  <w:marLeft w:val="0"/>
                                                  <w:marRight w:val="0"/>
                                                  <w:marTop w:val="0"/>
                                                  <w:marBottom w:val="0"/>
                                                  <w:divBdr>
                                                    <w:top w:val="none" w:sz="0" w:space="0" w:color="auto"/>
                                                    <w:left w:val="none" w:sz="0" w:space="0" w:color="auto"/>
                                                    <w:bottom w:val="none" w:sz="0" w:space="0" w:color="auto"/>
                                                    <w:right w:val="none" w:sz="0" w:space="0" w:color="auto"/>
                                                  </w:divBdr>
                                                  <w:divsChild>
                                                    <w:div w:id="199755373">
                                                      <w:marLeft w:val="0"/>
                                                      <w:marRight w:val="0"/>
                                                      <w:marTop w:val="0"/>
                                                      <w:marBottom w:val="0"/>
                                                      <w:divBdr>
                                                        <w:top w:val="none" w:sz="0" w:space="0" w:color="auto"/>
                                                        <w:left w:val="none" w:sz="0" w:space="0" w:color="auto"/>
                                                        <w:bottom w:val="none" w:sz="0" w:space="0" w:color="auto"/>
                                                        <w:right w:val="none" w:sz="0" w:space="0" w:color="auto"/>
                                                      </w:divBdr>
                                                      <w:divsChild>
                                                        <w:div w:id="751852287">
                                                          <w:marLeft w:val="0"/>
                                                          <w:marRight w:val="0"/>
                                                          <w:marTop w:val="0"/>
                                                          <w:marBottom w:val="0"/>
                                                          <w:divBdr>
                                                            <w:top w:val="none" w:sz="0" w:space="0" w:color="auto"/>
                                                            <w:left w:val="none" w:sz="0" w:space="0" w:color="auto"/>
                                                            <w:bottom w:val="none" w:sz="0" w:space="0" w:color="auto"/>
                                                            <w:right w:val="none" w:sz="0" w:space="0" w:color="auto"/>
                                                          </w:divBdr>
                                                          <w:divsChild>
                                                            <w:div w:id="1265697493">
                                                              <w:marLeft w:val="0"/>
                                                              <w:marRight w:val="0"/>
                                                              <w:marTop w:val="0"/>
                                                              <w:marBottom w:val="279"/>
                                                              <w:divBdr>
                                                                <w:top w:val="none" w:sz="0" w:space="0" w:color="auto"/>
                                                                <w:left w:val="none" w:sz="0" w:space="0" w:color="auto"/>
                                                                <w:bottom w:val="none" w:sz="0" w:space="0" w:color="auto"/>
                                                                <w:right w:val="none" w:sz="0" w:space="0" w:color="auto"/>
                                                              </w:divBdr>
                                                              <w:divsChild>
                                                                <w:div w:id="1879974406">
                                                                  <w:marLeft w:val="0"/>
                                                                  <w:marRight w:val="0"/>
                                                                  <w:marTop w:val="0"/>
                                                                  <w:marBottom w:val="0"/>
                                                                  <w:divBdr>
                                                                    <w:top w:val="none" w:sz="0" w:space="0" w:color="auto"/>
                                                                    <w:left w:val="none" w:sz="0" w:space="0" w:color="auto"/>
                                                                    <w:bottom w:val="none" w:sz="0" w:space="0" w:color="auto"/>
                                                                    <w:right w:val="none" w:sz="0" w:space="0" w:color="auto"/>
                                                                  </w:divBdr>
                                                                  <w:divsChild>
                                                                    <w:div w:id="555556799">
                                                                      <w:marLeft w:val="0"/>
                                                                      <w:marRight w:val="0"/>
                                                                      <w:marTop w:val="0"/>
                                                                      <w:marBottom w:val="0"/>
                                                                      <w:divBdr>
                                                                        <w:top w:val="none" w:sz="0" w:space="0" w:color="auto"/>
                                                                        <w:left w:val="none" w:sz="0" w:space="0" w:color="auto"/>
                                                                        <w:bottom w:val="none" w:sz="0" w:space="0" w:color="auto"/>
                                                                        <w:right w:val="none" w:sz="0" w:space="0" w:color="auto"/>
                                                                      </w:divBdr>
                                                                      <w:divsChild>
                                                                        <w:div w:id="1166869175">
                                                                          <w:marLeft w:val="0"/>
                                                                          <w:marRight w:val="0"/>
                                                                          <w:marTop w:val="0"/>
                                                                          <w:marBottom w:val="0"/>
                                                                          <w:divBdr>
                                                                            <w:top w:val="none" w:sz="0" w:space="0" w:color="auto"/>
                                                                            <w:left w:val="none" w:sz="0" w:space="0" w:color="auto"/>
                                                                            <w:bottom w:val="none" w:sz="0" w:space="0" w:color="auto"/>
                                                                            <w:right w:val="none" w:sz="0" w:space="0" w:color="auto"/>
                                                                          </w:divBdr>
                                                                          <w:divsChild>
                                                                            <w:div w:id="1032609023">
                                                                              <w:marLeft w:val="0"/>
                                                                              <w:marRight w:val="0"/>
                                                                              <w:marTop w:val="0"/>
                                                                              <w:marBottom w:val="0"/>
                                                                              <w:divBdr>
                                                                                <w:top w:val="none" w:sz="0" w:space="0" w:color="auto"/>
                                                                                <w:left w:val="none" w:sz="0" w:space="0" w:color="auto"/>
                                                                                <w:bottom w:val="none" w:sz="0" w:space="0" w:color="auto"/>
                                                                                <w:right w:val="none" w:sz="0" w:space="0" w:color="auto"/>
                                                                              </w:divBdr>
                                                                              <w:divsChild>
                                                                                <w:div w:id="7291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88828624">
      <w:bodyDiv w:val="1"/>
      <w:marLeft w:val="0"/>
      <w:marRight w:val="0"/>
      <w:marTop w:val="0"/>
      <w:marBottom w:val="0"/>
      <w:divBdr>
        <w:top w:val="none" w:sz="0" w:space="0" w:color="auto"/>
        <w:left w:val="none" w:sz="0" w:space="0" w:color="auto"/>
        <w:bottom w:val="none" w:sz="0" w:space="0" w:color="auto"/>
        <w:right w:val="none" w:sz="0" w:space="0" w:color="auto"/>
      </w:divBdr>
    </w:div>
    <w:div w:id="1075662783">
      <w:bodyDiv w:val="1"/>
      <w:marLeft w:val="0"/>
      <w:marRight w:val="0"/>
      <w:marTop w:val="0"/>
      <w:marBottom w:val="0"/>
      <w:divBdr>
        <w:top w:val="none" w:sz="0" w:space="0" w:color="auto"/>
        <w:left w:val="none" w:sz="0" w:space="0" w:color="auto"/>
        <w:bottom w:val="none" w:sz="0" w:space="0" w:color="auto"/>
        <w:right w:val="none" w:sz="0" w:space="0" w:color="auto"/>
      </w:divBdr>
      <w:divsChild>
        <w:div w:id="2001536429">
          <w:marLeft w:val="0"/>
          <w:marRight w:val="0"/>
          <w:marTop w:val="0"/>
          <w:marBottom w:val="0"/>
          <w:divBdr>
            <w:top w:val="none" w:sz="0" w:space="0" w:color="auto"/>
            <w:left w:val="none" w:sz="0" w:space="0" w:color="auto"/>
            <w:bottom w:val="none" w:sz="0" w:space="0" w:color="auto"/>
            <w:right w:val="none" w:sz="0" w:space="0" w:color="auto"/>
          </w:divBdr>
          <w:divsChild>
            <w:div w:id="229511282">
              <w:marLeft w:val="0"/>
              <w:marRight w:val="0"/>
              <w:marTop w:val="0"/>
              <w:marBottom w:val="0"/>
              <w:divBdr>
                <w:top w:val="none" w:sz="0" w:space="0" w:color="auto"/>
                <w:left w:val="none" w:sz="0" w:space="0" w:color="auto"/>
                <w:bottom w:val="none" w:sz="0" w:space="0" w:color="auto"/>
                <w:right w:val="none" w:sz="0" w:space="0" w:color="auto"/>
              </w:divBdr>
              <w:divsChild>
                <w:div w:id="999384241">
                  <w:marLeft w:val="0"/>
                  <w:marRight w:val="0"/>
                  <w:marTop w:val="0"/>
                  <w:marBottom w:val="0"/>
                  <w:divBdr>
                    <w:top w:val="none" w:sz="0" w:space="0" w:color="auto"/>
                    <w:left w:val="none" w:sz="0" w:space="0" w:color="auto"/>
                    <w:bottom w:val="none" w:sz="0" w:space="0" w:color="auto"/>
                    <w:right w:val="none" w:sz="0" w:space="0" w:color="auto"/>
                  </w:divBdr>
                  <w:divsChild>
                    <w:div w:id="628970847">
                      <w:marLeft w:val="0"/>
                      <w:marRight w:val="0"/>
                      <w:marTop w:val="0"/>
                      <w:marBottom w:val="0"/>
                      <w:divBdr>
                        <w:top w:val="none" w:sz="0" w:space="0" w:color="auto"/>
                        <w:left w:val="none" w:sz="0" w:space="0" w:color="auto"/>
                        <w:bottom w:val="none" w:sz="0" w:space="0" w:color="auto"/>
                        <w:right w:val="none" w:sz="0" w:space="0" w:color="auto"/>
                      </w:divBdr>
                      <w:divsChild>
                        <w:div w:id="224535585">
                          <w:marLeft w:val="0"/>
                          <w:marRight w:val="0"/>
                          <w:marTop w:val="0"/>
                          <w:marBottom w:val="0"/>
                          <w:divBdr>
                            <w:top w:val="none" w:sz="0" w:space="0" w:color="auto"/>
                            <w:left w:val="none" w:sz="0" w:space="0" w:color="auto"/>
                            <w:bottom w:val="none" w:sz="0" w:space="0" w:color="auto"/>
                            <w:right w:val="none" w:sz="0" w:space="0" w:color="auto"/>
                          </w:divBdr>
                          <w:divsChild>
                            <w:div w:id="1347559583">
                              <w:marLeft w:val="0"/>
                              <w:marRight w:val="0"/>
                              <w:marTop w:val="0"/>
                              <w:marBottom w:val="0"/>
                              <w:divBdr>
                                <w:top w:val="none" w:sz="0" w:space="0" w:color="auto"/>
                                <w:left w:val="none" w:sz="0" w:space="0" w:color="auto"/>
                                <w:bottom w:val="none" w:sz="0" w:space="0" w:color="auto"/>
                                <w:right w:val="none" w:sz="0" w:space="0" w:color="auto"/>
                              </w:divBdr>
                              <w:divsChild>
                                <w:div w:id="1815560856">
                                  <w:marLeft w:val="0"/>
                                  <w:marRight w:val="0"/>
                                  <w:marTop w:val="0"/>
                                  <w:marBottom w:val="0"/>
                                  <w:divBdr>
                                    <w:top w:val="none" w:sz="0" w:space="0" w:color="auto"/>
                                    <w:left w:val="none" w:sz="0" w:space="0" w:color="auto"/>
                                    <w:bottom w:val="none" w:sz="0" w:space="0" w:color="auto"/>
                                    <w:right w:val="none" w:sz="0" w:space="0" w:color="auto"/>
                                  </w:divBdr>
                                  <w:divsChild>
                                    <w:div w:id="949776178">
                                      <w:marLeft w:val="0"/>
                                      <w:marRight w:val="0"/>
                                      <w:marTop w:val="0"/>
                                      <w:marBottom w:val="0"/>
                                      <w:divBdr>
                                        <w:top w:val="none" w:sz="0" w:space="0" w:color="auto"/>
                                        <w:left w:val="none" w:sz="0" w:space="0" w:color="auto"/>
                                        <w:bottom w:val="none" w:sz="0" w:space="0" w:color="auto"/>
                                        <w:right w:val="none" w:sz="0" w:space="0" w:color="auto"/>
                                      </w:divBdr>
                                      <w:divsChild>
                                        <w:div w:id="1126240469">
                                          <w:marLeft w:val="0"/>
                                          <w:marRight w:val="0"/>
                                          <w:marTop w:val="0"/>
                                          <w:marBottom w:val="0"/>
                                          <w:divBdr>
                                            <w:top w:val="none" w:sz="0" w:space="0" w:color="auto"/>
                                            <w:left w:val="none" w:sz="0" w:space="0" w:color="auto"/>
                                            <w:bottom w:val="none" w:sz="0" w:space="0" w:color="auto"/>
                                            <w:right w:val="none" w:sz="0" w:space="0" w:color="auto"/>
                                          </w:divBdr>
                                          <w:divsChild>
                                            <w:div w:id="129618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16560327">
      <w:bodyDiv w:val="1"/>
      <w:marLeft w:val="0"/>
      <w:marRight w:val="0"/>
      <w:marTop w:val="0"/>
      <w:marBottom w:val="0"/>
      <w:divBdr>
        <w:top w:val="none" w:sz="0" w:space="0" w:color="auto"/>
        <w:left w:val="none" w:sz="0" w:space="0" w:color="auto"/>
        <w:bottom w:val="none" w:sz="0" w:space="0" w:color="auto"/>
        <w:right w:val="none" w:sz="0" w:space="0" w:color="auto"/>
      </w:divBdr>
      <w:divsChild>
        <w:div w:id="1479223464">
          <w:marLeft w:val="0"/>
          <w:marRight w:val="0"/>
          <w:marTop w:val="0"/>
          <w:marBottom w:val="0"/>
          <w:divBdr>
            <w:top w:val="none" w:sz="0" w:space="0" w:color="auto"/>
            <w:left w:val="none" w:sz="0" w:space="0" w:color="auto"/>
            <w:bottom w:val="none" w:sz="0" w:space="0" w:color="auto"/>
            <w:right w:val="none" w:sz="0" w:space="0" w:color="auto"/>
          </w:divBdr>
          <w:divsChild>
            <w:div w:id="1890652070">
              <w:marLeft w:val="0"/>
              <w:marRight w:val="0"/>
              <w:marTop w:val="0"/>
              <w:marBottom w:val="0"/>
              <w:divBdr>
                <w:top w:val="none" w:sz="0" w:space="0" w:color="auto"/>
                <w:left w:val="none" w:sz="0" w:space="0" w:color="auto"/>
                <w:bottom w:val="none" w:sz="0" w:space="0" w:color="auto"/>
                <w:right w:val="none" w:sz="0" w:space="0" w:color="auto"/>
              </w:divBdr>
              <w:divsChild>
                <w:div w:id="1866366717">
                  <w:marLeft w:val="0"/>
                  <w:marRight w:val="0"/>
                  <w:marTop w:val="0"/>
                  <w:marBottom w:val="0"/>
                  <w:divBdr>
                    <w:top w:val="none" w:sz="0" w:space="0" w:color="auto"/>
                    <w:left w:val="none" w:sz="0" w:space="0" w:color="auto"/>
                    <w:bottom w:val="none" w:sz="0" w:space="0" w:color="auto"/>
                    <w:right w:val="none" w:sz="0" w:space="0" w:color="auto"/>
                  </w:divBdr>
                  <w:divsChild>
                    <w:div w:id="553784317">
                      <w:marLeft w:val="0"/>
                      <w:marRight w:val="0"/>
                      <w:marTop w:val="0"/>
                      <w:marBottom w:val="0"/>
                      <w:divBdr>
                        <w:top w:val="none" w:sz="0" w:space="0" w:color="auto"/>
                        <w:left w:val="none" w:sz="0" w:space="0" w:color="auto"/>
                        <w:bottom w:val="none" w:sz="0" w:space="0" w:color="auto"/>
                        <w:right w:val="none" w:sz="0" w:space="0" w:color="auto"/>
                      </w:divBdr>
                      <w:divsChild>
                        <w:div w:id="776101322">
                          <w:marLeft w:val="0"/>
                          <w:marRight w:val="0"/>
                          <w:marTop w:val="0"/>
                          <w:marBottom w:val="0"/>
                          <w:divBdr>
                            <w:top w:val="none" w:sz="0" w:space="0" w:color="auto"/>
                            <w:left w:val="none" w:sz="0" w:space="0" w:color="auto"/>
                            <w:bottom w:val="none" w:sz="0" w:space="0" w:color="auto"/>
                            <w:right w:val="none" w:sz="0" w:space="0" w:color="auto"/>
                          </w:divBdr>
                          <w:divsChild>
                            <w:div w:id="1043365648">
                              <w:marLeft w:val="0"/>
                              <w:marRight w:val="0"/>
                              <w:marTop w:val="0"/>
                              <w:marBottom w:val="0"/>
                              <w:divBdr>
                                <w:top w:val="none" w:sz="0" w:space="0" w:color="auto"/>
                                <w:left w:val="none" w:sz="0" w:space="0" w:color="auto"/>
                                <w:bottom w:val="none" w:sz="0" w:space="0" w:color="auto"/>
                                <w:right w:val="none" w:sz="0" w:space="0" w:color="auto"/>
                              </w:divBdr>
                              <w:divsChild>
                                <w:div w:id="946541811">
                                  <w:marLeft w:val="0"/>
                                  <w:marRight w:val="0"/>
                                  <w:marTop w:val="0"/>
                                  <w:marBottom w:val="0"/>
                                  <w:divBdr>
                                    <w:top w:val="none" w:sz="0" w:space="0" w:color="auto"/>
                                    <w:left w:val="none" w:sz="0" w:space="0" w:color="auto"/>
                                    <w:bottom w:val="none" w:sz="0" w:space="0" w:color="auto"/>
                                    <w:right w:val="none" w:sz="0" w:space="0" w:color="auto"/>
                                  </w:divBdr>
                                  <w:divsChild>
                                    <w:div w:id="1876652899">
                                      <w:marLeft w:val="0"/>
                                      <w:marRight w:val="0"/>
                                      <w:marTop w:val="0"/>
                                      <w:marBottom w:val="0"/>
                                      <w:divBdr>
                                        <w:top w:val="none" w:sz="0" w:space="0" w:color="auto"/>
                                        <w:left w:val="none" w:sz="0" w:space="0" w:color="auto"/>
                                        <w:bottom w:val="none" w:sz="0" w:space="0" w:color="auto"/>
                                        <w:right w:val="none" w:sz="0" w:space="0" w:color="auto"/>
                                      </w:divBdr>
                                      <w:divsChild>
                                        <w:div w:id="756705730">
                                          <w:marLeft w:val="0"/>
                                          <w:marRight w:val="0"/>
                                          <w:marTop w:val="0"/>
                                          <w:marBottom w:val="0"/>
                                          <w:divBdr>
                                            <w:top w:val="none" w:sz="0" w:space="0" w:color="auto"/>
                                            <w:left w:val="none" w:sz="0" w:space="0" w:color="auto"/>
                                            <w:bottom w:val="none" w:sz="0" w:space="0" w:color="auto"/>
                                            <w:right w:val="none" w:sz="0" w:space="0" w:color="auto"/>
                                          </w:divBdr>
                                          <w:divsChild>
                                            <w:div w:id="2146895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78775783">
      <w:bodyDiv w:val="1"/>
      <w:marLeft w:val="0"/>
      <w:marRight w:val="0"/>
      <w:marTop w:val="0"/>
      <w:marBottom w:val="0"/>
      <w:divBdr>
        <w:top w:val="none" w:sz="0" w:space="0" w:color="auto"/>
        <w:left w:val="none" w:sz="0" w:space="0" w:color="auto"/>
        <w:bottom w:val="none" w:sz="0" w:space="0" w:color="auto"/>
        <w:right w:val="none" w:sz="0" w:space="0" w:color="auto"/>
      </w:divBdr>
      <w:divsChild>
        <w:div w:id="1903981168">
          <w:marLeft w:val="0"/>
          <w:marRight w:val="0"/>
          <w:marTop w:val="0"/>
          <w:marBottom w:val="0"/>
          <w:divBdr>
            <w:top w:val="none" w:sz="0" w:space="0" w:color="auto"/>
            <w:left w:val="none" w:sz="0" w:space="0" w:color="auto"/>
            <w:bottom w:val="none" w:sz="0" w:space="0" w:color="auto"/>
            <w:right w:val="none" w:sz="0" w:space="0" w:color="auto"/>
          </w:divBdr>
          <w:divsChild>
            <w:div w:id="695424259">
              <w:marLeft w:val="0"/>
              <w:marRight w:val="0"/>
              <w:marTop w:val="0"/>
              <w:marBottom w:val="0"/>
              <w:divBdr>
                <w:top w:val="none" w:sz="0" w:space="0" w:color="auto"/>
                <w:left w:val="none" w:sz="0" w:space="0" w:color="auto"/>
                <w:bottom w:val="none" w:sz="0" w:space="0" w:color="auto"/>
                <w:right w:val="none" w:sz="0" w:space="0" w:color="auto"/>
              </w:divBdr>
              <w:divsChild>
                <w:div w:id="1609310461">
                  <w:marLeft w:val="0"/>
                  <w:marRight w:val="0"/>
                  <w:marTop w:val="0"/>
                  <w:marBottom w:val="0"/>
                  <w:divBdr>
                    <w:top w:val="none" w:sz="0" w:space="0" w:color="auto"/>
                    <w:left w:val="none" w:sz="0" w:space="0" w:color="auto"/>
                    <w:bottom w:val="none" w:sz="0" w:space="0" w:color="auto"/>
                    <w:right w:val="none" w:sz="0" w:space="0" w:color="auto"/>
                  </w:divBdr>
                  <w:divsChild>
                    <w:div w:id="1631588716">
                      <w:marLeft w:val="0"/>
                      <w:marRight w:val="0"/>
                      <w:marTop w:val="0"/>
                      <w:marBottom w:val="0"/>
                      <w:divBdr>
                        <w:top w:val="none" w:sz="0" w:space="0" w:color="auto"/>
                        <w:left w:val="none" w:sz="0" w:space="0" w:color="auto"/>
                        <w:bottom w:val="none" w:sz="0" w:space="0" w:color="auto"/>
                        <w:right w:val="none" w:sz="0" w:space="0" w:color="auto"/>
                      </w:divBdr>
                      <w:divsChild>
                        <w:div w:id="365957961">
                          <w:marLeft w:val="0"/>
                          <w:marRight w:val="0"/>
                          <w:marTop w:val="0"/>
                          <w:marBottom w:val="0"/>
                          <w:divBdr>
                            <w:top w:val="none" w:sz="0" w:space="0" w:color="auto"/>
                            <w:left w:val="none" w:sz="0" w:space="0" w:color="auto"/>
                            <w:bottom w:val="none" w:sz="0" w:space="0" w:color="auto"/>
                            <w:right w:val="none" w:sz="0" w:space="0" w:color="auto"/>
                          </w:divBdr>
                          <w:divsChild>
                            <w:div w:id="1471824207">
                              <w:marLeft w:val="0"/>
                              <w:marRight w:val="0"/>
                              <w:marTop w:val="0"/>
                              <w:marBottom w:val="0"/>
                              <w:divBdr>
                                <w:top w:val="none" w:sz="0" w:space="0" w:color="auto"/>
                                <w:left w:val="none" w:sz="0" w:space="0" w:color="auto"/>
                                <w:bottom w:val="none" w:sz="0" w:space="0" w:color="auto"/>
                                <w:right w:val="none" w:sz="0" w:space="0" w:color="auto"/>
                              </w:divBdr>
                              <w:divsChild>
                                <w:div w:id="375280905">
                                  <w:marLeft w:val="0"/>
                                  <w:marRight w:val="0"/>
                                  <w:marTop w:val="0"/>
                                  <w:marBottom w:val="0"/>
                                  <w:divBdr>
                                    <w:top w:val="none" w:sz="0" w:space="0" w:color="auto"/>
                                    <w:left w:val="none" w:sz="0" w:space="0" w:color="auto"/>
                                    <w:bottom w:val="none" w:sz="0" w:space="0" w:color="auto"/>
                                    <w:right w:val="none" w:sz="0" w:space="0" w:color="auto"/>
                                  </w:divBdr>
                                  <w:divsChild>
                                    <w:div w:id="722094422">
                                      <w:marLeft w:val="0"/>
                                      <w:marRight w:val="0"/>
                                      <w:marTop w:val="0"/>
                                      <w:marBottom w:val="0"/>
                                      <w:divBdr>
                                        <w:top w:val="none" w:sz="0" w:space="0" w:color="auto"/>
                                        <w:left w:val="none" w:sz="0" w:space="0" w:color="auto"/>
                                        <w:bottom w:val="none" w:sz="0" w:space="0" w:color="auto"/>
                                        <w:right w:val="none" w:sz="0" w:space="0" w:color="auto"/>
                                      </w:divBdr>
                                      <w:divsChild>
                                        <w:div w:id="1514537291">
                                          <w:marLeft w:val="0"/>
                                          <w:marRight w:val="0"/>
                                          <w:marTop w:val="0"/>
                                          <w:marBottom w:val="0"/>
                                          <w:divBdr>
                                            <w:top w:val="none" w:sz="0" w:space="0" w:color="auto"/>
                                            <w:left w:val="none" w:sz="0" w:space="0" w:color="auto"/>
                                            <w:bottom w:val="none" w:sz="0" w:space="0" w:color="auto"/>
                                            <w:right w:val="none" w:sz="0" w:space="0" w:color="auto"/>
                                          </w:divBdr>
                                          <w:divsChild>
                                            <w:div w:id="32901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42539748">
      <w:bodyDiv w:val="1"/>
      <w:marLeft w:val="0"/>
      <w:marRight w:val="0"/>
      <w:marTop w:val="0"/>
      <w:marBottom w:val="0"/>
      <w:divBdr>
        <w:top w:val="none" w:sz="0" w:space="0" w:color="auto"/>
        <w:left w:val="none" w:sz="0" w:space="0" w:color="auto"/>
        <w:bottom w:val="none" w:sz="0" w:space="0" w:color="auto"/>
        <w:right w:val="none" w:sz="0" w:space="0" w:color="auto"/>
      </w:divBdr>
      <w:divsChild>
        <w:div w:id="401682421">
          <w:marLeft w:val="0"/>
          <w:marRight w:val="0"/>
          <w:marTop w:val="0"/>
          <w:marBottom w:val="0"/>
          <w:divBdr>
            <w:top w:val="none" w:sz="0" w:space="0" w:color="auto"/>
            <w:left w:val="none" w:sz="0" w:space="0" w:color="auto"/>
            <w:bottom w:val="none" w:sz="0" w:space="0" w:color="auto"/>
            <w:right w:val="none" w:sz="0" w:space="0" w:color="auto"/>
          </w:divBdr>
          <w:divsChild>
            <w:div w:id="1983734992">
              <w:marLeft w:val="0"/>
              <w:marRight w:val="0"/>
              <w:marTop w:val="0"/>
              <w:marBottom w:val="0"/>
              <w:divBdr>
                <w:top w:val="none" w:sz="0" w:space="0" w:color="auto"/>
                <w:left w:val="none" w:sz="0" w:space="0" w:color="auto"/>
                <w:bottom w:val="none" w:sz="0" w:space="0" w:color="auto"/>
                <w:right w:val="none" w:sz="0" w:space="0" w:color="auto"/>
              </w:divBdr>
              <w:divsChild>
                <w:div w:id="238176164">
                  <w:marLeft w:val="0"/>
                  <w:marRight w:val="0"/>
                  <w:marTop w:val="0"/>
                  <w:marBottom w:val="0"/>
                  <w:divBdr>
                    <w:top w:val="none" w:sz="0" w:space="0" w:color="auto"/>
                    <w:left w:val="none" w:sz="0" w:space="0" w:color="auto"/>
                    <w:bottom w:val="none" w:sz="0" w:space="0" w:color="auto"/>
                    <w:right w:val="none" w:sz="0" w:space="0" w:color="auto"/>
                  </w:divBdr>
                  <w:divsChild>
                    <w:div w:id="259293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8821181">
      <w:bodyDiv w:val="1"/>
      <w:marLeft w:val="0"/>
      <w:marRight w:val="0"/>
      <w:marTop w:val="0"/>
      <w:marBottom w:val="0"/>
      <w:divBdr>
        <w:top w:val="none" w:sz="0" w:space="0" w:color="auto"/>
        <w:left w:val="none" w:sz="0" w:space="0" w:color="auto"/>
        <w:bottom w:val="none" w:sz="0" w:space="0" w:color="auto"/>
        <w:right w:val="none" w:sz="0" w:space="0" w:color="auto"/>
      </w:divBdr>
      <w:divsChild>
        <w:div w:id="2121222969">
          <w:marLeft w:val="0"/>
          <w:marRight w:val="0"/>
          <w:marTop w:val="0"/>
          <w:marBottom w:val="0"/>
          <w:divBdr>
            <w:top w:val="none" w:sz="0" w:space="0" w:color="auto"/>
            <w:left w:val="none" w:sz="0" w:space="0" w:color="auto"/>
            <w:bottom w:val="none" w:sz="0" w:space="0" w:color="auto"/>
            <w:right w:val="none" w:sz="0" w:space="0" w:color="auto"/>
          </w:divBdr>
          <w:divsChild>
            <w:div w:id="1823934871">
              <w:marLeft w:val="0"/>
              <w:marRight w:val="0"/>
              <w:marTop w:val="0"/>
              <w:marBottom w:val="0"/>
              <w:divBdr>
                <w:top w:val="none" w:sz="0" w:space="0" w:color="auto"/>
                <w:left w:val="none" w:sz="0" w:space="0" w:color="auto"/>
                <w:bottom w:val="none" w:sz="0" w:space="0" w:color="auto"/>
                <w:right w:val="none" w:sz="0" w:space="0" w:color="auto"/>
              </w:divBdr>
              <w:divsChild>
                <w:div w:id="952830185">
                  <w:marLeft w:val="0"/>
                  <w:marRight w:val="0"/>
                  <w:marTop w:val="0"/>
                  <w:marBottom w:val="0"/>
                  <w:divBdr>
                    <w:top w:val="none" w:sz="0" w:space="0" w:color="auto"/>
                    <w:left w:val="none" w:sz="0" w:space="0" w:color="auto"/>
                    <w:bottom w:val="none" w:sz="0" w:space="0" w:color="auto"/>
                    <w:right w:val="none" w:sz="0" w:space="0" w:color="auto"/>
                  </w:divBdr>
                  <w:divsChild>
                    <w:div w:id="1807234183">
                      <w:marLeft w:val="0"/>
                      <w:marRight w:val="0"/>
                      <w:marTop w:val="0"/>
                      <w:marBottom w:val="0"/>
                      <w:divBdr>
                        <w:top w:val="none" w:sz="0" w:space="0" w:color="auto"/>
                        <w:left w:val="none" w:sz="0" w:space="0" w:color="auto"/>
                        <w:bottom w:val="none" w:sz="0" w:space="0" w:color="auto"/>
                        <w:right w:val="none" w:sz="0" w:space="0" w:color="auto"/>
                      </w:divBdr>
                      <w:divsChild>
                        <w:div w:id="423570955">
                          <w:marLeft w:val="0"/>
                          <w:marRight w:val="0"/>
                          <w:marTop w:val="0"/>
                          <w:marBottom w:val="0"/>
                          <w:divBdr>
                            <w:top w:val="none" w:sz="0" w:space="0" w:color="auto"/>
                            <w:left w:val="none" w:sz="0" w:space="0" w:color="auto"/>
                            <w:bottom w:val="none" w:sz="0" w:space="0" w:color="auto"/>
                            <w:right w:val="none" w:sz="0" w:space="0" w:color="auto"/>
                          </w:divBdr>
                          <w:divsChild>
                            <w:div w:id="1212305684">
                              <w:marLeft w:val="0"/>
                              <w:marRight w:val="0"/>
                              <w:marTop w:val="0"/>
                              <w:marBottom w:val="0"/>
                              <w:divBdr>
                                <w:top w:val="none" w:sz="0" w:space="0" w:color="auto"/>
                                <w:left w:val="none" w:sz="0" w:space="0" w:color="auto"/>
                                <w:bottom w:val="none" w:sz="0" w:space="0" w:color="auto"/>
                                <w:right w:val="none" w:sz="0" w:space="0" w:color="auto"/>
                              </w:divBdr>
                              <w:divsChild>
                                <w:div w:id="1668821564">
                                  <w:marLeft w:val="0"/>
                                  <w:marRight w:val="0"/>
                                  <w:marTop w:val="0"/>
                                  <w:marBottom w:val="0"/>
                                  <w:divBdr>
                                    <w:top w:val="none" w:sz="0" w:space="0" w:color="auto"/>
                                    <w:left w:val="none" w:sz="0" w:space="0" w:color="auto"/>
                                    <w:bottom w:val="none" w:sz="0" w:space="0" w:color="auto"/>
                                    <w:right w:val="none" w:sz="0" w:space="0" w:color="auto"/>
                                  </w:divBdr>
                                  <w:divsChild>
                                    <w:div w:id="171182860">
                                      <w:marLeft w:val="0"/>
                                      <w:marRight w:val="0"/>
                                      <w:marTop w:val="0"/>
                                      <w:marBottom w:val="0"/>
                                      <w:divBdr>
                                        <w:top w:val="none" w:sz="0" w:space="0" w:color="auto"/>
                                        <w:left w:val="none" w:sz="0" w:space="0" w:color="auto"/>
                                        <w:bottom w:val="none" w:sz="0" w:space="0" w:color="auto"/>
                                        <w:right w:val="none" w:sz="0" w:space="0" w:color="auto"/>
                                      </w:divBdr>
                                      <w:divsChild>
                                        <w:div w:id="948396943">
                                          <w:marLeft w:val="0"/>
                                          <w:marRight w:val="0"/>
                                          <w:marTop w:val="0"/>
                                          <w:marBottom w:val="0"/>
                                          <w:divBdr>
                                            <w:top w:val="none" w:sz="0" w:space="0" w:color="auto"/>
                                            <w:left w:val="none" w:sz="0" w:space="0" w:color="auto"/>
                                            <w:bottom w:val="none" w:sz="0" w:space="0" w:color="auto"/>
                                            <w:right w:val="none" w:sz="0" w:space="0" w:color="auto"/>
                                          </w:divBdr>
                                          <w:divsChild>
                                            <w:div w:id="2052151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71103330">
      <w:bodyDiv w:val="1"/>
      <w:marLeft w:val="0"/>
      <w:marRight w:val="0"/>
      <w:marTop w:val="0"/>
      <w:marBottom w:val="0"/>
      <w:divBdr>
        <w:top w:val="none" w:sz="0" w:space="0" w:color="auto"/>
        <w:left w:val="none" w:sz="0" w:space="0" w:color="auto"/>
        <w:bottom w:val="none" w:sz="0" w:space="0" w:color="auto"/>
        <w:right w:val="none" w:sz="0" w:space="0" w:color="auto"/>
      </w:divBdr>
      <w:divsChild>
        <w:div w:id="522522918">
          <w:marLeft w:val="0"/>
          <w:marRight w:val="0"/>
          <w:marTop w:val="0"/>
          <w:marBottom w:val="0"/>
          <w:divBdr>
            <w:top w:val="none" w:sz="0" w:space="0" w:color="auto"/>
            <w:left w:val="none" w:sz="0" w:space="0" w:color="auto"/>
            <w:bottom w:val="none" w:sz="0" w:space="0" w:color="auto"/>
            <w:right w:val="none" w:sz="0" w:space="0" w:color="auto"/>
          </w:divBdr>
          <w:divsChild>
            <w:div w:id="2129660215">
              <w:marLeft w:val="0"/>
              <w:marRight w:val="0"/>
              <w:marTop w:val="0"/>
              <w:marBottom w:val="0"/>
              <w:divBdr>
                <w:top w:val="none" w:sz="0" w:space="0" w:color="auto"/>
                <w:left w:val="none" w:sz="0" w:space="0" w:color="auto"/>
                <w:bottom w:val="none" w:sz="0" w:space="0" w:color="auto"/>
                <w:right w:val="none" w:sz="0" w:space="0" w:color="auto"/>
              </w:divBdr>
              <w:divsChild>
                <w:div w:id="810052555">
                  <w:marLeft w:val="0"/>
                  <w:marRight w:val="0"/>
                  <w:marTop w:val="0"/>
                  <w:marBottom w:val="0"/>
                  <w:divBdr>
                    <w:top w:val="none" w:sz="0" w:space="0" w:color="auto"/>
                    <w:left w:val="none" w:sz="0" w:space="0" w:color="auto"/>
                    <w:bottom w:val="none" w:sz="0" w:space="0" w:color="auto"/>
                    <w:right w:val="none" w:sz="0" w:space="0" w:color="auto"/>
                  </w:divBdr>
                  <w:divsChild>
                    <w:div w:id="1537737563">
                      <w:marLeft w:val="0"/>
                      <w:marRight w:val="0"/>
                      <w:marTop w:val="0"/>
                      <w:marBottom w:val="0"/>
                      <w:divBdr>
                        <w:top w:val="none" w:sz="0" w:space="0" w:color="auto"/>
                        <w:left w:val="none" w:sz="0" w:space="0" w:color="auto"/>
                        <w:bottom w:val="none" w:sz="0" w:space="0" w:color="auto"/>
                        <w:right w:val="none" w:sz="0" w:space="0" w:color="auto"/>
                      </w:divBdr>
                      <w:divsChild>
                        <w:div w:id="1635063542">
                          <w:marLeft w:val="0"/>
                          <w:marRight w:val="0"/>
                          <w:marTop w:val="0"/>
                          <w:marBottom w:val="0"/>
                          <w:divBdr>
                            <w:top w:val="none" w:sz="0" w:space="0" w:color="auto"/>
                            <w:left w:val="none" w:sz="0" w:space="0" w:color="auto"/>
                            <w:bottom w:val="none" w:sz="0" w:space="0" w:color="auto"/>
                            <w:right w:val="none" w:sz="0" w:space="0" w:color="auto"/>
                          </w:divBdr>
                          <w:divsChild>
                            <w:div w:id="1197045701">
                              <w:marLeft w:val="0"/>
                              <w:marRight w:val="0"/>
                              <w:marTop w:val="0"/>
                              <w:marBottom w:val="0"/>
                              <w:divBdr>
                                <w:top w:val="none" w:sz="0" w:space="0" w:color="auto"/>
                                <w:left w:val="none" w:sz="0" w:space="0" w:color="auto"/>
                                <w:bottom w:val="none" w:sz="0" w:space="0" w:color="auto"/>
                                <w:right w:val="none" w:sz="0" w:space="0" w:color="auto"/>
                              </w:divBdr>
                              <w:divsChild>
                                <w:div w:id="393090755">
                                  <w:marLeft w:val="0"/>
                                  <w:marRight w:val="0"/>
                                  <w:marTop w:val="0"/>
                                  <w:marBottom w:val="0"/>
                                  <w:divBdr>
                                    <w:top w:val="none" w:sz="0" w:space="0" w:color="auto"/>
                                    <w:left w:val="none" w:sz="0" w:space="0" w:color="auto"/>
                                    <w:bottom w:val="none" w:sz="0" w:space="0" w:color="auto"/>
                                    <w:right w:val="none" w:sz="0" w:space="0" w:color="auto"/>
                                  </w:divBdr>
                                  <w:divsChild>
                                    <w:div w:id="1664240769">
                                      <w:marLeft w:val="0"/>
                                      <w:marRight w:val="0"/>
                                      <w:marTop w:val="0"/>
                                      <w:marBottom w:val="0"/>
                                      <w:divBdr>
                                        <w:top w:val="none" w:sz="0" w:space="0" w:color="auto"/>
                                        <w:left w:val="none" w:sz="0" w:space="0" w:color="auto"/>
                                        <w:bottom w:val="none" w:sz="0" w:space="0" w:color="auto"/>
                                        <w:right w:val="none" w:sz="0" w:space="0" w:color="auto"/>
                                      </w:divBdr>
                                      <w:divsChild>
                                        <w:div w:id="24329096">
                                          <w:marLeft w:val="0"/>
                                          <w:marRight w:val="0"/>
                                          <w:marTop w:val="0"/>
                                          <w:marBottom w:val="0"/>
                                          <w:divBdr>
                                            <w:top w:val="none" w:sz="0" w:space="0" w:color="auto"/>
                                            <w:left w:val="none" w:sz="0" w:space="0" w:color="auto"/>
                                            <w:bottom w:val="none" w:sz="0" w:space="0" w:color="auto"/>
                                            <w:right w:val="none" w:sz="0" w:space="0" w:color="auto"/>
                                          </w:divBdr>
                                          <w:divsChild>
                                            <w:div w:id="677463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57970329">
      <w:bodyDiv w:val="1"/>
      <w:marLeft w:val="0"/>
      <w:marRight w:val="0"/>
      <w:marTop w:val="0"/>
      <w:marBottom w:val="0"/>
      <w:divBdr>
        <w:top w:val="none" w:sz="0" w:space="0" w:color="auto"/>
        <w:left w:val="none" w:sz="0" w:space="0" w:color="auto"/>
        <w:bottom w:val="none" w:sz="0" w:space="0" w:color="auto"/>
        <w:right w:val="none" w:sz="0" w:space="0" w:color="auto"/>
      </w:divBdr>
      <w:divsChild>
        <w:div w:id="1874267350">
          <w:marLeft w:val="0"/>
          <w:marRight w:val="0"/>
          <w:marTop w:val="0"/>
          <w:marBottom w:val="0"/>
          <w:divBdr>
            <w:top w:val="none" w:sz="0" w:space="0" w:color="auto"/>
            <w:left w:val="none" w:sz="0" w:space="0" w:color="auto"/>
            <w:bottom w:val="none" w:sz="0" w:space="0" w:color="auto"/>
            <w:right w:val="none" w:sz="0" w:space="0" w:color="auto"/>
          </w:divBdr>
          <w:divsChild>
            <w:div w:id="1357194606">
              <w:marLeft w:val="0"/>
              <w:marRight w:val="0"/>
              <w:marTop w:val="0"/>
              <w:marBottom w:val="0"/>
              <w:divBdr>
                <w:top w:val="none" w:sz="0" w:space="0" w:color="auto"/>
                <w:left w:val="none" w:sz="0" w:space="0" w:color="auto"/>
                <w:bottom w:val="none" w:sz="0" w:space="0" w:color="auto"/>
                <w:right w:val="none" w:sz="0" w:space="0" w:color="auto"/>
              </w:divBdr>
              <w:divsChild>
                <w:div w:id="1361470797">
                  <w:marLeft w:val="0"/>
                  <w:marRight w:val="0"/>
                  <w:marTop w:val="0"/>
                  <w:marBottom w:val="0"/>
                  <w:divBdr>
                    <w:top w:val="none" w:sz="0" w:space="0" w:color="auto"/>
                    <w:left w:val="none" w:sz="0" w:space="0" w:color="auto"/>
                    <w:bottom w:val="none" w:sz="0" w:space="0" w:color="auto"/>
                    <w:right w:val="none" w:sz="0" w:space="0" w:color="auto"/>
                  </w:divBdr>
                  <w:divsChild>
                    <w:div w:id="1419446778">
                      <w:marLeft w:val="0"/>
                      <w:marRight w:val="0"/>
                      <w:marTop w:val="0"/>
                      <w:marBottom w:val="0"/>
                      <w:divBdr>
                        <w:top w:val="none" w:sz="0" w:space="0" w:color="auto"/>
                        <w:left w:val="none" w:sz="0" w:space="0" w:color="auto"/>
                        <w:bottom w:val="none" w:sz="0" w:space="0" w:color="auto"/>
                        <w:right w:val="none" w:sz="0" w:space="0" w:color="auto"/>
                      </w:divBdr>
                      <w:divsChild>
                        <w:div w:id="2092266963">
                          <w:marLeft w:val="0"/>
                          <w:marRight w:val="0"/>
                          <w:marTop w:val="0"/>
                          <w:marBottom w:val="0"/>
                          <w:divBdr>
                            <w:top w:val="none" w:sz="0" w:space="0" w:color="auto"/>
                            <w:left w:val="none" w:sz="0" w:space="0" w:color="auto"/>
                            <w:bottom w:val="none" w:sz="0" w:space="0" w:color="auto"/>
                            <w:right w:val="none" w:sz="0" w:space="0" w:color="auto"/>
                          </w:divBdr>
                          <w:divsChild>
                            <w:div w:id="1990666329">
                              <w:marLeft w:val="0"/>
                              <w:marRight w:val="0"/>
                              <w:marTop w:val="0"/>
                              <w:marBottom w:val="0"/>
                              <w:divBdr>
                                <w:top w:val="none" w:sz="0" w:space="0" w:color="auto"/>
                                <w:left w:val="none" w:sz="0" w:space="0" w:color="auto"/>
                                <w:bottom w:val="none" w:sz="0" w:space="0" w:color="auto"/>
                                <w:right w:val="none" w:sz="0" w:space="0" w:color="auto"/>
                              </w:divBdr>
                              <w:divsChild>
                                <w:div w:id="1663435429">
                                  <w:marLeft w:val="0"/>
                                  <w:marRight w:val="0"/>
                                  <w:marTop w:val="0"/>
                                  <w:marBottom w:val="0"/>
                                  <w:divBdr>
                                    <w:top w:val="none" w:sz="0" w:space="0" w:color="auto"/>
                                    <w:left w:val="none" w:sz="0" w:space="0" w:color="auto"/>
                                    <w:bottom w:val="none" w:sz="0" w:space="0" w:color="auto"/>
                                    <w:right w:val="none" w:sz="0" w:space="0" w:color="auto"/>
                                  </w:divBdr>
                                  <w:divsChild>
                                    <w:div w:id="1711219277">
                                      <w:marLeft w:val="0"/>
                                      <w:marRight w:val="0"/>
                                      <w:marTop w:val="0"/>
                                      <w:marBottom w:val="0"/>
                                      <w:divBdr>
                                        <w:top w:val="none" w:sz="0" w:space="0" w:color="auto"/>
                                        <w:left w:val="none" w:sz="0" w:space="0" w:color="auto"/>
                                        <w:bottom w:val="none" w:sz="0" w:space="0" w:color="auto"/>
                                        <w:right w:val="none" w:sz="0" w:space="0" w:color="auto"/>
                                      </w:divBdr>
                                      <w:divsChild>
                                        <w:div w:id="170415730">
                                          <w:marLeft w:val="0"/>
                                          <w:marRight w:val="0"/>
                                          <w:marTop w:val="0"/>
                                          <w:marBottom w:val="0"/>
                                          <w:divBdr>
                                            <w:top w:val="none" w:sz="0" w:space="0" w:color="auto"/>
                                            <w:left w:val="none" w:sz="0" w:space="0" w:color="auto"/>
                                            <w:bottom w:val="none" w:sz="0" w:space="0" w:color="auto"/>
                                            <w:right w:val="none" w:sz="0" w:space="0" w:color="auto"/>
                                          </w:divBdr>
                                          <w:divsChild>
                                            <w:div w:id="358748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71548820">
      <w:bodyDiv w:val="1"/>
      <w:marLeft w:val="0"/>
      <w:marRight w:val="0"/>
      <w:marTop w:val="0"/>
      <w:marBottom w:val="0"/>
      <w:divBdr>
        <w:top w:val="none" w:sz="0" w:space="0" w:color="auto"/>
        <w:left w:val="none" w:sz="0" w:space="0" w:color="auto"/>
        <w:bottom w:val="none" w:sz="0" w:space="0" w:color="auto"/>
        <w:right w:val="none" w:sz="0" w:space="0" w:color="auto"/>
      </w:divBdr>
      <w:divsChild>
        <w:div w:id="521942780">
          <w:marLeft w:val="0"/>
          <w:marRight w:val="0"/>
          <w:marTop w:val="0"/>
          <w:marBottom w:val="0"/>
          <w:divBdr>
            <w:top w:val="none" w:sz="0" w:space="0" w:color="auto"/>
            <w:left w:val="none" w:sz="0" w:space="0" w:color="auto"/>
            <w:bottom w:val="none" w:sz="0" w:space="0" w:color="auto"/>
            <w:right w:val="none" w:sz="0" w:space="0" w:color="auto"/>
          </w:divBdr>
          <w:divsChild>
            <w:div w:id="1423642876">
              <w:marLeft w:val="0"/>
              <w:marRight w:val="0"/>
              <w:marTop w:val="0"/>
              <w:marBottom w:val="0"/>
              <w:divBdr>
                <w:top w:val="none" w:sz="0" w:space="0" w:color="auto"/>
                <w:left w:val="none" w:sz="0" w:space="0" w:color="auto"/>
                <w:bottom w:val="none" w:sz="0" w:space="0" w:color="auto"/>
                <w:right w:val="none" w:sz="0" w:space="0" w:color="auto"/>
              </w:divBdr>
              <w:divsChild>
                <w:div w:id="427971338">
                  <w:marLeft w:val="0"/>
                  <w:marRight w:val="0"/>
                  <w:marTop w:val="0"/>
                  <w:marBottom w:val="0"/>
                  <w:divBdr>
                    <w:top w:val="none" w:sz="0" w:space="0" w:color="auto"/>
                    <w:left w:val="none" w:sz="0" w:space="0" w:color="auto"/>
                    <w:bottom w:val="none" w:sz="0" w:space="0" w:color="auto"/>
                    <w:right w:val="none" w:sz="0" w:space="0" w:color="auto"/>
                  </w:divBdr>
                  <w:divsChild>
                    <w:div w:id="1459646336">
                      <w:marLeft w:val="0"/>
                      <w:marRight w:val="0"/>
                      <w:marTop w:val="32"/>
                      <w:marBottom w:val="0"/>
                      <w:divBdr>
                        <w:top w:val="none" w:sz="0" w:space="0" w:color="auto"/>
                        <w:left w:val="none" w:sz="0" w:space="0" w:color="auto"/>
                        <w:bottom w:val="none" w:sz="0" w:space="0" w:color="auto"/>
                        <w:right w:val="none" w:sz="0" w:space="0" w:color="auto"/>
                      </w:divBdr>
                      <w:divsChild>
                        <w:div w:id="1763136433">
                          <w:marLeft w:val="0"/>
                          <w:marRight w:val="0"/>
                          <w:marTop w:val="0"/>
                          <w:marBottom w:val="0"/>
                          <w:divBdr>
                            <w:top w:val="none" w:sz="0" w:space="0" w:color="auto"/>
                            <w:left w:val="none" w:sz="0" w:space="0" w:color="auto"/>
                            <w:bottom w:val="none" w:sz="0" w:space="0" w:color="auto"/>
                            <w:right w:val="none" w:sz="0" w:space="0" w:color="auto"/>
                          </w:divBdr>
                          <w:divsChild>
                            <w:div w:id="1382091286">
                              <w:marLeft w:val="1483"/>
                              <w:marRight w:val="2837"/>
                              <w:marTop w:val="0"/>
                              <w:marBottom w:val="0"/>
                              <w:divBdr>
                                <w:top w:val="none" w:sz="0" w:space="0" w:color="auto"/>
                                <w:left w:val="none" w:sz="0" w:space="0" w:color="auto"/>
                                <w:bottom w:val="none" w:sz="0" w:space="0" w:color="auto"/>
                                <w:right w:val="none" w:sz="0" w:space="0" w:color="auto"/>
                              </w:divBdr>
                              <w:divsChild>
                                <w:div w:id="529221739">
                                  <w:marLeft w:val="0"/>
                                  <w:marRight w:val="0"/>
                                  <w:marTop w:val="0"/>
                                  <w:marBottom w:val="0"/>
                                  <w:divBdr>
                                    <w:top w:val="none" w:sz="0" w:space="0" w:color="auto"/>
                                    <w:left w:val="none" w:sz="0" w:space="0" w:color="auto"/>
                                    <w:bottom w:val="none" w:sz="0" w:space="0" w:color="auto"/>
                                    <w:right w:val="none" w:sz="0" w:space="0" w:color="auto"/>
                                  </w:divBdr>
                                  <w:divsChild>
                                    <w:div w:id="1516265596">
                                      <w:marLeft w:val="0"/>
                                      <w:marRight w:val="0"/>
                                      <w:marTop w:val="0"/>
                                      <w:marBottom w:val="0"/>
                                      <w:divBdr>
                                        <w:top w:val="none" w:sz="0" w:space="0" w:color="auto"/>
                                        <w:left w:val="none" w:sz="0" w:space="0" w:color="auto"/>
                                        <w:bottom w:val="none" w:sz="0" w:space="0" w:color="auto"/>
                                        <w:right w:val="none" w:sz="0" w:space="0" w:color="auto"/>
                                      </w:divBdr>
                                      <w:divsChild>
                                        <w:div w:id="1016887533">
                                          <w:marLeft w:val="0"/>
                                          <w:marRight w:val="0"/>
                                          <w:marTop w:val="0"/>
                                          <w:marBottom w:val="0"/>
                                          <w:divBdr>
                                            <w:top w:val="none" w:sz="0" w:space="0" w:color="auto"/>
                                            <w:left w:val="none" w:sz="0" w:space="0" w:color="auto"/>
                                            <w:bottom w:val="none" w:sz="0" w:space="0" w:color="auto"/>
                                            <w:right w:val="none" w:sz="0" w:space="0" w:color="auto"/>
                                          </w:divBdr>
                                          <w:divsChild>
                                            <w:div w:id="1373268484">
                                              <w:marLeft w:val="0"/>
                                              <w:marRight w:val="0"/>
                                              <w:marTop w:val="64"/>
                                              <w:marBottom w:val="0"/>
                                              <w:divBdr>
                                                <w:top w:val="none" w:sz="0" w:space="0" w:color="auto"/>
                                                <w:left w:val="none" w:sz="0" w:space="0" w:color="auto"/>
                                                <w:bottom w:val="none" w:sz="0" w:space="0" w:color="auto"/>
                                                <w:right w:val="none" w:sz="0" w:space="0" w:color="auto"/>
                                              </w:divBdr>
                                              <w:divsChild>
                                                <w:div w:id="556093941">
                                                  <w:marLeft w:val="0"/>
                                                  <w:marRight w:val="0"/>
                                                  <w:marTop w:val="0"/>
                                                  <w:marBottom w:val="0"/>
                                                  <w:divBdr>
                                                    <w:top w:val="none" w:sz="0" w:space="0" w:color="auto"/>
                                                    <w:left w:val="none" w:sz="0" w:space="0" w:color="auto"/>
                                                    <w:bottom w:val="none" w:sz="0" w:space="0" w:color="auto"/>
                                                    <w:right w:val="none" w:sz="0" w:space="0" w:color="auto"/>
                                                  </w:divBdr>
                                                  <w:divsChild>
                                                    <w:div w:id="1513109836">
                                                      <w:marLeft w:val="0"/>
                                                      <w:marRight w:val="0"/>
                                                      <w:marTop w:val="0"/>
                                                      <w:marBottom w:val="0"/>
                                                      <w:divBdr>
                                                        <w:top w:val="none" w:sz="0" w:space="0" w:color="auto"/>
                                                        <w:left w:val="none" w:sz="0" w:space="0" w:color="auto"/>
                                                        <w:bottom w:val="none" w:sz="0" w:space="0" w:color="auto"/>
                                                        <w:right w:val="none" w:sz="0" w:space="0" w:color="auto"/>
                                                      </w:divBdr>
                                                      <w:divsChild>
                                                        <w:div w:id="1977836817">
                                                          <w:marLeft w:val="0"/>
                                                          <w:marRight w:val="0"/>
                                                          <w:marTop w:val="0"/>
                                                          <w:marBottom w:val="0"/>
                                                          <w:divBdr>
                                                            <w:top w:val="none" w:sz="0" w:space="0" w:color="auto"/>
                                                            <w:left w:val="none" w:sz="0" w:space="0" w:color="auto"/>
                                                            <w:bottom w:val="none" w:sz="0" w:space="0" w:color="auto"/>
                                                            <w:right w:val="none" w:sz="0" w:space="0" w:color="auto"/>
                                                          </w:divBdr>
                                                          <w:divsChild>
                                                            <w:div w:id="700007932">
                                                              <w:marLeft w:val="0"/>
                                                              <w:marRight w:val="0"/>
                                                              <w:marTop w:val="0"/>
                                                              <w:marBottom w:val="279"/>
                                                              <w:divBdr>
                                                                <w:top w:val="none" w:sz="0" w:space="0" w:color="auto"/>
                                                                <w:left w:val="none" w:sz="0" w:space="0" w:color="auto"/>
                                                                <w:bottom w:val="none" w:sz="0" w:space="0" w:color="auto"/>
                                                                <w:right w:val="none" w:sz="0" w:space="0" w:color="auto"/>
                                                              </w:divBdr>
                                                              <w:divsChild>
                                                                <w:div w:id="1715428897">
                                                                  <w:marLeft w:val="0"/>
                                                                  <w:marRight w:val="0"/>
                                                                  <w:marTop w:val="0"/>
                                                                  <w:marBottom w:val="0"/>
                                                                  <w:divBdr>
                                                                    <w:top w:val="none" w:sz="0" w:space="0" w:color="auto"/>
                                                                    <w:left w:val="none" w:sz="0" w:space="0" w:color="auto"/>
                                                                    <w:bottom w:val="none" w:sz="0" w:space="0" w:color="auto"/>
                                                                    <w:right w:val="none" w:sz="0" w:space="0" w:color="auto"/>
                                                                  </w:divBdr>
                                                                  <w:divsChild>
                                                                    <w:div w:id="459111732">
                                                                      <w:marLeft w:val="0"/>
                                                                      <w:marRight w:val="0"/>
                                                                      <w:marTop w:val="0"/>
                                                                      <w:marBottom w:val="0"/>
                                                                      <w:divBdr>
                                                                        <w:top w:val="none" w:sz="0" w:space="0" w:color="auto"/>
                                                                        <w:left w:val="none" w:sz="0" w:space="0" w:color="auto"/>
                                                                        <w:bottom w:val="none" w:sz="0" w:space="0" w:color="auto"/>
                                                                        <w:right w:val="none" w:sz="0" w:space="0" w:color="auto"/>
                                                                      </w:divBdr>
                                                                      <w:divsChild>
                                                                        <w:div w:id="360664941">
                                                                          <w:marLeft w:val="0"/>
                                                                          <w:marRight w:val="0"/>
                                                                          <w:marTop w:val="0"/>
                                                                          <w:marBottom w:val="0"/>
                                                                          <w:divBdr>
                                                                            <w:top w:val="none" w:sz="0" w:space="0" w:color="auto"/>
                                                                            <w:left w:val="none" w:sz="0" w:space="0" w:color="auto"/>
                                                                            <w:bottom w:val="none" w:sz="0" w:space="0" w:color="auto"/>
                                                                            <w:right w:val="none" w:sz="0" w:space="0" w:color="auto"/>
                                                                          </w:divBdr>
                                                                          <w:divsChild>
                                                                            <w:div w:id="2006932984">
                                                                              <w:marLeft w:val="0"/>
                                                                              <w:marRight w:val="0"/>
                                                                              <w:marTop w:val="0"/>
                                                                              <w:marBottom w:val="0"/>
                                                                              <w:divBdr>
                                                                                <w:top w:val="none" w:sz="0" w:space="0" w:color="auto"/>
                                                                                <w:left w:val="none" w:sz="0" w:space="0" w:color="auto"/>
                                                                                <w:bottom w:val="none" w:sz="0" w:space="0" w:color="auto"/>
                                                                                <w:right w:val="none" w:sz="0" w:space="0" w:color="auto"/>
                                                                              </w:divBdr>
                                                                              <w:divsChild>
                                                                                <w:div w:id="524755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90230648">
      <w:bodyDiv w:val="1"/>
      <w:marLeft w:val="0"/>
      <w:marRight w:val="0"/>
      <w:marTop w:val="0"/>
      <w:marBottom w:val="0"/>
      <w:divBdr>
        <w:top w:val="none" w:sz="0" w:space="0" w:color="auto"/>
        <w:left w:val="none" w:sz="0" w:space="0" w:color="auto"/>
        <w:bottom w:val="none" w:sz="0" w:space="0" w:color="auto"/>
        <w:right w:val="none" w:sz="0" w:space="0" w:color="auto"/>
      </w:divBdr>
      <w:divsChild>
        <w:div w:id="2064790438">
          <w:marLeft w:val="0"/>
          <w:marRight w:val="0"/>
          <w:marTop w:val="0"/>
          <w:marBottom w:val="0"/>
          <w:divBdr>
            <w:top w:val="none" w:sz="0" w:space="0" w:color="auto"/>
            <w:left w:val="none" w:sz="0" w:space="0" w:color="auto"/>
            <w:bottom w:val="none" w:sz="0" w:space="0" w:color="auto"/>
            <w:right w:val="none" w:sz="0" w:space="0" w:color="auto"/>
          </w:divBdr>
          <w:divsChild>
            <w:div w:id="950210010">
              <w:marLeft w:val="0"/>
              <w:marRight w:val="0"/>
              <w:marTop w:val="0"/>
              <w:marBottom w:val="0"/>
              <w:divBdr>
                <w:top w:val="none" w:sz="0" w:space="0" w:color="auto"/>
                <w:left w:val="none" w:sz="0" w:space="0" w:color="auto"/>
                <w:bottom w:val="none" w:sz="0" w:space="0" w:color="auto"/>
                <w:right w:val="none" w:sz="0" w:space="0" w:color="auto"/>
              </w:divBdr>
              <w:divsChild>
                <w:div w:id="159808722">
                  <w:marLeft w:val="0"/>
                  <w:marRight w:val="0"/>
                  <w:marTop w:val="0"/>
                  <w:marBottom w:val="0"/>
                  <w:divBdr>
                    <w:top w:val="none" w:sz="0" w:space="0" w:color="auto"/>
                    <w:left w:val="none" w:sz="0" w:space="0" w:color="auto"/>
                    <w:bottom w:val="none" w:sz="0" w:space="0" w:color="auto"/>
                    <w:right w:val="none" w:sz="0" w:space="0" w:color="auto"/>
                  </w:divBdr>
                  <w:divsChild>
                    <w:div w:id="1045984404">
                      <w:marLeft w:val="0"/>
                      <w:marRight w:val="0"/>
                      <w:marTop w:val="0"/>
                      <w:marBottom w:val="0"/>
                      <w:divBdr>
                        <w:top w:val="none" w:sz="0" w:space="0" w:color="auto"/>
                        <w:left w:val="none" w:sz="0" w:space="0" w:color="auto"/>
                        <w:bottom w:val="none" w:sz="0" w:space="0" w:color="auto"/>
                        <w:right w:val="none" w:sz="0" w:space="0" w:color="auto"/>
                      </w:divBdr>
                      <w:divsChild>
                        <w:div w:id="2032217383">
                          <w:marLeft w:val="0"/>
                          <w:marRight w:val="0"/>
                          <w:marTop w:val="0"/>
                          <w:marBottom w:val="0"/>
                          <w:divBdr>
                            <w:top w:val="none" w:sz="0" w:space="0" w:color="auto"/>
                            <w:left w:val="none" w:sz="0" w:space="0" w:color="auto"/>
                            <w:bottom w:val="none" w:sz="0" w:space="0" w:color="auto"/>
                            <w:right w:val="none" w:sz="0" w:space="0" w:color="auto"/>
                          </w:divBdr>
                          <w:divsChild>
                            <w:div w:id="957448134">
                              <w:marLeft w:val="0"/>
                              <w:marRight w:val="0"/>
                              <w:marTop w:val="0"/>
                              <w:marBottom w:val="0"/>
                              <w:divBdr>
                                <w:top w:val="none" w:sz="0" w:space="0" w:color="auto"/>
                                <w:left w:val="none" w:sz="0" w:space="0" w:color="auto"/>
                                <w:bottom w:val="none" w:sz="0" w:space="0" w:color="auto"/>
                                <w:right w:val="none" w:sz="0" w:space="0" w:color="auto"/>
                              </w:divBdr>
                              <w:divsChild>
                                <w:div w:id="710810924">
                                  <w:marLeft w:val="0"/>
                                  <w:marRight w:val="0"/>
                                  <w:marTop w:val="0"/>
                                  <w:marBottom w:val="0"/>
                                  <w:divBdr>
                                    <w:top w:val="none" w:sz="0" w:space="0" w:color="auto"/>
                                    <w:left w:val="none" w:sz="0" w:space="0" w:color="auto"/>
                                    <w:bottom w:val="none" w:sz="0" w:space="0" w:color="auto"/>
                                    <w:right w:val="none" w:sz="0" w:space="0" w:color="auto"/>
                                  </w:divBdr>
                                  <w:divsChild>
                                    <w:div w:id="1513956385">
                                      <w:marLeft w:val="0"/>
                                      <w:marRight w:val="0"/>
                                      <w:marTop w:val="0"/>
                                      <w:marBottom w:val="0"/>
                                      <w:divBdr>
                                        <w:top w:val="none" w:sz="0" w:space="0" w:color="auto"/>
                                        <w:left w:val="none" w:sz="0" w:space="0" w:color="auto"/>
                                        <w:bottom w:val="none" w:sz="0" w:space="0" w:color="auto"/>
                                        <w:right w:val="none" w:sz="0" w:space="0" w:color="auto"/>
                                      </w:divBdr>
                                      <w:divsChild>
                                        <w:div w:id="1171025543">
                                          <w:marLeft w:val="0"/>
                                          <w:marRight w:val="0"/>
                                          <w:marTop w:val="0"/>
                                          <w:marBottom w:val="0"/>
                                          <w:divBdr>
                                            <w:top w:val="none" w:sz="0" w:space="0" w:color="auto"/>
                                            <w:left w:val="none" w:sz="0" w:space="0" w:color="auto"/>
                                            <w:bottom w:val="none" w:sz="0" w:space="0" w:color="auto"/>
                                            <w:right w:val="none" w:sz="0" w:space="0" w:color="auto"/>
                                          </w:divBdr>
                                          <w:divsChild>
                                            <w:div w:id="1456673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24688763">
      <w:bodyDiv w:val="1"/>
      <w:marLeft w:val="0"/>
      <w:marRight w:val="0"/>
      <w:marTop w:val="0"/>
      <w:marBottom w:val="0"/>
      <w:divBdr>
        <w:top w:val="none" w:sz="0" w:space="0" w:color="auto"/>
        <w:left w:val="none" w:sz="0" w:space="0" w:color="auto"/>
        <w:bottom w:val="none" w:sz="0" w:space="0" w:color="auto"/>
        <w:right w:val="none" w:sz="0" w:space="0" w:color="auto"/>
      </w:divBdr>
      <w:divsChild>
        <w:div w:id="1256208041">
          <w:marLeft w:val="0"/>
          <w:marRight w:val="0"/>
          <w:marTop w:val="0"/>
          <w:marBottom w:val="0"/>
          <w:divBdr>
            <w:top w:val="none" w:sz="0" w:space="0" w:color="auto"/>
            <w:left w:val="none" w:sz="0" w:space="0" w:color="auto"/>
            <w:bottom w:val="none" w:sz="0" w:space="0" w:color="auto"/>
            <w:right w:val="none" w:sz="0" w:space="0" w:color="auto"/>
          </w:divBdr>
          <w:divsChild>
            <w:div w:id="1282540413">
              <w:marLeft w:val="0"/>
              <w:marRight w:val="0"/>
              <w:marTop w:val="0"/>
              <w:marBottom w:val="0"/>
              <w:divBdr>
                <w:top w:val="none" w:sz="0" w:space="0" w:color="auto"/>
                <w:left w:val="none" w:sz="0" w:space="0" w:color="auto"/>
                <w:bottom w:val="none" w:sz="0" w:space="0" w:color="auto"/>
                <w:right w:val="none" w:sz="0" w:space="0" w:color="auto"/>
              </w:divBdr>
              <w:divsChild>
                <w:div w:id="449473872">
                  <w:marLeft w:val="0"/>
                  <w:marRight w:val="0"/>
                  <w:marTop w:val="0"/>
                  <w:marBottom w:val="0"/>
                  <w:divBdr>
                    <w:top w:val="none" w:sz="0" w:space="0" w:color="auto"/>
                    <w:left w:val="none" w:sz="0" w:space="0" w:color="auto"/>
                    <w:bottom w:val="none" w:sz="0" w:space="0" w:color="auto"/>
                    <w:right w:val="none" w:sz="0" w:space="0" w:color="auto"/>
                  </w:divBdr>
                  <w:divsChild>
                    <w:div w:id="209389205">
                      <w:marLeft w:val="0"/>
                      <w:marRight w:val="0"/>
                      <w:marTop w:val="32"/>
                      <w:marBottom w:val="0"/>
                      <w:divBdr>
                        <w:top w:val="none" w:sz="0" w:space="0" w:color="auto"/>
                        <w:left w:val="none" w:sz="0" w:space="0" w:color="auto"/>
                        <w:bottom w:val="none" w:sz="0" w:space="0" w:color="auto"/>
                        <w:right w:val="none" w:sz="0" w:space="0" w:color="auto"/>
                      </w:divBdr>
                      <w:divsChild>
                        <w:div w:id="1808084241">
                          <w:marLeft w:val="0"/>
                          <w:marRight w:val="0"/>
                          <w:marTop w:val="0"/>
                          <w:marBottom w:val="0"/>
                          <w:divBdr>
                            <w:top w:val="none" w:sz="0" w:space="0" w:color="auto"/>
                            <w:left w:val="none" w:sz="0" w:space="0" w:color="auto"/>
                            <w:bottom w:val="none" w:sz="0" w:space="0" w:color="auto"/>
                            <w:right w:val="none" w:sz="0" w:space="0" w:color="auto"/>
                          </w:divBdr>
                          <w:divsChild>
                            <w:div w:id="254753992">
                              <w:marLeft w:val="1483"/>
                              <w:marRight w:val="2837"/>
                              <w:marTop w:val="0"/>
                              <w:marBottom w:val="0"/>
                              <w:divBdr>
                                <w:top w:val="none" w:sz="0" w:space="0" w:color="auto"/>
                                <w:left w:val="none" w:sz="0" w:space="0" w:color="auto"/>
                                <w:bottom w:val="none" w:sz="0" w:space="0" w:color="auto"/>
                                <w:right w:val="none" w:sz="0" w:space="0" w:color="auto"/>
                              </w:divBdr>
                              <w:divsChild>
                                <w:div w:id="623538358">
                                  <w:marLeft w:val="0"/>
                                  <w:marRight w:val="0"/>
                                  <w:marTop w:val="0"/>
                                  <w:marBottom w:val="0"/>
                                  <w:divBdr>
                                    <w:top w:val="none" w:sz="0" w:space="0" w:color="auto"/>
                                    <w:left w:val="none" w:sz="0" w:space="0" w:color="auto"/>
                                    <w:bottom w:val="none" w:sz="0" w:space="0" w:color="auto"/>
                                    <w:right w:val="none" w:sz="0" w:space="0" w:color="auto"/>
                                  </w:divBdr>
                                  <w:divsChild>
                                    <w:div w:id="2013877498">
                                      <w:marLeft w:val="0"/>
                                      <w:marRight w:val="0"/>
                                      <w:marTop w:val="0"/>
                                      <w:marBottom w:val="0"/>
                                      <w:divBdr>
                                        <w:top w:val="none" w:sz="0" w:space="0" w:color="auto"/>
                                        <w:left w:val="none" w:sz="0" w:space="0" w:color="auto"/>
                                        <w:bottom w:val="none" w:sz="0" w:space="0" w:color="auto"/>
                                        <w:right w:val="none" w:sz="0" w:space="0" w:color="auto"/>
                                      </w:divBdr>
                                      <w:divsChild>
                                        <w:div w:id="1646154914">
                                          <w:marLeft w:val="0"/>
                                          <w:marRight w:val="0"/>
                                          <w:marTop w:val="0"/>
                                          <w:marBottom w:val="0"/>
                                          <w:divBdr>
                                            <w:top w:val="none" w:sz="0" w:space="0" w:color="auto"/>
                                            <w:left w:val="none" w:sz="0" w:space="0" w:color="auto"/>
                                            <w:bottom w:val="none" w:sz="0" w:space="0" w:color="auto"/>
                                            <w:right w:val="none" w:sz="0" w:space="0" w:color="auto"/>
                                          </w:divBdr>
                                          <w:divsChild>
                                            <w:div w:id="555704336">
                                              <w:marLeft w:val="0"/>
                                              <w:marRight w:val="0"/>
                                              <w:marTop w:val="64"/>
                                              <w:marBottom w:val="0"/>
                                              <w:divBdr>
                                                <w:top w:val="none" w:sz="0" w:space="0" w:color="auto"/>
                                                <w:left w:val="none" w:sz="0" w:space="0" w:color="auto"/>
                                                <w:bottom w:val="none" w:sz="0" w:space="0" w:color="auto"/>
                                                <w:right w:val="none" w:sz="0" w:space="0" w:color="auto"/>
                                              </w:divBdr>
                                              <w:divsChild>
                                                <w:div w:id="495460535">
                                                  <w:marLeft w:val="0"/>
                                                  <w:marRight w:val="0"/>
                                                  <w:marTop w:val="0"/>
                                                  <w:marBottom w:val="0"/>
                                                  <w:divBdr>
                                                    <w:top w:val="none" w:sz="0" w:space="0" w:color="auto"/>
                                                    <w:left w:val="none" w:sz="0" w:space="0" w:color="auto"/>
                                                    <w:bottom w:val="none" w:sz="0" w:space="0" w:color="auto"/>
                                                    <w:right w:val="none" w:sz="0" w:space="0" w:color="auto"/>
                                                  </w:divBdr>
                                                  <w:divsChild>
                                                    <w:div w:id="1434941149">
                                                      <w:marLeft w:val="0"/>
                                                      <w:marRight w:val="0"/>
                                                      <w:marTop w:val="0"/>
                                                      <w:marBottom w:val="0"/>
                                                      <w:divBdr>
                                                        <w:top w:val="none" w:sz="0" w:space="0" w:color="auto"/>
                                                        <w:left w:val="none" w:sz="0" w:space="0" w:color="auto"/>
                                                        <w:bottom w:val="none" w:sz="0" w:space="0" w:color="auto"/>
                                                        <w:right w:val="none" w:sz="0" w:space="0" w:color="auto"/>
                                                      </w:divBdr>
                                                      <w:divsChild>
                                                        <w:div w:id="59252487">
                                                          <w:marLeft w:val="0"/>
                                                          <w:marRight w:val="0"/>
                                                          <w:marTop w:val="0"/>
                                                          <w:marBottom w:val="279"/>
                                                          <w:divBdr>
                                                            <w:top w:val="none" w:sz="0" w:space="0" w:color="auto"/>
                                                            <w:left w:val="none" w:sz="0" w:space="0" w:color="auto"/>
                                                            <w:bottom w:val="none" w:sz="0" w:space="0" w:color="auto"/>
                                                            <w:right w:val="none" w:sz="0" w:space="0" w:color="auto"/>
                                                          </w:divBdr>
                                                          <w:divsChild>
                                                            <w:div w:id="341473732">
                                                              <w:marLeft w:val="0"/>
                                                              <w:marRight w:val="0"/>
                                                              <w:marTop w:val="0"/>
                                                              <w:marBottom w:val="0"/>
                                                              <w:divBdr>
                                                                <w:top w:val="none" w:sz="0" w:space="0" w:color="auto"/>
                                                                <w:left w:val="none" w:sz="0" w:space="0" w:color="auto"/>
                                                                <w:bottom w:val="none" w:sz="0" w:space="0" w:color="auto"/>
                                                                <w:right w:val="none" w:sz="0" w:space="0" w:color="auto"/>
                                                              </w:divBdr>
                                                              <w:divsChild>
                                                                <w:div w:id="1581017042">
                                                                  <w:marLeft w:val="0"/>
                                                                  <w:marRight w:val="0"/>
                                                                  <w:marTop w:val="0"/>
                                                                  <w:marBottom w:val="0"/>
                                                                  <w:divBdr>
                                                                    <w:top w:val="none" w:sz="0" w:space="0" w:color="auto"/>
                                                                    <w:left w:val="none" w:sz="0" w:space="0" w:color="auto"/>
                                                                    <w:bottom w:val="none" w:sz="0" w:space="0" w:color="auto"/>
                                                                    <w:right w:val="none" w:sz="0" w:space="0" w:color="auto"/>
                                                                  </w:divBdr>
                                                                  <w:divsChild>
                                                                    <w:div w:id="1810317038">
                                                                      <w:marLeft w:val="0"/>
                                                                      <w:marRight w:val="0"/>
                                                                      <w:marTop w:val="0"/>
                                                                      <w:marBottom w:val="0"/>
                                                                      <w:divBdr>
                                                                        <w:top w:val="none" w:sz="0" w:space="0" w:color="auto"/>
                                                                        <w:left w:val="none" w:sz="0" w:space="0" w:color="auto"/>
                                                                        <w:bottom w:val="none" w:sz="0" w:space="0" w:color="auto"/>
                                                                        <w:right w:val="none" w:sz="0" w:space="0" w:color="auto"/>
                                                                      </w:divBdr>
                                                                      <w:divsChild>
                                                                        <w:div w:id="186993942">
                                                                          <w:marLeft w:val="0"/>
                                                                          <w:marRight w:val="0"/>
                                                                          <w:marTop w:val="0"/>
                                                                          <w:marBottom w:val="0"/>
                                                                          <w:divBdr>
                                                                            <w:top w:val="none" w:sz="0" w:space="0" w:color="auto"/>
                                                                            <w:left w:val="none" w:sz="0" w:space="0" w:color="auto"/>
                                                                            <w:bottom w:val="none" w:sz="0" w:space="0" w:color="auto"/>
                                                                            <w:right w:val="none" w:sz="0" w:space="0" w:color="auto"/>
                                                                          </w:divBdr>
                                                                          <w:divsChild>
                                                                            <w:div w:id="2113623773">
                                                                              <w:marLeft w:val="0"/>
                                                                              <w:marRight w:val="0"/>
                                                                              <w:marTop w:val="0"/>
                                                                              <w:marBottom w:val="0"/>
                                                                              <w:divBdr>
                                                                                <w:top w:val="none" w:sz="0" w:space="0" w:color="auto"/>
                                                                                <w:left w:val="none" w:sz="0" w:space="0" w:color="auto"/>
                                                                                <w:bottom w:val="none" w:sz="0" w:space="0" w:color="auto"/>
                                                                                <w:right w:val="none" w:sz="0" w:space="0" w:color="auto"/>
                                                                              </w:divBdr>
                                                                              <w:divsChild>
                                                                                <w:div w:id="679966501">
                                                                                  <w:marLeft w:val="0"/>
                                                                                  <w:marRight w:val="0"/>
                                                                                  <w:marTop w:val="0"/>
                                                                                  <w:marBottom w:val="0"/>
                                                                                  <w:divBdr>
                                                                                    <w:top w:val="none" w:sz="0" w:space="0" w:color="auto"/>
                                                                                    <w:left w:val="none" w:sz="0" w:space="0" w:color="auto"/>
                                                                                    <w:bottom w:val="none" w:sz="0" w:space="0" w:color="auto"/>
                                                                                    <w:right w:val="none" w:sz="0" w:space="0" w:color="auto"/>
                                                                                  </w:divBdr>
                                                                                  <w:divsChild>
                                                                                    <w:div w:id="1411654933">
                                                                                      <w:marLeft w:val="0"/>
                                                                                      <w:marRight w:val="0"/>
                                                                                      <w:marTop w:val="0"/>
                                                                                      <w:marBottom w:val="0"/>
                                                                                      <w:divBdr>
                                                                                        <w:top w:val="none" w:sz="0" w:space="0" w:color="auto"/>
                                                                                        <w:left w:val="none" w:sz="0" w:space="0" w:color="auto"/>
                                                                                        <w:bottom w:val="none" w:sz="0" w:space="0" w:color="auto"/>
                                                                                        <w:right w:val="none" w:sz="0" w:space="0" w:color="auto"/>
                                                                                      </w:divBdr>
                                                                                      <w:divsChild>
                                                                                        <w:div w:id="1088161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gutenberg.org/files/16331/16331-h/16331-h.htm"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google.co.uk/url?sa=i&amp;rct=j&amp;q=&amp;esrc=s&amp;source=images&amp;cd=&amp;ved=0ahUKEwj3-PyvhpHXAhWGOhoKHY7vBbUQjRwIBw&amp;url=http://www.gettyimages.com/detail/news-photo/an-meine-volker-poster-with-a-message-from-by-emperor-franz-news-photo/118123728&amp;psig=AOvVaw1SgIuNsdHr-EMf51tpDLPa&amp;ust=1509201868229870" TargetMode="External"/><Relationship Id="rId12" Type="http://schemas.openxmlformats.org/officeDocument/2006/relationships/image" Target="media/image3.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google.co.uk/url?sa=i&amp;rct=j&amp;q=&amp;esrc=s&amp;source=images&amp;cd=&amp;cad=rja&amp;uact=8&amp;ved=0ahUKEwiytYC57-PWAhXG1xQKHcOWC20QjRwIBw&amp;url=https://theironroom.wordpress.com/2014/08/04/britain-declares-war/&amp;psig=AOvVaw2ROtyOB0c-Sk6SUCgH4eoa&amp;ust=1507649803769974" TargetMode="External"/><Relationship Id="rId5" Type="http://schemas.openxmlformats.org/officeDocument/2006/relationships/footnotes" Target="footnotes.xml"/><Relationship Id="rId15" Type="http://schemas.openxmlformats.org/officeDocument/2006/relationships/hyperlink" Target="http://www.habsburger.net/en/chapter/franz-joseph-supreme-bureaucrat" TargetMode="External"/><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hyperlink" Target="http://www.google.co.uk/url?sa=i&amp;rct=j&amp;q=&amp;esrc=s&amp;source=images&amp;cd=&amp;ved=0ahUKEwi-u_KdgbzXAhXHK8AKHeexABcQjRwIBw&amp;url=http://www.gettyimages.com/photos/wilhelm-i.-king-of-prussia&amp;psig=AOvVaw11B9aFh9XXRDksY1kKshlH&amp;ust=1510678171969740" TargetMode="External"/><Relationship Id="rId14" Type="http://schemas.openxmlformats.org/officeDocument/2006/relationships/hyperlink" Target="https://archive.spectator.co.uk/issue/7th-may-1859"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gutenberg.org/files/16331/16331-h/16331-h.htm" TargetMode="External"/><Relationship Id="rId7" Type="http://schemas.openxmlformats.org/officeDocument/2006/relationships/hyperlink" Target="https://www.thegazette.co.uk/London/issue/28868/supplement/6375/data.pdf" TargetMode="External"/><Relationship Id="rId2" Type="http://schemas.openxmlformats.org/officeDocument/2006/relationships/hyperlink" Target="http://www.historytoday.com" TargetMode="External"/><Relationship Id="rId1" Type="http://schemas.openxmlformats.org/officeDocument/2006/relationships/hyperlink" Target="https://archive.spectator.co.uk/issue/7th-may-1859" TargetMode="External"/><Relationship Id="rId6" Type="http://schemas.openxmlformats.org/officeDocument/2006/relationships/hyperlink" Target="https://www.gutenberg.org/files/16331/16331-h/16331-h.htm" TargetMode="External"/><Relationship Id="rId5" Type="http://schemas.openxmlformats.org/officeDocument/2006/relationships/hyperlink" Target="http://www.gettyimages.com/detail/news-photo/an-meine-volker-poster-with-a-message-from-by-emperor-franz-news-photo/118123728" TargetMode="External"/><Relationship Id="rId4" Type="http://schemas.openxmlformats.org/officeDocument/2006/relationships/hyperlink" Target="http://www.habsburger.net/en/chapter/franz-joseph-supreme-bureaucra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E686BB2-1E71-4A44-8299-017CE7E344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12</Pages>
  <Words>4319</Words>
  <Characters>24619</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Jones</dc:creator>
  <cp:lastModifiedBy>User</cp:lastModifiedBy>
  <cp:revision>6</cp:revision>
  <cp:lastPrinted>2017-10-29T15:57:00Z</cp:lastPrinted>
  <dcterms:created xsi:type="dcterms:W3CDTF">2017-11-15T12:44:00Z</dcterms:created>
  <dcterms:modified xsi:type="dcterms:W3CDTF">2017-11-16T23:45:00Z</dcterms:modified>
</cp:coreProperties>
</file>