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B4489" w14:textId="385B7DB1" w:rsidR="00E55569" w:rsidRPr="00416CE7" w:rsidRDefault="00D229ED" w:rsidP="004D7DAE">
      <w:pPr>
        <w:jc w:val="center"/>
        <w:rPr>
          <w:rFonts w:ascii="Arial" w:hAnsi="Arial" w:cs="Arial"/>
          <w:b/>
          <w:bCs/>
          <w:color w:val="000000" w:themeColor="text1"/>
          <w:sz w:val="24"/>
          <w:szCs w:val="24"/>
        </w:rPr>
      </w:pPr>
      <w:r w:rsidRPr="00416CE7">
        <w:rPr>
          <w:rFonts w:ascii="Arial" w:hAnsi="Arial" w:cs="Arial"/>
          <w:b/>
          <w:bCs/>
          <w:color w:val="000000" w:themeColor="text1"/>
          <w:sz w:val="24"/>
          <w:szCs w:val="24"/>
        </w:rPr>
        <w:t>Critically evaluate the difficulties vulnerable victims may encounter within the criminal justice system</w:t>
      </w:r>
    </w:p>
    <w:p w14:paraId="40F5EFB6" w14:textId="77777777" w:rsidR="00416CE7" w:rsidRPr="00416CE7" w:rsidRDefault="00416CE7" w:rsidP="004D7DAE">
      <w:pPr>
        <w:spacing w:line="480" w:lineRule="auto"/>
        <w:rPr>
          <w:rFonts w:ascii="Arial" w:hAnsi="Arial" w:cs="Arial"/>
          <w:b/>
          <w:bCs/>
          <w:color w:val="000000" w:themeColor="text1"/>
          <w:sz w:val="24"/>
          <w:szCs w:val="24"/>
        </w:rPr>
      </w:pPr>
    </w:p>
    <w:p w14:paraId="1E76AC1E" w14:textId="6CA2E9F3" w:rsidR="00853F27" w:rsidRPr="00416CE7" w:rsidRDefault="00CE143F"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 xml:space="preserve">Vulnerable victims are individuals whose personal characteristics or circumstances-such as age, disability, mental health conditions, gender-based vulnerability, migrant status, or experiences of domestic abuse may limit their ability to effectively participate in the justice process </w:t>
      </w:r>
      <w:r w:rsidR="005F77F1" w:rsidRPr="00416CE7">
        <w:rPr>
          <w:rFonts w:ascii="Arial" w:hAnsi="Arial" w:cs="Arial"/>
          <w:color w:val="000000" w:themeColor="text1"/>
          <w:sz w:val="24"/>
          <w:szCs w:val="24"/>
        </w:rPr>
        <w:t>(Public Prosecution Service</w:t>
      </w:r>
      <w:r w:rsidR="00F15DB7" w:rsidRPr="00416CE7">
        <w:rPr>
          <w:rFonts w:ascii="Arial" w:hAnsi="Arial" w:cs="Arial"/>
          <w:color w:val="000000" w:themeColor="text1"/>
          <w:sz w:val="24"/>
          <w:szCs w:val="24"/>
        </w:rPr>
        <w:t xml:space="preserve"> Northern Ireland</w:t>
      </w:r>
      <w:r w:rsidR="005F77F1" w:rsidRPr="00416CE7">
        <w:rPr>
          <w:rFonts w:ascii="Arial" w:hAnsi="Arial" w:cs="Arial"/>
          <w:color w:val="000000" w:themeColor="text1"/>
          <w:sz w:val="24"/>
          <w:szCs w:val="24"/>
        </w:rPr>
        <w:t>, 2019)</w:t>
      </w:r>
      <w:r w:rsidRPr="00416CE7">
        <w:rPr>
          <w:rFonts w:ascii="Arial" w:hAnsi="Arial" w:cs="Arial"/>
          <w:color w:val="000000" w:themeColor="text1"/>
          <w:sz w:val="24"/>
          <w:szCs w:val="24"/>
        </w:rPr>
        <w:t>. Under the Criminal Evidence (Northern Ireland) Order 1999, a witness is deemed vulnerable if they are under 18, or where the quality of their evidence is likely to be compromised by physical disability, mental disorder, or impaired intellectual and social functioning. In such cases, the Public Prosecution Service recognises the need for additional support, including the use of registered intermediaries to assist.</w:t>
      </w:r>
    </w:p>
    <w:p w14:paraId="476D21B2" w14:textId="77777777" w:rsidR="00301D40" w:rsidRPr="00416CE7" w:rsidRDefault="00301D40" w:rsidP="004D7DAE">
      <w:pPr>
        <w:spacing w:line="480" w:lineRule="auto"/>
        <w:rPr>
          <w:rFonts w:ascii="Arial" w:hAnsi="Arial" w:cs="Arial"/>
          <w:color w:val="000000" w:themeColor="text1"/>
          <w:sz w:val="24"/>
          <w:szCs w:val="24"/>
        </w:rPr>
      </w:pPr>
    </w:p>
    <w:p w14:paraId="62517F23" w14:textId="1019AD98" w:rsidR="00CE143F" w:rsidRPr="00416CE7" w:rsidRDefault="0059133A"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Building on this understanding of vulnerability, it is important to situate such individuals within the structure of the criminal justice system in England and Wales. The process typically begins with the police, who investigate offences and gather evidence, before cases are passed to the Crown Prosecution Service for charging decisions (Criminal Justice Inspect</w:t>
      </w:r>
      <w:r w:rsidR="001A21F1" w:rsidRPr="00416CE7">
        <w:rPr>
          <w:rFonts w:ascii="Arial" w:hAnsi="Arial" w:cs="Arial"/>
          <w:color w:val="000000" w:themeColor="text1"/>
          <w:sz w:val="24"/>
          <w:szCs w:val="24"/>
        </w:rPr>
        <w:t>orate</w:t>
      </w:r>
      <w:r w:rsidR="00F820D7" w:rsidRPr="00416CE7">
        <w:rPr>
          <w:rFonts w:ascii="Arial" w:hAnsi="Arial" w:cs="Arial"/>
          <w:color w:val="000000" w:themeColor="text1"/>
          <w:sz w:val="24"/>
          <w:szCs w:val="24"/>
        </w:rPr>
        <w:t>s</w:t>
      </w:r>
      <w:r w:rsidRPr="00416CE7">
        <w:rPr>
          <w:rFonts w:ascii="Arial" w:hAnsi="Arial" w:cs="Arial"/>
          <w:color w:val="000000" w:themeColor="text1"/>
          <w:sz w:val="24"/>
          <w:szCs w:val="24"/>
        </w:rPr>
        <w:t>, 2015). Matters then proceed through the courts, where evidence is presented and adjudicated. Throughout this process, various support services operate alongside formal institutions, providing practical and emotional assistance to victims and witnesses, particularly those identified as vulnerable, to promote effective participation and fair outcomes.</w:t>
      </w:r>
    </w:p>
    <w:p w14:paraId="10215FD1" w14:textId="77777777" w:rsidR="004D7DAE" w:rsidRPr="00416CE7" w:rsidRDefault="004D7DAE" w:rsidP="004D7DAE">
      <w:pPr>
        <w:spacing w:line="480" w:lineRule="auto"/>
        <w:rPr>
          <w:rFonts w:ascii="Arial" w:hAnsi="Arial" w:cs="Arial"/>
          <w:color w:val="000000" w:themeColor="text1"/>
          <w:sz w:val="24"/>
          <w:szCs w:val="24"/>
        </w:rPr>
      </w:pPr>
    </w:p>
    <w:p w14:paraId="39373C32" w14:textId="6EB37161" w:rsidR="00B6057C" w:rsidRPr="00416CE7" w:rsidRDefault="000F7FE3"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lastRenderedPageBreak/>
        <w:t xml:space="preserve">However, despite this structured framework and formal commitment to safeguarding victims, the criminal justice system in England and Wales often fails to protect those most </w:t>
      </w:r>
      <w:proofErr w:type="gramStart"/>
      <w:r w:rsidRPr="00416CE7">
        <w:rPr>
          <w:rFonts w:ascii="Arial" w:hAnsi="Arial" w:cs="Arial"/>
          <w:color w:val="000000" w:themeColor="text1"/>
          <w:sz w:val="24"/>
          <w:szCs w:val="24"/>
        </w:rPr>
        <w:t>vulnerable</w:t>
      </w:r>
      <w:r w:rsidR="00B6057C" w:rsidRPr="00416CE7">
        <w:rPr>
          <w:rFonts w:ascii="Arial" w:hAnsi="Arial" w:cs="Arial"/>
          <w:color w:val="000000" w:themeColor="text1"/>
          <w:sz w:val="24"/>
          <w:szCs w:val="24"/>
        </w:rPr>
        <w:t xml:space="preserve"> </w:t>
      </w:r>
      <w:r w:rsidRPr="00416CE7">
        <w:rPr>
          <w:rFonts w:ascii="Arial" w:hAnsi="Arial" w:cs="Arial"/>
          <w:color w:val="000000" w:themeColor="text1"/>
          <w:sz w:val="24"/>
          <w:szCs w:val="24"/>
        </w:rPr>
        <w:t>.</w:t>
      </w:r>
      <w:proofErr w:type="gramEnd"/>
      <w:r w:rsidRPr="00416CE7">
        <w:rPr>
          <w:rFonts w:ascii="Arial" w:hAnsi="Arial" w:cs="Arial"/>
          <w:color w:val="000000" w:themeColor="text1"/>
          <w:sz w:val="24"/>
          <w:szCs w:val="24"/>
        </w:rPr>
        <w:t xml:space="preserve"> As the Victims</w:t>
      </w:r>
      <w:r w:rsidR="00B6057C" w:rsidRPr="00416CE7">
        <w:rPr>
          <w:rFonts w:ascii="Arial" w:hAnsi="Arial" w:cs="Arial"/>
          <w:color w:val="000000" w:themeColor="text1"/>
          <w:sz w:val="24"/>
          <w:szCs w:val="24"/>
        </w:rPr>
        <w:t xml:space="preserve"> </w:t>
      </w:r>
      <w:r w:rsidRPr="00416CE7">
        <w:rPr>
          <w:rFonts w:ascii="Arial" w:hAnsi="Arial" w:cs="Arial"/>
          <w:color w:val="000000" w:themeColor="text1"/>
          <w:sz w:val="24"/>
          <w:szCs w:val="24"/>
        </w:rPr>
        <w:t>Commissioner’s review highlights, domestic abuse victims are systemically failed at every stage, reflecting deeper structural inequalities and institutional shortcomings</w:t>
      </w:r>
      <w:r w:rsidR="00B6057C" w:rsidRPr="00416CE7">
        <w:rPr>
          <w:rFonts w:ascii="Arial" w:hAnsi="Arial" w:cs="Arial"/>
          <w:color w:val="000000" w:themeColor="text1"/>
          <w:sz w:val="24"/>
          <w:szCs w:val="24"/>
        </w:rPr>
        <w:t xml:space="preserve"> (Victims Commissioner, 2025)</w:t>
      </w:r>
      <w:r w:rsidRPr="00416CE7">
        <w:rPr>
          <w:rFonts w:ascii="Arial" w:hAnsi="Arial" w:cs="Arial"/>
          <w:color w:val="000000" w:themeColor="text1"/>
          <w:sz w:val="24"/>
          <w:szCs w:val="24"/>
        </w:rPr>
        <w:t xml:space="preserve">. Procedural barriers, including the inconsistent use of special measures and underutilisation of key evidence such as body-worn footage, further discourage engagement. </w:t>
      </w:r>
    </w:p>
    <w:p w14:paraId="341CE756" w14:textId="77777777" w:rsidR="004D7DAE" w:rsidRPr="00416CE7" w:rsidRDefault="004D7DAE" w:rsidP="004D7DAE">
      <w:pPr>
        <w:spacing w:line="480" w:lineRule="auto"/>
        <w:rPr>
          <w:rFonts w:ascii="Arial" w:hAnsi="Arial" w:cs="Arial"/>
          <w:color w:val="000000" w:themeColor="text1"/>
          <w:sz w:val="24"/>
          <w:szCs w:val="24"/>
        </w:rPr>
      </w:pPr>
    </w:p>
    <w:p w14:paraId="42B4B9AD" w14:textId="5F6F0267" w:rsidR="00563785" w:rsidRPr="00416CE7" w:rsidRDefault="00084A23"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 xml:space="preserve">These systemic shortcomings are not isolated but arise across multiple stages of the criminal justice process, including reporting, investigation, trial, and post-trial. Although the Crown Prosecution Service outlines clear commitments to support victims throughout each phase such as engaging with </w:t>
      </w:r>
      <w:proofErr w:type="gramStart"/>
      <w:r w:rsidRPr="00416CE7">
        <w:rPr>
          <w:rFonts w:ascii="Arial" w:hAnsi="Arial" w:cs="Arial"/>
          <w:color w:val="000000" w:themeColor="text1"/>
          <w:sz w:val="24"/>
          <w:szCs w:val="24"/>
        </w:rPr>
        <w:t>victims</w:t>
      </w:r>
      <w:proofErr w:type="gramEnd"/>
      <w:r w:rsidRPr="00416CE7">
        <w:rPr>
          <w:rFonts w:ascii="Arial" w:hAnsi="Arial" w:cs="Arial"/>
          <w:color w:val="000000" w:themeColor="text1"/>
          <w:sz w:val="24"/>
          <w:szCs w:val="24"/>
        </w:rPr>
        <w:t xml:space="preserve"> pre-charge, responding to inquiries, and ensuring fair treatment gaps remain in practice (Crown Prosecution Service, 2025). </w:t>
      </w:r>
      <w:proofErr w:type="gramStart"/>
      <w:r w:rsidRPr="00416CE7">
        <w:rPr>
          <w:rFonts w:ascii="Arial" w:hAnsi="Arial" w:cs="Arial"/>
          <w:color w:val="000000" w:themeColor="text1"/>
          <w:sz w:val="24"/>
          <w:szCs w:val="24"/>
        </w:rPr>
        <w:t>In particular, while</w:t>
      </w:r>
      <w:proofErr w:type="gramEnd"/>
      <w:r w:rsidRPr="00416CE7">
        <w:rPr>
          <w:rFonts w:ascii="Arial" w:hAnsi="Arial" w:cs="Arial"/>
          <w:color w:val="000000" w:themeColor="text1"/>
          <w:sz w:val="24"/>
          <w:szCs w:val="24"/>
        </w:rPr>
        <w:t xml:space="preserve"> early identification of vulnerability and the provision of special measures are emphasised, these safeguards are not always effectively implemented. Consequently, vulnerable victims may continue to encounter barriers that limit meaningful participation and undermine the system’s protective aims.</w:t>
      </w:r>
    </w:p>
    <w:p w14:paraId="6B479AB0" w14:textId="77777777" w:rsidR="004D7DAE" w:rsidRPr="00416CE7" w:rsidRDefault="004D7DAE" w:rsidP="004D7DAE">
      <w:pPr>
        <w:spacing w:line="480" w:lineRule="auto"/>
        <w:rPr>
          <w:rFonts w:ascii="Arial" w:hAnsi="Arial" w:cs="Arial"/>
          <w:color w:val="000000" w:themeColor="text1"/>
          <w:sz w:val="24"/>
          <w:szCs w:val="24"/>
        </w:rPr>
      </w:pPr>
    </w:p>
    <w:p w14:paraId="71EB132E" w14:textId="35063D50" w:rsidR="00563785" w:rsidRPr="00416CE7" w:rsidRDefault="00FD5664"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 xml:space="preserve">This essay argues that, notwithstanding formal protections, systemic failures collectively disadvantage vulnerable victims, undermining both their participation and confidence in the justice process. It will also explore how these failures manifest across key stages of the criminal justice process reporting, investigation, trial, and </w:t>
      </w:r>
      <w:r w:rsidRPr="00416CE7">
        <w:rPr>
          <w:rFonts w:ascii="Arial" w:hAnsi="Arial" w:cs="Arial"/>
          <w:color w:val="000000" w:themeColor="text1"/>
          <w:sz w:val="24"/>
          <w:szCs w:val="24"/>
        </w:rPr>
        <w:lastRenderedPageBreak/>
        <w:t>post-trial focusing on structural inequalities, institutional practices, and procedural barriers at each stage.</w:t>
      </w:r>
    </w:p>
    <w:p w14:paraId="1DD05B80" w14:textId="77777777" w:rsidR="00416CE7" w:rsidRPr="00416CE7" w:rsidRDefault="00416CE7" w:rsidP="004D7DAE">
      <w:pPr>
        <w:spacing w:line="480" w:lineRule="auto"/>
        <w:rPr>
          <w:rFonts w:ascii="Arial" w:hAnsi="Arial" w:cs="Arial"/>
          <w:color w:val="000000" w:themeColor="text1"/>
          <w:sz w:val="24"/>
          <w:szCs w:val="24"/>
        </w:rPr>
      </w:pPr>
    </w:p>
    <w:p w14:paraId="2DB519CF" w14:textId="3684C041" w:rsidR="00563785" w:rsidRPr="00416CE7" w:rsidRDefault="00B84C17"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 xml:space="preserve">Building on the systemic issues identified, a conceptual understanding of vulnerability is essential. Legally, frameworks such as the Youth Justice and Criminal Evidence Act 1999 define vulnerability in terms of eligibility for special measures, particularly where evidence may be affected by age, disability, or mental condition as noted by Brown (2014: 371). However, vulnerability is not fixed. It comprises both </w:t>
      </w:r>
      <w:r w:rsidR="008169F0" w:rsidRPr="00416CE7">
        <w:rPr>
          <w:rFonts w:ascii="Arial" w:hAnsi="Arial" w:cs="Arial"/>
          <w:color w:val="000000" w:themeColor="text1"/>
          <w:sz w:val="24"/>
          <w:szCs w:val="24"/>
        </w:rPr>
        <w:t>‘</w:t>
      </w:r>
      <w:r w:rsidR="00E66390" w:rsidRPr="00416CE7">
        <w:rPr>
          <w:rFonts w:ascii="Arial" w:hAnsi="Arial" w:cs="Arial"/>
          <w:color w:val="000000" w:themeColor="text1"/>
          <w:sz w:val="24"/>
          <w:szCs w:val="24"/>
        </w:rPr>
        <w:t>inherent</w:t>
      </w:r>
      <w:r w:rsidR="008169F0" w:rsidRPr="00416CE7">
        <w:rPr>
          <w:rFonts w:ascii="Arial" w:hAnsi="Arial" w:cs="Arial"/>
          <w:color w:val="000000" w:themeColor="text1"/>
          <w:sz w:val="24"/>
          <w:szCs w:val="24"/>
        </w:rPr>
        <w:t>’</w:t>
      </w:r>
      <w:r w:rsidRPr="00416CE7">
        <w:rPr>
          <w:rFonts w:ascii="Arial" w:hAnsi="Arial" w:cs="Arial"/>
          <w:color w:val="000000" w:themeColor="text1"/>
          <w:sz w:val="24"/>
          <w:szCs w:val="24"/>
        </w:rPr>
        <w:t xml:space="preserve"> factors, such as cognitive or physical impairment, and </w:t>
      </w:r>
      <w:r w:rsidR="008169F0" w:rsidRPr="00416CE7">
        <w:rPr>
          <w:rFonts w:ascii="Arial" w:hAnsi="Arial" w:cs="Arial"/>
          <w:color w:val="000000" w:themeColor="text1"/>
          <w:sz w:val="24"/>
          <w:szCs w:val="24"/>
        </w:rPr>
        <w:t>‘</w:t>
      </w:r>
      <w:r w:rsidRPr="00416CE7">
        <w:rPr>
          <w:rFonts w:ascii="Arial" w:hAnsi="Arial" w:cs="Arial"/>
          <w:color w:val="000000" w:themeColor="text1"/>
          <w:sz w:val="24"/>
          <w:szCs w:val="24"/>
        </w:rPr>
        <w:t>situational</w:t>
      </w:r>
      <w:r w:rsidR="008169F0" w:rsidRPr="00416CE7">
        <w:rPr>
          <w:rFonts w:ascii="Arial" w:hAnsi="Arial" w:cs="Arial"/>
          <w:color w:val="000000" w:themeColor="text1"/>
          <w:sz w:val="24"/>
          <w:szCs w:val="24"/>
        </w:rPr>
        <w:t>’</w:t>
      </w:r>
      <w:r w:rsidRPr="00416CE7">
        <w:rPr>
          <w:rFonts w:ascii="Arial" w:hAnsi="Arial" w:cs="Arial"/>
          <w:color w:val="000000" w:themeColor="text1"/>
          <w:sz w:val="24"/>
          <w:szCs w:val="24"/>
        </w:rPr>
        <w:t xml:space="preserve"> factors shaped by social and institutional contexts. Thus, vulnerability is dynamically constructed through interaction with the environment, meaning the criminal justice system itself may create or exacerbate it (ibid: 372).</w:t>
      </w:r>
      <w:r w:rsidR="008169F0" w:rsidRPr="00416CE7">
        <w:rPr>
          <w:rFonts w:ascii="Arial" w:hAnsi="Arial" w:cs="Arial"/>
          <w:color w:val="000000" w:themeColor="text1"/>
          <w:sz w:val="24"/>
          <w:szCs w:val="24"/>
        </w:rPr>
        <w:t xml:space="preserve"> This highlights that vulnerability is not an inherent, fixed condition, but is shaped by external social and institutional contexts.</w:t>
      </w:r>
    </w:p>
    <w:p w14:paraId="7CAC49B5" w14:textId="77777777" w:rsidR="004D7DAE" w:rsidRPr="00416CE7" w:rsidRDefault="004D7DAE" w:rsidP="004D7DAE">
      <w:pPr>
        <w:spacing w:line="480" w:lineRule="auto"/>
        <w:rPr>
          <w:rFonts w:ascii="Arial" w:hAnsi="Arial" w:cs="Arial"/>
          <w:color w:val="000000" w:themeColor="text1"/>
          <w:sz w:val="24"/>
          <w:szCs w:val="24"/>
        </w:rPr>
      </w:pPr>
    </w:p>
    <w:p w14:paraId="3784FA6C" w14:textId="78949FB5" w:rsidR="00563785" w:rsidRPr="00416CE7" w:rsidRDefault="00C343F5"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Developing this analysis of vulnerability, victimology offers further insight into how victims are conceptualised within the criminal justice system</w:t>
      </w:r>
      <w:r w:rsidR="002B272A" w:rsidRPr="00416CE7">
        <w:rPr>
          <w:rFonts w:ascii="Arial" w:hAnsi="Arial" w:cs="Arial"/>
          <w:color w:val="000000" w:themeColor="text1"/>
          <w:sz w:val="24"/>
          <w:szCs w:val="24"/>
        </w:rPr>
        <w:t>. Positivist victimology focuses on identifying individual characteristics that may increase the risk of victimisation, thereby locating vulnerability within the victim</w:t>
      </w:r>
      <w:r w:rsidR="002A5A20" w:rsidRPr="00416CE7">
        <w:rPr>
          <w:rFonts w:ascii="Arial" w:hAnsi="Arial" w:cs="Arial"/>
          <w:color w:val="000000" w:themeColor="text1"/>
          <w:sz w:val="24"/>
          <w:szCs w:val="24"/>
        </w:rPr>
        <w:t xml:space="preserve"> (Ikeyi, 2023</w:t>
      </w:r>
      <w:r w:rsidR="00910C76" w:rsidRPr="00416CE7">
        <w:rPr>
          <w:rFonts w:ascii="Arial" w:hAnsi="Arial" w:cs="Arial"/>
          <w:color w:val="000000" w:themeColor="text1"/>
          <w:sz w:val="24"/>
          <w:szCs w:val="24"/>
        </w:rPr>
        <w:t>: 18</w:t>
      </w:r>
      <w:r w:rsidR="002A5A20" w:rsidRPr="00416CE7">
        <w:rPr>
          <w:rFonts w:ascii="Arial" w:hAnsi="Arial" w:cs="Arial"/>
          <w:color w:val="000000" w:themeColor="text1"/>
          <w:sz w:val="24"/>
          <w:szCs w:val="24"/>
        </w:rPr>
        <w:t>)</w:t>
      </w:r>
      <w:r w:rsidR="002B272A" w:rsidRPr="00416CE7">
        <w:rPr>
          <w:rFonts w:ascii="Arial" w:hAnsi="Arial" w:cs="Arial"/>
          <w:color w:val="000000" w:themeColor="text1"/>
          <w:sz w:val="24"/>
          <w:szCs w:val="24"/>
        </w:rPr>
        <w:t xml:space="preserve">. In contrast, critical victimology challenges this perspective by emphasising power relations and structural inequalities, arguing that societal institutions shape who is recognised as a </w:t>
      </w:r>
      <w:r w:rsidR="002A5A20" w:rsidRPr="00416CE7">
        <w:rPr>
          <w:rFonts w:ascii="Arial" w:hAnsi="Arial" w:cs="Arial"/>
          <w:color w:val="000000" w:themeColor="text1"/>
          <w:sz w:val="24"/>
          <w:szCs w:val="24"/>
        </w:rPr>
        <w:t>‘</w:t>
      </w:r>
      <w:r w:rsidR="002B272A" w:rsidRPr="00416CE7">
        <w:rPr>
          <w:rFonts w:ascii="Arial" w:hAnsi="Arial" w:cs="Arial"/>
          <w:color w:val="000000" w:themeColor="text1"/>
          <w:sz w:val="24"/>
          <w:szCs w:val="24"/>
        </w:rPr>
        <w:t>legitimate</w:t>
      </w:r>
      <w:r w:rsidR="002A5A20" w:rsidRPr="00416CE7">
        <w:rPr>
          <w:rFonts w:ascii="Arial" w:hAnsi="Arial" w:cs="Arial"/>
          <w:color w:val="000000" w:themeColor="text1"/>
          <w:sz w:val="24"/>
          <w:szCs w:val="24"/>
        </w:rPr>
        <w:t>’</w:t>
      </w:r>
      <w:r w:rsidR="002B272A" w:rsidRPr="00416CE7">
        <w:rPr>
          <w:rFonts w:ascii="Arial" w:hAnsi="Arial" w:cs="Arial"/>
          <w:color w:val="000000" w:themeColor="text1"/>
          <w:sz w:val="24"/>
          <w:szCs w:val="24"/>
        </w:rPr>
        <w:t xml:space="preserve"> victim while overlooking broader forms of harm</w:t>
      </w:r>
      <w:r w:rsidR="00910C76" w:rsidRPr="00416CE7">
        <w:rPr>
          <w:rFonts w:ascii="Arial" w:hAnsi="Arial" w:cs="Arial"/>
          <w:color w:val="000000" w:themeColor="text1"/>
          <w:sz w:val="24"/>
          <w:szCs w:val="24"/>
        </w:rPr>
        <w:t xml:space="preserve"> (ibid: 19)</w:t>
      </w:r>
      <w:r w:rsidR="002B272A" w:rsidRPr="00416CE7">
        <w:rPr>
          <w:rFonts w:ascii="Arial" w:hAnsi="Arial" w:cs="Arial"/>
          <w:color w:val="000000" w:themeColor="text1"/>
          <w:sz w:val="24"/>
          <w:szCs w:val="24"/>
        </w:rPr>
        <w:t>.</w:t>
      </w:r>
      <w:r w:rsidRPr="00416CE7">
        <w:rPr>
          <w:rFonts w:ascii="Arial" w:hAnsi="Arial" w:cs="Arial"/>
          <w:color w:val="000000" w:themeColor="text1"/>
          <w:sz w:val="24"/>
          <w:szCs w:val="24"/>
        </w:rPr>
        <w:t xml:space="preserve"> </w:t>
      </w:r>
      <w:r w:rsidR="002B272A" w:rsidRPr="00416CE7">
        <w:rPr>
          <w:rFonts w:ascii="Arial" w:hAnsi="Arial" w:cs="Arial"/>
          <w:color w:val="000000" w:themeColor="text1"/>
          <w:sz w:val="24"/>
          <w:szCs w:val="24"/>
        </w:rPr>
        <w:t xml:space="preserve">This highlights how institutional practices may reinforce exclusion. It supports a </w:t>
      </w:r>
      <w:r w:rsidR="002B272A" w:rsidRPr="00416CE7">
        <w:rPr>
          <w:rFonts w:ascii="Arial" w:hAnsi="Arial" w:cs="Arial"/>
          <w:color w:val="000000" w:themeColor="text1"/>
          <w:sz w:val="24"/>
          <w:szCs w:val="24"/>
        </w:rPr>
        <w:lastRenderedPageBreak/>
        <w:t>critical approach, aligning with this essay’s argument that systemic structures disadvantage vulnerable victims.</w:t>
      </w:r>
    </w:p>
    <w:p w14:paraId="74DFDDD5" w14:textId="77777777" w:rsidR="004D7DAE" w:rsidRPr="00416CE7" w:rsidRDefault="004D7DAE" w:rsidP="004D7DAE">
      <w:pPr>
        <w:spacing w:line="480" w:lineRule="auto"/>
        <w:rPr>
          <w:rFonts w:ascii="Arial" w:hAnsi="Arial" w:cs="Arial"/>
          <w:color w:val="000000" w:themeColor="text1"/>
          <w:sz w:val="24"/>
          <w:szCs w:val="24"/>
        </w:rPr>
      </w:pPr>
    </w:p>
    <w:p w14:paraId="5B224485" w14:textId="17ABDE89" w:rsidR="001D3C8D" w:rsidRPr="00416CE7" w:rsidRDefault="001D3C8D"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Aligned with this perspective, feminist criminology provides a crucial lens for analysing gendered violence within the criminal justice system (Kyriakopoulou-Kollia, 2019: 170). It has significantly shaped legal reforms and policies addressing domestic abuse and sexual violence, while exposing institutional biases rooted in a historically male-dominated system that has often marginalised and disbelieved female victims</w:t>
      </w:r>
      <w:r w:rsidR="005C4DF8" w:rsidRPr="00416CE7">
        <w:rPr>
          <w:rFonts w:ascii="Arial" w:hAnsi="Arial" w:cs="Arial"/>
          <w:color w:val="000000" w:themeColor="text1"/>
          <w:sz w:val="24"/>
          <w:szCs w:val="24"/>
        </w:rPr>
        <w:t xml:space="preserve"> (ibid: 163)</w:t>
      </w:r>
      <w:r w:rsidRPr="00416CE7">
        <w:rPr>
          <w:rFonts w:ascii="Arial" w:hAnsi="Arial" w:cs="Arial"/>
          <w:color w:val="000000" w:themeColor="text1"/>
          <w:sz w:val="24"/>
          <w:szCs w:val="24"/>
        </w:rPr>
        <w:t>. Key concepts such as the public</w:t>
      </w:r>
      <w:r w:rsidR="005C4DF8" w:rsidRPr="00416CE7">
        <w:rPr>
          <w:rFonts w:ascii="Arial" w:hAnsi="Arial" w:cs="Arial"/>
          <w:color w:val="000000" w:themeColor="text1"/>
          <w:sz w:val="24"/>
          <w:szCs w:val="24"/>
        </w:rPr>
        <w:t xml:space="preserve"> and </w:t>
      </w:r>
      <w:r w:rsidRPr="00416CE7">
        <w:rPr>
          <w:rFonts w:ascii="Arial" w:hAnsi="Arial" w:cs="Arial"/>
          <w:color w:val="000000" w:themeColor="text1"/>
          <w:sz w:val="24"/>
          <w:szCs w:val="24"/>
        </w:rPr>
        <w:t>private divide and intersectionality further illuminate the complexity of victims’ experiences.</w:t>
      </w:r>
      <w:r w:rsidR="005C4DF8" w:rsidRPr="00416CE7">
        <w:rPr>
          <w:rFonts w:ascii="Arial" w:hAnsi="Arial" w:cs="Arial"/>
          <w:color w:val="000000" w:themeColor="text1"/>
          <w:sz w:val="24"/>
          <w:szCs w:val="24"/>
        </w:rPr>
        <w:t xml:space="preserve"> T</w:t>
      </w:r>
      <w:r w:rsidRPr="00416CE7">
        <w:rPr>
          <w:rFonts w:ascii="Arial" w:hAnsi="Arial" w:cs="Arial"/>
          <w:color w:val="000000" w:themeColor="text1"/>
          <w:sz w:val="24"/>
          <w:szCs w:val="24"/>
        </w:rPr>
        <w:t xml:space="preserve">his underscores how gendered power structures shape victim recognition and response. It </w:t>
      </w:r>
      <w:r w:rsidR="005C4DF8" w:rsidRPr="00416CE7">
        <w:rPr>
          <w:rFonts w:ascii="Arial" w:hAnsi="Arial" w:cs="Arial"/>
          <w:color w:val="000000" w:themeColor="text1"/>
          <w:sz w:val="24"/>
          <w:szCs w:val="24"/>
        </w:rPr>
        <w:t xml:space="preserve">also </w:t>
      </w:r>
      <w:r w:rsidRPr="00416CE7">
        <w:rPr>
          <w:rFonts w:ascii="Arial" w:hAnsi="Arial" w:cs="Arial"/>
          <w:color w:val="000000" w:themeColor="text1"/>
          <w:sz w:val="24"/>
          <w:szCs w:val="24"/>
        </w:rPr>
        <w:t>reinforces th</w:t>
      </w:r>
      <w:r w:rsidR="005C4DF8" w:rsidRPr="00416CE7">
        <w:rPr>
          <w:rFonts w:ascii="Arial" w:hAnsi="Arial" w:cs="Arial"/>
          <w:color w:val="000000" w:themeColor="text1"/>
          <w:sz w:val="24"/>
          <w:szCs w:val="24"/>
        </w:rPr>
        <w:t>e</w:t>
      </w:r>
      <w:r w:rsidRPr="00416CE7">
        <w:rPr>
          <w:rFonts w:ascii="Arial" w:hAnsi="Arial" w:cs="Arial"/>
          <w:color w:val="000000" w:themeColor="text1"/>
          <w:sz w:val="24"/>
          <w:szCs w:val="24"/>
        </w:rPr>
        <w:t xml:space="preserve"> argument that systemic inequalities continue to disadvantage vulnerable victims.</w:t>
      </w:r>
    </w:p>
    <w:p w14:paraId="12C843EE" w14:textId="77777777" w:rsidR="004D7DAE" w:rsidRPr="00416CE7" w:rsidRDefault="004D7DAE" w:rsidP="004D7DAE">
      <w:pPr>
        <w:spacing w:line="480" w:lineRule="auto"/>
        <w:rPr>
          <w:rFonts w:ascii="Arial" w:hAnsi="Arial" w:cs="Arial"/>
          <w:color w:val="000000" w:themeColor="text1"/>
          <w:sz w:val="24"/>
          <w:szCs w:val="24"/>
        </w:rPr>
      </w:pPr>
    </w:p>
    <w:p w14:paraId="3D0B6EE5" w14:textId="0BD48B59" w:rsidR="00EE1C24" w:rsidRPr="00416CE7" w:rsidRDefault="00EE1C24"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In line with this argument, intersectionality, as conceptualised by Crenshaw (1989), is essential for understanding how overlapping social identities such as race, gender, and class produce compounded forms of vulnerability. These categories do not operate independently but interact to shape distinct experiences of harm and marginalisation. For example, Black trans individuals may face unique forms of discrimination that cannot be understood through single-axis analysis</w:t>
      </w:r>
      <w:r w:rsidR="00563785" w:rsidRPr="00416CE7">
        <w:rPr>
          <w:rFonts w:ascii="Arial" w:hAnsi="Arial" w:cs="Arial"/>
          <w:color w:val="000000" w:themeColor="text1"/>
          <w:sz w:val="24"/>
          <w:szCs w:val="24"/>
        </w:rPr>
        <w:t xml:space="preserve"> (Jackson, Mohr and Kindahl, 2021:</w:t>
      </w:r>
      <w:r w:rsidR="009F212F" w:rsidRPr="00416CE7">
        <w:rPr>
          <w:rFonts w:ascii="Arial" w:hAnsi="Arial" w:cs="Arial"/>
          <w:color w:val="000000" w:themeColor="text1"/>
          <w:sz w:val="24"/>
          <w:szCs w:val="24"/>
        </w:rPr>
        <w:t xml:space="preserve"> 2). </w:t>
      </w:r>
      <w:r w:rsidRPr="00416CE7">
        <w:rPr>
          <w:rFonts w:ascii="Arial" w:hAnsi="Arial" w:cs="Arial"/>
          <w:color w:val="000000" w:themeColor="text1"/>
          <w:sz w:val="24"/>
          <w:szCs w:val="24"/>
        </w:rPr>
        <w:t>This highlights the limitations of generalised victim frameworks and shows that structural inequalities intersect to deepen disadvantage within the criminal justice system.</w:t>
      </w:r>
    </w:p>
    <w:p w14:paraId="791893D2" w14:textId="77777777" w:rsidR="0009134B" w:rsidRPr="00416CE7" w:rsidRDefault="0009134B" w:rsidP="004D7DAE">
      <w:pPr>
        <w:spacing w:line="480" w:lineRule="auto"/>
        <w:rPr>
          <w:rFonts w:ascii="Arial" w:hAnsi="Arial" w:cs="Arial"/>
          <w:color w:val="000000" w:themeColor="text1"/>
          <w:sz w:val="24"/>
          <w:szCs w:val="24"/>
        </w:rPr>
      </w:pPr>
    </w:p>
    <w:p w14:paraId="29325991" w14:textId="705B8C7F" w:rsidR="00F203E5" w:rsidRPr="00416CE7" w:rsidRDefault="00F203E5"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lastRenderedPageBreak/>
        <w:t>Further to this, procedural justice theory emphasises that victims’ willingness to engage with legal authorities depends on whether processes are perceived as fair, neutral, and consistent</w:t>
      </w:r>
      <w:r w:rsidR="00D509B9" w:rsidRPr="00416CE7">
        <w:rPr>
          <w:rFonts w:ascii="Arial" w:hAnsi="Arial" w:cs="Arial"/>
          <w:color w:val="000000" w:themeColor="text1"/>
          <w:sz w:val="24"/>
          <w:szCs w:val="24"/>
        </w:rPr>
        <w:t xml:space="preserve"> (Hohl, Jackson and Bradford, 2025: 1142)</w:t>
      </w:r>
      <w:r w:rsidRPr="00416CE7">
        <w:rPr>
          <w:rFonts w:ascii="Arial" w:hAnsi="Arial" w:cs="Arial"/>
          <w:color w:val="000000" w:themeColor="text1"/>
          <w:sz w:val="24"/>
          <w:szCs w:val="24"/>
        </w:rPr>
        <w:t>. Central elements include giving victims a voice, enabling meaningful participation, and ensuring respectful treatment throughout proceedings. When these conditions are met, trust in authorities is strengthened, enhancing perceived legitimacy and encouraging cooperation</w:t>
      </w:r>
      <w:r w:rsidR="0070740F" w:rsidRPr="00416CE7">
        <w:rPr>
          <w:rFonts w:ascii="Arial" w:hAnsi="Arial" w:cs="Arial"/>
          <w:color w:val="000000" w:themeColor="text1"/>
          <w:sz w:val="24"/>
          <w:szCs w:val="24"/>
        </w:rPr>
        <w:t xml:space="preserve"> (ibid.).</w:t>
      </w:r>
      <w:r w:rsidR="00566EE9" w:rsidRPr="00416CE7">
        <w:rPr>
          <w:rFonts w:ascii="Arial" w:hAnsi="Arial" w:cs="Arial"/>
          <w:color w:val="000000" w:themeColor="text1"/>
          <w:sz w:val="24"/>
          <w:szCs w:val="24"/>
        </w:rPr>
        <w:t xml:space="preserve"> </w:t>
      </w:r>
      <w:r w:rsidRPr="00416CE7">
        <w:rPr>
          <w:rFonts w:ascii="Arial" w:hAnsi="Arial" w:cs="Arial"/>
          <w:color w:val="000000" w:themeColor="text1"/>
          <w:sz w:val="24"/>
          <w:szCs w:val="24"/>
        </w:rPr>
        <w:t xml:space="preserve">This </w:t>
      </w:r>
      <w:r w:rsidR="00034A96" w:rsidRPr="00416CE7">
        <w:rPr>
          <w:rFonts w:ascii="Arial" w:hAnsi="Arial" w:cs="Arial"/>
          <w:color w:val="000000" w:themeColor="text1"/>
          <w:sz w:val="24"/>
          <w:szCs w:val="24"/>
        </w:rPr>
        <w:t>shows</w:t>
      </w:r>
      <w:r w:rsidRPr="00416CE7">
        <w:rPr>
          <w:rFonts w:ascii="Arial" w:hAnsi="Arial" w:cs="Arial"/>
          <w:color w:val="000000" w:themeColor="text1"/>
          <w:sz w:val="24"/>
          <w:szCs w:val="24"/>
        </w:rPr>
        <w:t xml:space="preserve"> how procedural failings may erode trust and discourage engagement. It supports th</w:t>
      </w:r>
      <w:r w:rsidR="00034A96" w:rsidRPr="00416CE7">
        <w:rPr>
          <w:rFonts w:ascii="Arial" w:hAnsi="Arial" w:cs="Arial"/>
          <w:color w:val="000000" w:themeColor="text1"/>
          <w:sz w:val="24"/>
          <w:szCs w:val="24"/>
        </w:rPr>
        <w:t xml:space="preserve">e </w:t>
      </w:r>
      <w:r w:rsidRPr="00416CE7">
        <w:rPr>
          <w:rFonts w:ascii="Arial" w:hAnsi="Arial" w:cs="Arial"/>
          <w:color w:val="000000" w:themeColor="text1"/>
          <w:sz w:val="24"/>
          <w:szCs w:val="24"/>
        </w:rPr>
        <w:t>argument that ineffective practices undermine confidence and disproportionately disadvantage vulnerable</w:t>
      </w:r>
      <w:r w:rsidR="00034A96" w:rsidRPr="00416CE7">
        <w:rPr>
          <w:rFonts w:ascii="Arial" w:hAnsi="Arial" w:cs="Arial"/>
          <w:color w:val="000000" w:themeColor="text1"/>
          <w:sz w:val="24"/>
          <w:szCs w:val="24"/>
        </w:rPr>
        <w:t>.</w:t>
      </w:r>
    </w:p>
    <w:p w14:paraId="0DCACE58" w14:textId="6CF5B6A1" w:rsidR="00F57C54" w:rsidRPr="00416CE7" w:rsidRDefault="00F57C54"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Taken together, these perspectives suggest that, while policy frameworks formally recognise vulnerability, theoretical approaches reveal how systemic inequalities are reproduced within the criminal justice process</w:t>
      </w:r>
      <w:r w:rsidR="00437E38" w:rsidRPr="00416CE7">
        <w:rPr>
          <w:rFonts w:ascii="Arial" w:hAnsi="Arial" w:cs="Arial"/>
          <w:color w:val="000000" w:themeColor="text1"/>
          <w:sz w:val="24"/>
          <w:szCs w:val="24"/>
        </w:rPr>
        <w:t>.</w:t>
      </w:r>
    </w:p>
    <w:p w14:paraId="5560310C" w14:textId="77777777" w:rsidR="00416CE7" w:rsidRPr="00416CE7" w:rsidRDefault="00416CE7" w:rsidP="004D7DAE">
      <w:pPr>
        <w:spacing w:after="0" w:line="480" w:lineRule="auto"/>
        <w:rPr>
          <w:rFonts w:ascii="Arial" w:hAnsi="Arial" w:cs="Arial"/>
          <w:color w:val="000000" w:themeColor="text1"/>
          <w:sz w:val="24"/>
          <w:szCs w:val="24"/>
        </w:rPr>
      </w:pPr>
    </w:p>
    <w:p w14:paraId="3C3536DD" w14:textId="5D5307D4" w:rsidR="00CB7F4A" w:rsidRPr="00416CE7" w:rsidRDefault="00414704" w:rsidP="004D7DAE">
      <w:pPr>
        <w:spacing w:after="0" w:line="480" w:lineRule="auto"/>
        <w:rPr>
          <w:rFonts w:ascii="Arial" w:eastAsia="Times New Roman" w:hAnsi="Arial" w:cs="Arial"/>
          <w:color w:val="000000" w:themeColor="text1"/>
          <w:kern w:val="0"/>
          <w:sz w:val="24"/>
          <w:szCs w:val="24"/>
          <w:lang w:eastAsia="en-GB"/>
          <w14:ligatures w14:val="none"/>
        </w:rPr>
      </w:pPr>
      <w:r w:rsidRPr="00416CE7">
        <w:rPr>
          <w:rFonts w:ascii="Arial" w:hAnsi="Arial" w:cs="Arial"/>
          <w:color w:val="000000" w:themeColor="text1"/>
          <w:sz w:val="24"/>
          <w:szCs w:val="24"/>
        </w:rPr>
        <w:t>Further illustrating these challenges, barriers to reporting crime further illustrate how vulnerability is shaped within the criminal justice process. A key obstacle is victims’ fear of not being believed, particularly in cases of sexual violence, where anticipated negative interactions with authorities deter engagement</w:t>
      </w:r>
      <w:r w:rsidR="00212093" w:rsidRPr="00416CE7">
        <w:rPr>
          <w:rFonts w:ascii="Arial" w:hAnsi="Arial" w:cs="Arial"/>
          <w:color w:val="000000" w:themeColor="text1"/>
          <w:sz w:val="24"/>
          <w:szCs w:val="24"/>
        </w:rPr>
        <w:t xml:space="preserve"> a</w:t>
      </w:r>
      <w:r w:rsidR="00CB7F4A" w:rsidRPr="00416CE7">
        <w:rPr>
          <w:rFonts w:ascii="Arial" w:hAnsi="Arial" w:cs="Arial"/>
          <w:color w:val="000000" w:themeColor="text1"/>
          <w:sz w:val="24"/>
          <w:szCs w:val="24"/>
        </w:rPr>
        <w:t>s v</w:t>
      </w:r>
      <w:r w:rsidRPr="00416CE7">
        <w:rPr>
          <w:rFonts w:ascii="Arial" w:hAnsi="Arial" w:cs="Arial"/>
          <w:color w:val="000000" w:themeColor="text1"/>
          <w:sz w:val="24"/>
          <w:szCs w:val="24"/>
        </w:rPr>
        <w:t>ictims may expect their credibility to be questioned or their experiences dismissed, reinforcing reluctance to report</w:t>
      </w:r>
      <w:r w:rsidR="00CB7F4A" w:rsidRPr="00416CE7">
        <w:rPr>
          <w:rFonts w:ascii="Arial" w:hAnsi="Arial" w:cs="Arial"/>
          <w:color w:val="000000" w:themeColor="text1"/>
          <w:sz w:val="24"/>
          <w:szCs w:val="24"/>
        </w:rPr>
        <w:t xml:space="preserve"> </w:t>
      </w:r>
      <w:r w:rsidR="00CB7F4A" w:rsidRPr="00416CE7">
        <w:rPr>
          <w:rFonts w:ascii="Arial" w:eastAsia="Times New Roman" w:hAnsi="Arial" w:cs="Arial"/>
          <w:color w:val="000000" w:themeColor="text1"/>
          <w:kern w:val="0"/>
          <w:sz w:val="24"/>
          <w:szCs w:val="24"/>
          <w:lang w:eastAsia="en-GB"/>
          <w14:ligatures w14:val="none"/>
        </w:rPr>
        <w:t xml:space="preserve">(Sable et al., 2006: 157). </w:t>
      </w:r>
      <w:r w:rsidRPr="00416CE7">
        <w:rPr>
          <w:rFonts w:ascii="Arial" w:hAnsi="Arial" w:cs="Arial"/>
          <w:color w:val="000000" w:themeColor="text1"/>
          <w:sz w:val="24"/>
          <w:szCs w:val="24"/>
        </w:rPr>
        <w:t xml:space="preserve">This </w:t>
      </w:r>
      <w:r w:rsidR="00CB7F4A" w:rsidRPr="00416CE7">
        <w:rPr>
          <w:rFonts w:ascii="Arial" w:hAnsi="Arial" w:cs="Arial"/>
          <w:color w:val="000000" w:themeColor="text1"/>
          <w:sz w:val="24"/>
          <w:szCs w:val="24"/>
        </w:rPr>
        <w:t>indicates</w:t>
      </w:r>
      <w:r w:rsidRPr="00416CE7">
        <w:rPr>
          <w:rFonts w:ascii="Arial" w:hAnsi="Arial" w:cs="Arial"/>
          <w:color w:val="000000" w:themeColor="text1"/>
          <w:sz w:val="24"/>
          <w:szCs w:val="24"/>
        </w:rPr>
        <w:t xml:space="preserve"> how institutional mistrust is rooted in systemic practices. It supports the view that the justice system not only responds inadequately to vulnerability but may actively reproduce it through perceived and experienced disbelief.</w:t>
      </w:r>
    </w:p>
    <w:p w14:paraId="5DF0072A" w14:textId="77777777" w:rsidR="00CB7F4A" w:rsidRPr="00416CE7" w:rsidRDefault="00CB7F4A" w:rsidP="004D7DAE">
      <w:pPr>
        <w:spacing w:line="480" w:lineRule="auto"/>
        <w:rPr>
          <w:rFonts w:ascii="Arial" w:hAnsi="Arial" w:cs="Arial"/>
          <w:color w:val="000000" w:themeColor="text1"/>
          <w:sz w:val="24"/>
          <w:szCs w:val="24"/>
        </w:rPr>
      </w:pPr>
    </w:p>
    <w:p w14:paraId="331C0F0B" w14:textId="544B349F" w:rsidR="00C45551" w:rsidRPr="00416CE7" w:rsidRDefault="00C45551"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lastRenderedPageBreak/>
        <w:t>A further key barrier to reporting crime is distrust of the police, particularly among minority communities</w:t>
      </w:r>
      <w:r w:rsidR="002258D6" w:rsidRPr="00416CE7">
        <w:rPr>
          <w:rFonts w:ascii="Arial" w:hAnsi="Arial" w:cs="Arial"/>
          <w:color w:val="000000" w:themeColor="text1"/>
          <w:sz w:val="24"/>
          <w:szCs w:val="24"/>
        </w:rPr>
        <w:t xml:space="preserve"> as notated by Low and Owen-Evans (2024)</w:t>
      </w:r>
      <w:r w:rsidRPr="00416CE7">
        <w:rPr>
          <w:rFonts w:ascii="Arial" w:hAnsi="Arial" w:cs="Arial"/>
          <w:color w:val="000000" w:themeColor="text1"/>
          <w:sz w:val="24"/>
          <w:szCs w:val="24"/>
        </w:rPr>
        <w:t xml:space="preserve">. </w:t>
      </w:r>
      <w:r w:rsidR="003C2639" w:rsidRPr="00416CE7">
        <w:rPr>
          <w:rFonts w:ascii="Arial" w:hAnsi="Arial" w:cs="Arial"/>
          <w:color w:val="000000" w:themeColor="text1"/>
          <w:sz w:val="24"/>
          <w:szCs w:val="24"/>
        </w:rPr>
        <w:t>They</w:t>
      </w:r>
      <w:r w:rsidR="002258D6" w:rsidRPr="00416CE7">
        <w:rPr>
          <w:rFonts w:ascii="Arial" w:hAnsi="Arial" w:cs="Arial"/>
          <w:color w:val="000000" w:themeColor="text1"/>
          <w:sz w:val="24"/>
          <w:szCs w:val="24"/>
        </w:rPr>
        <w:t xml:space="preserve"> argued </w:t>
      </w:r>
      <w:proofErr w:type="gramStart"/>
      <w:r w:rsidR="002258D6" w:rsidRPr="00416CE7">
        <w:rPr>
          <w:rFonts w:ascii="Arial" w:hAnsi="Arial" w:cs="Arial"/>
          <w:color w:val="000000" w:themeColor="text1"/>
          <w:sz w:val="24"/>
          <w:szCs w:val="24"/>
        </w:rPr>
        <w:t>that,</w:t>
      </w:r>
      <w:proofErr w:type="gramEnd"/>
      <w:r w:rsidR="002258D6" w:rsidRPr="00416CE7">
        <w:rPr>
          <w:rFonts w:ascii="Arial" w:hAnsi="Arial" w:cs="Arial"/>
          <w:color w:val="000000" w:themeColor="text1"/>
          <w:sz w:val="24"/>
          <w:szCs w:val="24"/>
        </w:rPr>
        <w:t xml:space="preserve"> </w:t>
      </w:r>
      <w:r w:rsidRPr="00416CE7">
        <w:rPr>
          <w:rFonts w:ascii="Arial" w:hAnsi="Arial" w:cs="Arial"/>
          <w:color w:val="000000" w:themeColor="text1"/>
          <w:sz w:val="24"/>
          <w:szCs w:val="24"/>
        </w:rPr>
        <w:t>Lower levels of confidence are often shaped by historical negative interactions, perceived lack of voice, and concerns about unfair or disrespectful treatment. Procedural justice factors</w:t>
      </w:r>
      <w:r w:rsidR="002258D6" w:rsidRPr="00416CE7">
        <w:rPr>
          <w:rFonts w:ascii="Arial" w:hAnsi="Arial" w:cs="Arial"/>
          <w:color w:val="000000" w:themeColor="text1"/>
          <w:sz w:val="24"/>
          <w:szCs w:val="24"/>
        </w:rPr>
        <w:t xml:space="preserve"> </w:t>
      </w:r>
      <w:r w:rsidRPr="00416CE7">
        <w:rPr>
          <w:rFonts w:ascii="Arial" w:hAnsi="Arial" w:cs="Arial"/>
          <w:color w:val="000000" w:themeColor="text1"/>
          <w:sz w:val="24"/>
          <w:szCs w:val="24"/>
        </w:rPr>
        <w:t>such as fairness, neutrality, and inclusion</w:t>
      </w:r>
      <w:r w:rsidR="002258D6" w:rsidRPr="00416CE7">
        <w:rPr>
          <w:rFonts w:ascii="Arial" w:hAnsi="Arial" w:cs="Arial"/>
          <w:color w:val="000000" w:themeColor="text1"/>
          <w:sz w:val="24"/>
          <w:szCs w:val="24"/>
        </w:rPr>
        <w:t>-</w:t>
      </w:r>
      <w:r w:rsidRPr="00416CE7">
        <w:rPr>
          <w:rFonts w:ascii="Arial" w:hAnsi="Arial" w:cs="Arial"/>
          <w:color w:val="000000" w:themeColor="text1"/>
          <w:sz w:val="24"/>
          <w:szCs w:val="24"/>
        </w:rPr>
        <w:t>play a crucial role, as positive perceptions can enhance trust and willingness to report.</w:t>
      </w:r>
      <w:r w:rsidR="000773CF" w:rsidRPr="00416CE7">
        <w:rPr>
          <w:rFonts w:ascii="Arial" w:hAnsi="Arial" w:cs="Arial"/>
          <w:color w:val="000000" w:themeColor="text1"/>
          <w:sz w:val="24"/>
          <w:szCs w:val="24"/>
        </w:rPr>
        <w:t xml:space="preserve"> </w:t>
      </w:r>
      <w:r w:rsidRPr="00416CE7">
        <w:rPr>
          <w:rFonts w:ascii="Arial" w:hAnsi="Arial" w:cs="Arial"/>
          <w:color w:val="000000" w:themeColor="text1"/>
          <w:sz w:val="24"/>
          <w:szCs w:val="24"/>
        </w:rPr>
        <w:t>This highlights how institutional practices shape engagement with justice processes</w:t>
      </w:r>
      <w:r w:rsidR="002258D6" w:rsidRPr="00416CE7">
        <w:rPr>
          <w:rFonts w:ascii="Arial" w:hAnsi="Arial" w:cs="Arial"/>
          <w:color w:val="000000" w:themeColor="text1"/>
          <w:sz w:val="24"/>
          <w:szCs w:val="24"/>
        </w:rPr>
        <w:t xml:space="preserve"> and </w:t>
      </w:r>
      <w:r w:rsidRPr="00416CE7">
        <w:rPr>
          <w:rFonts w:ascii="Arial" w:hAnsi="Arial" w:cs="Arial"/>
          <w:color w:val="000000" w:themeColor="text1"/>
          <w:sz w:val="24"/>
          <w:szCs w:val="24"/>
        </w:rPr>
        <w:t>supports the argument that systemic inequalities undermine trust, reinforcing barriers for already marginalised victims.</w:t>
      </w:r>
    </w:p>
    <w:p w14:paraId="094B2743" w14:textId="77777777" w:rsidR="00404B45" w:rsidRPr="00416CE7" w:rsidRDefault="00404B45" w:rsidP="004D7DAE">
      <w:pPr>
        <w:spacing w:line="480" w:lineRule="auto"/>
        <w:rPr>
          <w:rFonts w:ascii="Arial" w:hAnsi="Arial" w:cs="Arial"/>
          <w:color w:val="000000" w:themeColor="text1"/>
          <w:sz w:val="24"/>
          <w:szCs w:val="24"/>
        </w:rPr>
      </w:pPr>
    </w:p>
    <w:p w14:paraId="35A51071" w14:textId="3B9C82BE" w:rsidR="00404B45" w:rsidRPr="00416CE7" w:rsidRDefault="00404B45"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Aligned with this, dependency on the offender represents a critical barrier to reporting crime in domestic abuse cases as victims often experience financial reliance, fear of homelessness, or dependence due to disability or language barriers, limiting their ability to seek help according to Victim Support (20</w:t>
      </w:r>
      <w:r w:rsidR="00EF1130" w:rsidRPr="00416CE7">
        <w:rPr>
          <w:rFonts w:ascii="Arial" w:hAnsi="Arial" w:cs="Arial"/>
          <w:color w:val="000000" w:themeColor="text1"/>
          <w:sz w:val="24"/>
          <w:szCs w:val="24"/>
        </w:rPr>
        <w:t>1</w:t>
      </w:r>
      <w:r w:rsidRPr="00416CE7">
        <w:rPr>
          <w:rFonts w:ascii="Arial" w:hAnsi="Arial" w:cs="Arial"/>
          <w:color w:val="000000" w:themeColor="text1"/>
          <w:sz w:val="24"/>
          <w:szCs w:val="24"/>
        </w:rPr>
        <w:t>8). This is further intensified by coercive control and isolation, which manipulate victims into believing escape is not possible. This further indicates that existing criminal justice responses often fail to provide sufficient support mechanisms for vulnerable victims, leaving those in dependent situations without viable pathways to report abuse.</w:t>
      </w:r>
    </w:p>
    <w:p w14:paraId="1EA6EC03" w14:textId="77777777" w:rsidR="004D7DAE" w:rsidRPr="00416CE7" w:rsidRDefault="004D7DAE" w:rsidP="004D7DAE">
      <w:pPr>
        <w:spacing w:line="480" w:lineRule="auto"/>
        <w:rPr>
          <w:rFonts w:ascii="Arial" w:hAnsi="Arial" w:cs="Arial"/>
          <w:color w:val="000000" w:themeColor="text1"/>
          <w:sz w:val="24"/>
          <w:szCs w:val="24"/>
        </w:rPr>
      </w:pPr>
    </w:p>
    <w:p w14:paraId="61634D07" w14:textId="3A4EA924" w:rsidR="009855DF" w:rsidRPr="00416CE7" w:rsidRDefault="009855DF"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 xml:space="preserve">Moreover, immigration-related fears represent a significant barrier to reporting crime among young migrants. Victims often fear that disclosing abuse will expose their precarious status to authorities, leading to immigration enforcement rather than protection (Scott, 2022: 1-2). As a result, many prioritise ‘survival over safety,’ avoiding police contact to reduce the risk of detention or deportation, even at the </w:t>
      </w:r>
      <w:r w:rsidRPr="00416CE7">
        <w:rPr>
          <w:rFonts w:ascii="Arial" w:hAnsi="Arial" w:cs="Arial"/>
          <w:color w:val="000000" w:themeColor="text1"/>
          <w:sz w:val="24"/>
          <w:szCs w:val="24"/>
        </w:rPr>
        <w:lastRenderedPageBreak/>
        <w:t>cost of enduring ongoing abuse.</w:t>
      </w:r>
      <w:r w:rsidR="007B17C4" w:rsidRPr="00416CE7">
        <w:rPr>
          <w:rFonts w:ascii="Arial" w:hAnsi="Arial" w:cs="Arial"/>
          <w:color w:val="000000" w:themeColor="text1"/>
          <w:sz w:val="24"/>
          <w:szCs w:val="24"/>
        </w:rPr>
        <w:t xml:space="preserve"> </w:t>
      </w:r>
      <w:r w:rsidRPr="00416CE7">
        <w:rPr>
          <w:rFonts w:ascii="Arial" w:hAnsi="Arial" w:cs="Arial"/>
          <w:color w:val="000000" w:themeColor="text1"/>
          <w:sz w:val="24"/>
          <w:szCs w:val="24"/>
        </w:rPr>
        <w:t xml:space="preserve">This reflects how state policies can actively deter reporting. It </w:t>
      </w:r>
      <w:proofErr w:type="gramStart"/>
      <w:r w:rsidRPr="00416CE7">
        <w:rPr>
          <w:rFonts w:ascii="Arial" w:hAnsi="Arial" w:cs="Arial"/>
          <w:color w:val="000000" w:themeColor="text1"/>
          <w:sz w:val="24"/>
          <w:szCs w:val="24"/>
        </w:rPr>
        <w:t>reinforce</w:t>
      </w:r>
      <w:proofErr w:type="gramEnd"/>
      <w:r w:rsidRPr="00416CE7">
        <w:rPr>
          <w:rFonts w:ascii="Arial" w:hAnsi="Arial" w:cs="Arial"/>
          <w:color w:val="000000" w:themeColor="text1"/>
          <w:sz w:val="24"/>
          <w:szCs w:val="24"/>
        </w:rPr>
        <w:t xml:space="preserve"> the argument that institutional practices reproduce vulnerability, particularly for already marginalised vulnerable groups.</w:t>
      </w:r>
    </w:p>
    <w:p w14:paraId="1935DDFB" w14:textId="4B813429" w:rsidR="00CA4EFB" w:rsidRPr="00416CE7" w:rsidRDefault="00503945"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Aligned with this, disability hate crime is frequently underestimated and underreported</w:t>
      </w:r>
      <w:r w:rsidR="00783149" w:rsidRPr="00416CE7">
        <w:rPr>
          <w:rFonts w:ascii="Arial" w:hAnsi="Arial" w:cs="Arial"/>
          <w:color w:val="000000" w:themeColor="text1"/>
          <w:sz w:val="24"/>
          <w:szCs w:val="24"/>
        </w:rPr>
        <w:t xml:space="preserve"> (Burch and Stamp, 2025: 18)</w:t>
      </w:r>
      <w:r w:rsidRPr="00416CE7">
        <w:rPr>
          <w:rFonts w:ascii="Arial" w:hAnsi="Arial" w:cs="Arial"/>
          <w:color w:val="000000" w:themeColor="text1"/>
          <w:sz w:val="24"/>
          <w:szCs w:val="24"/>
        </w:rPr>
        <w:t>. Disabled victims face significant structural and institutional barriers that discourage engagement with the criminal justice system, despite its stated commitment to accessibility</w:t>
      </w:r>
      <w:r w:rsidR="00783149" w:rsidRPr="00416CE7">
        <w:rPr>
          <w:rFonts w:ascii="Arial" w:hAnsi="Arial" w:cs="Arial"/>
          <w:color w:val="000000" w:themeColor="text1"/>
          <w:sz w:val="24"/>
          <w:szCs w:val="24"/>
        </w:rPr>
        <w:t xml:space="preserve"> (ibid.). </w:t>
      </w:r>
      <w:r w:rsidRPr="00416CE7">
        <w:rPr>
          <w:rFonts w:ascii="Arial" w:hAnsi="Arial" w:cs="Arial"/>
          <w:color w:val="000000" w:themeColor="text1"/>
          <w:sz w:val="24"/>
          <w:szCs w:val="24"/>
        </w:rPr>
        <w:t>The widespread normali</w:t>
      </w:r>
      <w:r w:rsidR="00783149" w:rsidRPr="00416CE7">
        <w:rPr>
          <w:rFonts w:ascii="Arial" w:hAnsi="Arial" w:cs="Arial"/>
          <w:color w:val="000000" w:themeColor="text1"/>
          <w:sz w:val="24"/>
          <w:szCs w:val="24"/>
        </w:rPr>
        <w:t>s</w:t>
      </w:r>
      <w:r w:rsidRPr="00416CE7">
        <w:rPr>
          <w:rFonts w:ascii="Arial" w:hAnsi="Arial" w:cs="Arial"/>
          <w:color w:val="000000" w:themeColor="text1"/>
          <w:sz w:val="24"/>
          <w:szCs w:val="24"/>
        </w:rPr>
        <w:t>ation of abuse and the low visibility of these offences often prevent disabled individuals from being recognised as legitimate victims, reinforcing marginalisation.</w:t>
      </w:r>
      <w:r w:rsidR="00783149" w:rsidRPr="00416CE7">
        <w:rPr>
          <w:rFonts w:ascii="Arial" w:hAnsi="Arial" w:cs="Arial"/>
          <w:color w:val="000000" w:themeColor="text1"/>
          <w:sz w:val="24"/>
          <w:szCs w:val="24"/>
        </w:rPr>
        <w:t xml:space="preserve"> </w:t>
      </w:r>
      <w:r w:rsidRPr="00416CE7">
        <w:rPr>
          <w:rFonts w:ascii="Arial" w:hAnsi="Arial" w:cs="Arial"/>
          <w:color w:val="000000" w:themeColor="text1"/>
          <w:sz w:val="24"/>
          <w:szCs w:val="24"/>
        </w:rPr>
        <w:t>This demonstrates how systemic inequalities and procedural shortcomings intersect, limiting access to justice</w:t>
      </w:r>
      <w:r w:rsidR="00783149" w:rsidRPr="00416CE7">
        <w:rPr>
          <w:rFonts w:ascii="Arial" w:hAnsi="Arial" w:cs="Arial"/>
          <w:color w:val="000000" w:themeColor="text1"/>
          <w:sz w:val="24"/>
          <w:szCs w:val="24"/>
        </w:rPr>
        <w:t xml:space="preserve"> and shows</w:t>
      </w:r>
      <w:r w:rsidRPr="00416CE7">
        <w:rPr>
          <w:rFonts w:ascii="Arial" w:hAnsi="Arial" w:cs="Arial"/>
          <w:color w:val="000000" w:themeColor="text1"/>
          <w:sz w:val="24"/>
          <w:szCs w:val="24"/>
        </w:rPr>
        <w:t xml:space="preserve"> that formal protections alone are insufficient to address the compounded vulnerabilities experienced by marginalised groups.</w:t>
      </w:r>
      <w:r w:rsidR="00162935" w:rsidRPr="00416CE7">
        <w:rPr>
          <w:rFonts w:ascii="Arial" w:hAnsi="Arial" w:cs="Arial"/>
          <w:color w:val="000000" w:themeColor="text1"/>
          <w:sz w:val="24"/>
          <w:szCs w:val="24"/>
        </w:rPr>
        <w:t xml:space="preserve"> Furthermore, this supports the argument that vulnerability is often shaped and reproduced by the system itself, rather than existing solely as an individual trait.</w:t>
      </w:r>
      <w:r w:rsidR="004D7DAE" w:rsidRPr="00416CE7">
        <w:rPr>
          <w:rFonts w:ascii="Arial" w:hAnsi="Arial" w:cs="Arial"/>
          <w:color w:val="000000" w:themeColor="text1"/>
          <w:sz w:val="24"/>
          <w:szCs w:val="24"/>
        </w:rPr>
        <w:t xml:space="preserve"> </w:t>
      </w:r>
      <w:r w:rsidR="00CA4EFB" w:rsidRPr="00416CE7">
        <w:rPr>
          <w:rFonts w:ascii="Arial" w:hAnsi="Arial" w:cs="Arial"/>
          <w:color w:val="000000" w:themeColor="text1"/>
          <w:sz w:val="24"/>
          <w:szCs w:val="24"/>
        </w:rPr>
        <w:t>These low reporting rates and high attrition illustrate the systemic barriers and institutional shortcomings highlighted in the introduction, reinforcing how vulnerable victims face compounded disadvantage throughout the criminal justice process (London city Hall, 2025).</w:t>
      </w:r>
    </w:p>
    <w:p w14:paraId="384612BD" w14:textId="77777777" w:rsidR="004D7DAE" w:rsidRPr="00416CE7" w:rsidRDefault="004D7DAE" w:rsidP="004D7DAE">
      <w:pPr>
        <w:spacing w:line="480" w:lineRule="auto"/>
        <w:rPr>
          <w:rFonts w:ascii="Arial" w:hAnsi="Arial" w:cs="Arial"/>
          <w:color w:val="000000" w:themeColor="text1"/>
          <w:sz w:val="24"/>
          <w:szCs w:val="24"/>
        </w:rPr>
      </w:pPr>
    </w:p>
    <w:p w14:paraId="7F26BD4F" w14:textId="1A5CF11E" w:rsidR="00F51898" w:rsidRPr="00416CE7" w:rsidRDefault="007D55ED"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 xml:space="preserve">A further issue arises at the policing stage, where failures in training and investigative practices can undermine effective engagement with vulnerable victims. A key concern is the lack of specialised training for officers, particularly in handling cases involving intimate partner violence or sexual assault (Rawdin, 2023: 8). Traditional police training often prioritises physical enforcement over the </w:t>
      </w:r>
      <w:r w:rsidRPr="00416CE7">
        <w:rPr>
          <w:rFonts w:ascii="Arial" w:hAnsi="Arial" w:cs="Arial"/>
          <w:color w:val="000000" w:themeColor="text1"/>
          <w:sz w:val="24"/>
          <w:szCs w:val="24"/>
        </w:rPr>
        <w:lastRenderedPageBreak/>
        <w:t>communication and interpersonal skills necessary to support vulnerable individuals (ibid: 7). This can lead to inadequate initial assessments and perceptions of dismissive responses, discouraging continued engagement.</w:t>
      </w:r>
      <w:r w:rsidR="00B32E01" w:rsidRPr="00416CE7">
        <w:rPr>
          <w:rFonts w:ascii="Arial" w:hAnsi="Arial" w:cs="Arial"/>
          <w:color w:val="000000" w:themeColor="text1"/>
          <w:sz w:val="24"/>
          <w:szCs w:val="24"/>
        </w:rPr>
        <w:t xml:space="preserve"> </w:t>
      </w:r>
      <w:r w:rsidR="00134C24" w:rsidRPr="00416CE7">
        <w:rPr>
          <w:rFonts w:ascii="Arial" w:hAnsi="Arial" w:cs="Arial"/>
          <w:color w:val="000000" w:themeColor="text1"/>
          <w:sz w:val="24"/>
          <w:szCs w:val="24"/>
        </w:rPr>
        <w:t xml:space="preserve">It </w:t>
      </w:r>
      <w:r w:rsidR="00D05A42" w:rsidRPr="00416CE7">
        <w:rPr>
          <w:rFonts w:ascii="Arial" w:hAnsi="Arial" w:cs="Arial"/>
          <w:color w:val="000000" w:themeColor="text1"/>
          <w:sz w:val="24"/>
          <w:szCs w:val="24"/>
        </w:rPr>
        <w:t>also suggests</w:t>
      </w:r>
      <w:r w:rsidR="00B32E01" w:rsidRPr="00416CE7">
        <w:rPr>
          <w:rFonts w:ascii="Arial" w:hAnsi="Arial" w:cs="Arial"/>
          <w:color w:val="000000" w:themeColor="text1"/>
          <w:sz w:val="24"/>
          <w:szCs w:val="24"/>
        </w:rPr>
        <w:t xml:space="preserve"> that institutional practices erode victim trust, demonstrating how systemic policing failures actively reproduce vulnerability and disengagement within the justice process.</w:t>
      </w:r>
    </w:p>
    <w:p w14:paraId="01D0B8E4" w14:textId="77777777" w:rsidR="006540AD" w:rsidRPr="00416CE7" w:rsidRDefault="006540AD" w:rsidP="004D7DAE">
      <w:pPr>
        <w:spacing w:line="480" w:lineRule="auto"/>
        <w:rPr>
          <w:rFonts w:ascii="Arial" w:hAnsi="Arial" w:cs="Arial"/>
          <w:color w:val="000000" w:themeColor="text1"/>
          <w:sz w:val="24"/>
          <w:szCs w:val="24"/>
        </w:rPr>
      </w:pPr>
    </w:p>
    <w:p w14:paraId="77455F54" w14:textId="51FB9102" w:rsidR="006540AD" w:rsidRPr="00416CE7" w:rsidRDefault="00E83AA0"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These issues are further compounded by victim-blaming attitudes within policing and investigation, particularly in cases of sexual violence. Victims frequently report having their credibility questioned, their behaviour scrutinised, and encountering dismissive responses (Smith et al., 2025: 2), creating the perception that they are under suspicion rather than the perpetrator. Such attitudes contribute to secondary victimisation and discourage both initial reporting and continued engagement with the justice process. This demonstrates how entrenched cultural biases within policing erode victim trust. It reinforces theoretical perspectives that institutional practices actively reproduce vulnerability and systemic disadvantage.</w:t>
      </w:r>
    </w:p>
    <w:p w14:paraId="6F35AF4C" w14:textId="77777777" w:rsidR="004D7DAE" w:rsidRPr="00416CE7" w:rsidRDefault="004D7DAE" w:rsidP="004D7DAE">
      <w:pPr>
        <w:spacing w:line="480" w:lineRule="auto"/>
        <w:rPr>
          <w:rFonts w:ascii="Arial" w:hAnsi="Arial" w:cs="Arial"/>
          <w:color w:val="000000" w:themeColor="text1"/>
          <w:sz w:val="24"/>
          <w:szCs w:val="24"/>
        </w:rPr>
      </w:pPr>
    </w:p>
    <w:p w14:paraId="57453806" w14:textId="30A91A4D" w:rsidR="00156158" w:rsidRPr="00416CE7" w:rsidRDefault="00156158"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Building on earlier policing and investigative shortcomings, failures also arise in the inconsistent application of special measures for vulnerable victims. Inspectors found that ‘vulnerable victims aren’t consistently being offered special measures,’ despite their crucial role in supporting witnesses during court testimony (His Majesty’s Inspectorate of Constabulary and Fire &amp; Rescue Services</w:t>
      </w:r>
      <w:r w:rsidR="00607614" w:rsidRPr="00416CE7">
        <w:rPr>
          <w:rFonts w:ascii="Arial" w:hAnsi="Arial" w:cs="Arial"/>
          <w:color w:val="000000" w:themeColor="text1"/>
          <w:sz w:val="24"/>
          <w:szCs w:val="24"/>
        </w:rPr>
        <w:t>, 201</w:t>
      </w:r>
      <w:r w:rsidR="004F474C" w:rsidRPr="00416CE7">
        <w:rPr>
          <w:rFonts w:ascii="Arial" w:hAnsi="Arial" w:cs="Arial"/>
          <w:color w:val="000000" w:themeColor="text1"/>
          <w:sz w:val="24"/>
          <w:szCs w:val="24"/>
        </w:rPr>
        <w:t>5</w:t>
      </w:r>
      <w:r w:rsidRPr="00416CE7">
        <w:rPr>
          <w:rFonts w:ascii="Arial" w:hAnsi="Arial" w:cs="Arial"/>
          <w:color w:val="000000" w:themeColor="text1"/>
          <w:sz w:val="24"/>
          <w:szCs w:val="24"/>
        </w:rPr>
        <w:t>). Moreover, even when police recognised their potential benefit, these measures were not always recorded on the Special Measures Assessment (MG2) form or communicated to the Crown Prosecution Service, undermining their effective implementation.</w:t>
      </w:r>
      <w:r w:rsidR="00607614" w:rsidRPr="00416CE7">
        <w:rPr>
          <w:rFonts w:ascii="Arial" w:hAnsi="Arial" w:cs="Arial"/>
          <w:color w:val="000000" w:themeColor="text1"/>
          <w:sz w:val="24"/>
          <w:szCs w:val="24"/>
        </w:rPr>
        <w:t xml:space="preserve"> </w:t>
      </w:r>
      <w:r w:rsidRPr="00416CE7">
        <w:rPr>
          <w:rFonts w:ascii="Arial" w:hAnsi="Arial" w:cs="Arial"/>
          <w:color w:val="000000" w:themeColor="text1"/>
          <w:sz w:val="24"/>
          <w:szCs w:val="24"/>
        </w:rPr>
        <w:t xml:space="preserve">This </w:t>
      </w:r>
      <w:r w:rsidRPr="00416CE7">
        <w:rPr>
          <w:rFonts w:ascii="Arial" w:hAnsi="Arial" w:cs="Arial"/>
          <w:color w:val="000000" w:themeColor="text1"/>
          <w:sz w:val="24"/>
          <w:szCs w:val="24"/>
        </w:rPr>
        <w:lastRenderedPageBreak/>
        <w:t>illustrates how procedural gaps and administrative oversights compound systemic barriers, further limiting access to justice for vulnerable victims.</w:t>
      </w:r>
    </w:p>
    <w:p w14:paraId="0E32EABB" w14:textId="37E18FB6" w:rsidR="00C37EEC" w:rsidRPr="00416CE7" w:rsidRDefault="00C82201"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Further developing these points, high evidence thresholds set by the Crown Prosecution Service (CPS) significantly contribute to case drop-offs (McCartney &amp; Shorter, 2023: 12). The demanding burden of proof often generates numerous requests for material that may not be readily available, particularly complex digital data such as extensive communication records. This strains police resources, prolongs investigations, and frequently leads to case discontinuation. Critically, such procedural practices reproduce systemic disadvantages, disproportionately affecting vulnerable victims and undermining their trust, engagement, and confidence in the criminal justice process.</w:t>
      </w:r>
    </w:p>
    <w:p w14:paraId="13FCB35E" w14:textId="77777777" w:rsidR="004D7DAE" w:rsidRPr="00416CE7" w:rsidRDefault="004D7DAE" w:rsidP="004D7DAE">
      <w:pPr>
        <w:spacing w:line="480" w:lineRule="auto"/>
        <w:rPr>
          <w:rFonts w:ascii="Arial" w:hAnsi="Arial" w:cs="Arial"/>
          <w:color w:val="000000" w:themeColor="text1"/>
          <w:sz w:val="24"/>
          <w:szCs w:val="24"/>
        </w:rPr>
      </w:pPr>
    </w:p>
    <w:p w14:paraId="0BE1F9D0" w14:textId="40B277D1" w:rsidR="000C1209" w:rsidRPr="00416CE7" w:rsidRDefault="000C1209" w:rsidP="00301D40">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Taken together, these policing and investigative failures manifest in the concrete mishandling of cases involving vulnerable victims. This aligns with Keating (2025: 13), who highlights that only a small proportion of reported rape cases result in a suspect being charged. Similarly, many domestic abuse incidents are categorised as ‘low priority’ or ‘standard risk,’ limiting the urgency of police response. Such misclassification leaves victims without adequate protection and enables continued offending. This outcome illustrates how earlier identified structural and institutional failures translate into weakened case progression, ultimately undermining both victim safety and confidence in the criminal justice process.</w:t>
      </w:r>
    </w:p>
    <w:p w14:paraId="5C6A8337" w14:textId="77777777" w:rsidR="00301D40" w:rsidRPr="00416CE7" w:rsidRDefault="00301D40" w:rsidP="00301D40">
      <w:pPr>
        <w:spacing w:line="480" w:lineRule="auto"/>
        <w:rPr>
          <w:rFonts w:ascii="Arial" w:hAnsi="Arial" w:cs="Arial"/>
          <w:color w:val="000000" w:themeColor="text1"/>
          <w:sz w:val="24"/>
          <w:szCs w:val="24"/>
        </w:rPr>
      </w:pPr>
    </w:p>
    <w:p w14:paraId="257D779F" w14:textId="3B834440" w:rsidR="00301D40" w:rsidRPr="00416CE7" w:rsidRDefault="009714A9" w:rsidP="00301D40">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 xml:space="preserve">In continuation of policing and investigative challenges, extensive police discretion, when combined with negative stereotypes, can reinforce bias in policing and </w:t>
      </w:r>
      <w:r w:rsidRPr="00416CE7">
        <w:rPr>
          <w:rFonts w:ascii="Arial" w:hAnsi="Arial" w:cs="Arial"/>
          <w:color w:val="000000" w:themeColor="text1"/>
          <w:sz w:val="24"/>
          <w:szCs w:val="24"/>
        </w:rPr>
        <w:lastRenderedPageBreak/>
        <w:t>investigation, increasing vulnerability among already marginalised victims (</w:t>
      </w:r>
      <w:r w:rsidR="00E56CD5" w:rsidRPr="00416CE7">
        <w:rPr>
          <w:rFonts w:ascii="Arial" w:hAnsi="Arial" w:cs="Arial"/>
          <w:color w:val="000000" w:themeColor="text1"/>
          <w:sz w:val="24"/>
          <w:szCs w:val="24"/>
        </w:rPr>
        <w:t>Independent Office for Police Conduct</w:t>
      </w:r>
      <w:r w:rsidRPr="00416CE7">
        <w:rPr>
          <w:rFonts w:ascii="Arial" w:hAnsi="Arial" w:cs="Arial"/>
          <w:color w:val="000000" w:themeColor="text1"/>
          <w:sz w:val="24"/>
          <w:szCs w:val="24"/>
        </w:rPr>
        <w:t xml:space="preserve">, 2024: 4). </w:t>
      </w:r>
      <w:r w:rsidR="00DE6537" w:rsidRPr="00416CE7">
        <w:rPr>
          <w:rFonts w:ascii="Arial" w:hAnsi="Arial" w:cs="Arial"/>
          <w:color w:val="000000" w:themeColor="text1"/>
          <w:sz w:val="24"/>
          <w:szCs w:val="24"/>
        </w:rPr>
        <w:t xml:space="preserve">This </w:t>
      </w:r>
      <w:proofErr w:type="gramStart"/>
      <w:r w:rsidR="00DE6537" w:rsidRPr="00416CE7">
        <w:rPr>
          <w:rFonts w:ascii="Arial" w:hAnsi="Arial" w:cs="Arial"/>
          <w:color w:val="000000" w:themeColor="text1"/>
          <w:sz w:val="24"/>
          <w:szCs w:val="24"/>
        </w:rPr>
        <w:t xml:space="preserve">reveals </w:t>
      </w:r>
      <w:r w:rsidRPr="00416CE7">
        <w:rPr>
          <w:rFonts w:ascii="Arial" w:hAnsi="Arial" w:cs="Arial"/>
          <w:color w:val="000000" w:themeColor="text1"/>
          <w:sz w:val="24"/>
          <w:szCs w:val="24"/>
        </w:rPr>
        <w:t xml:space="preserve"> that</w:t>
      </w:r>
      <w:proofErr w:type="gramEnd"/>
      <w:r w:rsidRPr="00416CE7">
        <w:rPr>
          <w:rFonts w:ascii="Arial" w:hAnsi="Arial" w:cs="Arial"/>
          <w:color w:val="000000" w:themeColor="text1"/>
          <w:sz w:val="24"/>
          <w:szCs w:val="24"/>
        </w:rPr>
        <w:t xml:space="preserve"> discretionary powers, particularly in stop-and-search practices, often result in subjective decision-making that disproportionately targets Black, Asian, and minority ethnic individuals, even when they are victims. </w:t>
      </w:r>
    </w:p>
    <w:p w14:paraId="0962B3B3" w14:textId="77777777" w:rsidR="00301D40" w:rsidRPr="00416CE7" w:rsidRDefault="00301D40" w:rsidP="00301D40">
      <w:pPr>
        <w:spacing w:line="480" w:lineRule="auto"/>
        <w:rPr>
          <w:rFonts w:ascii="Arial" w:hAnsi="Arial" w:cs="Arial"/>
          <w:color w:val="000000" w:themeColor="text1"/>
          <w:sz w:val="24"/>
          <w:szCs w:val="24"/>
        </w:rPr>
      </w:pPr>
    </w:p>
    <w:p w14:paraId="28DB1AC9" w14:textId="1F3FFBD6" w:rsidR="00DE6537" w:rsidRPr="00416CE7" w:rsidRDefault="009714A9"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Such discretionary bias and systemic inequalities not only perpetuate structural disadvantage but also erode trust and confidence among vulnerable communities, reinforcing disengagement and limiting meaningful access to justice.</w:t>
      </w:r>
      <w:r w:rsidR="004D7DAE" w:rsidRPr="00416CE7">
        <w:rPr>
          <w:rFonts w:ascii="Arial" w:hAnsi="Arial" w:cs="Arial"/>
          <w:color w:val="000000" w:themeColor="text1"/>
          <w:sz w:val="24"/>
          <w:szCs w:val="24"/>
        </w:rPr>
        <w:t xml:space="preserve"> </w:t>
      </w:r>
      <w:r w:rsidR="00DE6537" w:rsidRPr="00416CE7">
        <w:rPr>
          <w:rFonts w:ascii="Arial" w:hAnsi="Arial" w:cs="Arial"/>
          <w:color w:val="000000" w:themeColor="text1"/>
          <w:sz w:val="24"/>
          <w:szCs w:val="24"/>
        </w:rPr>
        <w:t>These findings reinforce procedural justice theory, which emphasises that perceived fairness in police interactions is central to trust and cooperation. When vulnerable victims experience a lack of respect, neutrality, or voice, their confidence diminishes, discouraging reporting and engagement. This highlights how systemic policing failures reproduce vulnerability and undermine access to justice, consistent with Tansill’s (2024) argument.</w:t>
      </w:r>
    </w:p>
    <w:p w14:paraId="2A165A89" w14:textId="77777777" w:rsidR="004D7DAE" w:rsidRPr="00416CE7" w:rsidRDefault="004D7DAE" w:rsidP="004D7DAE">
      <w:pPr>
        <w:spacing w:line="480" w:lineRule="auto"/>
        <w:rPr>
          <w:rFonts w:ascii="Arial" w:hAnsi="Arial" w:cs="Arial"/>
          <w:color w:val="000000" w:themeColor="text1"/>
          <w:sz w:val="24"/>
          <w:szCs w:val="24"/>
        </w:rPr>
      </w:pPr>
    </w:p>
    <w:p w14:paraId="3BB2A394" w14:textId="2B71C948" w:rsidR="00475B83" w:rsidRPr="00416CE7" w:rsidRDefault="00475B83"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 xml:space="preserve">These challenges persist into the courtroom stage, where a significant courtroom challenge arises from extensive delays in trials, which contribute to secondary victimisation for victims’ families (Reed and Caraballo, 2021: </w:t>
      </w:r>
      <w:r w:rsidR="00D92604" w:rsidRPr="00416CE7">
        <w:rPr>
          <w:rFonts w:ascii="Arial" w:hAnsi="Arial" w:cs="Arial"/>
          <w:color w:val="000000" w:themeColor="text1"/>
          <w:sz w:val="24"/>
          <w:szCs w:val="24"/>
        </w:rPr>
        <w:t>1</w:t>
      </w:r>
      <w:r w:rsidR="006A1CD0" w:rsidRPr="00416CE7">
        <w:rPr>
          <w:rFonts w:ascii="Arial" w:hAnsi="Arial" w:cs="Arial"/>
          <w:color w:val="000000" w:themeColor="text1"/>
          <w:sz w:val="24"/>
          <w:szCs w:val="24"/>
        </w:rPr>
        <w:t>-3</w:t>
      </w:r>
      <w:r w:rsidRPr="00416CE7">
        <w:rPr>
          <w:rFonts w:ascii="Arial" w:hAnsi="Arial" w:cs="Arial"/>
          <w:color w:val="000000" w:themeColor="text1"/>
          <w:sz w:val="24"/>
          <w:szCs w:val="24"/>
        </w:rPr>
        <w:t xml:space="preserve">). Repeated continuances and prolonged proceedings place co-victims in a state of prolonged uncertainty, preventing closure and delaying emotional recovery. These delays often require families to repeatedly revisit traumatic experiences, intensifying psychological harm and frustration. Crucially, such systemic inefficiencies raise concerns about whether the criminal justice process adequately prioritises victim </w:t>
      </w:r>
      <w:r w:rsidRPr="00416CE7">
        <w:rPr>
          <w:rFonts w:ascii="Arial" w:hAnsi="Arial" w:cs="Arial"/>
          <w:color w:val="000000" w:themeColor="text1"/>
          <w:sz w:val="24"/>
          <w:szCs w:val="24"/>
        </w:rPr>
        <w:lastRenderedPageBreak/>
        <w:t>wellbeing, as prolonged timelines risk undermining confidence and reinforcing perceptions of an unresponsive and burdensome system.</w:t>
      </w:r>
    </w:p>
    <w:p w14:paraId="19507FE3" w14:textId="77777777" w:rsidR="004D7DAE" w:rsidRPr="00416CE7" w:rsidRDefault="004D7DAE" w:rsidP="004D7DAE">
      <w:pPr>
        <w:spacing w:line="480" w:lineRule="auto"/>
        <w:rPr>
          <w:rFonts w:ascii="Arial" w:hAnsi="Arial" w:cs="Arial"/>
          <w:color w:val="000000" w:themeColor="text1"/>
          <w:sz w:val="24"/>
          <w:szCs w:val="24"/>
        </w:rPr>
      </w:pPr>
    </w:p>
    <w:p w14:paraId="0AE6E453" w14:textId="2A948AA8" w:rsidR="004D7DAE" w:rsidRPr="00416CE7" w:rsidRDefault="00B23386" w:rsidP="00301D40">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Beyond delays in trial proceedings, further courtroom challenges arise from the complexity of communication within legal processes, which can significantly disadvantage vulnerable individuals. As Kenny (2022: 84) highlights, courtroom environments are often difficult to understand, with proceedings perceived as ‘alien’ and inaccessible, contributing to confusion and distress. Such barriers can limit meaningful participation and increase feelings of exclusion. This suggests that the courtroom itself may inadvertently contribute to secondary victimisation, as inaccessible communication practices undermine both comprehension and engagement within the justice process.</w:t>
      </w:r>
    </w:p>
    <w:p w14:paraId="2ABB2C51" w14:textId="77777777" w:rsidR="00301D40" w:rsidRPr="00416CE7" w:rsidRDefault="00301D40" w:rsidP="00301D40">
      <w:pPr>
        <w:spacing w:line="480" w:lineRule="auto"/>
        <w:rPr>
          <w:rFonts w:ascii="Arial" w:hAnsi="Arial" w:cs="Arial"/>
          <w:color w:val="000000" w:themeColor="text1"/>
          <w:sz w:val="24"/>
          <w:szCs w:val="24"/>
        </w:rPr>
      </w:pPr>
    </w:p>
    <w:p w14:paraId="532389FC" w14:textId="7FCBA12F" w:rsidR="004D7DAE" w:rsidRPr="00416CE7" w:rsidRDefault="00AE6F34"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Building on courtroom communication challenges, further issues arise in the inconsistent use and limited effectiveness of special measures designed to support vulnerable witnesses. Measures such as screens and video testimony are often underutilised, with screens rarely requested in certain areas (Ghafar, 2014:1). Although available, both victims and professionals report that these adaptations do not fully alleviate stress, as testifying in court remains highly distressing (</w:t>
      </w:r>
      <w:r w:rsidR="008C78D2" w:rsidRPr="00416CE7">
        <w:rPr>
          <w:rFonts w:ascii="Arial" w:hAnsi="Arial" w:cs="Arial"/>
          <w:color w:val="000000" w:themeColor="text1"/>
          <w:sz w:val="24"/>
          <w:szCs w:val="24"/>
        </w:rPr>
        <w:t xml:space="preserve">ibid: </w:t>
      </w:r>
      <w:r w:rsidRPr="00416CE7">
        <w:rPr>
          <w:rFonts w:ascii="Arial" w:hAnsi="Arial" w:cs="Arial"/>
          <w:color w:val="000000" w:themeColor="text1"/>
          <w:sz w:val="24"/>
          <w:szCs w:val="24"/>
        </w:rPr>
        <w:t>12</w:t>
      </w:r>
      <w:r w:rsidR="008C78D2" w:rsidRPr="00416CE7">
        <w:rPr>
          <w:rFonts w:ascii="Arial" w:hAnsi="Arial" w:cs="Arial"/>
          <w:color w:val="000000" w:themeColor="text1"/>
          <w:sz w:val="24"/>
          <w:szCs w:val="24"/>
        </w:rPr>
        <w:t>-</w:t>
      </w:r>
      <w:r w:rsidRPr="00416CE7">
        <w:rPr>
          <w:rFonts w:ascii="Arial" w:hAnsi="Arial" w:cs="Arial"/>
          <w:color w:val="000000" w:themeColor="text1"/>
          <w:sz w:val="24"/>
          <w:szCs w:val="24"/>
        </w:rPr>
        <w:t>13). The continued fear of intimidation and the defendant’s presence suggests that procedural safeguards may not adequately address the emotional realities of courtroom participation.</w:t>
      </w:r>
    </w:p>
    <w:p w14:paraId="354AC3FE" w14:textId="77777777" w:rsidR="00301D40" w:rsidRPr="00416CE7" w:rsidRDefault="00301D40" w:rsidP="004D7DAE">
      <w:pPr>
        <w:spacing w:line="480" w:lineRule="auto"/>
        <w:rPr>
          <w:rFonts w:ascii="Arial" w:hAnsi="Arial" w:cs="Arial"/>
          <w:color w:val="000000" w:themeColor="text1"/>
          <w:sz w:val="24"/>
          <w:szCs w:val="24"/>
        </w:rPr>
      </w:pPr>
    </w:p>
    <w:p w14:paraId="32C1F702" w14:textId="01122E32" w:rsidR="00947165" w:rsidRPr="00416CE7" w:rsidRDefault="00947165"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lastRenderedPageBreak/>
        <w:t>Extending from limitations of special measures, victims of rape and serious sexual assault often experience re-traumatisation within the criminal justice process, described by officers as brutal as noted by Gekoski, Horvath and Davies (2026: 1). Furthermore, lengthy investigations and adversarial court experiences contribute to psychological distress, leading some victims to disengage or regret reporting, highlighting the system’s harmful impact.</w:t>
      </w:r>
    </w:p>
    <w:p w14:paraId="5C83EC2E" w14:textId="77777777" w:rsidR="00893570" w:rsidRPr="00416CE7" w:rsidRDefault="00893570" w:rsidP="004D7DAE">
      <w:pPr>
        <w:spacing w:line="480" w:lineRule="auto"/>
        <w:rPr>
          <w:rFonts w:ascii="Arial" w:hAnsi="Arial" w:cs="Arial"/>
          <w:color w:val="000000" w:themeColor="text1"/>
          <w:sz w:val="24"/>
          <w:szCs w:val="24"/>
        </w:rPr>
      </w:pPr>
    </w:p>
    <w:p w14:paraId="09EB960F" w14:textId="64EC517B" w:rsidR="00F723E4" w:rsidRPr="00416CE7" w:rsidRDefault="000A4862"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A related structural issue arises within the adversarial system, which inherently prioritises defendant rights over the wellbeing of vulnerable victims. In England and Wales, victims are positioned as witnesses rather than formal parties, limiting their role within proceedings (Gordon and Gordon, 2020: 2). While this framework is justified as essential to ensuring a fair trial, it arguably marginalises vulnerable victims’ needs for protection, information, and support. Critically, this imbalance exposes a fundamental tension, raising questions about whether meaningful participation can be achieved without challenging the adversarial model itself.</w:t>
      </w:r>
    </w:p>
    <w:p w14:paraId="63E61481" w14:textId="77777777" w:rsidR="004D7DAE" w:rsidRPr="00416CE7" w:rsidRDefault="004D7DAE" w:rsidP="004D7DAE">
      <w:pPr>
        <w:spacing w:line="480" w:lineRule="auto"/>
        <w:rPr>
          <w:rFonts w:ascii="Arial" w:hAnsi="Arial" w:cs="Arial"/>
          <w:color w:val="000000" w:themeColor="text1"/>
          <w:sz w:val="24"/>
          <w:szCs w:val="24"/>
        </w:rPr>
      </w:pPr>
    </w:p>
    <w:p w14:paraId="56E7BC49" w14:textId="22FB5F99" w:rsidR="00F723E4" w:rsidRDefault="00080653" w:rsidP="004D7DAE">
      <w:pPr>
        <w:spacing w:line="480" w:lineRule="auto"/>
        <w:rPr>
          <w:rFonts w:ascii="Arial" w:hAnsi="Arial" w:cs="Arial"/>
          <w:color w:val="000000" w:themeColor="text1"/>
          <w:sz w:val="24"/>
          <w:szCs w:val="24"/>
        </w:rPr>
      </w:pPr>
      <w:r w:rsidRPr="00416CE7">
        <w:rPr>
          <w:rFonts w:ascii="Arial" w:hAnsi="Arial" w:cs="Arial"/>
          <w:color w:val="000000" w:themeColor="text1"/>
          <w:sz w:val="24"/>
          <w:szCs w:val="24"/>
        </w:rPr>
        <w:t>Alongside these structural limitations, the implementation of special measures for vulnerable witnesses remains inconsistent and often ineffective in practice. Although designed to facilitate participation, their application varies significantly across courts, with provisions such as video-recorded evidence used unevenly (Fairclough, 2020</w:t>
      </w:r>
      <w:r w:rsidR="007F6C11" w:rsidRPr="00416CE7">
        <w:rPr>
          <w:rFonts w:ascii="Arial" w:hAnsi="Arial" w:cs="Arial"/>
          <w:color w:val="000000" w:themeColor="text1"/>
          <w:sz w:val="24"/>
          <w:szCs w:val="24"/>
        </w:rPr>
        <w:t>: 2</w:t>
      </w:r>
      <w:r w:rsidRPr="00416CE7">
        <w:rPr>
          <w:rFonts w:ascii="Arial" w:hAnsi="Arial" w:cs="Arial"/>
          <w:color w:val="000000" w:themeColor="text1"/>
          <w:sz w:val="24"/>
          <w:szCs w:val="24"/>
        </w:rPr>
        <w:t>). Moreover, many witnesses continue to experience stress and anxiety despite these measures</w:t>
      </w:r>
      <w:r w:rsidR="008338F5" w:rsidRPr="00416CE7">
        <w:rPr>
          <w:rFonts w:ascii="Arial" w:hAnsi="Arial" w:cs="Arial"/>
          <w:color w:val="000000" w:themeColor="text1"/>
          <w:sz w:val="24"/>
          <w:szCs w:val="24"/>
        </w:rPr>
        <w:t xml:space="preserve"> (ibid: 24)</w:t>
      </w:r>
      <w:r w:rsidRPr="00416CE7">
        <w:rPr>
          <w:rFonts w:ascii="Arial" w:hAnsi="Arial" w:cs="Arial"/>
          <w:color w:val="000000" w:themeColor="text1"/>
          <w:sz w:val="24"/>
          <w:szCs w:val="24"/>
        </w:rPr>
        <w:t xml:space="preserve">. This raises concerns about whether such safeguards provide meaningful support or merely symbolic accommodation, limiting their ability </w:t>
      </w:r>
      <w:r w:rsidRPr="00416CE7">
        <w:rPr>
          <w:rFonts w:ascii="Arial" w:hAnsi="Arial" w:cs="Arial"/>
          <w:color w:val="000000" w:themeColor="text1"/>
          <w:sz w:val="24"/>
          <w:szCs w:val="24"/>
        </w:rPr>
        <w:lastRenderedPageBreak/>
        <w:t>to mitigate the secondary victimisation experienced by vulnerable individuals within courtroom settings.</w:t>
      </w:r>
    </w:p>
    <w:p w14:paraId="4916BA40" w14:textId="77777777" w:rsidR="00FF0E88" w:rsidRPr="00416CE7" w:rsidRDefault="00FF0E88" w:rsidP="004D7DAE">
      <w:pPr>
        <w:spacing w:line="480" w:lineRule="auto"/>
        <w:rPr>
          <w:rFonts w:ascii="Arial" w:hAnsi="Arial" w:cs="Arial"/>
          <w:color w:val="000000" w:themeColor="text1"/>
          <w:sz w:val="24"/>
          <w:szCs w:val="24"/>
        </w:rPr>
      </w:pPr>
    </w:p>
    <w:p w14:paraId="7B6979A2" w14:textId="61ACE094" w:rsidR="00947165" w:rsidRPr="00416CE7" w:rsidRDefault="003D102A" w:rsidP="004D7DAE">
      <w:pPr>
        <w:spacing w:after="0" w:line="480" w:lineRule="auto"/>
        <w:rPr>
          <w:rFonts w:ascii="Arial" w:eastAsia="Times New Roman" w:hAnsi="Arial" w:cs="Arial"/>
          <w:color w:val="000000" w:themeColor="text1"/>
          <w:kern w:val="0"/>
          <w:sz w:val="24"/>
          <w:szCs w:val="24"/>
          <w:lang w:eastAsia="en-GB"/>
          <w14:ligatures w14:val="none"/>
        </w:rPr>
      </w:pPr>
      <w:r w:rsidRPr="00416CE7">
        <w:rPr>
          <w:rFonts w:ascii="Arial" w:hAnsi="Arial" w:cs="Arial"/>
          <w:color w:val="000000" w:themeColor="text1"/>
          <w:sz w:val="24"/>
          <w:szCs w:val="24"/>
        </w:rPr>
        <w:t xml:space="preserve">Taken together, these courtroom challenges point to a more fundamental issue: neoliberal policies and managerialism have reshaped the criminal justice system around efficiency and standardised processing rather than the needs of vulnerable victims </w:t>
      </w:r>
      <w:r w:rsidRPr="00416CE7">
        <w:rPr>
          <w:rFonts w:ascii="Arial" w:eastAsia="Times New Roman" w:hAnsi="Arial" w:cs="Arial"/>
          <w:color w:val="000000" w:themeColor="text1"/>
          <w:kern w:val="0"/>
          <w:sz w:val="24"/>
          <w:szCs w:val="24"/>
          <w:lang w:eastAsia="en-GB"/>
          <w14:ligatures w14:val="none"/>
        </w:rPr>
        <w:t>(Maguire, 2012: 242).</w:t>
      </w:r>
      <w:r w:rsidRPr="00416CE7">
        <w:rPr>
          <w:rFonts w:ascii="Arial" w:hAnsi="Arial" w:cs="Arial"/>
          <w:color w:val="000000" w:themeColor="text1"/>
          <w:sz w:val="24"/>
          <w:szCs w:val="24"/>
        </w:rPr>
        <w:t xml:space="preserve"> This emphasis on measurable outputs can position the (CJS) as a production line for cases rather than a system centred on human justice. Consequently, </w:t>
      </w:r>
      <w:proofErr w:type="gramStart"/>
      <w:r w:rsidRPr="00416CE7">
        <w:rPr>
          <w:rFonts w:ascii="Arial" w:hAnsi="Arial" w:cs="Arial"/>
          <w:color w:val="000000" w:themeColor="text1"/>
          <w:sz w:val="24"/>
          <w:szCs w:val="24"/>
        </w:rPr>
        <w:t>victims</w:t>
      </w:r>
      <w:proofErr w:type="gramEnd"/>
      <w:r w:rsidRPr="00416CE7">
        <w:rPr>
          <w:rFonts w:ascii="Arial" w:hAnsi="Arial" w:cs="Arial"/>
          <w:color w:val="000000" w:themeColor="text1"/>
          <w:sz w:val="24"/>
          <w:szCs w:val="24"/>
        </w:rPr>
        <w:t xml:space="preserve"> risk being treated as administrative units within procedural workflows, where efficiency takes precedence over support, protection, and fairness. Critically, this exposes a structural misalignment between managerial priorities and the lived realities of vulnerable victims</w:t>
      </w:r>
    </w:p>
    <w:p w14:paraId="13BA2C5C" w14:textId="77777777" w:rsidR="00087F2B" w:rsidRPr="00416CE7" w:rsidRDefault="00087F2B" w:rsidP="004D7DAE">
      <w:pPr>
        <w:spacing w:after="0" w:line="480" w:lineRule="auto"/>
        <w:rPr>
          <w:rFonts w:ascii="Arial" w:eastAsia="Times New Roman" w:hAnsi="Arial" w:cs="Arial"/>
          <w:color w:val="000000" w:themeColor="text1"/>
          <w:kern w:val="0"/>
          <w:sz w:val="24"/>
          <w:szCs w:val="24"/>
          <w:lang w:eastAsia="en-GB"/>
          <w14:ligatures w14:val="none"/>
        </w:rPr>
      </w:pPr>
    </w:p>
    <w:p w14:paraId="783830FA" w14:textId="1EBBE7B3" w:rsidR="004D7DAE" w:rsidRPr="00416CE7" w:rsidRDefault="00D74C39" w:rsidP="004D7DAE">
      <w:pPr>
        <w:spacing w:after="0" w:line="480" w:lineRule="auto"/>
        <w:rPr>
          <w:rFonts w:ascii="Arial" w:eastAsia="Times New Roman" w:hAnsi="Arial" w:cs="Arial"/>
          <w:color w:val="000000" w:themeColor="text1"/>
          <w:kern w:val="0"/>
          <w:sz w:val="24"/>
          <w:szCs w:val="24"/>
          <w:lang w:eastAsia="en-GB"/>
          <w14:ligatures w14:val="none"/>
        </w:rPr>
      </w:pPr>
      <w:r w:rsidRPr="00416CE7">
        <w:rPr>
          <w:rFonts w:ascii="Arial" w:eastAsia="Times New Roman" w:hAnsi="Arial" w:cs="Arial"/>
          <w:color w:val="000000" w:themeColor="text1"/>
          <w:kern w:val="0"/>
          <w:sz w:val="24"/>
          <w:szCs w:val="24"/>
          <w:lang w:eastAsia="en-GB"/>
          <w14:ligatures w14:val="none"/>
        </w:rPr>
        <w:t>Building on the structural limitations identified within the criminal justice system, an intersectional perspective further highlights how vulnerability is unevenly experienced across different groups. As Dekens, Daze and Hunter (2026) argue, vulnerability is shaped by the interaction of multiple social categories, including gender, race, class, age, and ability. These overlapping identities produce distinct and compounded forms of disadvantage, rather than uniform experiences of harm</w:t>
      </w:r>
      <w:r w:rsidR="00587942" w:rsidRPr="00416CE7">
        <w:rPr>
          <w:rFonts w:ascii="Arial" w:eastAsia="Times New Roman" w:hAnsi="Arial" w:cs="Arial"/>
          <w:color w:val="000000" w:themeColor="text1"/>
          <w:kern w:val="0"/>
          <w:sz w:val="24"/>
          <w:szCs w:val="24"/>
          <w:lang w:eastAsia="en-GB"/>
          <w14:ligatures w14:val="none"/>
        </w:rPr>
        <w:t xml:space="preserve">. </w:t>
      </w:r>
      <w:r w:rsidRPr="00416CE7">
        <w:rPr>
          <w:rFonts w:ascii="Arial" w:eastAsia="Times New Roman" w:hAnsi="Arial" w:cs="Arial"/>
          <w:color w:val="000000" w:themeColor="text1"/>
          <w:kern w:val="0"/>
          <w:sz w:val="24"/>
          <w:szCs w:val="24"/>
          <w:lang w:eastAsia="en-GB"/>
          <w14:ligatures w14:val="none"/>
        </w:rPr>
        <w:t xml:space="preserve">This challenges policy approaches that treat vulnerability as individualised, suggesting instead that ‘one-size-fits-all’ frameworks fail to address the structural inequalities that limit access to justice for marginalised victims. </w:t>
      </w:r>
    </w:p>
    <w:p w14:paraId="069F0614" w14:textId="77777777" w:rsidR="00D74C39" w:rsidRPr="00416CE7" w:rsidRDefault="00D74C39" w:rsidP="004D7DAE">
      <w:pPr>
        <w:spacing w:after="0" w:line="480" w:lineRule="auto"/>
        <w:rPr>
          <w:rFonts w:ascii="Arial" w:eastAsia="Times New Roman" w:hAnsi="Arial" w:cs="Arial"/>
          <w:color w:val="000000" w:themeColor="text1"/>
          <w:kern w:val="0"/>
          <w:sz w:val="24"/>
          <w:szCs w:val="24"/>
          <w:lang w:eastAsia="en-GB"/>
          <w14:ligatures w14:val="none"/>
        </w:rPr>
      </w:pPr>
    </w:p>
    <w:p w14:paraId="6F2FD48D" w14:textId="0BD336F8" w:rsidR="00587942" w:rsidRPr="00416CE7" w:rsidRDefault="002F24A2" w:rsidP="004D7DAE">
      <w:pPr>
        <w:spacing w:after="0" w:line="480" w:lineRule="auto"/>
        <w:rPr>
          <w:rFonts w:ascii="Arial" w:eastAsia="Times New Roman" w:hAnsi="Arial" w:cs="Arial"/>
          <w:color w:val="000000" w:themeColor="text1"/>
          <w:kern w:val="0"/>
          <w:sz w:val="24"/>
          <w:szCs w:val="24"/>
          <w:lang w:eastAsia="en-GB"/>
          <w14:ligatures w14:val="none"/>
        </w:rPr>
      </w:pPr>
      <w:r w:rsidRPr="00416CE7">
        <w:rPr>
          <w:rFonts w:ascii="Arial" w:eastAsia="Times New Roman" w:hAnsi="Arial" w:cs="Arial"/>
          <w:color w:val="000000" w:themeColor="text1"/>
          <w:kern w:val="0"/>
          <w:sz w:val="24"/>
          <w:szCs w:val="24"/>
          <w:lang w:eastAsia="en-GB"/>
          <w14:ligatures w14:val="none"/>
        </w:rPr>
        <w:t xml:space="preserve">For example, disabled individuals experience intersectional vulnerability through significant communication barriers that shape their engagement with institutions. </w:t>
      </w:r>
      <w:r w:rsidRPr="00416CE7">
        <w:rPr>
          <w:rFonts w:ascii="Arial" w:eastAsia="Times New Roman" w:hAnsi="Arial" w:cs="Arial"/>
          <w:color w:val="000000" w:themeColor="text1"/>
          <w:kern w:val="0"/>
          <w:sz w:val="24"/>
          <w:szCs w:val="24"/>
          <w:lang w:eastAsia="en-GB"/>
          <w14:ligatures w14:val="none"/>
        </w:rPr>
        <w:lastRenderedPageBreak/>
        <w:t>Kaplan and Celik (2023: 3</w:t>
      </w:r>
      <w:r w:rsidR="00F1361E" w:rsidRPr="00416CE7">
        <w:rPr>
          <w:rFonts w:ascii="Arial" w:eastAsia="Times New Roman" w:hAnsi="Arial" w:cs="Arial"/>
          <w:color w:val="000000" w:themeColor="text1"/>
          <w:kern w:val="0"/>
          <w:sz w:val="24"/>
          <w:szCs w:val="24"/>
          <w:lang w:eastAsia="en-GB"/>
          <w14:ligatures w14:val="none"/>
        </w:rPr>
        <w:t>-</w:t>
      </w:r>
      <w:r w:rsidRPr="00416CE7">
        <w:rPr>
          <w:rFonts w:ascii="Arial" w:eastAsia="Times New Roman" w:hAnsi="Arial" w:cs="Arial"/>
          <w:color w:val="000000" w:themeColor="text1"/>
          <w:kern w:val="0"/>
          <w:sz w:val="24"/>
          <w:szCs w:val="24"/>
          <w:lang w:eastAsia="en-GB"/>
          <w14:ligatures w14:val="none"/>
        </w:rPr>
        <w:t>5) highlight that individuals with severe speech impairments often rely on augmentative and alternative communication (AAC) systems to express themselves. However, limited access to these tools and inadequate institutional support can restrict interaction and reinforce dependency on others. This reflects broader structural failures, as barriers are not inherent to disability but produced by inaccessible systems, undermining autonomy and limiting meaningful participation within both social and justice contexts.</w:t>
      </w:r>
    </w:p>
    <w:p w14:paraId="5AB7B1FE" w14:textId="77777777" w:rsidR="00D74C39" w:rsidRPr="00416CE7" w:rsidRDefault="00D74C39" w:rsidP="004D7DAE">
      <w:pPr>
        <w:spacing w:after="0" w:line="480" w:lineRule="auto"/>
        <w:rPr>
          <w:rFonts w:ascii="Arial" w:eastAsia="Times New Roman" w:hAnsi="Arial" w:cs="Arial"/>
          <w:color w:val="000000" w:themeColor="text1"/>
          <w:kern w:val="0"/>
          <w:sz w:val="24"/>
          <w:szCs w:val="24"/>
          <w:lang w:eastAsia="en-GB"/>
          <w14:ligatures w14:val="none"/>
        </w:rPr>
      </w:pPr>
    </w:p>
    <w:p w14:paraId="4A11258F" w14:textId="6F9502C0" w:rsidR="009F46AA" w:rsidRPr="00416CE7" w:rsidRDefault="009F46AA" w:rsidP="004D7DAE">
      <w:pPr>
        <w:spacing w:after="0" w:line="480" w:lineRule="auto"/>
        <w:rPr>
          <w:rFonts w:ascii="Arial" w:eastAsia="Times New Roman" w:hAnsi="Arial" w:cs="Arial"/>
          <w:color w:val="000000" w:themeColor="text1"/>
          <w:kern w:val="0"/>
          <w:sz w:val="24"/>
          <w:szCs w:val="24"/>
          <w:lang w:eastAsia="en-GB"/>
          <w14:ligatures w14:val="none"/>
        </w:rPr>
      </w:pPr>
      <w:r w:rsidRPr="00416CE7">
        <w:rPr>
          <w:rFonts w:ascii="Arial" w:eastAsia="Times New Roman" w:hAnsi="Arial" w:cs="Arial"/>
          <w:color w:val="000000" w:themeColor="text1"/>
          <w:kern w:val="0"/>
          <w:sz w:val="24"/>
          <w:szCs w:val="24"/>
          <w:lang w:eastAsia="en-GB"/>
          <w14:ligatures w14:val="none"/>
        </w:rPr>
        <w:t xml:space="preserve">A further example reveals how intersectional vulnerability is intensified for Latinx immigrant sexual minority men, where legal status and fear of deportation significantly shape their experiences. </w:t>
      </w:r>
      <w:proofErr w:type="spellStart"/>
      <w:r w:rsidRPr="00416CE7">
        <w:rPr>
          <w:rFonts w:ascii="Arial" w:eastAsia="Times New Roman" w:hAnsi="Arial" w:cs="Arial"/>
          <w:color w:val="000000" w:themeColor="text1"/>
          <w:kern w:val="0"/>
          <w:sz w:val="24"/>
          <w:szCs w:val="24"/>
          <w:lang w:eastAsia="en-GB"/>
          <w14:ligatures w14:val="none"/>
        </w:rPr>
        <w:t>Yamanis</w:t>
      </w:r>
      <w:proofErr w:type="spellEnd"/>
      <w:r w:rsidRPr="00416CE7">
        <w:rPr>
          <w:rFonts w:ascii="Arial" w:eastAsia="Times New Roman" w:hAnsi="Arial" w:cs="Arial"/>
          <w:color w:val="000000" w:themeColor="text1"/>
          <w:kern w:val="0"/>
          <w:sz w:val="24"/>
          <w:szCs w:val="24"/>
          <w:lang w:eastAsia="en-GB"/>
          <w14:ligatures w14:val="none"/>
        </w:rPr>
        <w:t xml:space="preserve"> et al. (2021:</w:t>
      </w:r>
      <w:r w:rsidR="00B22799" w:rsidRPr="00416CE7">
        <w:rPr>
          <w:rFonts w:ascii="Arial" w:eastAsia="Times New Roman" w:hAnsi="Arial" w:cs="Arial"/>
          <w:color w:val="000000" w:themeColor="text1"/>
          <w:kern w:val="0"/>
          <w:sz w:val="24"/>
          <w:szCs w:val="24"/>
          <w:lang w:eastAsia="en-GB"/>
          <w14:ligatures w14:val="none"/>
        </w:rPr>
        <w:t xml:space="preserve"> </w:t>
      </w:r>
      <w:r w:rsidRPr="00416CE7">
        <w:rPr>
          <w:rFonts w:ascii="Arial" w:eastAsia="Times New Roman" w:hAnsi="Arial" w:cs="Arial"/>
          <w:color w:val="000000" w:themeColor="text1"/>
          <w:kern w:val="0"/>
          <w:sz w:val="24"/>
          <w:szCs w:val="24"/>
          <w:lang w:eastAsia="en-GB"/>
          <w14:ligatures w14:val="none"/>
        </w:rPr>
        <w:t>2, 8) describe a pervasive ‘state of fear’ driven by discriminatory immigration policies and anti-immigrant sentiment. This is compounded by experiences of homophobia and racism, creating profound psychological distress and limiting access to essential support services. This also highlights how structural inequalities intersect to exclude already marginalised groups and demonstrating the limitations of generic policy responses in addressing complex, lived experiences of vulnerability.</w:t>
      </w:r>
    </w:p>
    <w:p w14:paraId="24E32B35" w14:textId="77777777" w:rsidR="00274193" w:rsidRPr="00416CE7" w:rsidRDefault="00274193" w:rsidP="004D7DAE">
      <w:pPr>
        <w:spacing w:after="0" w:line="480" w:lineRule="auto"/>
        <w:rPr>
          <w:rFonts w:ascii="Arial" w:eastAsia="Times New Roman" w:hAnsi="Arial" w:cs="Arial"/>
          <w:color w:val="000000" w:themeColor="text1"/>
          <w:kern w:val="0"/>
          <w:sz w:val="24"/>
          <w:szCs w:val="24"/>
          <w:lang w:eastAsia="en-GB"/>
          <w14:ligatures w14:val="none"/>
        </w:rPr>
      </w:pPr>
    </w:p>
    <w:p w14:paraId="7A37FE4D" w14:textId="2B5632AF" w:rsidR="00274193" w:rsidRDefault="00274193" w:rsidP="004D7DAE">
      <w:pPr>
        <w:spacing w:after="0" w:line="480" w:lineRule="auto"/>
        <w:rPr>
          <w:rFonts w:ascii="Arial" w:eastAsia="Times New Roman" w:hAnsi="Arial" w:cs="Arial"/>
          <w:color w:val="000000" w:themeColor="text1"/>
          <w:kern w:val="0"/>
          <w:sz w:val="24"/>
          <w:szCs w:val="24"/>
          <w:lang w:eastAsia="en-GB"/>
          <w14:ligatures w14:val="none"/>
        </w:rPr>
      </w:pPr>
      <w:r w:rsidRPr="00416CE7">
        <w:rPr>
          <w:rFonts w:ascii="Arial" w:eastAsia="Times New Roman" w:hAnsi="Arial" w:cs="Arial"/>
          <w:color w:val="000000" w:themeColor="text1"/>
          <w:kern w:val="0"/>
          <w:sz w:val="24"/>
          <w:szCs w:val="24"/>
          <w:lang w:eastAsia="en-GB"/>
          <w14:ligatures w14:val="none"/>
        </w:rPr>
        <w:t xml:space="preserve">Similarly, intersectional vulnerability is evident among minority ethnic women, where the convergence of racism and sexism produces compounded forms of disadvantage. Siller and Aydin (2020: 1–2) demonstrate that these intersecting identities shape distinct patterns of systemic exclusion, rather than separate or additive experiences of discrimination. This dual marginalisation affects social positioning and access to support, reinforcing inequality across institutional contexts. Critically, this strengthens the argument that single-axis approaches are insufficient, </w:t>
      </w:r>
      <w:r w:rsidRPr="00416CE7">
        <w:rPr>
          <w:rFonts w:ascii="Arial" w:eastAsia="Times New Roman" w:hAnsi="Arial" w:cs="Arial"/>
          <w:color w:val="000000" w:themeColor="text1"/>
          <w:kern w:val="0"/>
          <w:sz w:val="24"/>
          <w:szCs w:val="24"/>
          <w:lang w:eastAsia="en-GB"/>
          <w14:ligatures w14:val="none"/>
        </w:rPr>
        <w:lastRenderedPageBreak/>
        <w:t>underscoring the need for intersectional frameworks to address the complex and layered nature of vulnerability.</w:t>
      </w:r>
    </w:p>
    <w:p w14:paraId="653E7BCA" w14:textId="77777777" w:rsidR="00FF0E88" w:rsidRPr="00416CE7" w:rsidRDefault="00FF0E88" w:rsidP="004D7DAE">
      <w:pPr>
        <w:spacing w:after="0" w:line="480" w:lineRule="auto"/>
        <w:rPr>
          <w:rFonts w:ascii="Arial" w:eastAsia="Times New Roman" w:hAnsi="Arial" w:cs="Arial"/>
          <w:color w:val="000000" w:themeColor="text1"/>
          <w:kern w:val="0"/>
          <w:sz w:val="24"/>
          <w:szCs w:val="24"/>
          <w:lang w:eastAsia="en-GB"/>
          <w14:ligatures w14:val="none"/>
        </w:rPr>
      </w:pPr>
    </w:p>
    <w:p w14:paraId="0E40FE6F" w14:textId="77777777" w:rsidR="00DA1006" w:rsidRPr="00416CE7" w:rsidRDefault="00DA1006" w:rsidP="004D7DAE">
      <w:pPr>
        <w:spacing w:after="0" w:line="480" w:lineRule="auto"/>
        <w:rPr>
          <w:rFonts w:ascii="Arial" w:eastAsia="Times New Roman" w:hAnsi="Arial" w:cs="Arial"/>
          <w:color w:val="000000" w:themeColor="text1"/>
          <w:kern w:val="0"/>
          <w:sz w:val="24"/>
          <w:szCs w:val="24"/>
          <w:lang w:eastAsia="en-GB"/>
          <w14:ligatures w14:val="none"/>
        </w:rPr>
      </w:pPr>
    </w:p>
    <w:p w14:paraId="5B6889B3" w14:textId="01351CCA" w:rsidR="00DA1006" w:rsidRPr="00416CE7" w:rsidRDefault="00DA1006" w:rsidP="004D7DAE">
      <w:pPr>
        <w:spacing w:after="0" w:line="480" w:lineRule="auto"/>
        <w:rPr>
          <w:rFonts w:ascii="Arial" w:eastAsia="Times New Roman" w:hAnsi="Arial" w:cs="Arial"/>
          <w:color w:val="000000" w:themeColor="text1"/>
          <w:kern w:val="0"/>
          <w:sz w:val="24"/>
          <w:szCs w:val="24"/>
          <w:lang w:eastAsia="en-GB"/>
          <w14:ligatures w14:val="none"/>
        </w:rPr>
      </w:pPr>
      <w:r w:rsidRPr="00416CE7">
        <w:rPr>
          <w:rFonts w:ascii="Arial" w:eastAsia="Times New Roman" w:hAnsi="Arial" w:cs="Arial"/>
          <w:color w:val="000000" w:themeColor="text1"/>
          <w:kern w:val="0"/>
          <w:sz w:val="24"/>
          <w:szCs w:val="24"/>
          <w:lang w:eastAsia="en-GB"/>
          <w14:ligatures w14:val="none"/>
        </w:rPr>
        <w:t>Taken together, these examples highlight a broader limitation within policy and research, which frequently conceptualise vulnerability as an individual trait rather than a structural condition. Sutton et al. (2025: 2, 8) argue that such approaches obscure the role of political, economic, and social systems in producing risk and constraining agency for marginalised groups. By focusing on individual characteristics, policy responses risk overlooking how institutional practices and unequal resource distribution shape lived experiences. This individualised framing depoliticises vulnerability, limiting the effectiveness of interventions and failing to address the structural inequalities underpinning unequal access to justice.</w:t>
      </w:r>
    </w:p>
    <w:p w14:paraId="7E9CF207" w14:textId="77777777" w:rsidR="00DA1006" w:rsidRPr="00416CE7" w:rsidRDefault="00DA1006" w:rsidP="004D7DAE">
      <w:pPr>
        <w:spacing w:after="0" w:line="480" w:lineRule="auto"/>
        <w:rPr>
          <w:rFonts w:ascii="Arial" w:eastAsia="Times New Roman" w:hAnsi="Arial" w:cs="Arial"/>
          <w:color w:val="000000" w:themeColor="text1"/>
          <w:kern w:val="0"/>
          <w:sz w:val="24"/>
          <w:szCs w:val="24"/>
          <w:lang w:eastAsia="en-GB"/>
          <w14:ligatures w14:val="none"/>
        </w:rPr>
      </w:pPr>
    </w:p>
    <w:p w14:paraId="76CDB90E" w14:textId="77777777" w:rsidR="00DA1006" w:rsidRPr="00416CE7" w:rsidRDefault="00DA1006" w:rsidP="004D7DAE">
      <w:pPr>
        <w:spacing w:after="0" w:line="480" w:lineRule="auto"/>
        <w:rPr>
          <w:rFonts w:ascii="Arial" w:eastAsia="Times New Roman" w:hAnsi="Arial" w:cs="Arial"/>
          <w:color w:val="000000" w:themeColor="text1"/>
          <w:kern w:val="0"/>
          <w:sz w:val="24"/>
          <w:szCs w:val="24"/>
          <w:lang w:eastAsia="en-GB"/>
          <w14:ligatures w14:val="none"/>
        </w:rPr>
      </w:pPr>
      <w:r w:rsidRPr="00416CE7">
        <w:rPr>
          <w:rFonts w:ascii="Arial" w:eastAsia="Times New Roman" w:hAnsi="Arial" w:cs="Arial"/>
          <w:color w:val="000000" w:themeColor="text1"/>
          <w:kern w:val="0"/>
          <w:sz w:val="24"/>
          <w:szCs w:val="24"/>
          <w:lang w:eastAsia="en-GB"/>
          <w14:ligatures w14:val="none"/>
        </w:rPr>
        <w:t xml:space="preserve">As a result, intersectionality exposes gaps in support and unequal access to justice, as legal frameworks fail to address compound discrimination, leaving vulnerable individuals facing barriers to reporting and engagement (La Barbera and </w:t>
      </w:r>
      <w:proofErr w:type="spellStart"/>
      <w:r w:rsidRPr="00416CE7">
        <w:rPr>
          <w:rFonts w:ascii="Arial" w:eastAsia="Times New Roman" w:hAnsi="Arial" w:cs="Arial"/>
          <w:color w:val="000000" w:themeColor="text1"/>
          <w:kern w:val="0"/>
          <w:sz w:val="24"/>
          <w:szCs w:val="24"/>
          <w:lang w:eastAsia="en-GB"/>
          <w14:ligatures w14:val="none"/>
        </w:rPr>
        <w:t>Cruells</w:t>
      </w:r>
      <w:proofErr w:type="spellEnd"/>
      <w:r w:rsidRPr="00416CE7">
        <w:rPr>
          <w:rFonts w:ascii="Arial" w:eastAsia="Times New Roman" w:hAnsi="Arial" w:cs="Arial"/>
          <w:color w:val="000000" w:themeColor="text1"/>
          <w:kern w:val="0"/>
          <w:sz w:val="24"/>
          <w:szCs w:val="24"/>
          <w:lang w:eastAsia="en-GB"/>
          <w14:ligatures w14:val="none"/>
        </w:rPr>
        <w:t xml:space="preserve"> López, 2019).</w:t>
      </w:r>
    </w:p>
    <w:p w14:paraId="2A6B8D9C" w14:textId="77777777" w:rsidR="00DA1006" w:rsidRPr="00416CE7" w:rsidRDefault="00DA1006" w:rsidP="004D7DAE">
      <w:pPr>
        <w:spacing w:after="0" w:line="480" w:lineRule="auto"/>
        <w:rPr>
          <w:rFonts w:ascii="Arial" w:eastAsia="Times New Roman" w:hAnsi="Arial" w:cs="Arial"/>
          <w:color w:val="000000" w:themeColor="text1"/>
          <w:kern w:val="0"/>
          <w:sz w:val="24"/>
          <w:szCs w:val="24"/>
          <w:lang w:eastAsia="en-GB"/>
          <w14:ligatures w14:val="none"/>
        </w:rPr>
      </w:pPr>
    </w:p>
    <w:p w14:paraId="3C9337F5" w14:textId="77777777" w:rsidR="00EF60B6" w:rsidRPr="00416CE7" w:rsidRDefault="00EF60B6" w:rsidP="004D7DAE">
      <w:pPr>
        <w:spacing w:after="0" w:line="480" w:lineRule="auto"/>
        <w:rPr>
          <w:rFonts w:ascii="Arial" w:eastAsia="Times New Roman" w:hAnsi="Arial" w:cs="Arial"/>
          <w:color w:val="000000" w:themeColor="text1"/>
          <w:kern w:val="0"/>
          <w:sz w:val="24"/>
          <w:szCs w:val="24"/>
          <w:lang w:eastAsia="en-GB"/>
          <w14:ligatures w14:val="none"/>
        </w:rPr>
      </w:pPr>
    </w:p>
    <w:p w14:paraId="653C8CB5" w14:textId="12864480" w:rsidR="00EF60B6" w:rsidRPr="00416CE7" w:rsidRDefault="00EF60B6" w:rsidP="004D7DAE">
      <w:pPr>
        <w:spacing w:after="0" w:line="480" w:lineRule="auto"/>
        <w:rPr>
          <w:rFonts w:ascii="Arial" w:eastAsia="Times New Roman" w:hAnsi="Arial" w:cs="Arial"/>
          <w:color w:val="000000" w:themeColor="text1"/>
          <w:kern w:val="0"/>
          <w:sz w:val="24"/>
          <w:szCs w:val="24"/>
          <w:lang w:eastAsia="en-GB"/>
          <w14:ligatures w14:val="none"/>
        </w:rPr>
      </w:pPr>
      <w:r w:rsidRPr="00416CE7">
        <w:rPr>
          <w:rFonts w:ascii="Arial" w:eastAsia="Times New Roman" w:hAnsi="Arial" w:cs="Arial"/>
          <w:color w:val="000000" w:themeColor="text1"/>
          <w:kern w:val="0"/>
          <w:sz w:val="24"/>
          <w:szCs w:val="24"/>
          <w:lang w:eastAsia="en-GB"/>
          <w14:ligatures w14:val="none"/>
        </w:rPr>
        <w:t xml:space="preserve">Extending beyond intersectional vulnerability, post-trial experiences reveal further systemic shortcomings in access to support services. Victims often face prolonged waiting periods with minimal communication or assistance, creating a ‘state of limbo’ that negatively impacts emotional wellbeing (Hammond, 2025). This highlights how inadequate support provision fails to address the long-term consequences of justice </w:t>
      </w:r>
      <w:r w:rsidRPr="00416CE7">
        <w:rPr>
          <w:rFonts w:ascii="Arial" w:eastAsia="Times New Roman" w:hAnsi="Arial" w:cs="Arial"/>
          <w:color w:val="000000" w:themeColor="text1"/>
          <w:kern w:val="0"/>
          <w:sz w:val="24"/>
          <w:szCs w:val="24"/>
          <w:lang w:eastAsia="en-GB"/>
          <w14:ligatures w14:val="none"/>
        </w:rPr>
        <w:lastRenderedPageBreak/>
        <w:t>processes, reinforcing disengagement and leaving vulnerable individuals without necessary care.</w:t>
      </w:r>
    </w:p>
    <w:p w14:paraId="3C57D5CB" w14:textId="77777777" w:rsidR="00E95F31" w:rsidRPr="00416CE7" w:rsidRDefault="00E95F31" w:rsidP="004D7DAE">
      <w:pPr>
        <w:spacing w:after="0" w:line="480" w:lineRule="auto"/>
        <w:rPr>
          <w:rFonts w:ascii="Arial" w:eastAsia="Times New Roman" w:hAnsi="Arial" w:cs="Arial"/>
          <w:color w:val="000000" w:themeColor="text1"/>
          <w:kern w:val="0"/>
          <w:sz w:val="24"/>
          <w:szCs w:val="24"/>
          <w:lang w:eastAsia="en-GB"/>
          <w14:ligatures w14:val="none"/>
        </w:rPr>
      </w:pPr>
    </w:p>
    <w:p w14:paraId="773079DE" w14:textId="0C1E2CD4" w:rsidR="00E95F31" w:rsidRDefault="00E95F31" w:rsidP="004D7DAE">
      <w:pPr>
        <w:spacing w:after="0" w:line="480" w:lineRule="auto"/>
        <w:rPr>
          <w:rFonts w:ascii="Arial" w:eastAsia="Times New Roman" w:hAnsi="Arial" w:cs="Arial"/>
          <w:color w:val="000000" w:themeColor="text1"/>
          <w:kern w:val="0"/>
          <w:sz w:val="24"/>
          <w:szCs w:val="24"/>
          <w:lang w:eastAsia="en-GB"/>
          <w14:ligatures w14:val="none"/>
        </w:rPr>
      </w:pPr>
      <w:r w:rsidRPr="00416CE7">
        <w:rPr>
          <w:rFonts w:ascii="Arial" w:eastAsia="Times New Roman" w:hAnsi="Arial" w:cs="Arial"/>
          <w:color w:val="000000" w:themeColor="text1"/>
          <w:kern w:val="0"/>
          <w:sz w:val="24"/>
          <w:szCs w:val="24"/>
          <w:lang w:eastAsia="en-GB"/>
          <w14:ligatures w14:val="none"/>
        </w:rPr>
        <w:t xml:space="preserve">Furthermore, limitations in support provision are exacerbated by inconsistent and short-term funding structures affecting victim support services. </w:t>
      </w:r>
      <w:r w:rsidR="00A425C1" w:rsidRPr="00416CE7">
        <w:rPr>
          <w:rFonts w:ascii="Arial" w:eastAsia="Times New Roman" w:hAnsi="Arial" w:cs="Arial"/>
          <w:color w:val="000000" w:themeColor="text1"/>
          <w:kern w:val="0"/>
          <w:sz w:val="24"/>
          <w:szCs w:val="24"/>
          <w:lang w:eastAsia="en-GB"/>
          <w14:ligatures w14:val="none"/>
        </w:rPr>
        <w:t>The Centre for Social Justice</w:t>
      </w:r>
      <w:r w:rsidRPr="00416CE7">
        <w:rPr>
          <w:rFonts w:ascii="Arial" w:eastAsia="Times New Roman" w:hAnsi="Arial" w:cs="Arial"/>
          <w:color w:val="000000" w:themeColor="text1"/>
          <w:kern w:val="0"/>
          <w:sz w:val="24"/>
          <w:szCs w:val="24"/>
          <w:lang w:eastAsia="en-GB"/>
          <w14:ligatures w14:val="none"/>
        </w:rPr>
        <w:t xml:space="preserve"> (2024) highlights that reliance on competitive tendering and fragmented funding cycles creates financial instability, particularly for smaller, specialised organisations. This often forces services to prioritise organisational survival over long-term, strategic support for victims. Such funding insecurity undermines the continuity and quality of care, limiting the ability of support services to respond effectively to complex and ongoing needs, and reinforcing systemic gaps in post-trial assistance.</w:t>
      </w:r>
    </w:p>
    <w:p w14:paraId="38221DA3" w14:textId="77777777" w:rsidR="00FF0E88" w:rsidRPr="00416CE7" w:rsidRDefault="00FF0E88" w:rsidP="004D7DAE">
      <w:pPr>
        <w:spacing w:after="0" w:line="480" w:lineRule="auto"/>
        <w:rPr>
          <w:rFonts w:ascii="Arial" w:eastAsia="Times New Roman" w:hAnsi="Arial" w:cs="Arial"/>
          <w:color w:val="000000" w:themeColor="text1"/>
          <w:kern w:val="0"/>
          <w:sz w:val="24"/>
          <w:szCs w:val="24"/>
          <w:lang w:eastAsia="en-GB"/>
          <w14:ligatures w14:val="none"/>
        </w:rPr>
      </w:pPr>
    </w:p>
    <w:p w14:paraId="0850F130" w14:textId="77777777" w:rsidR="00E95F31" w:rsidRPr="00416CE7" w:rsidRDefault="00E95F31" w:rsidP="004D7DAE">
      <w:pPr>
        <w:spacing w:after="0" w:line="480" w:lineRule="auto"/>
        <w:rPr>
          <w:rFonts w:ascii="Arial" w:eastAsia="Times New Roman" w:hAnsi="Arial" w:cs="Arial"/>
          <w:color w:val="000000" w:themeColor="text1"/>
          <w:kern w:val="0"/>
          <w:sz w:val="24"/>
          <w:szCs w:val="24"/>
          <w:lang w:eastAsia="en-GB"/>
          <w14:ligatures w14:val="none"/>
        </w:rPr>
      </w:pPr>
    </w:p>
    <w:p w14:paraId="14CC13E2" w14:textId="1B05EF82" w:rsidR="00EF60B6" w:rsidRDefault="003A5B59" w:rsidP="004D7DAE">
      <w:pPr>
        <w:spacing w:after="0" w:line="480" w:lineRule="auto"/>
        <w:rPr>
          <w:rFonts w:ascii="Arial" w:eastAsia="Times New Roman" w:hAnsi="Arial" w:cs="Arial"/>
          <w:color w:val="000000" w:themeColor="text1"/>
          <w:kern w:val="0"/>
          <w:sz w:val="24"/>
          <w:szCs w:val="24"/>
          <w:lang w:eastAsia="en-GB"/>
          <w14:ligatures w14:val="none"/>
        </w:rPr>
      </w:pPr>
      <w:r w:rsidRPr="00416CE7">
        <w:rPr>
          <w:rFonts w:ascii="Arial" w:eastAsia="Times New Roman" w:hAnsi="Arial" w:cs="Arial"/>
          <w:color w:val="000000" w:themeColor="text1"/>
          <w:kern w:val="0"/>
          <w:sz w:val="24"/>
          <w:szCs w:val="24"/>
          <w:lang w:eastAsia="en-GB"/>
          <w14:ligatures w14:val="none"/>
        </w:rPr>
        <w:t>In addition, poor communication following trials represents a significant gap in support for vulnerable victims. As Davies and Bartels (2020</w:t>
      </w:r>
      <w:r w:rsidR="00342D1C" w:rsidRPr="00416CE7">
        <w:rPr>
          <w:rFonts w:ascii="Arial" w:eastAsia="Times New Roman" w:hAnsi="Arial" w:cs="Arial"/>
          <w:color w:val="000000" w:themeColor="text1"/>
          <w:kern w:val="0"/>
          <w:sz w:val="24"/>
          <w:szCs w:val="24"/>
          <w:lang w:eastAsia="en-GB"/>
          <w14:ligatures w14:val="none"/>
        </w:rPr>
        <w:t>: 1-2</w:t>
      </w:r>
      <w:r w:rsidRPr="00416CE7">
        <w:rPr>
          <w:rFonts w:ascii="Arial" w:eastAsia="Times New Roman" w:hAnsi="Arial" w:cs="Arial"/>
          <w:color w:val="000000" w:themeColor="text1"/>
          <w:kern w:val="0"/>
          <w:sz w:val="24"/>
          <w:szCs w:val="24"/>
          <w:lang w:eastAsia="en-GB"/>
          <w14:ligatures w14:val="none"/>
        </w:rPr>
        <w:t>) indicated that many report receiving limited or unclear information about case outcomes, prolonging uncertainty and emotional distress. This lack of engagement undermines their ability to process events and access appropriate support. This communication failures reflect a system that prioritises procedural closure over victim wellbeing, reinforcing disengagement and limiting meaningful recovery beyond the trial stage.</w:t>
      </w:r>
    </w:p>
    <w:p w14:paraId="42156B10" w14:textId="77777777" w:rsidR="00FF0E88" w:rsidRPr="00416CE7" w:rsidRDefault="00FF0E88" w:rsidP="004D7DAE">
      <w:pPr>
        <w:spacing w:after="0" w:line="480" w:lineRule="auto"/>
        <w:rPr>
          <w:rFonts w:ascii="Arial" w:eastAsia="Times New Roman" w:hAnsi="Arial" w:cs="Arial"/>
          <w:color w:val="000000" w:themeColor="text1"/>
          <w:kern w:val="0"/>
          <w:sz w:val="24"/>
          <w:szCs w:val="24"/>
          <w:lang w:eastAsia="en-GB"/>
          <w14:ligatures w14:val="none"/>
        </w:rPr>
      </w:pPr>
    </w:p>
    <w:p w14:paraId="4311FD59" w14:textId="77777777" w:rsidR="00BF4266" w:rsidRPr="00416CE7" w:rsidRDefault="00BF4266" w:rsidP="004D7DAE">
      <w:pPr>
        <w:spacing w:after="0" w:line="480" w:lineRule="auto"/>
        <w:rPr>
          <w:rFonts w:ascii="Arial" w:eastAsia="Times New Roman" w:hAnsi="Arial" w:cs="Arial"/>
          <w:color w:val="000000" w:themeColor="text1"/>
          <w:kern w:val="0"/>
          <w:sz w:val="24"/>
          <w:szCs w:val="24"/>
          <w:lang w:eastAsia="en-GB"/>
          <w14:ligatures w14:val="none"/>
        </w:rPr>
      </w:pPr>
    </w:p>
    <w:p w14:paraId="083B3A35" w14:textId="3C472DF8" w:rsidR="00BF4266" w:rsidRPr="00416CE7" w:rsidRDefault="00BF4266" w:rsidP="004D7DAE">
      <w:pPr>
        <w:spacing w:after="0" w:line="480" w:lineRule="auto"/>
        <w:rPr>
          <w:rFonts w:ascii="Arial" w:hAnsi="Arial" w:cs="Arial"/>
          <w:color w:val="000000" w:themeColor="text1"/>
          <w:sz w:val="24"/>
          <w:szCs w:val="24"/>
        </w:rPr>
      </w:pPr>
      <w:r w:rsidRPr="00416CE7">
        <w:rPr>
          <w:rFonts w:ascii="Arial" w:hAnsi="Arial" w:cs="Arial"/>
          <w:color w:val="000000" w:themeColor="text1"/>
          <w:sz w:val="24"/>
          <w:szCs w:val="24"/>
        </w:rPr>
        <w:t xml:space="preserve">Taken together, these limitations in support provision reflect a broader shift towards neoliberal governance, which has reshaped victim support through outsourcing and </w:t>
      </w:r>
      <w:r w:rsidRPr="00416CE7">
        <w:rPr>
          <w:rFonts w:ascii="Arial" w:hAnsi="Arial" w:cs="Arial"/>
          <w:color w:val="000000" w:themeColor="text1"/>
          <w:sz w:val="24"/>
          <w:szCs w:val="24"/>
        </w:rPr>
        <w:lastRenderedPageBreak/>
        <w:t>market-driven approaches. As Gabril (2025) argues, the prioritisation of efficiency and reduced state intervention has ‘hollowed out’ public services, fragmenting provision across uneven and competitive sectors. Consequently, support becomes inconsistent and unequal, disproportionately disadvantaging vulnerable victims. Critically, this model not only fails to ensure stable, accessible care but actively reproduces vulnerability by transferring systemic risk onto individuals, raising fundamental concerns about the sustainability and equity of post-trial support systems.</w:t>
      </w:r>
    </w:p>
    <w:p w14:paraId="35D04B1C" w14:textId="77777777" w:rsidR="0054043E" w:rsidRPr="00416CE7" w:rsidRDefault="0054043E" w:rsidP="004D7DAE">
      <w:pPr>
        <w:spacing w:after="0" w:line="480" w:lineRule="auto"/>
        <w:rPr>
          <w:rFonts w:ascii="Arial" w:hAnsi="Arial" w:cs="Arial"/>
          <w:color w:val="000000" w:themeColor="text1"/>
          <w:sz w:val="24"/>
          <w:szCs w:val="24"/>
        </w:rPr>
      </w:pPr>
    </w:p>
    <w:p w14:paraId="226B935A" w14:textId="1C6A51C9" w:rsidR="00721FFC" w:rsidRPr="00416CE7" w:rsidRDefault="009C6EF3" w:rsidP="004D7DAE">
      <w:pPr>
        <w:spacing w:after="0" w:line="480" w:lineRule="auto"/>
        <w:rPr>
          <w:rFonts w:ascii="Arial" w:hAnsi="Arial" w:cs="Arial"/>
          <w:color w:val="000000" w:themeColor="text1"/>
          <w:sz w:val="24"/>
          <w:szCs w:val="24"/>
        </w:rPr>
      </w:pPr>
      <w:r w:rsidRPr="00416CE7">
        <w:rPr>
          <w:rFonts w:ascii="Arial" w:hAnsi="Arial" w:cs="Arial"/>
          <w:color w:val="000000" w:themeColor="text1"/>
          <w:sz w:val="24"/>
          <w:szCs w:val="24"/>
        </w:rPr>
        <w:t xml:space="preserve">Turning to reforms and their limitations, policy frameworks such as victims’ rights legislation aim to strengthen protections but often fall short in practice. Sarai (2022) highlights that while the Canadian Victims Bill of Rights establishes key entitlements to information, protection, participation, and restitution, these remain limited by weak enforceability. Victims are unable to formally challenge breaches of their rights, reducing their practical impact. Moreover, the requirement to actively request information places an additional burden on victims. </w:t>
      </w:r>
      <w:r w:rsidR="000F4FF8" w:rsidRPr="00416CE7">
        <w:rPr>
          <w:rFonts w:ascii="Arial" w:hAnsi="Arial" w:cs="Arial"/>
          <w:color w:val="000000" w:themeColor="text1"/>
          <w:sz w:val="24"/>
          <w:szCs w:val="24"/>
        </w:rPr>
        <w:t>T</w:t>
      </w:r>
      <w:r w:rsidRPr="00416CE7">
        <w:rPr>
          <w:rFonts w:ascii="Arial" w:hAnsi="Arial" w:cs="Arial"/>
          <w:color w:val="000000" w:themeColor="text1"/>
          <w:sz w:val="24"/>
          <w:szCs w:val="24"/>
        </w:rPr>
        <w:t xml:space="preserve">his </w:t>
      </w:r>
      <w:r w:rsidR="000F4FF8" w:rsidRPr="00416CE7">
        <w:rPr>
          <w:rFonts w:ascii="Arial" w:hAnsi="Arial" w:cs="Arial"/>
          <w:color w:val="000000" w:themeColor="text1"/>
          <w:sz w:val="24"/>
          <w:szCs w:val="24"/>
        </w:rPr>
        <w:t xml:space="preserve">theory </w:t>
      </w:r>
      <w:r w:rsidRPr="00416CE7">
        <w:rPr>
          <w:rFonts w:ascii="Arial" w:hAnsi="Arial" w:cs="Arial"/>
          <w:color w:val="000000" w:themeColor="text1"/>
          <w:sz w:val="24"/>
          <w:szCs w:val="24"/>
        </w:rPr>
        <w:t>suggests that formal rights alone are insufficient, as structural and procedural barriers continue to constrain meaningful access and participation.</w:t>
      </w:r>
    </w:p>
    <w:p w14:paraId="1B824C53" w14:textId="77777777" w:rsidR="000F4FF8" w:rsidRPr="00416CE7" w:rsidRDefault="000F4FF8" w:rsidP="004D7DAE">
      <w:pPr>
        <w:spacing w:after="0" w:line="480" w:lineRule="auto"/>
        <w:rPr>
          <w:rFonts w:ascii="Arial" w:hAnsi="Arial" w:cs="Arial"/>
          <w:color w:val="000000" w:themeColor="text1"/>
          <w:sz w:val="24"/>
          <w:szCs w:val="24"/>
        </w:rPr>
      </w:pPr>
    </w:p>
    <w:p w14:paraId="2FD95E88" w14:textId="29343ABD" w:rsidR="000F4FF8" w:rsidRPr="00416CE7" w:rsidRDefault="00163EA0" w:rsidP="004D7DAE">
      <w:pPr>
        <w:spacing w:after="0" w:line="480" w:lineRule="auto"/>
        <w:rPr>
          <w:rFonts w:ascii="Arial" w:hAnsi="Arial" w:cs="Arial"/>
          <w:color w:val="000000" w:themeColor="text1"/>
          <w:sz w:val="24"/>
          <w:szCs w:val="24"/>
        </w:rPr>
      </w:pPr>
      <w:r w:rsidRPr="00416CE7">
        <w:rPr>
          <w:rFonts w:ascii="Arial" w:hAnsi="Arial" w:cs="Arial"/>
          <w:color w:val="000000" w:themeColor="text1"/>
          <w:sz w:val="24"/>
          <w:szCs w:val="24"/>
        </w:rPr>
        <w:t>Building on these limitations, further reforms such as special measures under the Youth Justice and Criminal Evidence Act 1999 aim to support vulnerable witnesses, many of whom are victims, during proceedings. Measures including live links, screens, and intermediaries seek to reduce distress and improve evidence quality (Crown Prosecution Service, 202</w:t>
      </w:r>
      <w:r w:rsidR="00884EBA" w:rsidRPr="00416CE7">
        <w:rPr>
          <w:rFonts w:ascii="Arial" w:hAnsi="Arial" w:cs="Arial"/>
          <w:color w:val="000000" w:themeColor="text1"/>
          <w:sz w:val="24"/>
          <w:szCs w:val="24"/>
        </w:rPr>
        <w:t>1</w:t>
      </w:r>
      <w:r w:rsidRPr="00416CE7">
        <w:rPr>
          <w:rFonts w:ascii="Arial" w:hAnsi="Arial" w:cs="Arial"/>
          <w:color w:val="000000" w:themeColor="text1"/>
          <w:sz w:val="24"/>
          <w:szCs w:val="24"/>
        </w:rPr>
        <w:t xml:space="preserve">). However, their effectiveness remains constrained, as eligibility does not guarantee their use, and protections may be </w:t>
      </w:r>
      <w:r w:rsidRPr="00416CE7">
        <w:rPr>
          <w:rFonts w:ascii="Arial" w:hAnsi="Arial" w:cs="Arial"/>
          <w:color w:val="000000" w:themeColor="text1"/>
          <w:sz w:val="24"/>
          <w:szCs w:val="24"/>
        </w:rPr>
        <w:lastRenderedPageBreak/>
        <w:t xml:space="preserve">limited in practice. </w:t>
      </w:r>
      <w:r w:rsidR="00590EB2" w:rsidRPr="00416CE7">
        <w:rPr>
          <w:rFonts w:ascii="Arial" w:hAnsi="Arial" w:cs="Arial"/>
          <w:color w:val="000000" w:themeColor="text1"/>
          <w:sz w:val="24"/>
          <w:szCs w:val="24"/>
        </w:rPr>
        <w:t>T</w:t>
      </w:r>
      <w:r w:rsidRPr="00416CE7">
        <w:rPr>
          <w:rFonts w:ascii="Arial" w:hAnsi="Arial" w:cs="Arial"/>
          <w:color w:val="000000" w:themeColor="text1"/>
          <w:sz w:val="24"/>
          <w:szCs w:val="24"/>
        </w:rPr>
        <w:t>his gap between policy and implementation undermines the ability of vulnerable victims to participate safely and confidently within the justice process.</w:t>
      </w:r>
    </w:p>
    <w:p w14:paraId="77259FD2" w14:textId="77777777" w:rsidR="00C01F30" w:rsidRPr="00416CE7" w:rsidRDefault="00C01F30" w:rsidP="004D7DAE">
      <w:pPr>
        <w:spacing w:after="0" w:line="480" w:lineRule="auto"/>
        <w:rPr>
          <w:rFonts w:ascii="Arial" w:hAnsi="Arial" w:cs="Arial"/>
          <w:color w:val="000000" w:themeColor="text1"/>
          <w:sz w:val="24"/>
          <w:szCs w:val="24"/>
        </w:rPr>
      </w:pPr>
    </w:p>
    <w:p w14:paraId="4DBC4CE3" w14:textId="6E48C2F4" w:rsidR="0054043E" w:rsidRPr="00416CE7" w:rsidRDefault="0054043E" w:rsidP="004D7DAE">
      <w:pPr>
        <w:spacing w:after="0" w:line="480" w:lineRule="auto"/>
        <w:rPr>
          <w:rFonts w:ascii="Arial" w:hAnsi="Arial" w:cs="Arial"/>
          <w:color w:val="000000" w:themeColor="text1"/>
          <w:sz w:val="24"/>
          <w:szCs w:val="24"/>
        </w:rPr>
      </w:pPr>
      <w:r w:rsidRPr="00416CE7">
        <w:rPr>
          <w:rFonts w:ascii="Arial" w:hAnsi="Arial" w:cs="Arial"/>
          <w:color w:val="000000" w:themeColor="text1"/>
          <w:sz w:val="24"/>
          <w:szCs w:val="24"/>
        </w:rPr>
        <w:t>Extending these limitations, the Domestic Abuse Act 2021 represents a significant reform intended to strengthen protections for vulnerable victims by introducing a statutory definition of abuse and recognising children as victims (Maclugash, 2024). However, its impact is constrained in practice. Courts often lack the resources and infrastructure to deliver special measures effectively, while survivors continue to face substantial barriers in accessing safe housing and specialist support. This highlights a persistent implementation gap, suggesting that legislative progress alone is insufficient without adequate resourcing, thereby limiting the Act’s ability to produce meaningful, consistent outcomes for vulnerable victims.</w:t>
      </w:r>
    </w:p>
    <w:p w14:paraId="123E23FA" w14:textId="77777777" w:rsidR="00301D40" w:rsidRPr="00416CE7" w:rsidRDefault="00301D40" w:rsidP="004D7DAE">
      <w:pPr>
        <w:spacing w:after="0" w:line="480" w:lineRule="auto"/>
        <w:rPr>
          <w:rFonts w:ascii="Arial" w:hAnsi="Arial" w:cs="Arial"/>
          <w:color w:val="000000" w:themeColor="text1"/>
          <w:sz w:val="24"/>
          <w:szCs w:val="24"/>
        </w:rPr>
      </w:pPr>
    </w:p>
    <w:p w14:paraId="1C842006" w14:textId="3016645F" w:rsidR="00FE12F2" w:rsidRPr="00416CE7" w:rsidRDefault="006066D6" w:rsidP="004D7DAE">
      <w:pPr>
        <w:spacing w:after="0" w:line="480" w:lineRule="auto"/>
        <w:rPr>
          <w:rFonts w:ascii="Arial" w:hAnsi="Arial" w:cs="Arial"/>
          <w:color w:val="000000" w:themeColor="text1"/>
          <w:sz w:val="24"/>
          <w:szCs w:val="24"/>
        </w:rPr>
      </w:pPr>
      <w:r w:rsidRPr="00416CE7">
        <w:rPr>
          <w:rFonts w:ascii="Arial" w:hAnsi="Arial" w:cs="Arial"/>
          <w:color w:val="000000" w:themeColor="text1"/>
          <w:sz w:val="24"/>
          <w:szCs w:val="24"/>
        </w:rPr>
        <w:t xml:space="preserve">While reforms such as special measures and the Domestic Abuse Act 2021 reflect clear positive intentions, their impact is significantly undermined by weak and inconsistent enforcement. The Youth Justice and Criminal Evidence Act 1999 introduced protections for vulnerable witnesses, yet implementation often reflects a </w:t>
      </w:r>
      <w:r w:rsidR="00430893" w:rsidRPr="00416CE7">
        <w:rPr>
          <w:rFonts w:ascii="Arial" w:hAnsi="Arial" w:cs="Arial"/>
          <w:color w:val="000000" w:themeColor="text1"/>
          <w:sz w:val="24"/>
          <w:szCs w:val="24"/>
        </w:rPr>
        <w:t>‘</w:t>
      </w:r>
      <w:r w:rsidRPr="00416CE7">
        <w:rPr>
          <w:rFonts w:ascii="Arial" w:hAnsi="Arial" w:cs="Arial"/>
          <w:color w:val="000000" w:themeColor="text1"/>
          <w:sz w:val="24"/>
          <w:szCs w:val="24"/>
        </w:rPr>
        <w:t>ick-box culture,</w:t>
      </w:r>
      <w:r w:rsidR="00430893" w:rsidRPr="00416CE7">
        <w:rPr>
          <w:rFonts w:ascii="Arial" w:hAnsi="Arial" w:cs="Arial"/>
          <w:color w:val="000000" w:themeColor="text1"/>
          <w:sz w:val="24"/>
          <w:szCs w:val="24"/>
        </w:rPr>
        <w:t>’</w:t>
      </w:r>
      <w:r w:rsidRPr="00416CE7">
        <w:rPr>
          <w:rFonts w:ascii="Arial" w:hAnsi="Arial" w:cs="Arial"/>
          <w:color w:val="000000" w:themeColor="text1"/>
          <w:sz w:val="24"/>
          <w:szCs w:val="24"/>
        </w:rPr>
        <w:t xml:space="preserve"> with Victims’ Code obligations frequently unmet (Criminal Justice Inspectorates, 2015). For instance, police fail to record support needs in 23% of cases, alongside poor information transfer to the CPS. Critically, these systemic failures highlight a lack of accountability and coordination, leaving vulnerable victims inadequately protected and reinforcing structural re-traumatisation.</w:t>
      </w:r>
    </w:p>
    <w:p w14:paraId="4318747B" w14:textId="77777777" w:rsidR="00FE12F2" w:rsidRPr="00416CE7" w:rsidRDefault="00FE12F2" w:rsidP="004D7DAE">
      <w:pPr>
        <w:spacing w:after="0" w:line="480" w:lineRule="auto"/>
        <w:rPr>
          <w:rFonts w:ascii="Arial" w:eastAsia="Times New Roman" w:hAnsi="Arial" w:cs="Arial"/>
          <w:color w:val="000000" w:themeColor="text1"/>
          <w:kern w:val="0"/>
          <w:sz w:val="24"/>
          <w:szCs w:val="24"/>
          <w:lang w:eastAsia="en-GB"/>
          <w14:ligatures w14:val="none"/>
        </w:rPr>
      </w:pPr>
    </w:p>
    <w:p w14:paraId="3FEB7E3C" w14:textId="35A4FD63" w:rsidR="00301D40" w:rsidRDefault="00BA63E5" w:rsidP="00416CE7">
      <w:pPr>
        <w:spacing w:before="100" w:beforeAutospacing="1" w:after="100" w:afterAutospacing="1" w:line="480" w:lineRule="auto"/>
        <w:rPr>
          <w:rFonts w:ascii="Arial" w:eastAsia="Times New Roman" w:hAnsi="Arial" w:cs="Arial"/>
          <w:color w:val="000000" w:themeColor="text1"/>
          <w:kern w:val="0"/>
          <w:sz w:val="24"/>
          <w:szCs w:val="24"/>
          <w:lang w:eastAsia="en-GB"/>
          <w14:ligatures w14:val="none"/>
        </w:rPr>
      </w:pPr>
      <w:r w:rsidRPr="00416CE7">
        <w:rPr>
          <w:rFonts w:ascii="Arial" w:eastAsia="Times New Roman" w:hAnsi="Arial" w:cs="Arial"/>
          <w:color w:val="000000" w:themeColor="text1"/>
          <w:kern w:val="0"/>
          <w:sz w:val="24"/>
          <w:szCs w:val="24"/>
          <w:lang w:eastAsia="en-GB"/>
          <w14:ligatures w14:val="none"/>
        </w:rPr>
        <w:lastRenderedPageBreak/>
        <w:t>In conclusion, this essay has demonstrated that vulnerable victims face systemic rather than incidental difficulties throughout the criminal justice process. Although the system rhetorically recognises vulnerability through legislation, policies, and procedural safeguards, in practice it continues to reproduce inequality through inconsistent implementation, weak enforcement, and structural fragmentation. Across reporting, investigation, courtroom processes, intersectional experiences, and post-trial support, vulnerable victims are repeatedly disadvantaged by institutional practices that prioritise efficiency, procedure, and managerial accountability over lived experience and protection.</w:t>
      </w:r>
    </w:p>
    <w:p w14:paraId="3CA84C21" w14:textId="77777777" w:rsidR="00416CE7" w:rsidRPr="00416CE7" w:rsidRDefault="00416CE7" w:rsidP="00416CE7">
      <w:pPr>
        <w:spacing w:before="100" w:beforeAutospacing="1" w:after="100" w:afterAutospacing="1" w:line="480" w:lineRule="auto"/>
        <w:rPr>
          <w:rFonts w:ascii="Arial" w:eastAsia="Times New Roman" w:hAnsi="Arial" w:cs="Arial"/>
          <w:color w:val="000000" w:themeColor="text1"/>
          <w:kern w:val="0"/>
          <w:sz w:val="24"/>
          <w:szCs w:val="24"/>
          <w:lang w:eastAsia="en-GB"/>
          <w14:ligatures w14:val="none"/>
        </w:rPr>
      </w:pPr>
    </w:p>
    <w:p w14:paraId="711FCDBF" w14:textId="77777777" w:rsidR="00BA63E5" w:rsidRPr="00416CE7" w:rsidRDefault="00BA63E5" w:rsidP="004D7DAE">
      <w:pPr>
        <w:spacing w:before="100" w:beforeAutospacing="1" w:after="100" w:afterAutospacing="1" w:line="480" w:lineRule="auto"/>
        <w:rPr>
          <w:rFonts w:ascii="Arial" w:eastAsia="Times New Roman" w:hAnsi="Arial" w:cs="Arial"/>
          <w:color w:val="000000" w:themeColor="text1"/>
          <w:kern w:val="0"/>
          <w:sz w:val="24"/>
          <w:szCs w:val="24"/>
          <w:lang w:eastAsia="en-GB"/>
          <w14:ligatures w14:val="none"/>
        </w:rPr>
      </w:pPr>
      <w:r w:rsidRPr="00416CE7">
        <w:rPr>
          <w:rFonts w:ascii="Arial" w:eastAsia="Times New Roman" w:hAnsi="Arial" w:cs="Arial"/>
          <w:color w:val="000000" w:themeColor="text1"/>
          <w:kern w:val="0"/>
          <w:sz w:val="24"/>
          <w:szCs w:val="24"/>
          <w:lang w:eastAsia="en-GB"/>
          <w14:ligatures w14:val="none"/>
        </w:rPr>
        <w:t>Crucially, intersectional analysis shows that vulnerability is not uniform, with marginalised groups experiencing compounded harms shaped by overlapping inequalities such as race, gender, disability, and migration status. While reforms such as special measures, the Domestic Abuse Act 2021, and victims’ rights frameworks signal positive intent, their impact remains limited due to resource constraints and inadequate enforcement mechanisms.</w:t>
      </w:r>
    </w:p>
    <w:p w14:paraId="3FDE7162" w14:textId="77777777" w:rsidR="00301D40" w:rsidRPr="00416CE7" w:rsidRDefault="00301D40" w:rsidP="004D7DAE">
      <w:pPr>
        <w:spacing w:before="100" w:beforeAutospacing="1" w:after="100" w:afterAutospacing="1" w:line="480" w:lineRule="auto"/>
        <w:rPr>
          <w:rFonts w:ascii="Arial" w:eastAsia="Times New Roman" w:hAnsi="Arial" w:cs="Arial"/>
          <w:color w:val="000000" w:themeColor="text1"/>
          <w:kern w:val="0"/>
          <w:sz w:val="24"/>
          <w:szCs w:val="24"/>
          <w:lang w:eastAsia="en-GB"/>
          <w14:ligatures w14:val="none"/>
        </w:rPr>
      </w:pPr>
    </w:p>
    <w:p w14:paraId="6C251849" w14:textId="77777777" w:rsidR="00BA63E5" w:rsidRPr="00416CE7" w:rsidRDefault="00BA63E5" w:rsidP="004D7DAE">
      <w:pPr>
        <w:spacing w:before="100" w:beforeAutospacing="1" w:after="100" w:afterAutospacing="1" w:line="480" w:lineRule="auto"/>
        <w:rPr>
          <w:rFonts w:ascii="Arial" w:eastAsia="Times New Roman" w:hAnsi="Arial" w:cs="Arial"/>
          <w:color w:val="000000" w:themeColor="text1"/>
          <w:kern w:val="0"/>
          <w:sz w:val="24"/>
          <w:szCs w:val="24"/>
          <w:lang w:eastAsia="en-GB"/>
          <w14:ligatures w14:val="none"/>
        </w:rPr>
      </w:pPr>
      <w:r w:rsidRPr="00416CE7">
        <w:rPr>
          <w:rFonts w:ascii="Arial" w:eastAsia="Times New Roman" w:hAnsi="Arial" w:cs="Arial"/>
          <w:color w:val="000000" w:themeColor="text1"/>
          <w:kern w:val="0"/>
          <w:sz w:val="24"/>
          <w:szCs w:val="24"/>
          <w:lang w:eastAsia="en-GB"/>
          <w14:ligatures w14:val="none"/>
        </w:rPr>
        <w:t xml:space="preserve">Overall, this reveals a persistent gap between policy aspiration and operational reality. The criminal justice system therefore functions as one that acknowledges vulnerability in principle but structurally reproduces it in practice. This raises fundamental questions about fairness, legitimacy, and access to justice. Ultimately, meaningful reform requires more than procedural adjustment; it demands structural </w:t>
      </w:r>
      <w:r w:rsidRPr="00416CE7">
        <w:rPr>
          <w:rFonts w:ascii="Arial" w:eastAsia="Times New Roman" w:hAnsi="Arial" w:cs="Arial"/>
          <w:color w:val="000000" w:themeColor="text1"/>
          <w:kern w:val="0"/>
          <w:sz w:val="24"/>
          <w:szCs w:val="24"/>
          <w:lang w:eastAsia="en-GB"/>
          <w14:ligatures w14:val="none"/>
        </w:rPr>
        <w:lastRenderedPageBreak/>
        <w:t>transformation that places vulnerable victims at the centre of justice rather than at its margins.</w:t>
      </w:r>
    </w:p>
    <w:p w14:paraId="59105672" w14:textId="77777777" w:rsidR="00FC4267" w:rsidRPr="00416CE7" w:rsidRDefault="00FC4267" w:rsidP="00BA63E5">
      <w:pPr>
        <w:spacing w:before="100" w:beforeAutospacing="1" w:after="100" w:afterAutospacing="1" w:line="240" w:lineRule="auto"/>
        <w:rPr>
          <w:rFonts w:ascii="Arial" w:eastAsia="Times New Roman" w:hAnsi="Arial" w:cs="Arial"/>
          <w:color w:val="000000" w:themeColor="text1"/>
          <w:kern w:val="0"/>
          <w:sz w:val="24"/>
          <w:szCs w:val="24"/>
          <w:lang w:eastAsia="en-GB"/>
          <w14:ligatures w14:val="none"/>
        </w:rPr>
      </w:pPr>
    </w:p>
    <w:p w14:paraId="6876A900" w14:textId="436CB871" w:rsidR="00B41EAD" w:rsidRPr="00416CE7" w:rsidRDefault="00FC4267" w:rsidP="00B41EAD">
      <w:pPr>
        <w:spacing w:before="100" w:beforeAutospacing="1" w:after="100" w:afterAutospacing="1" w:line="240" w:lineRule="auto"/>
        <w:rPr>
          <w:rFonts w:ascii="Arial" w:eastAsia="Times New Roman" w:hAnsi="Arial" w:cs="Arial"/>
          <w:color w:val="000000" w:themeColor="text1"/>
          <w:kern w:val="0"/>
          <w:sz w:val="32"/>
          <w:szCs w:val="32"/>
          <w:lang w:eastAsia="en-GB"/>
          <w14:ligatures w14:val="none"/>
        </w:rPr>
      </w:pPr>
      <w:r w:rsidRPr="00416CE7">
        <w:rPr>
          <w:rFonts w:ascii="Arial" w:eastAsia="Times New Roman" w:hAnsi="Arial" w:cs="Arial"/>
          <w:color w:val="000000" w:themeColor="text1"/>
          <w:kern w:val="0"/>
          <w:sz w:val="32"/>
          <w:szCs w:val="32"/>
          <w:lang w:eastAsia="en-GB"/>
          <w14:ligatures w14:val="none"/>
        </w:rPr>
        <w:t xml:space="preserve">Bibliography </w:t>
      </w:r>
    </w:p>
    <w:p w14:paraId="2B3E60A2"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Brown, K. (2014). Questioning the Vulnerability Zeitgeist: Care and Control Practices with ‘Vulnerable’ Young People. </w:t>
      </w:r>
      <w:r w:rsidRPr="00416CE7">
        <w:rPr>
          <w:rFonts w:ascii="Arial" w:hAnsi="Arial" w:cs="Arial"/>
          <w:i/>
          <w:iCs/>
          <w:color w:val="000000" w:themeColor="text1"/>
        </w:rPr>
        <w:t>Social Policy and Society</w:t>
      </w:r>
      <w:r w:rsidRPr="00416CE7">
        <w:rPr>
          <w:rFonts w:ascii="Arial" w:hAnsi="Arial" w:cs="Arial"/>
          <w:color w:val="000000" w:themeColor="text1"/>
        </w:rPr>
        <w:t xml:space="preserve">, 13(3), pp.371–387.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://doi.org/10.1017/s1474746413000535</w:t>
      </w:r>
      <w:proofErr w:type="gramEnd"/>
      <w:r w:rsidRPr="00416CE7">
        <w:rPr>
          <w:rFonts w:ascii="Arial" w:hAnsi="Arial" w:cs="Arial"/>
          <w:color w:val="000000" w:themeColor="text1"/>
        </w:rPr>
        <w:t>.</w:t>
      </w:r>
    </w:p>
    <w:p w14:paraId="130DF574"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Burch, L. and Stamp, V. (2025). </w:t>
      </w:r>
      <w:r w:rsidRPr="00416CE7">
        <w:rPr>
          <w:rFonts w:ascii="Arial" w:hAnsi="Arial" w:cs="Arial"/>
          <w:i/>
          <w:iCs/>
          <w:color w:val="000000" w:themeColor="text1"/>
        </w:rPr>
        <w:t>Disabled victims’ experiences of criminal justice systems: A systematic literature review - Victims Commissioner</w:t>
      </w:r>
      <w:r w:rsidRPr="00416CE7">
        <w:rPr>
          <w:rFonts w:ascii="Arial" w:hAnsi="Arial" w:cs="Arial"/>
          <w:color w:val="000000" w:themeColor="text1"/>
        </w:rPr>
        <w:t>. [online] Victims Commissioner. Available at: https://victimscommissioner.org.uk/document/disabled-victims-experiences-of-criminal-justice-systems-a-systematic-literature-review/.</w:t>
      </w:r>
    </w:p>
    <w:p w14:paraId="198E2B60"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Crenshaw, K. (1989). </w:t>
      </w:r>
      <w:r w:rsidRPr="00416CE7">
        <w:rPr>
          <w:rFonts w:ascii="Arial" w:hAnsi="Arial" w:cs="Arial"/>
          <w:i/>
          <w:iCs/>
          <w:color w:val="000000" w:themeColor="text1"/>
        </w:rPr>
        <w:t>Demarginalizing the Intersection of Race and Sex: A Black Feminist Critique of Antidiscrimination Doctrine, Feminist Theory and Antiracist Politics</w:t>
      </w:r>
      <w:r w:rsidRPr="00416CE7">
        <w:rPr>
          <w:rFonts w:ascii="Arial" w:hAnsi="Arial" w:cs="Arial"/>
          <w:color w:val="000000" w:themeColor="text1"/>
        </w:rPr>
        <w:t>. [online] University of Chicago Legal Forum. Available at: http://chicagounbound.uchicago.edu/uclf/vol1989/iss1/8?utm_source=chicagounbound.uchicago.edu%2Fuclf%2Fvol1989%2Fiss1%2F8&amp;utm_medium=PDF&amp;utm_campaign=PDFCoverPages.</w:t>
      </w:r>
    </w:p>
    <w:p w14:paraId="7E22B93E"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Criminal Justice Inspectorates (2015). </w:t>
      </w:r>
      <w:r w:rsidRPr="00416CE7">
        <w:rPr>
          <w:rFonts w:ascii="Arial" w:hAnsi="Arial" w:cs="Arial"/>
          <w:i/>
          <w:iCs/>
          <w:color w:val="000000" w:themeColor="text1"/>
        </w:rPr>
        <w:t>Witness for the prosecution: Identifying victim and witness vulnerability in criminal case files</w:t>
      </w:r>
      <w:r w:rsidRPr="00416CE7">
        <w:rPr>
          <w:rFonts w:ascii="Arial" w:hAnsi="Arial" w:cs="Arial"/>
          <w:color w:val="000000" w:themeColor="text1"/>
        </w:rPr>
        <w:t>. [online] Criminal Justice Joint Inspection, pp.1–79. Available at: https://assets-hmicfrs.justiceinspectorates.gov.uk/uploads/vulnerability-in-criminal-case-files.pdf.</w:t>
      </w:r>
    </w:p>
    <w:p w14:paraId="152988A5"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Crown Prosecution (2021). </w:t>
      </w:r>
      <w:r w:rsidRPr="00416CE7">
        <w:rPr>
          <w:rFonts w:ascii="Arial" w:hAnsi="Arial" w:cs="Arial"/>
          <w:i/>
          <w:iCs/>
          <w:color w:val="000000" w:themeColor="text1"/>
        </w:rPr>
        <w:t>Special Measures | The Crown Prosecution Service</w:t>
      </w:r>
      <w:r w:rsidRPr="00416CE7">
        <w:rPr>
          <w:rFonts w:ascii="Arial" w:hAnsi="Arial" w:cs="Arial"/>
          <w:color w:val="000000" w:themeColor="text1"/>
        </w:rPr>
        <w:t>. [online] Cps.gov.uk. Available at: https://www.cps.gov.uk/prosecution-guidance/special-measures.</w:t>
      </w:r>
    </w:p>
    <w:p w14:paraId="756BE4D9"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Crown Prosecution Service. (2025). </w:t>
      </w:r>
      <w:r w:rsidRPr="00416CE7">
        <w:rPr>
          <w:rFonts w:ascii="Arial" w:hAnsi="Arial" w:cs="Arial"/>
          <w:i/>
          <w:iCs/>
          <w:color w:val="000000" w:themeColor="text1"/>
        </w:rPr>
        <w:t>Victims and Witnesses: CPS Commitments to Support</w:t>
      </w:r>
      <w:r w:rsidRPr="00416CE7">
        <w:rPr>
          <w:rFonts w:ascii="Arial" w:hAnsi="Arial" w:cs="Arial"/>
          <w:color w:val="000000" w:themeColor="text1"/>
        </w:rPr>
        <w:t>. [online] Available at: https://www.cps.gov.uk/prosecution-guidance/victims-and-witnesses-cps-commitments-support.</w:t>
      </w:r>
    </w:p>
    <w:p w14:paraId="473760E7"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lastRenderedPageBreak/>
        <w:t xml:space="preserve">Davies, R. and Bartels, L. (2020). Challenges of Effective Communication in the Criminal Justice Process: Findings from Interviews with Victims of Sexual Offences in Australia. </w:t>
      </w:r>
      <w:r w:rsidRPr="00416CE7">
        <w:rPr>
          <w:rFonts w:ascii="Arial" w:hAnsi="Arial" w:cs="Arial"/>
          <w:i/>
          <w:iCs/>
          <w:color w:val="000000" w:themeColor="text1"/>
        </w:rPr>
        <w:t>Laws</w:t>
      </w:r>
      <w:r w:rsidRPr="00416CE7">
        <w:rPr>
          <w:rFonts w:ascii="Arial" w:hAnsi="Arial" w:cs="Arial"/>
          <w:color w:val="000000" w:themeColor="text1"/>
        </w:rPr>
        <w:t xml:space="preserve">, 9(4), p.31.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://doi.org/10.3390/laws9040031</w:t>
      </w:r>
      <w:proofErr w:type="gramEnd"/>
      <w:r w:rsidRPr="00416CE7">
        <w:rPr>
          <w:rFonts w:ascii="Arial" w:hAnsi="Arial" w:cs="Arial"/>
          <w:color w:val="000000" w:themeColor="text1"/>
        </w:rPr>
        <w:t>.</w:t>
      </w:r>
    </w:p>
    <w:p w14:paraId="328D525D"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Dekens, J., </w:t>
      </w:r>
      <w:proofErr w:type="spellStart"/>
      <w:r w:rsidRPr="00416CE7">
        <w:rPr>
          <w:rFonts w:ascii="Arial" w:hAnsi="Arial" w:cs="Arial"/>
          <w:color w:val="000000" w:themeColor="text1"/>
        </w:rPr>
        <w:t>Dazé</w:t>
      </w:r>
      <w:proofErr w:type="spellEnd"/>
      <w:r w:rsidRPr="00416CE7">
        <w:rPr>
          <w:rFonts w:ascii="Arial" w:hAnsi="Arial" w:cs="Arial"/>
          <w:color w:val="000000" w:themeColor="text1"/>
        </w:rPr>
        <w:t xml:space="preserve">, A. and Hunter, C. (2026). </w:t>
      </w:r>
      <w:r w:rsidRPr="00416CE7">
        <w:rPr>
          <w:rFonts w:ascii="Arial" w:hAnsi="Arial" w:cs="Arial"/>
          <w:i/>
          <w:iCs/>
          <w:color w:val="000000" w:themeColor="text1"/>
        </w:rPr>
        <w:t>How an Intersectional Approach Can Help Us Address Vulnerability to Climate Change</w:t>
      </w:r>
      <w:r w:rsidRPr="00416CE7">
        <w:rPr>
          <w:rFonts w:ascii="Arial" w:hAnsi="Arial" w:cs="Arial"/>
          <w:color w:val="000000" w:themeColor="text1"/>
        </w:rPr>
        <w:t>. [online] International Institute for Sustainable Development. Available at: https://www.iisd.org/articles/explainer/how-intersectional-approach-can-help-us-address-vulnerability-climate-change.</w:t>
      </w:r>
    </w:p>
    <w:p w14:paraId="729D8875"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Fairclough, S. (2020). </w:t>
      </w:r>
      <w:r w:rsidRPr="00416CE7">
        <w:rPr>
          <w:rFonts w:ascii="Arial" w:hAnsi="Arial" w:cs="Arial"/>
          <w:i/>
          <w:iCs/>
          <w:color w:val="000000" w:themeColor="text1"/>
        </w:rPr>
        <w:t>Special measures literature review</w:t>
      </w:r>
      <w:r w:rsidRPr="00416CE7">
        <w:rPr>
          <w:rFonts w:ascii="Arial" w:hAnsi="Arial" w:cs="Arial"/>
          <w:color w:val="000000" w:themeColor="text1"/>
        </w:rPr>
        <w:t>. [online] Victims Commissioner. Available at: https://victimscommissioner.org.uk/document/special-measures-literature-review/.</w:t>
      </w:r>
    </w:p>
    <w:p w14:paraId="2088E612" w14:textId="15C423CD" w:rsidR="00B41EAD" w:rsidRPr="00416CE7" w:rsidRDefault="00B41EAD" w:rsidP="00B41EAD">
      <w:pPr>
        <w:pStyle w:val="NormalWeb"/>
        <w:spacing w:after="240" w:line="360" w:lineRule="auto"/>
        <w:rPr>
          <w:rFonts w:ascii="Arial" w:hAnsi="Arial" w:cs="Arial"/>
          <w:color w:val="000000" w:themeColor="text1"/>
        </w:rPr>
      </w:pPr>
      <w:proofErr w:type="spellStart"/>
      <w:r w:rsidRPr="00416CE7">
        <w:rPr>
          <w:rFonts w:ascii="Arial" w:hAnsi="Arial" w:cs="Arial"/>
          <w:color w:val="000000" w:themeColor="text1"/>
        </w:rPr>
        <w:t>Ga</w:t>
      </w:r>
      <w:r w:rsidR="00884EBA" w:rsidRPr="00416CE7">
        <w:rPr>
          <w:rFonts w:ascii="Arial" w:hAnsi="Arial" w:cs="Arial"/>
          <w:color w:val="000000" w:themeColor="text1"/>
        </w:rPr>
        <w:t>rb</w:t>
      </w:r>
      <w:r w:rsidRPr="00416CE7">
        <w:rPr>
          <w:rFonts w:ascii="Arial" w:hAnsi="Arial" w:cs="Arial"/>
          <w:color w:val="000000" w:themeColor="text1"/>
        </w:rPr>
        <w:t>il</w:t>
      </w:r>
      <w:proofErr w:type="spellEnd"/>
      <w:r w:rsidRPr="00416CE7">
        <w:rPr>
          <w:rFonts w:ascii="Arial" w:hAnsi="Arial" w:cs="Arial"/>
          <w:color w:val="000000" w:themeColor="text1"/>
        </w:rPr>
        <w:t xml:space="preserve">, E. (2025). </w:t>
      </w:r>
      <w:r w:rsidRPr="00416CE7">
        <w:rPr>
          <w:rFonts w:ascii="Arial" w:hAnsi="Arial" w:cs="Arial"/>
          <w:i/>
          <w:iCs/>
          <w:color w:val="000000" w:themeColor="text1"/>
        </w:rPr>
        <w:t>Risk in the Age of Neoliberalism: Why the Future Is Fragile – The International Risk Podcast</w:t>
      </w:r>
      <w:r w:rsidRPr="00416CE7">
        <w:rPr>
          <w:rFonts w:ascii="Arial" w:hAnsi="Arial" w:cs="Arial"/>
          <w:color w:val="000000" w:themeColor="text1"/>
        </w:rPr>
        <w:t>. [online] Theinternationalriskpodcast.com. Available at: https://theinternationalriskpodcast.com/risk-in-the-age-of-neoliberalism-why-the-future-is-fragile-author-elisa-garbil/.</w:t>
      </w:r>
    </w:p>
    <w:p w14:paraId="430A335D" w14:textId="184EFC9D" w:rsidR="00893570" w:rsidRPr="00416CE7" w:rsidRDefault="00893570" w:rsidP="00893570">
      <w:pPr>
        <w:spacing w:after="240" w:line="360" w:lineRule="auto"/>
        <w:rPr>
          <w:rFonts w:ascii="Arial" w:eastAsia="Times New Roman" w:hAnsi="Arial" w:cs="Arial"/>
          <w:color w:val="000000" w:themeColor="text1"/>
          <w:kern w:val="0"/>
          <w:sz w:val="24"/>
          <w:szCs w:val="24"/>
          <w:lang w:eastAsia="en-GB"/>
          <w14:ligatures w14:val="none"/>
        </w:rPr>
      </w:pPr>
      <w:proofErr w:type="spellStart"/>
      <w:r w:rsidRPr="00893570">
        <w:rPr>
          <w:rFonts w:ascii="Arial" w:eastAsia="Times New Roman" w:hAnsi="Arial" w:cs="Arial"/>
          <w:color w:val="000000" w:themeColor="text1"/>
          <w:kern w:val="0"/>
          <w:sz w:val="24"/>
          <w:szCs w:val="24"/>
          <w:lang w:eastAsia="en-GB"/>
          <w14:ligatures w14:val="none"/>
        </w:rPr>
        <w:t>Gekoski</w:t>
      </w:r>
      <w:proofErr w:type="spellEnd"/>
      <w:r w:rsidRPr="00893570">
        <w:rPr>
          <w:rFonts w:ascii="Arial" w:eastAsia="Times New Roman" w:hAnsi="Arial" w:cs="Arial"/>
          <w:color w:val="000000" w:themeColor="text1"/>
          <w:kern w:val="0"/>
          <w:sz w:val="24"/>
          <w:szCs w:val="24"/>
          <w:lang w:eastAsia="en-GB"/>
          <w14:ligatures w14:val="none"/>
        </w:rPr>
        <w:t xml:space="preserve">, A., Davies, K. and Horvath, M.A.H. (2026). ‘It’s an absolute shambles’: police officers’ views on institutional challenges in policing rape and serious sex offences in England and Wales. </w:t>
      </w:r>
      <w:r w:rsidRPr="00893570">
        <w:rPr>
          <w:rFonts w:ascii="Arial" w:eastAsia="Times New Roman" w:hAnsi="Arial" w:cs="Arial"/>
          <w:i/>
          <w:iCs/>
          <w:color w:val="000000" w:themeColor="text1"/>
          <w:kern w:val="0"/>
          <w:sz w:val="24"/>
          <w:szCs w:val="24"/>
          <w:lang w:eastAsia="en-GB"/>
          <w14:ligatures w14:val="none"/>
        </w:rPr>
        <w:t>Policing and Society</w:t>
      </w:r>
      <w:r w:rsidRPr="00893570">
        <w:rPr>
          <w:rFonts w:ascii="Arial" w:eastAsia="Times New Roman" w:hAnsi="Arial" w:cs="Arial"/>
          <w:color w:val="000000" w:themeColor="text1"/>
          <w:kern w:val="0"/>
          <w:sz w:val="24"/>
          <w:szCs w:val="24"/>
          <w:lang w:eastAsia="en-GB"/>
          <w14:ligatures w14:val="none"/>
        </w:rPr>
        <w:t xml:space="preserve">, pp.1–20. </w:t>
      </w:r>
      <w:proofErr w:type="spellStart"/>
      <w:proofErr w:type="gramStart"/>
      <w:r w:rsidRPr="00893570">
        <w:rPr>
          <w:rFonts w:ascii="Arial" w:eastAsia="Times New Roman" w:hAnsi="Arial" w:cs="Arial"/>
          <w:color w:val="000000" w:themeColor="text1"/>
          <w:kern w:val="0"/>
          <w:sz w:val="24"/>
          <w:szCs w:val="24"/>
          <w:lang w:eastAsia="en-GB"/>
          <w14:ligatures w14:val="none"/>
        </w:rPr>
        <w:t>doi:https</w:t>
      </w:r>
      <w:proofErr w:type="spellEnd"/>
      <w:r w:rsidRPr="00893570">
        <w:rPr>
          <w:rFonts w:ascii="Arial" w:eastAsia="Times New Roman" w:hAnsi="Arial" w:cs="Arial"/>
          <w:color w:val="000000" w:themeColor="text1"/>
          <w:kern w:val="0"/>
          <w:sz w:val="24"/>
          <w:szCs w:val="24"/>
          <w:lang w:eastAsia="en-GB"/>
          <w14:ligatures w14:val="none"/>
        </w:rPr>
        <w:t>://doi.org/10.1080/10439463.2026.2651198</w:t>
      </w:r>
      <w:proofErr w:type="gramEnd"/>
      <w:r w:rsidRPr="00893570">
        <w:rPr>
          <w:rFonts w:ascii="Arial" w:eastAsia="Times New Roman" w:hAnsi="Arial" w:cs="Arial"/>
          <w:color w:val="000000" w:themeColor="text1"/>
          <w:kern w:val="0"/>
          <w:sz w:val="24"/>
          <w:szCs w:val="24"/>
          <w:lang w:eastAsia="en-GB"/>
          <w14:ligatures w14:val="none"/>
        </w:rPr>
        <w:t>.</w:t>
      </w:r>
    </w:p>
    <w:p w14:paraId="3EEEF3DE"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Ghafar, A.A. (2014). Special Measures’ Applications for Victims and Vulnerable and Intimidated Witnesses: The Way Forward. </w:t>
      </w:r>
      <w:r w:rsidRPr="00416CE7">
        <w:rPr>
          <w:rFonts w:ascii="Arial" w:hAnsi="Arial" w:cs="Arial"/>
          <w:i/>
          <w:iCs/>
          <w:color w:val="000000" w:themeColor="text1"/>
        </w:rPr>
        <w:t>International Conference on Law, Policy &amp; Social Justice</w:t>
      </w:r>
      <w:r w:rsidRPr="00416CE7">
        <w:rPr>
          <w:rFonts w:ascii="Arial" w:hAnsi="Arial" w:cs="Arial"/>
          <w:color w:val="000000" w:themeColor="text1"/>
        </w:rPr>
        <w:t>, pp.1–20.</w:t>
      </w:r>
    </w:p>
    <w:p w14:paraId="700E4F62"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Gordon, J. and Gordon, A. (2020). </w:t>
      </w:r>
      <w:r w:rsidRPr="00416CE7">
        <w:rPr>
          <w:rFonts w:ascii="Arial" w:hAnsi="Arial" w:cs="Arial"/>
          <w:i/>
          <w:iCs/>
          <w:color w:val="000000" w:themeColor="text1"/>
        </w:rPr>
        <w:t>The role and rights of victims of crime in adversarial criminal justice systems: Recommendations for reform in England and Wales</w:t>
      </w:r>
      <w:r w:rsidRPr="00416CE7">
        <w:rPr>
          <w:rFonts w:ascii="Arial" w:hAnsi="Arial" w:cs="Arial"/>
          <w:color w:val="000000" w:themeColor="text1"/>
        </w:rPr>
        <w:t>. [online] Victims Commissioner. Available at: https://victimscommissioner.org.uk/document/the-role-and-rights-of-victims-of-crime-in-adversarial-criminal-justice-systems-recommendations-for-reform-in-england-and-wales/.</w:t>
      </w:r>
    </w:p>
    <w:p w14:paraId="7008443B"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lastRenderedPageBreak/>
        <w:t xml:space="preserve">Hammond, C. (2025). </w:t>
      </w:r>
      <w:r w:rsidRPr="00416CE7">
        <w:rPr>
          <w:rFonts w:ascii="Arial" w:hAnsi="Arial" w:cs="Arial"/>
          <w:i/>
          <w:iCs/>
          <w:color w:val="000000" w:themeColor="text1"/>
        </w:rPr>
        <w:t>Understanding the impact of court delays on victims</w:t>
      </w:r>
      <w:r w:rsidRPr="00416CE7">
        <w:rPr>
          <w:rFonts w:ascii="Arial" w:hAnsi="Arial" w:cs="Arial"/>
          <w:color w:val="000000" w:themeColor="text1"/>
        </w:rPr>
        <w:t>. [online] College of Policing. Available at: https://www.college.police.uk/article/understanding-impact-court-delays-victims.</w:t>
      </w:r>
    </w:p>
    <w:p w14:paraId="082E7F5A"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His Majesty’s Inspectorate of Constabulary and Fire &amp; Rescue Services (2015). </w:t>
      </w:r>
      <w:r w:rsidRPr="00416CE7">
        <w:rPr>
          <w:rFonts w:ascii="Arial" w:hAnsi="Arial" w:cs="Arial"/>
          <w:i/>
          <w:iCs/>
          <w:color w:val="000000" w:themeColor="text1"/>
        </w:rPr>
        <w:t>Witness for the prosecution: Identifying victim and witness vulnerability in criminal case files</w:t>
      </w:r>
      <w:r w:rsidRPr="00416CE7">
        <w:rPr>
          <w:rFonts w:ascii="Arial" w:hAnsi="Arial" w:cs="Arial"/>
          <w:color w:val="000000" w:themeColor="text1"/>
        </w:rPr>
        <w:t>. [online] His Majesty’s Inspectorate of Constabulary and Fire &amp; Rescue Services. Available at: https://hmicfrs.justiceinspectorates.gov.uk/publications/vulnerability-in-criminal-case-files/.</w:t>
      </w:r>
    </w:p>
    <w:p w14:paraId="7AD8532B"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Hohl, K., Jackson, J. and Bradford, B. (2025). Relational In/Justice Journeys: Revising Procedural Justice Theory Through </w:t>
      </w:r>
      <w:proofErr w:type="gramStart"/>
      <w:r w:rsidRPr="00416CE7">
        <w:rPr>
          <w:rFonts w:ascii="Arial" w:hAnsi="Arial" w:cs="Arial"/>
          <w:color w:val="000000" w:themeColor="text1"/>
        </w:rPr>
        <w:t>An</w:t>
      </w:r>
      <w:proofErr w:type="gramEnd"/>
      <w:r w:rsidRPr="00416CE7">
        <w:rPr>
          <w:rFonts w:ascii="Arial" w:hAnsi="Arial" w:cs="Arial"/>
          <w:color w:val="000000" w:themeColor="text1"/>
        </w:rPr>
        <w:t xml:space="preserve"> Analysis of Rape and Sexual Assault Victims’ Experiences of Police Investigations. </w:t>
      </w:r>
      <w:r w:rsidRPr="00416CE7">
        <w:rPr>
          <w:rFonts w:ascii="Arial" w:hAnsi="Arial" w:cs="Arial"/>
          <w:i/>
          <w:iCs/>
          <w:color w:val="000000" w:themeColor="text1"/>
        </w:rPr>
        <w:t>The British Journal of Criminology</w:t>
      </w:r>
      <w:r w:rsidRPr="00416CE7">
        <w:rPr>
          <w:rFonts w:ascii="Arial" w:hAnsi="Arial" w:cs="Arial"/>
          <w:color w:val="000000" w:themeColor="text1"/>
        </w:rPr>
        <w:t xml:space="preserve">, [online] 65(5).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://doi.org/10.1093/</w:t>
      </w:r>
      <w:proofErr w:type="spellStart"/>
      <w:r w:rsidRPr="00416CE7">
        <w:rPr>
          <w:rFonts w:ascii="Arial" w:hAnsi="Arial" w:cs="Arial"/>
          <w:color w:val="000000" w:themeColor="text1"/>
        </w:rPr>
        <w:t>bjc</w:t>
      </w:r>
      <w:proofErr w:type="spellEnd"/>
      <w:r w:rsidRPr="00416CE7">
        <w:rPr>
          <w:rFonts w:ascii="Arial" w:hAnsi="Arial" w:cs="Arial"/>
          <w:color w:val="000000" w:themeColor="text1"/>
        </w:rPr>
        <w:t>/azaf004</w:t>
      </w:r>
      <w:proofErr w:type="gramEnd"/>
      <w:r w:rsidRPr="00416CE7">
        <w:rPr>
          <w:rFonts w:ascii="Arial" w:hAnsi="Arial" w:cs="Arial"/>
          <w:color w:val="000000" w:themeColor="text1"/>
        </w:rPr>
        <w:t>.</w:t>
      </w:r>
    </w:p>
    <w:p w14:paraId="57FB90A8" w14:textId="77777777" w:rsidR="00B41EAD" w:rsidRPr="00416CE7" w:rsidRDefault="00B41EAD" w:rsidP="00B41EAD">
      <w:pPr>
        <w:pStyle w:val="NormalWeb"/>
        <w:spacing w:after="240" w:line="360" w:lineRule="auto"/>
        <w:rPr>
          <w:rFonts w:ascii="Arial" w:hAnsi="Arial" w:cs="Arial"/>
          <w:color w:val="000000" w:themeColor="text1"/>
        </w:rPr>
      </w:pPr>
      <w:proofErr w:type="spellStart"/>
      <w:r w:rsidRPr="00416CE7">
        <w:rPr>
          <w:rFonts w:ascii="Arial" w:hAnsi="Arial" w:cs="Arial"/>
          <w:color w:val="000000" w:themeColor="text1"/>
        </w:rPr>
        <w:t>Ikeyi</w:t>
      </w:r>
      <w:proofErr w:type="spellEnd"/>
      <w:r w:rsidRPr="00416CE7">
        <w:rPr>
          <w:rFonts w:ascii="Arial" w:hAnsi="Arial" w:cs="Arial"/>
          <w:color w:val="000000" w:themeColor="text1"/>
        </w:rPr>
        <w:t xml:space="preserve">, J.O. (2023). CRITICAL ASSESSMENT OF THE STRENGTHS AND LIMITATIONS OF VICTIMOLOGICAL THEORETICAL PERSPECTIVES. </w:t>
      </w:r>
      <w:r w:rsidRPr="00416CE7">
        <w:rPr>
          <w:rFonts w:ascii="Arial" w:hAnsi="Arial" w:cs="Arial"/>
          <w:i/>
          <w:iCs/>
          <w:color w:val="000000" w:themeColor="text1"/>
        </w:rPr>
        <w:t>IMT INTERNATIONAL JOURNAL OF THE ARTS AND SCIENCES</w:t>
      </w:r>
      <w:r w:rsidRPr="00416CE7">
        <w:rPr>
          <w:rFonts w:ascii="Arial" w:hAnsi="Arial" w:cs="Arial"/>
          <w:color w:val="000000" w:themeColor="text1"/>
        </w:rPr>
        <w:t>, [online] 5(1). Available at: https://imtijotas.org.ng/index.php/about/article/view/2.</w:t>
      </w:r>
    </w:p>
    <w:p w14:paraId="68E9566B"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Independent Office for Police Conduct (2024). </w:t>
      </w:r>
      <w:r w:rsidRPr="00416CE7">
        <w:rPr>
          <w:rFonts w:ascii="Arial" w:hAnsi="Arial" w:cs="Arial"/>
          <w:i/>
          <w:iCs/>
          <w:color w:val="000000" w:themeColor="text1"/>
        </w:rPr>
        <w:t xml:space="preserve">Race Discrimination Report - November </w:t>
      </w:r>
      <w:proofErr w:type="gramStart"/>
      <w:r w:rsidRPr="00416CE7">
        <w:rPr>
          <w:rFonts w:ascii="Arial" w:hAnsi="Arial" w:cs="Arial"/>
          <w:i/>
          <w:iCs/>
          <w:color w:val="000000" w:themeColor="text1"/>
        </w:rPr>
        <w:t xml:space="preserve">2024 </w:t>
      </w:r>
      <w:r w:rsidRPr="00416CE7">
        <w:rPr>
          <w:rFonts w:ascii="Arial" w:hAnsi="Arial" w:cs="Arial"/>
          <w:color w:val="000000" w:themeColor="text1"/>
        </w:rPr>
        <w:t>.</w:t>
      </w:r>
      <w:proofErr w:type="gramEnd"/>
      <w:r w:rsidRPr="00416CE7">
        <w:rPr>
          <w:rFonts w:ascii="Arial" w:hAnsi="Arial" w:cs="Arial"/>
          <w:color w:val="000000" w:themeColor="text1"/>
        </w:rPr>
        <w:t xml:space="preserve"> [online] Independent Office for Police Conduct (IOPC). Available at: https://www.policeconduct.gov.uk/race-discrimination-report.</w:t>
      </w:r>
    </w:p>
    <w:p w14:paraId="5AA53B75"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Jackson, S.D., Mohr, J.J. and </w:t>
      </w:r>
      <w:proofErr w:type="spellStart"/>
      <w:r w:rsidRPr="00416CE7">
        <w:rPr>
          <w:rFonts w:ascii="Arial" w:hAnsi="Arial" w:cs="Arial"/>
          <w:color w:val="000000" w:themeColor="text1"/>
        </w:rPr>
        <w:t>Kindahl</w:t>
      </w:r>
      <w:proofErr w:type="spellEnd"/>
      <w:r w:rsidRPr="00416CE7">
        <w:rPr>
          <w:rFonts w:ascii="Arial" w:hAnsi="Arial" w:cs="Arial"/>
          <w:color w:val="000000" w:themeColor="text1"/>
        </w:rPr>
        <w:t xml:space="preserve">, A.M. (2021). Intersectional experiences: A mixed methods experience sampling approach to studying an elusive phenomenon. </w:t>
      </w:r>
      <w:r w:rsidRPr="00416CE7">
        <w:rPr>
          <w:rFonts w:ascii="Arial" w:hAnsi="Arial" w:cs="Arial"/>
          <w:i/>
          <w:iCs/>
          <w:color w:val="000000" w:themeColor="text1"/>
        </w:rPr>
        <w:t xml:space="preserve">Journal of </w:t>
      </w:r>
      <w:proofErr w:type="spellStart"/>
      <w:r w:rsidRPr="00416CE7">
        <w:rPr>
          <w:rFonts w:ascii="Arial" w:hAnsi="Arial" w:cs="Arial"/>
          <w:i/>
          <w:iCs/>
          <w:color w:val="000000" w:themeColor="text1"/>
        </w:rPr>
        <w:t>Counseling</w:t>
      </w:r>
      <w:proofErr w:type="spellEnd"/>
      <w:r w:rsidRPr="00416CE7">
        <w:rPr>
          <w:rFonts w:ascii="Arial" w:hAnsi="Arial" w:cs="Arial"/>
          <w:i/>
          <w:iCs/>
          <w:color w:val="000000" w:themeColor="text1"/>
        </w:rPr>
        <w:t xml:space="preserve"> Psychology</w:t>
      </w:r>
      <w:r w:rsidRPr="00416CE7">
        <w:rPr>
          <w:rFonts w:ascii="Arial" w:hAnsi="Arial" w:cs="Arial"/>
          <w:color w:val="000000" w:themeColor="text1"/>
        </w:rPr>
        <w:t xml:space="preserve">, [online] 68(3), pp.299–315.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://doi.org/10.1037/cou0000537</w:t>
      </w:r>
      <w:proofErr w:type="gramEnd"/>
      <w:r w:rsidRPr="00416CE7">
        <w:rPr>
          <w:rFonts w:ascii="Arial" w:hAnsi="Arial" w:cs="Arial"/>
          <w:color w:val="000000" w:themeColor="text1"/>
        </w:rPr>
        <w:t>.</w:t>
      </w:r>
    </w:p>
    <w:p w14:paraId="0FE6E99F" w14:textId="2C0C263B"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Kaplan, G. and Çelik</w:t>
      </w:r>
      <w:r w:rsidR="00893570" w:rsidRPr="00416CE7">
        <w:rPr>
          <w:rFonts w:ascii="Arial" w:hAnsi="Arial" w:cs="Arial"/>
          <w:color w:val="000000" w:themeColor="text1"/>
        </w:rPr>
        <w:t>, P.</w:t>
      </w:r>
      <w:r w:rsidRPr="00416CE7">
        <w:rPr>
          <w:rFonts w:ascii="Arial" w:hAnsi="Arial" w:cs="Arial"/>
          <w:color w:val="000000" w:themeColor="text1"/>
        </w:rPr>
        <w:t xml:space="preserve"> (2023). Intersectionality of disability and cultural/linguistic diversity in the UK: a literature review. </w:t>
      </w:r>
      <w:r w:rsidRPr="00416CE7">
        <w:rPr>
          <w:rFonts w:ascii="Arial" w:hAnsi="Arial" w:cs="Arial"/>
          <w:i/>
          <w:iCs/>
          <w:color w:val="000000" w:themeColor="text1"/>
        </w:rPr>
        <w:t>Frontiers in Education</w:t>
      </w:r>
      <w:r w:rsidRPr="00416CE7">
        <w:rPr>
          <w:rFonts w:ascii="Arial" w:hAnsi="Arial" w:cs="Arial"/>
          <w:color w:val="000000" w:themeColor="text1"/>
        </w:rPr>
        <w:t xml:space="preserve">, 8.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://doi.org/10.3389/feduc.2023.1239777</w:t>
      </w:r>
      <w:proofErr w:type="gramEnd"/>
      <w:r w:rsidRPr="00416CE7">
        <w:rPr>
          <w:rFonts w:ascii="Arial" w:hAnsi="Arial" w:cs="Arial"/>
          <w:color w:val="000000" w:themeColor="text1"/>
        </w:rPr>
        <w:t>.</w:t>
      </w:r>
    </w:p>
    <w:p w14:paraId="289D44BE"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lastRenderedPageBreak/>
        <w:t xml:space="preserve">Keating, M. (2025). </w:t>
      </w:r>
      <w:r w:rsidRPr="00416CE7">
        <w:rPr>
          <w:rFonts w:ascii="Arial" w:hAnsi="Arial" w:cs="Arial"/>
          <w:i/>
          <w:iCs/>
          <w:color w:val="000000" w:themeColor="text1"/>
        </w:rPr>
        <w:t>Violence against women and girls in 2025</w:t>
      </w:r>
      <w:r w:rsidRPr="00416CE7">
        <w:rPr>
          <w:rFonts w:ascii="Arial" w:hAnsi="Arial" w:cs="Arial"/>
          <w:color w:val="000000" w:themeColor="text1"/>
        </w:rPr>
        <w:t>. [online] House of Commons Library. Available at: https://commonslibrary.parliament.uk/violence-against-women-and-girls-in-2025/.</w:t>
      </w:r>
    </w:p>
    <w:p w14:paraId="3462E78B"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Kenny, Catriona (2022) </w:t>
      </w:r>
      <w:r w:rsidRPr="00416CE7">
        <w:rPr>
          <w:rStyle w:val="Emphasis"/>
          <w:rFonts w:ascii="Arial" w:hAnsi="Arial" w:cs="Arial"/>
          <w:color w:val="000000" w:themeColor="text1"/>
        </w:rPr>
        <w:t>“The Clumsy Blunt Instrument That is the Criminal Justice System”: Secondary Victimisation, Therapeutic Jurisprudence &amp; the Potential of Legal System Victim Impact Statements as a Tool for Irish Criminal Justice Reform.</w:t>
      </w:r>
      <w:r w:rsidRPr="00416CE7">
        <w:rPr>
          <w:rFonts w:ascii="Arial" w:hAnsi="Arial" w:cs="Arial"/>
          <w:color w:val="000000" w:themeColor="text1"/>
        </w:rPr>
        <w:t> </w:t>
      </w:r>
      <w:proofErr w:type="spellStart"/>
      <w:proofErr w:type="gramStart"/>
      <w:r w:rsidRPr="00416CE7">
        <w:rPr>
          <w:rFonts w:ascii="Arial" w:hAnsi="Arial" w:cs="Arial"/>
          <w:color w:val="000000" w:themeColor="text1"/>
        </w:rPr>
        <w:t>Masters</w:t>
      </w:r>
      <w:proofErr w:type="spellEnd"/>
      <w:proofErr w:type="gramEnd"/>
      <w:r w:rsidRPr="00416CE7">
        <w:rPr>
          <w:rFonts w:ascii="Arial" w:hAnsi="Arial" w:cs="Arial"/>
          <w:color w:val="000000" w:themeColor="text1"/>
        </w:rPr>
        <w:t xml:space="preserve"> thesis, National University of Ireland Maynooth. </w:t>
      </w:r>
    </w:p>
    <w:p w14:paraId="51599404"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Kyriakopoulou-Kollia, F. (2019). </w:t>
      </w:r>
      <w:r w:rsidRPr="00416CE7">
        <w:rPr>
          <w:rFonts w:ascii="Arial" w:hAnsi="Arial" w:cs="Arial"/>
          <w:i/>
          <w:iCs/>
          <w:color w:val="000000" w:themeColor="text1"/>
        </w:rPr>
        <w:t>A feminist criminological critique of aspects of the criminal justice system and the whole-system response towards female victims of intimate partner abuse</w:t>
      </w:r>
      <w:r w:rsidRPr="00416CE7">
        <w:rPr>
          <w:rFonts w:ascii="Arial" w:hAnsi="Arial" w:cs="Arial"/>
          <w:color w:val="000000" w:themeColor="text1"/>
        </w:rPr>
        <w:t>. [online] theses.ncl.ac.uk. Available at: http://theses.ncl.ac.uk/jspui/handle/10443/4734.</w:t>
      </w:r>
    </w:p>
    <w:p w14:paraId="74903318"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La Barbera, M. and </w:t>
      </w:r>
      <w:proofErr w:type="spellStart"/>
      <w:r w:rsidRPr="00416CE7">
        <w:rPr>
          <w:rFonts w:ascii="Arial" w:hAnsi="Arial" w:cs="Arial"/>
          <w:color w:val="000000" w:themeColor="text1"/>
        </w:rPr>
        <w:t>Cruells</w:t>
      </w:r>
      <w:proofErr w:type="spellEnd"/>
      <w:r w:rsidRPr="00416CE7">
        <w:rPr>
          <w:rFonts w:ascii="Arial" w:hAnsi="Arial" w:cs="Arial"/>
          <w:color w:val="000000" w:themeColor="text1"/>
        </w:rPr>
        <w:t xml:space="preserve"> López, M. (2019). Toward the Implementation of Intersectionality in the European Multilevel Legal Praxis: B. S. v. Spain. </w:t>
      </w:r>
      <w:r w:rsidRPr="00416CE7">
        <w:rPr>
          <w:rFonts w:ascii="Arial" w:hAnsi="Arial" w:cs="Arial"/>
          <w:i/>
          <w:iCs/>
          <w:color w:val="000000" w:themeColor="text1"/>
        </w:rPr>
        <w:t>Law &amp; Society Review</w:t>
      </w:r>
      <w:r w:rsidRPr="00416CE7">
        <w:rPr>
          <w:rFonts w:ascii="Arial" w:hAnsi="Arial" w:cs="Arial"/>
          <w:color w:val="000000" w:themeColor="text1"/>
        </w:rPr>
        <w:t xml:space="preserve">, 53(4), pp.1167–1201.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://doi.org/10.1111/lasr.12435</w:t>
      </w:r>
      <w:proofErr w:type="gramEnd"/>
      <w:r w:rsidRPr="00416CE7">
        <w:rPr>
          <w:rFonts w:ascii="Arial" w:hAnsi="Arial" w:cs="Arial"/>
          <w:color w:val="000000" w:themeColor="text1"/>
        </w:rPr>
        <w:t>.</w:t>
      </w:r>
    </w:p>
    <w:p w14:paraId="5B051129"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London City Hall. (2025). </w:t>
      </w:r>
      <w:r w:rsidRPr="00416CE7">
        <w:rPr>
          <w:rFonts w:ascii="Arial" w:hAnsi="Arial" w:cs="Arial"/>
          <w:i/>
          <w:iCs/>
          <w:color w:val="000000" w:themeColor="text1"/>
        </w:rPr>
        <w:t>The London Victim Attrition Review</w:t>
      </w:r>
      <w:r w:rsidRPr="00416CE7">
        <w:rPr>
          <w:rFonts w:ascii="Arial" w:hAnsi="Arial" w:cs="Arial"/>
          <w:color w:val="000000" w:themeColor="text1"/>
        </w:rPr>
        <w:t>. [online] Available at: https://www.london.gov.uk/programmes-strategies/mayors-office-policing-and-crime-mopac/about-mopac/victims-commissioner/london-victim-attrition-review.</w:t>
      </w:r>
    </w:p>
    <w:p w14:paraId="6C702BE2"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Maclugash, V. (2024). </w:t>
      </w:r>
      <w:r w:rsidRPr="00416CE7">
        <w:rPr>
          <w:rFonts w:ascii="Arial" w:hAnsi="Arial" w:cs="Arial"/>
          <w:i/>
          <w:iCs/>
          <w:color w:val="000000" w:themeColor="text1"/>
        </w:rPr>
        <w:t>Three years following the passing of the Domestic Abuse Act, how much progress have we made in tackling domestic abuse? - Women’s Aid</w:t>
      </w:r>
      <w:r w:rsidRPr="00416CE7">
        <w:rPr>
          <w:rFonts w:ascii="Arial" w:hAnsi="Arial" w:cs="Arial"/>
          <w:color w:val="000000" w:themeColor="text1"/>
        </w:rPr>
        <w:t>. [online] Women’s Aid. Available at: https://womensaid.org.uk/three-years-following-the-passing-of-the-domestic-abuse-act-how-much-progress-have-we-made-in-tackling-domestic-abuse/.</w:t>
      </w:r>
    </w:p>
    <w:p w14:paraId="26505CB6"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Maguire, M. (2012). Criminal Statistics and the Construction of Crime. In: M. Maguire, R. Morgan and R. Reiner, eds., </w:t>
      </w:r>
      <w:r w:rsidRPr="00416CE7">
        <w:rPr>
          <w:rFonts w:ascii="Arial" w:hAnsi="Arial" w:cs="Arial"/>
          <w:i/>
          <w:iCs/>
          <w:color w:val="000000" w:themeColor="text1"/>
        </w:rPr>
        <w:t>The Oxford Handbook of Criminology</w:t>
      </w:r>
      <w:r w:rsidRPr="00416CE7">
        <w:rPr>
          <w:rFonts w:ascii="Arial" w:hAnsi="Arial" w:cs="Arial"/>
          <w:color w:val="000000" w:themeColor="text1"/>
        </w:rPr>
        <w:t>. Oxford: Oxford University Press, pp.206–244.</w:t>
      </w:r>
    </w:p>
    <w:p w14:paraId="74018343"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McCartney, C. and Shorter, L. (2023). ‘You Don’t Know What You’ve Got ‘til it’s gone’: Police Retention of Investigative Materials. </w:t>
      </w:r>
      <w:r w:rsidRPr="00416CE7">
        <w:rPr>
          <w:rFonts w:ascii="Arial" w:hAnsi="Arial" w:cs="Arial"/>
          <w:i/>
          <w:iCs/>
          <w:color w:val="000000" w:themeColor="text1"/>
        </w:rPr>
        <w:t>International Journal of Police Science and Management</w:t>
      </w:r>
      <w:r w:rsidRPr="00416CE7">
        <w:rPr>
          <w:rFonts w:ascii="Arial" w:hAnsi="Arial" w:cs="Arial"/>
          <w:color w:val="000000" w:themeColor="text1"/>
        </w:rPr>
        <w:t xml:space="preserve">, 26(1).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://doi.org/10.1177/14613557231203493</w:t>
      </w:r>
      <w:proofErr w:type="gramEnd"/>
      <w:r w:rsidRPr="00416CE7">
        <w:rPr>
          <w:rFonts w:ascii="Arial" w:hAnsi="Arial" w:cs="Arial"/>
          <w:color w:val="000000" w:themeColor="text1"/>
        </w:rPr>
        <w:t>.</w:t>
      </w:r>
    </w:p>
    <w:p w14:paraId="791596AD"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lastRenderedPageBreak/>
        <w:t xml:space="preserve">Owen-Evans, R. and Low, N. (2024). Public trust and confidence in the police. </w:t>
      </w:r>
      <w:r w:rsidRPr="00416CE7">
        <w:rPr>
          <w:rFonts w:ascii="Arial" w:hAnsi="Arial" w:cs="Arial"/>
          <w:i/>
          <w:iCs/>
          <w:color w:val="000000" w:themeColor="text1"/>
        </w:rPr>
        <w:t>Public trust and confidence in the police</w:t>
      </w:r>
      <w:r w:rsidRPr="00416CE7">
        <w:rPr>
          <w:rFonts w:ascii="Arial" w:hAnsi="Arial" w:cs="Arial"/>
          <w:color w:val="000000" w:themeColor="text1"/>
        </w:rPr>
        <w:t xml:space="preserve">. [online]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://doi.org/10.58248/hs80</w:t>
      </w:r>
      <w:proofErr w:type="gramEnd"/>
      <w:r w:rsidRPr="00416CE7">
        <w:rPr>
          <w:rFonts w:ascii="Arial" w:hAnsi="Arial" w:cs="Arial"/>
          <w:color w:val="000000" w:themeColor="text1"/>
        </w:rPr>
        <w:t>.</w:t>
      </w:r>
    </w:p>
    <w:p w14:paraId="4C4255EB"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Public Prosecution Service Northern Ireland (2019). </w:t>
      </w:r>
      <w:r w:rsidRPr="00416CE7">
        <w:rPr>
          <w:rFonts w:ascii="Arial" w:hAnsi="Arial" w:cs="Arial"/>
          <w:i/>
          <w:iCs/>
          <w:color w:val="000000" w:themeColor="text1"/>
        </w:rPr>
        <w:t>Vulnerable or intimidated witnesses</w:t>
      </w:r>
      <w:r w:rsidRPr="00416CE7">
        <w:rPr>
          <w:rFonts w:ascii="Arial" w:hAnsi="Arial" w:cs="Arial"/>
          <w:color w:val="000000" w:themeColor="text1"/>
        </w:rPr>
        <w:t>. [online] Available at: https://www.ppsni.gov.uk/vulnerable-or-intimidated-witnesses.</w:t>
      </w:r>
    </w:p>
    <w:p w14:paraId="27E707F1"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Rawdin, C. (2023). Re-thinking learning and development and well-being in the policing of rape: Insights from a rapid review of comparable public-service occupations. </w:t>
      </w:r>
      <w:r w:rsidRPr="00416CE7">
        <w:rPr>
          <w:rFonts w:ascii="Arial" w:hAnsi="Arial" w:cs="Arial"/>
          <w:i/>
          <w:iCs/>
          <w:color w:val="000000" w:themeColor="text1"/>
        </w:rPr>
        <w:t>Policing: A Journal of Policy and Practice</w:t>
      </w:r>
      <w:r w:rsidRPr="00416CE7">
        <w:rPr>
          <w:rFonts w:ascii="Arial" w:hAnsi="Arial" w:cs="Arial"/>
          <w:color w:val="000000" w:themeColor="text1"/>
        </w:rPr>
        <w:t xml:space="preserve">, 17.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://doi.org/10.1093/police/paad074</w:t>
      </w:r>
      <w:proofErr w:type="gramEnd"/>
      <w:r w:rsidRPr="00416CE7">
        <w:rPr>
          <w:rFonts w:ascii="Arial" w:hAnsi="Arial" w:cs="Arial"/>
          <w:color w:val="000000" w:themeColor="text1"/>
        </w:rPr>
        <w:t>.</w:t>
      </w:r>
    </w:p>
    <w:p w14:paraId="65286DC8"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Reed, M.D. and Caraballo, K. (2021). Voice of the Victims: Accounts of Secondary Victimization with the Court System among Homicide Co-victims. </w:t>
      </w:r>
      <w:r w:rsidRPr="00416CE7">
        <w:rPr>
          <w:rFonts w:ascii="Arial" w:hAnsi="Arial" w:cs="Arial"/>
          <w:i/>
          <w:iCs/>
          <w:color w:val="000000" w:themeColor="text1"/>
        </w:rPr>
        <w:t>Journal of Interpersonal Violence</w:t>
      </w:r>
      <w:r w:rsidRPr="00416CE7">
        <w:rPr>
          <w:rFonts w:ascii="Arial" w:hAnsi="Arial" w:cs="Arial"/>
          <w:color w:val="000000" w:themeColor="text1"/>
        </w:rPr>
        <w:t xml:space="preserve">, 37(13-14), p.088626052198973.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://doi.org/10.1177/0886260521989732</w:t>
      </w:r>
      <w:proofErr w:type="gramEnd"/>
      <w:r w:rsidRPr="00416CE7">
        <w:rPr>
          <w:rFonts w:ascii="Arial" w:hAnsi="Arial" w:cs="Arial"/>
          <w:color w:val="000000" w:themeColor="text1"/>
        </w:rPr>
        <w:t>.</w:t>
      </w:r>
    </w:p>
    <w:p w14:paraId="5B088B90"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Sable, M.R., Danis, F., Mauzy, D.L. and Gallagher, S.K. (2006). Barriers to Reporting Sexual Assault for Women and Men: Perspectives of College Students. </w:t>
      </w:r>
      <w:r w:rsidRPr="00416CE7">
        <w:rPr>
          <w:rFonts w:ascii="Arial" w:hAnsi="Arial" w:cs="Arial"/>
          <w:i/>
          <w:iCs/>
          <w:color w:val="000000" w:themeColor="text1"/>
        </w:rPr>
        <w:t>Journal of American College Health</w:t>
      </w:r>
      <w:r w:rsidRPr="00416CE7">
        <w:rPr>
          <w:rFonts w:ascii="Arial" w:hAnsi="Arial" w:cs="Arial"/>
          <w:color w:val="000000" w:themeColor="text1"/>
        </w:rPr>
        <w:t xml:space="preserve">, 55(3), pp.157–162.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://doi.org/10.3200/JACH.55.3.157-162</w:t>
      </w:r>
      <w:proofErr w:type="gramEnd"/>
      <w:r w:rsidRPr="00416CE7">
        <w:rPr>
          <w:rFonts w:ascii="Arial" w:hAnsi="Arial" w:cs="Arial"/>
          <w:color w:val="000000" w:themeColor="text1"/>
        </w:rPr>
        <w:t>.</w:t>
      </w:r>
    </w:p>
    <w:p w14:paraId="71DF0174"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Sarai, R. (2022). </w:t>
      </w:r>
      <w:r w:rsidRPr="00416CE7">
        <w:rPr>
          <w:rFonts w:ascii="Arial" w:hAnsi="Arial" w:cs="Arial"/>
          <w:i/>
          <w:iCs/>
          <w:color w:val="000000" w:themeColor="text1"/>
        </w:rPr>
        <w:t>IMPROVING SUPPORT FOR VICTIMS OF CRIME Report of the Standing Committee on Justice and Human Rights</w:t>
      </w:r>
      <w:r w:rsidRPr="00416CE7">
        <w:rPr>
          <w:rFonts w:ascii="Arial" w:hAnsi="Arial" w:cs="Arial"/>
          <w:color w:val="000000" w:themeColor="text1"/>
        </w:rPr>
        <w:t>. [online] Available at: https://www.ourcommons.ca/Content/Committee/441/JUST/Reports/RP12132484/justrp07/justrp07-e.pdf.</w:t>
      </w:r>
    </w:p>
    <w:p w14:paraId="1347BFCC"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Scott, H. (2022). Survival over safety: non-reporting of criminalised violence by young migrants excluded from protection. </w:t>
      </w:r>
      <w:r w:rsidRPr="00416CE7">
        <w:rPr>
          <w:rFonts w:ascii="Arial" w:hAnsi="Arial" w:cs="Arial"/>
          <w:i/>
          <w:iCs/>
          <w:color w:val="000000" w:themeColor="text1"/>
        </w:rPr>
        <w:t>Journal of Ethnic and Migration Studies</w:t>
      </w:r>
      <w:r w:rsidRPr="00416CE7">
        <w:rPr>
          <w:rFonts w:ascii="Arial" w:hAnsi="Arial" w:cs="Arial"/>
          <w:color w:val="000000" w:themeColor="text1"/>
        </w:rPr>
        <w:t xml:space="preserve">, 48(19), pp.4793–4810.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://doi.org/10.1080/1369183x.2022.2099362</w:t>
      </w:r>
      <w:proofErr w:type="gramEnd"/>
      <w:r w:rsidRPr="00416CE7">
        <w:rPr>
          <w:rFonts w:ascii="Arial" w:hAnsi="Arial" w:cs="Arial"/>
          <w:color w:val="000000" w:themeColor="text1"/>
        </w:rPr>
        <w:t>.</w:t>
      </w:r>
    </w:p>
    <w:p w14:paraId="4295A3F1"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Siller, H. and Aydin, N. (2022). Using an Intersectional Lens on Vulnerability and Resilience in Minority and/or Marginalized Groups During the COVID-19 Pandemic: A Narrative Review. </w:t>
      </w:r>
      <w:r w:rsidRPr="00416CE7">
        <w:rPr>
          <w:rFonts w:ascii="Arial" w:hAnsi="Arial" w:cs="Arial"/>
          <w:i/>
          <w:iCs/>
          <w:color w:val="000000" w:themeColor="text1"/>
        </w:rPr>
        <w:t>Frontiers in Psychology</w:t>
      </w:r>
      <w:r w:rsidRPr="00416CE7">
        <w:rPr>
          <w:rFonts w:ascii="Arial" w:hAnsi="Arial" w:cs="Arial"/>
          <w:color w:val="000000" w:themeColor="text1"/>
        </w:rPr>
        <w:t xml:space="preserve">, 13.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://doi.org/10.3389/fpsyg.2022.894103</w:t>
      </w:r>
      <w:proofErr w:type="gramEnd"/>
      <w:r w:rsidRPr="00416CE7">
        <w:rPr>
          <w:rFonts w:ascii="Arial" w:hAnsi="Arial" w:cs="Arial"/>
          <w:color w:val="000000" w:themeColor="text1"/>
        </w:rPr>
        <w:t>.</w:t>
      </w:r>
    </w:p>
    <w:p w14:paraId="01BF1C30"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lastRenderedPageBreak/>
        <w:t>Smith, O., Johnson, K., Brooks-Hay, O., Friskney, R., Geoghegan-</w:t>
      </w:r>
      <w:proofErr w:type="spellStart"/>
      <w:r w:rsidRPr="00416CE7">
        <w:rPr>
          <w:rFonts w:ascii="Arial" w:hAnsi="Arial" w:cs="Arial"/>
          <w:color w:val="000000" w:themeColor="text1"/>
        </w:rPr>
        <w:t>Fittall</w:t>
      </w:r>
      <w:proofErr w:type="spellEnd"/>
      <w:r w:rsidRPr="00416CE7">
        <w:rPr>
          <w:rFonts w:ascii="Arial" w:hAnsi="Arial" w:cs="Arial"/>
          <w:color w:val="000000" w:themeColor="text1"/>
        </w:rPr>
        <w:t xml:space="preserve">, S., Hillyard, S., Hohl, K., Jennings, B., </w:t>
      </w:r>
      <w:proofErr w:type="spellStart"/>
      <w:r w:rsidRPr="00416CE7">
        <w:rPr>
          <w:rFonts w:ascii="Arial" w:hAnsi="Arial" w:cs="Arial"/>
          <w:color w:val="000000" w:themeColor="text1"/>
        </w:rPr>
        <w:t>Molisso</w:t>
      </w:r>
      <w:proofErr w:type="spellEnd"/>
      <w:r w:rsidRPr="00416CE7">
        <w:rPr>
          <w:rFonts w:ascii="Arial" w:hAnsi="Arial" w:cs="Arial"/>
          <w:color w:val="000000" w:themeColor="text1"/>
        </w:rPr>
        <w:t>, S., Myhill, A. and Walling-</w:t>
      </w:r>
      <w:proofErr w:type="spellStart"/>
      <w:r w:rsidRPr="00416CE7">
        <w:rPr>
          <w:rFonts w:ascii="Arial" w:hAnsi="Arial" w:cs="Arial"/>
          <w:color w:val="000000" w:themeColor="text1"/>
        </w:rPr>
        <w:t>Wefelmeyer</w:t>
      </w:r>
      <w:proofErr w:type="spellEnd"/>
      <w:r w:rsidRPr="00416CE7">
        <w:rPr>
          <w:rFonts w:ascii="Arial" w:hAnsi="Arial" w:cs="Arial"/>
          <w:color w:val="000000" w:themeColor="text1"/>
        </w:rPr>
        <w:t>, R. (2025). The systemic procedural injustice faced by victim-survivors in police responses to rape and ‘</w:t>
      </w:r>
      <w:proofErr w:type="spellStart"/>
      <w:r w:rsidRPr="00416CE7">
        <w:rPr>
          <w:rFonts w:ascii="Arial" w:hAnsi="Arial" w:cs="Arial"/>
          <w:color w:val="000000" w:themeColor="text1"/>
        </w:rPr>
        <w:t>serious’</w:t>
      </w:r>
      <w:proofErr w:type="spellEnd"/>
      <w:r w:rsidRPr="00416CE7">
        <w:rPr>
          <w:rFonts w:ascii="Arial" w:hAnsi="Arial" w:cs="Arial"/>
          <w:color w:val="000000" w:themeColor="text1"/>
        </w:rPr>
        <w:t xml:space="preserve"> sexual offences: A comprehensive study of four forces in England and Wales. </w:t>
      </w:r>
      <w:r w:rsidRPr="00416CE7">
        <w:rPr>
          <w:rFonts w:ascii="Arial" w:hAnsi="Arial" w:cs="Arial"/>
          <w:i/>
          <w:iCs/>
          <w:color w:val="000000" w:themeColor="text1"/>
        </w:rPr>
        <w:t>International Journal of Law, Crime and Justice</w:t>
      </w:r>
      <w:r w:rsidRPr="00416CE7">
        <w:rPr>
          <w:rFonts w:ascii="Arial" w:hAnsi="Arial" w:cs="Arial"/>
          <w:color w:val="000000" w:themeColor="text1"/>
        </w:rPr>
        <w:t xml:space="preserve">, [online] 82, p.100756.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://doi.org/10.1016/j.ijlcj.2025.100756</w:t>
      </w:r>
      <w:proofErr w:type="gramEnd"/>
      <w:r w:rsidRPr="00416CE7">
        <w:rPr>
          <w:rFonts w:ascii="Arial" w:hAnsi="Arial" w:cs="Arial"/>
          <w:color w:val="000000" w:themeColor="text1"/>
        </w:rPr>
        <w:t>.</w:t>
      </w:r>
    </w:p>
    <w:p w14:paraId="1BA9036E"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Sutton, L.A., Alvarez, C., Richmond, T.S. and Jacoby, S.F. (2025). Structural Vulnerability in Health Research: A Systematic Mixed Studies Review. </w:t>
      </w:r>
      <w:r w:rsidRPr="00416CE7">
        <w:rPr>
          <w:rFonts w:ascii="Arial" w:hAnsi="Arial" w:cs="Arial"/>
          <w:i/>
          <w:iCs/>
          <w:color w:val="000000" w:themeColor="text1"/>
        </w:rPr>
        <w:t>Journal of Advanced Nursing</w:t>
      </w:r>
      <w:r w:rsidRPr="00416CE7">
        <w:rPr>
          <w:rFonts w:ascii="Arial" w:hAnsi="Arial" w:cs="Arial"/>
          <w:color w:val="000000" w:themeColor="text1"/>
        </w:rPr>
        <w:t xml:space="preserve">, 0, pp.1–22.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://doi.org/10.1111/jan.70408</w:t>
      </w:r>
      <w:proofErr w:type="gramEnd"/>
      <w:r w:rsidRPr="00416CE7">
        <w:rPr>
          <w:rFonts w:ascii="Arial" w:hAnsi="Arial" w:cs="Arial"/>
          <w:color w:val="000000" w:themeColor="text1"/>
        </w:rPr>
        <w:t>.</w:t>
      </w:r>
    </w:p>
    <w:p w14:paraId="3DF549F6"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Tansill, G. (2024). </w:t>
      </w:r>
      <w:r w:rsidRPr="00416CE7">
        <w:rPr>
          <w:rFonts w:ascii="Arial" w:hAnsi="Arial" w:cs="Arial"/>
          <w:i/>
          <w:iCs/>
          <w:color w:val="000000" w:themeColor="text1"/>
        </w:rPr>
        <w:t>Procedural justice in stop and search</w:t>
      </w:r>
      <w:r w:rsidRPr="00416CE7">
        <w:rPr>
          <w:rFonts w:ascii="Arial" w:hAnsi="Arial" w:cs="Arial"/>
          <w:color w:val="000000" w:themeColor="text1"/>
        </w:rPr>
        <w:t>. [online] College of Policing. Available at: https://www.college.police.uk/article/procedural-justice-stop-search.</w:t>
      </w:r>
    </w:p>
    <w:p w14:paraId="0623394A"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The Centre for Social Justice (2024). </w:t>
      </w:r>
      <w:r w:rsidRPr="00416CE7">
        <w:rPr>
          <w:rFonts w:ascii="Arial" w:hAnsi="Arial" w:cs="Arial"/>
          <w:i/>
          <w:iCs/>
          <w:color w:val="000000" w:themeColor="text1"/>
        </w:rPr>
        <w:t xml:space="preserve">Underfunded and </w:t>
      </w:r>
      <w:proofErr w:type="gramStart"/>
      <w:r w:rsidRPr="00416CE7">
        <w:rPr>
          <w:rFonts w:ascii="Arial" w:hAnsi="Arial" w:cs="Arial"/>
          <w:i/>
          <w:iCs/>
          <w:color w:val="000000" w:themeColor="text1"/>
        </w:rPr>
        <w:t>Overlooked</w:t>
      </w:r>
      <w:proofErr w:type="gramEnd"/>
      <w:r w:rsidRPr="00416CE7">
        <w:rPr>
          <w:rFonts w:ascii="Arial" w:hAnsi="Arial" w:cs="Arial"/>
          <w:color w:val="000000" w:themeColor="text1"/>
        </w:rPr>
        <w:t xml:space="preserve">. [online] </w:t>
      </w:r>
      <w:r w:rsidRPr="00416CE7">
        <w:rPr>
          <w:rFonts w:ascii="Arial" w:hAnsi="Arial" w:cs="Arial"/>
          <w:i/>
          <w:iCs/>
          <w:color w:val="000000" w:themeColor="text1"/>
        </w:rPr>
        <w:t>The Centre for Social Justice</w:t>
      </w:r>
      <w:r w:rsidRPr="00416CE7">
        <w:rPr>
          <w:rFonts w:ascii="Arial" w:hAnsi="Arial" w:cs="Arial"/>
          <w:color w:val="000000" w:themeColor="text1"/>
        </w:rPr>
        <w:t>. Available at: https://www.centreforsocialjustice.org.uk/library/underfunded-and-overlooked.</w:t>
      </w:r>
    </w:p>
    <w:p w14:paraId="105973F9"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Victim Support (2018). </w:t>
      </w:r>
      <w:r w:rsidRPr="00416CE7">
        <w:rPr>
          <w:rFonts w:ascii="Arial" w:hAnsi="Arial" w:cs="Arial"/>
          <w:i/>
          <w:iCs/>
          <w:color w:val="000000" w:themeColor="text1"/>
        </w:rPr>
        <w:t>How victims and survivors of domestic abuse experience the criminal justice system</w:t>
      </w:r>
      <w:r w:rsidRPr="00416CE7">
        <w:rPr>
          <w:rFonts w:ascii="Arial" w:hAnsi="Arial" w:cs="Arial"/>
          <w:color w:val="000000" w:themeColor="text1"/>
        </w:rPr>
        <w:t>. [online] Available at: https://www.victimsupport.org.uk/wp-content/uploads/documents/files/How%20victims%20and%20survivors%20of%20DA%20experience%20the%20criminal%20justice%20system.pdf.</w:t>
      </w:r>
    </w:p>
    <w:p w14:paraId="52C2D1C0" w14:textId="77777777" w:rsidR="00B41EAD" w:rsidRPr="00416CE7" w:rsidRDefault="00B41EAD" w:rsidP="00B41EAD">
      <w:pPr>
        <w:pStyle w:val="NormalWeb"/>
        <w:spacing w:after="240" w:line="360" w:lineRule="auto"/>
        <w:rPr>
          <w:rFonts w:ascii="Arial" w:hAnsi="Arial" w:cs="Arial"/>
          <w:color w:val="000000" w:themeColor="text1"/>
        </w:rPr>
      </w:pPr>
      <w:r w:rsidRPr="00416CE7">
        <w:rPr>
          <w:rFonts w:ascii="Arial" w:hAnsi="Arial" w:cs="Arial"/>
          <w:color w:val="000000" w:themeColor="text1"/>
        </w:rPr>
        <w:t xml:space="preserve">Victims Commissioner (2025). </w:t>
      </w:r>
      <w:r w:rsidRPr="00416CE7">
        <w:rPr>
          <w:rFonts w:ascii="Arial" w:hAnsi="Arial" w:cs="Arial"/>
          <w:i/>
          <w:iCs/>
          <w:color w:val="000000" w:themeColor="text1"/>
        </w:rPr>
        <w:t>Domestic abuse victims are being failed by the criminal justice system at every stage - Victims Commissioner</w:t>
      </w:r>
      <w:r w:rsidRPr="00416CE7">
        <w:rPr>
          <w:rFonts w:ascii="Arial" w:hAnsi="Arial" w:cs="Arial"/>
          <w:color w:val="000000" w:themeColor="text1"/>
        </w:rPr>
        <w:t>. [online] Victims Commissioner. Available at: https://victimscommissioner.org.uk/news/domestic-abuse-victims-are-being-failed-by-the-criminal-justice-system-at-every-stage/.</w:t>
      </w:r>
    </w:p>
    <w:p w14:paraId="16F598BB" w14:textId="77777777" w:rsidR="00B41EAD" w:rsidRPr="00416CE7" w:rsidRDefault="00B41EAD" w:rsidP="00B41EAD">
      <w:pPr>
        <w:pStyle w:val="NormalWeb"/>
        <w:spacing w:after="240" w:line="360" w:lineRule="auto"/>
        <w:rPr>
          <w:rFonts w:ascii="Arial" w:hAnsi="Arial" w:cs="Arial"/>
          <w:color w:val="000000" w:themeColor="text1"/>
        </w:rPr>
      </w:pPr>
      <w:proofErr w:type="spellStart"/>
      <w:r w:rsidRPr="00416CE7">
        <w:rPr>
          <w:rFonts w:ascii="Arial" w:hAnsi="Arial" w:cs="Arial"/>
          <w:color w:val="000000" w:themeColor="text1"/>
        </w:rPr>
        <w:t>Yamanis</w:t>
      </w:r>
      <w:proofErr w:type="spellEnd"/>
      <w:r w:rsidRPr="00416CE7">
        <w:rPr>
          <w:rFonts w:ascii="Arial" w:hAnsi="Arial" w:cs="Arial"/>
          <w:color w:val="000000" w:themeColor="text1"/>
        </w:rPr>
        <w:t xml:space="preserve">, T.J., del Río-González, A.M., Rapoport, L., Norton, C., Little, C., Barker, S.L. and Ornelas, I.J. (2021). UNDERSTANDING FEAR OF DEPORTATION AND ITS IMPACT ON HEALTHCARE ACCESS AMONG IMMIGRANT LATINX MEN WHO HAVE SEX WITH MEN. </w:t>
      </w:r>
      <w:r w:rsidRPr="00416CE7">
        <w:rPr>
          <w:rFonts w:ascii="Arial" w:hAnsi="Arial" w:cs="Arial"/>
          <w:i/>
          <w:iCs/>
          <w:color w:val="000000" w:themeColor="text1"/>
        </w:rPr>
        <w:t>Advances in medical sociology</w:t>
      </w:r>
      <w:r w:rsidRPr="00416CE7">
        <w:rPr>
          <w:rFonts w:ascii="Arial" w:hAnsi="Arial" w:cs="Arial"/>
          <w:color w:val="000000" w:themeColor="text1"/>
        </w:rPr>
        <w:t xml:space="preserve">, [online] 21, pp.103–131. </w:t>
      </w:r>
      <w:proofErr w:type="spellStart"/>
      <w:proofErr w:type="gramStart"/>
      <w:r w:rsidRPr="00416CE7">
        <w:rPr>
          <w:rFonts w:ascii="Arial" w:hAnsi="Arial" w:cs="Arial"/>
          <w:color w:val="000000" w:themeColor="text1"/>
        </w:rPr>
        <w:t>doi:https</w:t>
      </w:r>
      <w:proofErr w:type="spellEnd"/>
      <w:r w:rsidRPr="00416CE7">
        <w:rPr>
          <w:rFonts w:ascii="Arial" w:hAnsi="Arial" w:cs="Arial"/>
          <w:color w:val="000000" w:themeColor="text1"/>
        </w:rPr>
        <w:t>://doi.org/10.1108/s1057-629020210000021010</w:t>
      </w:r>
      <w:proofErr w:type="gramEnd"/>
      <w:r w:rsidRPr="00416CE7">
        <w:rPr>
          <w:rFonts w:ascii="Arial" w:hAnsi="Arial" w:cs="Arial"/>
          <w:color w:val="000000" w:themeColor="text1"/>
        </w:rPr>
        <w:t>.</w:t>
      </w:r>
    </w:p>
    <w:p w14:paraId="00415B27" w14:textId="66F0F993" w:rsidR="00BA63E5" w:rsidRPr="00416CE7" w:rsidRDefault="00BA63E5" w:rsidP="00BA63E5">
      <w:pPr>
        <w:spacing w:before="100" w:beforeAutospacing="1" w:after="100" w:afterAutospacing="1" w:line="240" w:lineRule="auto"/>
        <w:rPr>
          <w:rFonts w:ascii="Arial" w:eastAsia="Times New Roman" w:hAnsi="Arial" w:cs="Arial"/>
          <w:color w:val="000000" w:themeColor="text1"/>
          <w:kern w:val="0"/>
          <w:sz w:val="24"/>
          <w:szCs w:val="24"/>
          <w:lang w:eastAsia="en-GB"/>
          <w14:ligatures w14:val="none"/>
        </w:rPr>
      </w:pPr>
    </w:p>
    <w:p w14:paraId="3C70270E" w14:textId="77777777" w:rsidR="00BA63E5" w:rsidRPr="00416CE7" w:rsidRDefault="00BA63E5" w:rsidP="00274193">
      <w:pPr>
        <w:spacing w:after="0" w:line="240" w:lineRule="auto"/>
        <w:rPr>
          <w:rFonts w:ascii="Arial" w:eastAsia="Times New Roman" w:hAnsi="Arial" w:cs="Arial"/>
          <w:color w:val="000000" w:themeColor="text1"/>
          <w:kern w:val="0"/>
          <w:sz w:val="24"/>
          <w:szCs w:val="24"/>
          <w:lang w:eastAsia="en-GB"/>
          <w14:ligatures w14:val="none"/>
        </w:rPr>
      </w:pPr>
    </w:p>
    <w:p w14:paraId="44AC09A0" w14:textId="77777777" w:rsidR="009A1069" w:rsidRPr="00416CE7" w:rsidRDefault="009A1069" w:rsidP="00274193">
      <w:pPr>
        <w:spacing w:after="0" w:line="240" w:lineRule="auto"/>
        <w:rPr>
          <w:rFonts w:ascii="Arial" w:eastAsia="Times New Roman" w:hAnsi="Arial" w:cs="Arial"/>
          <w:color w:val="000000" w:themeColor="text1"/>
          <w:kern w:val="0"/>
          <w:sz w:val="24"/>
          <w:szCs w:val="24"/>
          <w:lang w:eastAsia="en-GB"/>
          <w14:ligatures w14:val="none"/>
        </w:rPr>
      </w:pPr>
    </w:p>
    <w:p w14:paraId="12CDA22E" w14:textId="77777777" w:rsidR="009A1069" w:rsidRPr="00416CE7" w:rsidRDefault="009A1069" w:rsidP="00274193">
      <w:pPr>
        <w:spacing w:after="0" w:line="240" w:lineRule="auto"/>
        <w:rPr>
          <w:rFonts w:ascii="Arial" w:eastAsia="Times New Roman" w:hAnsi="Arial" w:cs="Arial"/>
          <w:color w:val="000000" w:themeColor="text1"/>
          <w:kern w:val="0"/>
          <w:sz w:val="24"/>
          <w:szCs w:val="24"/>
          <w:lang w:eastAsia="en-GB"/>
          <w14:ligatures w14:val="none"/>
        </w:rPr>
      </w:pPr>
    </w:p>
    <w:p w14:paraId="4EC46B19" w14:textId="77777777" w:rsidR="009A1069" w:rsidRPr="00416CE7" w:rsidRDefault="009A1069" w:rsidP="00274193">
      <w:pPr>
        <w:spacing w:after="0" w:line="240" w:lineRule="auto"/>
        <w:rPr>
          <w:rFonts w:ascii="Arial" w:eastAsia="Times New Roman" w:hAnsi="Arial" w:cs="Arial"/>
          <w:color w:val="000000" w:themeColor="text1"/>
          <w:kern w:val="0"/>
          <w:sz w:val="24"/>
          <w:szCs w:val="24"/>
          <w:lang w:eastAsia="en-GB"/>
          <w14:ligatures w14:val="none"/>
        </w:rPr>
      </w:pPr>
    </w:p>
    <w:sectPr w:rsidR="009A1069" w:rsidRPr="00416CE7">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11E82" w14:textId="77777777" w:rsidR="00BF30C8" w:rsidRDefault="00BF30C8" w:rsidP="0054043E">
      <w:pPr>
        <w:spacing w:after="0" w:line="240" w:lineRule="auto"/>
      </w:pPr>
      <w:r>
        <w:separator/>
      </w:r>
    </w:p>
  </w:endnote>
  <w:endnote w:type="continuationSeparator" w:id="0">
    <w:p w14:paraId="71793AA0" w14:textId="77777777" w:rsidR="00BF30C8" w:rsidRDefault="00BF30C8" w:rsidP="00540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88478068"/>
      <w:docPartObj>
        <w:docPartGallery w:val="Page Numbers (Bottom of Page)"/>
        <w:docPartUnique/>
      </w:docPartObj>
    </w:sdtPr>
    <w:sdtContent>
      <w:p w14:paraId="53E32DE4" w14:textId="2080E2BE" w:rsidR="00FF0E88" w:rsidRDefault="00FF0E88" w:rsidP="00351E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76F4CD5" w14:textId="77777777" w:rsidR="00FF0E88" w:rsidRDefault="00FF0E88" w:rsidP="00FF0E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84455306"/>
      <w:docPartObj>
        <w:docPartGallery w:val="Page Numbers (Bottom of Page)"/>
        <w:docPartUnique/>
      </w:docPartObj>
    </w:sdtPr>
    <w:sdtContent>
      <w:p w14:paraId="50ED5E4A" w14:textId="66773B05" w:rsidR="00FF0E88" w:rsidRDefault="00FF0E88" w:rsidP="00351E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EA7092" w14:textId="77777777" w:rsidR="00FF0E88" w:rsidRDefault="00FF0E88" w:rsidP="00FF0E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BAD53" w14:textId="77777777" w:rsidR="00BF30C8" w:rsidRDefault="00BF30C8" w:rsidP="0054043E">
      <w:pPr>
        <w:spacing w:after="0" w:line="240" w:lineRule="auto"/>
      </w:pPr>
      <w:r>
        <w:separator/>
      </w:r>
    </w:p>
  </w:footnote>
  <w:footnote w:type="continuationSeparator" w:id="0">
    <w:p w14:paraId="356336A9" w14:textId="77777777" w:rsidR="00BF30C8" w:rsidRDefault="00BF30C8" w:rsidP="005404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878EA"/>
    <w:multiLevelType w:val="multilevel"/>
    <w:tmpl w:val="DDF8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4673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9ED"/>
    <w:rsid w:val="00004689"/>
    <w:rsid w:val="000056CE"/>
    <w:rsid w:val="00006E8F"/>
    <w:rsid w:val="00034A96"/>
    <w:rsid w:val="000773CF"/>
    <w:rsid w:val="00080653"/>
    <w:rsid w:val="00084A23"/>
    <w:rsid w:val="00087F2B"/>
    <w:rsid w:val="0009134B"/>
    <w:rsid w:val="00093536"/>
    <w:rsid w:val="000A4862"/>
    <w:rsid w:val="000C1209"/>
    <w:rsid w:val="000E0675"/>
    <w:rsid w:val="000F4FF8"/>
    <w:rsid w:val="000F62B3"/>
    <w:rsid w:val="000F7FE3"/>
    <w:rsid w:val="001279A4"/>
    <w:rsid w:val="00134C24"/>
    <w:rsid w:val="00156158"/>
    <w:rsid w:val="00162935"/>
    <w:rsid w:val="00163EA0"/>
    <w:rsid w:val="00165A81"/>
    <w:rsid w:val="001A21F1"/>
    <w:rsid w:val="001B23D9"/>
    <w:rsid w:val="001C4C40"/>
    <w:rsid w:val="001D3C8D"/>
    <w:rsid w:val="001D691E"/>
    <w:rsid w:val="00212093"/>
    <w:rsid w:val="002176F1"/>
    <w:rsid w:val="002258D6"/>
    <w:rsid w:val="00241D44"/>
    <w:rsid w:val="00261764"/>
    <w:rsid w:val="0026710B"/>
    <w:rsid w:val="0027148E"/>
    <w:rsid w:val="002723F9"/>
    <w:rsid w:val="00274193"/>
    <w:rsid w:val="00276848"/>
    <w:rsid w:val="00283921"/>
    <w:rsid w:val="00296400"/>
    <w:rsid w:val="002A5A20"/>
    <w:rsid w:val="002B0BCF"/>
    <w:rsid w:val="002B272A"/>
    <w:rsid w:val="002B31DD"/>
    <w:rsid w:val="002B54B7"/>
    <w:rsid w:val="002D7E19"/>
    <w:rsid w:val="002F24A2"/>
    <w:rsid w:val="003018AD"/>
    <w:rsid w:val="00301D40"/>
    <w:rsid w:val="00314BBE"/>
    <w:rsid w:val="00342D1C"/>
    <w:rsid w:val="0036624D"/>
    <w:rsid w:val="0038129A"/>
    <w:rsid w:val="00396CCC"/>
    <w:rsid w:val="00397176"/>
    <w:rsid w:val="003A5B59"/>
    <w:rsid w:val="003C2639"/>
    <w:rsid w:val="003D102A"/>
    <w:rsid w:val="003D4988"/>
    <w:rsid w:val="00404B45"/>
    <w:rsid w:val="004079D1"/>
    <w:rsid w:val="00414704"/>
    <w:rsid w:val="00416CE7"/>
    <w:rsid w:val="00430893"/>
    <w:rsid w:val="00437E38"/>
    <w:rsid w:val="0045150E"/>
    <w:rsid w:val="00475AE2"/>
    <w:rsid w:val="00475B83"/>
    <w:rsid w:val="0049603D"/>
    <w:rsid w:val="004A33DD"/>
    <w:rsid w:val="004A3AC4"/>
    <w:rsid w:val="004C6A26"/>
    <w:rsid w:val="004D0440"/>
    <w:rsid w:val="004D7DAE"/>
    <w:rsid w:val="004E5274"/>
    <w:rsid w:val="004F419B"/>
    <w:rsid w:val="004F474C"/>
    <w:rsid w:val="00503945"/>
    <w:rsid w:val="005156A6"/>
    <w:rsid w:val="0054043E"/>
    <w:rsid w:val="00556768"/>
    <w:rsid w:val="00563785"/>
    <w:rsid w:val="00566EE9"/>
    <w:rsid w:val="00575E29"/>
    <w:rsid w:val="00587942"/>
    <w:rsid w:val="00590EB2"/>
    <w:rsid w:val="0059133A"/>
    <w:rsid w:val="005C0443"/>
    <w:rsid w:val="005C4DF8"/>
    <w:rsid w:val="005F77F1"/>
    <w:rsid w:val="006066D6"/>
    <w:rsid w:val="00607614"/>
    <w:rsid w:val="006217E1"/>
    <w:rsid w:val="0064159C"/>
    <w:rsid w:val="006540AD"/>
    <w:rsid w:val="00665725"/>
    <w:rsid w:val="006A1CD0"/>
    <w:rsid w:val="0070740F"/>
    <w:rsid w:val="0072196F"/>
    <w:rsid w:val="00721FFC"/>
    <w:rsid w:val="00753E93"/>
    <w:rsid w:val="00773490"/>
    <w:rsid w:val="00783149"/>
    <w:rsid w:val="00793DDE"/>
    <w:rsid w:val="007B17C4"/>
    <w:rsid w:val="007D55ED"/>
    <w:rsid w:val="007F6C11"/>
    <w:rsid w:val="008169F0"/>
    <w:rsid w:val="008338F5"/>
    <w:rsid w:val="00844DDA"/>
    <w:rsid w:val="00853660"/>
    <w:rsid w:val="00853F27"/>
    <w:rsid w:val="00884EBA"/>
    <w:rsid w:val="00893570"/>
    <w:rsid w:val="008C78D2"/>
    <w:rsid w:val="008D66DA"/>
    <w:rsid w:val="008F0BCF"/>
    <w:rsid w:val="00910C76"/>
    <w:rsid w:val="00924763"/>
    <w:rsid w:val="00924ED4"/>
    <w:rsid w:val="009456A4"/>
    <w:rsid w:val="00947165"/>
    <w:rsid w:val="009556CE"/>
    <w:rsid w:val="009629E7"/>
    <w:rsid w:val="009714A9"/>
    <w:rsid w:val="00984012"/>
    <w:rsid w:val="009855DF"/>
    <w:rsid w:val="009A1069"/>
    <w:rsid w:val="009C1EB2"/>
    <w:rsid w:val="009C6EF3"/>
    <w:rsid w:val="009E5CEF"/>
    <w:rsid w:val="009F212F"/>
    <w:rsid w:val="009F46AA"/>
    <w:rsid w:val="00A07DBB"/>
    <w:rsid w:val="00A31B09"/>
    <w:rsid w:val="00A35FBB"/>
    <w:rsid w:val="00A425C1"/>
    <w:rsid w:val="00A56581"/>
    <w:rsid w:val="00A660FB"/>
    <w:rsid w:val="00AB0495"/>
    <w:rsid w:val="00AB5CF9"/>
    <w:rsid w:val="00AD1E7E"/>
    <w:rsid w:val="00AE6F34"/>
    <w:rsid w:val="00B22799"/>
    <w:rsid w:val="00B23386"/>
    <w:rsid w:val="00B32E01"/>
    <w:rsid w:val="00B37EE6"/>
    <w:rsid w:val="00B41EAD"/>
    <w:rsid w:val="00B6057C"/>
    <w:rsid w:val="00B84C17"/>
    <w:rsid w:val="00BA60F2"/>
    <w:rsid w:val="00BA63E5"/>
    <w:rsid w:val="00BE2D40"/>
    <w:rsid w:val="00BF30C8"/>
    <w:rsid w:val="00BF4266"/>
    <w:rsid w:val="00C01F30"/>
    <w:rsid w:val="00C343F5"/>
    <w:rsid w:val="00C37EEC"/>
    <w:rsid w:val="00C45551"/>
    <w:rsid w:val="00C528F4"/>
    <w:rsid w:val="00C82201"/>
    <w:rsid w:val="00CA4EFB"/>
    <w:rsid w:val="00CB7F4A"/>
    <w:rsid w:val="00CC08FD"/>
    <w:rsid w:val="00CE143F"/>
    <w:rsid w:val="00CF476D"/>
    <w:rsid w:val="00D01036"/>
    <w:rsid w:val="00D018F9"/>
    <w:rsid w:val="00D05A42"/>
    <w:rsid w:val="00D16C94"/>
    <w:rsid w:val="00D177A6"/>
    <w:rsid w:val="00D229ED"/>
    <w:rsid w:val="00D41020"/>
    <w:rsid w:val="00D509B9"/>
    <w:rsid w:val="00D5386F"/>
    <w:rsid w:val="00D55262"/>
    <w:rsid w:val="00D70B40"/>
    <w:rsid w:val="00D74C39"/>
    <w:rsid w:val="00D775B2"/>
    <w:rsid w:val="00D92604"/>
    <w:rsid w:val="00DA1006"/>
    <w:rsid w:val="00DE2A89"/>
    <w:rsid w:val="00DE6537"/>
    <w:rsid w:val="00E25C05"/>
    <w:rsid w:val="00E35B5A"/>
    <w:rsid w:val="00E41C77"/>
    <w:rsid w:val="00E55569"/>
    <w:rsid w:val="00E56CD5"/>
    <w:rsid w:val="00E66390"/>
    <w:rsid w:val="00E66859"/>
    <w:rsid w:val="00E83AA0"/>
    <w:rsid w:val="00E95F31"/>
    <w:rsid w:val="00EA026F"/>
    <w:rsid w:val="00EB21D9"/>
    <w:rsid w:val="00EC1C51"/>
    <w:rsid w:val="00ED227E"/>
    <w:rsid w:val="00EE1C24"/>
    <w:rsid w:val="00EF1130"/>
    <w:rsid w:val="00EF60B6"/>
    <w:rsid w:val="00F06C82"/>
    <w:rsid w:val="00F1361E"/>
    <w:rsid w:val="00F15DB7"/>
    <w:rsid w:val="00F203E5"/>
    <w:rsid w:val="00F25BA6"/>
    <w:rsid w:val="00F51898"/>
    <w:rsid w:val="00F54F8D"/>
    <w:rsid w:val="00F57C54"/>
    <w:rsid w:val="00F723E4"/>
    <w:rsid w:val="00F820D7"/>
    <w:rsid w:val="00FB47B8"/>
    <w:rsid w:val="00FC4267"/>
    <w:rsid w:val="00FC6793"/>
    <w:rsid w:val="00FD14EC"/>
    <w:rsid w:val="00FD5664"/>
    <w:rsid w:val="00FE12F2"/>
    <w:rsid w:val="00FE47A8"/>
    <w:rsid w:val="00FE6935"/>
    <w:rsid w:val="00FF0E8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90E19"/>
  <w15:chartTrackingRefBased/>
  <w15:docId w15:val="{6D063521-CAD4-4F32-B8FA-EA111A4BB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9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29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29E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29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29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29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9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9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9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9E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29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29E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29E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29E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29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9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9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9ED"/>
    <w:rPr>
      <w:rFonts w:eastAsiaTheme="majorEastAsia" w:cstheme="majorBidi"/>
      <w:color w:val="272727" w:themeColor="text1" w:themeTint="D8"/>
    </w:rPr>
  </w:style>
  <w:style w:type="paragraph" w:styleId="Title">
    <w:name w:val="Title"/>
    <w:basedOn w:val="Normal"/>
    <w:next w:val="Normal"/>
    <w:link w:val="TitleChar"/>
    <w:uiPriority w:val="10"/>
    <w:qFormat/>
    <w:rsid w:val="00D229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9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9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9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9ED"/>
    <w:pPr>
      <w:spacing w:before="160"/>
      <w:jc w:val="center"/>
    </w:pPr>
    <w:rPr>
      <w:i/>
      <w:iCs/>
      <w:color w:val="404040" w:themeColor="text1" w:themeTint="BF"/>
    </w:rPr>
  </w:style>
  <w:style w:type="character" w:customStyle="1" w:styleId="QuoteChar">
    <w:name w:val="Quote Char"/>
    <w:basedOn w:val="DefaultParagraphFont"/>
    <w:link w:val="Quote"/>
    <w:uiPriority w:val="29"/>
    <w:rsid w:val="00D229ED"/>
    <w:rPr>
      <w:i/>
      <w:iCs/>
      <w:color w:val="404040" w:themeColor="text1" w:themeTint="BF"/>
    </w:rPr>
  </w:style>
  <w:style w:type="paragraph" w:styleId="ListParagraph">
    <w:name w:val="List Paragraph"/>
    <w:basedOn w:val="Normal"/>
    <w:uiPriority w:val="34"/>
    <w:qFormat/>
    <w:rsid w:val="00D229ED"/>
    <w:pPr>
      <w:ind w:left="720"/>
      <w:contextualSpacing/>
    </w:pPr>
  </w:style>
  <w:style w:type="character" w:styleId="IntenseEmphasis">
    <w:name w:val="Intense Emphasis"/>
    <w:basedOn w:val="DefaultParagraphFont"/>
    <w:uiPriority w:val="21"/>
    <w:qFormat/>
    <w:rsid w:val="00D229ED"/>
    <w:rPr>
      <w:i/>
      <w:iCs/>
      <w:color w:val="2F5496" w:themeColor="accent1" w:themeShade="BF"/>
    </w:rPr>
  </w:style>
  <w:style w:type="paragraph" w:styleId="IntenseQuote">
    <w:name w:val="Intense Quote"/>
    <w:basedOn w:val="Normal"/>
    <w:next w:val="Normal"/>
    <w:link w:val="IntenseQuoteChar"/>
    <w:uiPriority w:val="30"/>
    <w:qFormat/>
    <w:rsid w:val="00D229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29ED"/>
    <w:rPr>
      <w:i/>
      <w:iCs/>
      <w:color w:val="2F5496" w:themeColor="accent1" w:themeShade="BF"/>
    </w:rPr>
  </w:style>
  <w:style w:type="character" w:styleId="IntenseReference">
    <w:name w:val="Intense Reference"/>
    <w:basedOn w:val="DefaultParagraphFont"/>
    <w:uiPriority w:val="32"/>
    <w:qFormat/>
    <w:rsid w:val="00D229ED"/>
    <w:rPr>
      <w:b/>
      <w:bCs/>
      <w:smallCaps/>
      <w:color w:val="2F5496" w:themeColor="accent1" w:themeShade="BF"/>
      <w:spacing w:val="5"/>
    </w:rPr>
  </w:style>
  <w:style w:type="paragraph" w:styleId="NormalWeb">
    <w:name w:val="Normal (Web)"/>
    <w:basedOn w:val="Normal"/>
    <w:uiPriority w:val="99"/>
    <w:semiHidden/>
    <w:unhideWhenUsed/>
    <w:rsid w:val="009714A9"/>
    <w:rPr>
      <w:rFonts w:ascii="Times New Roman" w:hAnsi="Times New Roman" w:cs="Times New Roman"/>
      <w:sz w:val="24"/>
      <w:szCs w:val="24"/>
    </w:rPr>
  </w:style>
  <w:style w:type="paragraph" w:styleId="Header">
    <w:name w:val="header"/>
    <w:basedOn w:val="Normal"/>
    <w:link w:val="HeaderChar"/>
    <w:uiPriority w:val="99"/>
    <w:unhideWhenUsed/>
    <w:rsid w:val="005404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43E"/>
  </w:style>
  <w:style w:type="paragraph" w:styleId="Footer">
    <w:name w:val="footer"/>
    <w:basedOn w:val="Normal"/>
    <w:link w:val="FooterChar"/>
    <w:uiPriority w:val="99"/>
    <w:unhideWhenUsed/>
    <w:rsid w:val="005404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43E"/>
  </w:style>
  <w:style w:type="character" w:styleId="Emphasis">
    <w:name w:val="Emphasis"/>
    <w:basedOn w:val="DefaultParagraphFont"/>
    <w:uiPriority w:val="20"/>
    <w:qFormat/>
    <w:rsid w:val="00B41EAD"/>
    <w:rPr>
      <w:i/>
      <w:iCs/>
    </w:rPr>
  </w:style>
  <w:style w:type="character" w:styleId="Hyperlink">
    <w:name w:val="Hyperlink"/>
    <w:basedOn w:val="DefaultParagraphFont"/>
    <w:uiPriority w:val="99"/>
    <w:unhideWhenUsed/>
    <w:rsid w:val="00893570"/>
    <w:rPr>
      <w:color w:val="0563C1" w:themeColor="hyperlink"/>
      <w:u w:val="single"/>
    </w:rPr>
  </w:style>
  <w:style w:type="character" w:styleId="UnresolvedMention">
    <w:name w:val="Unresolved Mention"/>
    <w:basedOn w:val="DefaultParagraphFont"/>
    <w:uiPriority w:val="99"/>
    <w:semiHidden/>
    <w:unhideWhenUsed/>
    <w:rsid w:val="00893570"/>
    <w:rPr>
      <w:color w:val="605E5C"/>
      <w:shd w:val="clear" w:color="auto" w:fill="E1DFDD"/>
    </w:rPr>
  </w:style>
  <w:style w:type="character" w:styleId="PageNumber">
    <w:name w:val="page number"/>
    <w:basedOn w:val="DefaultParagraphFont"/>
    <w:uiPriority w:val="99"/>
    <w:semiHidden/>
    <w:unhideWhenUsed/>
    <w:rsid w:val="00FF0E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26</Pages>
  <Words>6399</Words>
  <Characters>36479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hosam rashwan</dc:creator>
  <cp:keywords/>
  <dc:description/>
  <cp:lastModifiedBy>Lorenzo Molinaro</cp:lastModifiedBy>
  <cp:revision>286</cp:revision>
  <dcterms:created xsi:type="dcterms:W3CDTF">2026-03-29T13:47:00Z</dcterms:created>
  <dcterms:modified xsi:type="dcterms:W3CDTF">2026-04-24T22:21:00Z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98fac97-8d33-4425-95a4-f76d2cce012e_Enabled">
    <vt:lpwstr>true</vt:lpwstr>
  </property>
  <property fmtid="{D5CDD505-2E9C-101B-9397-08002B2CF9AE}" pid="3" name="MSIP_Label_b98fac97-8d33-4425-95a4-f76d2cce012e_SetDate">
    <vt:lpwstr>2026-04-21T16:53:00Z</vt:lpwstr>
  </property>
  <property fmtid="{D5CDD505-2E9C-101B-9397-08002B2CF9AE}" pid="4" name="MSIP_Label_b98fac97-8d33-4425-95a4-f76d2cce012e_Method">
    <vt:lpwstr>Standard</vt:lpwstr>
  </property>
  <property fmtid="{D5CDD505-2E9C-101B-9397-08002B2CF9AE}" pid="5" name="MSIP_Label_b98fac97-8d33-4425-95a4-f76d2cce012e_Name">
    <vt:lpwstr>defa4170-0d19-0005-0004-bc88714345d2</vt:lpwstr>
  </property>
  <property fmtid="{D5CDD505-2E9C-101B-9397-08002B2CF9AE}" pid="6" name="MSIP_Label_b98fac97-8d33-4425-95a4-f76d2cce012e_SiteId">
    <vt:lpwstr>674dd0a1-ae62-42c7-a39f-69ee199537a8</vt:lpwstr>
  </property>
  <property fmtid="{D5CDD505-2E9C-101B-9397-08002B2CF9AE}" pid="7" name="MSIP_Label_b98fac97-8d33-4425-95a4-f76d2cce012e_ActionId">
    <vt:lpwstr>c04d8dfd-488a-4133-94a9-7e0f3ddc4688</vt:lpwstr>
  </property>
  <property fmtid="{D5CDD505-2E9C-101B-9397-08002B2CF9AE}" pid="8" name="MSIP_Label_b98fac97-8d33-4425-95a4-f76d2cce012e_ContentBits">
    <vt:lpwstr>0</vt:lpwstr>
  </property>
  <property fmtid="{D5CDD505-2E9C-101B-9397-08002B2CF9AE}" pid="9" name="MSIP_Label_b98fac97-8d33-4425-95a4-f76d2cce012e_Tag">
    <vt:lpwstr>50, 3, 0, 1</vt:lpwstr>
  </property>
</Properties>
</file>