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E238A" w14:textId="77FFF436" w:rsidR="5120513C" w:rsidRDefault="2994F68F" w:rsidP="5120513C">
      <w:pPr>
        <w:pStyle w:val="Heading1"/>
      </w:pPr>
      <w:r w:rsidRPr="2994F68F">
        <w:t>Are all wars fundamentally evil, or is it more accurate to categorise wars as either ‘just’ or ‘unjust’?</w:t>
      </w:r>
    </w:p>
    <w:p w14:paraId="3091EBF1" w14:textId="2F1E9245" w:rsidR="2994F68F" w:rsidRDefault="207E036A" w:rsidP="2994F68F">
      <w:pPr>
        <w:ind w:firstLine="720"/>
        <w:jc w:val="both"/>
      </w:pPr>
      <w:r>
        <w:t>In this paper I will argue that wars are best categorised as ‘just’ or ‘unjust’. First, I will define the terms in the question. With a definition in mind I will examine pacifist arguments and provide counterarguments. I will then conclude with my findings.</w:t>
      </w:r>
    </w:p>
    <w:p w14:paraId="08FE1542" w14:textId="75CB1D96" w:rsidR="5120513C" w:rsidRDefault="5120513C" w:rsidP="5120513C">
      <w:pPr>
        <w:ind w:firstLine="720"/>
        <w:jc w:val="both"/>
      </w:pPr>
      <w:r>
        <w:t>War is difficult to define. A large part of the answer must be subjective. The answer to the question depends heavily on one’s own experiences, society and time period. In the 21</w:t>
      </w:r>
      <w:r w:rsidRPr="5120513C">
        <w:rPr>
          <w:vertAlign w:val="superscript"/>
        </w:rPr>
        <w:t>st</w:t>
      </w:r>
      <w:r>
        <w:t xml:space="preserve"> century many feel comfortable describing modern conflicts as ‘hybrid wars’</w:t>
      </w:r>
      <w:r w:rsidR="008F0A50">
        <w:rPr>
          <w:rStyle w:val="FootnoteReference"/>
        </w:rPr>
        <w:footnoteReference w:id="1"/>
      </w:r>
      <w:r>
        <w:t>, not fully certain whether these are genuine wars. Conflicts in the 21</w:t>
      </w:r>
      <w:r w:rsidRPr="5120513C">
        <w:rPr>
          <w:vertAlign w:val="superscript"/>
        </w:rPr>
        <w:t>st</w:t>
      </w:r>
      <w:r>
        <w:t xml:space="preserve"> century still amass casualties. There have also been bloodless wars in the past.</w:t>
      </w:r>
      <w:r w:rsidR="00B2413E">
        <w:rPr>
          <w:rStyle w:val="FootnoteReference"/>
        </w:rPr>
        <w:footnoteReference w:id="2"/>
      </w:r>
      <w:r>
        <w:t xml:space="preserve"> Wars are, therefore, not the only source of national or international violence, neither is such violence exclusive to wars. This makes opposition to war, especially in the post-modern age, about far more than pacifism. A Pacifist, such as Bertrand Russel, may support a war due to other beliefs</w:t>
      </w:r>
      <w:r w:rsidRPr="207E036A">
        <w:t>,</w:t>
      </w:r>
      <w:r>
        <w:t xml:space="preserve"> such as the belief in democracy</w:t>
      </w:r>
      <w:r w:rsidRPr="207E036A">
        <w:t>,</w:t>
      </w:r>
      <w:r>
        <w:t xml:space="preserve"> being of utmost importance.</w:t>
      </w:r>
      <w:r w:rsidRPr="5120513C">
        <w:rPr>
          <w:rStyle w:val="FootnoteReference"/>
        </w:rPr>
        <w:footnoteReference w:id="3"/>
      </w:r>
    </w:p>
    <w:p w14:paraId="20406DF4" w14:textId="77B2E207" w:rsidR="5120513C" w:rsidRDefault="2994F68F" w:rsidP="207E036A">
      <w:pPr>
        <w:ind w:firstLine="720"/>
        <w:jc w:val="both"/>
        <w:rPr>
          <w:rStyle w:val="FootnoteReference"/>
        </w:rPr>
      </w:pPr>
      <w:r w:rsidRPr="2994F68F">
        <w:t>It is important, therefore, to find a workable definition of war. The Cambridge Dictionary defines ‘war’ as ‘armed fighting between two or more countries or groups’ with ‘fighting’ defined as the ‘use (of) physical force to try to defeat another person or group of people’. According to Blake’s Law Dictionary ‘war</w:t>
      </w:r>
      <w:r w:rsidRPr="207E036A">
        <w:t>’</w:t>
      </w:r>
      <w:r w:rsidRPr="2994F68F">
        <w:t xml:space="preserve"> is ‘[a] state of forcible contention; an armed contest between nations; a state of hostility between two or more nations or states...’. Others have theorised that war includes everything from fighting animals to celestial collisions, with human conflicts being somewhere in the middle. At its broadest war includes even the preparation and justification for war.</w:t>
      </w:r>
      <w:r w:rsidR="5120513C" w:rsidRPr="2994F68F">
        <w:rPr>
          <w:rStyle w:val="FootnoteReference"/>
        </w:rPr>
        <w:footnoteReference w:id="4"/>
      </w:r>
    </w:p>
    <w:p w14:paraId="5284EAF0" w14:textId="19852AE9" w:rsidR="5120513C" w:rsidRDefault="561BE23E" w:rsidP="207E036A">
      <w:pPr>
        <w:ind w:firstLine="720"/>
        <w:jc w:val="both"/>
      </w:pPr>
      <w:r w:rsidRPr="561BE23E">
        <w:t>An important distinction between Blake’s Law Dictionary and the Cambridge Dictionary definition is that the former requires the involvement of the state, while the Cambridge Dictionary includes ‘</w:t>
      </w:r>
      <w:proofErr w:type="gramStart"/>
      <w:r w:rsidRPr="561BE23E">
        <w:t>groups’</w:t>
      </w:r>
      <w:proofErr w:type="gramEnd"/>
      <w:r w:rsidRPr="561BE23E">
        <w:t>. Under the Law Dictionary’s definition, one could oppose war whilst supporting revolutionaries or any non-state group. This highly legalistic view of war is heavily based upon Clausewitz's ideal of definite beginnings and ends of wars. Although Clausewitz seemed to think of wars without certain beginnings and ends as wars, he viewed wars as ultimately based on statehood rather than mere conflict. The Cambridge definition would define a revolution as a war. This would also make modern ‘hybrid wars’ genuine wars, as even if the target is a group such as ISIS, Drug Cartels or the Taliban, the target involves armed fighting. Many modern governments have set bloodless war as a goal,</w:t>
      </w:r>
      <w:r w:rsidR="5120513C" w:rsidRPr="561BE23E">
        <w:rPr>
          <w:rStyle w:val="FootnoteReference"/>
        </w:rPr>
        <w:footnoteReference w:id="5"/>
      </w:r>
      <w:r w:rsidR="2994F68F" w:rsidRPr="2994F68F">
        <w:t xml:space="preserve"> but it has been argued that ‘bloodless war’ is a contradiction in terms.</w:t>
      </w:r>
    </w:p>
    <w:p w14:paraId="279C3034" w14:textId="1F255CFF" w:rsidR="5120513C" w:rsidRDefault="561BE23E" w:rsidP="2994F68F">
      <w:pPr>
        <w:ind w:firstLine="720"/>
        <w:jc w:val="both"/>
      </w:pPr>
      <w:r w:rsidRPr="561BE23E">
        <w:t xml:space="preserve">Any definition would accept that armed fighting between nations is war. If it could be proven that an armed conflict between nations was moral, then all definitions would be satisfied. </w:t>
      </w:r>
      <w:r w:rsidR="207E036A">
        <w:t xml:space="preserve">In the just war tradition Augustine tends to be the most quoted. He maintained that to be just a war needed just authority, a just cause, a just intent and was the last resort. He also required the war to be carried out </w:t>
      </w:r>
      <w:r w:rsidR="207E036A">
        <w:lastRenderedPageBreak/>
        <w:t>justly.</w:t>
      </w:r>
      <w:r w:rsidR="00AA2FD0">
        <w:rPr>
          <w:rStyle w:val="FootnoteReference"/>
        </w:rPr>
        <w:footnoteReference w:id="6"/>
      </w:r>
      <w:r w:rsidRPr="561BE23E">
        <w:t xml:space="preserve"> </w:t>
      </w:r>
      <w:r w:rsidR="5120513C">
        <w:t>The popular norm throughout history has been to assume that there are just wars. Even today over 90% of Americans consider WWII to be a just war</w:t>
      </w:r>
      <w:r w:rsidR="5120513C" w:rsidRPr="5120513C">
        <w:rPr>
          <w:rStyle w:val="FootnoteReference"/>
        </w:rPr>
        <w:footnoteReference w:id="7"/>
      </w:r>
      <w:r w:rsidR="5120513C">
        <w:t xml:space="preserve"> and over 80% of Britons support military intervention against terrorists.</w:t>
      </w:r>
      <w:r w:rsidR="5120513C" w:rsidRPr="561BE23E">
        <w:rPr>
          <w:rStyle w:val="FootnoteReference"/>
        </w:rPr>
        <w:footnoteReference w:id="8"/>
      </w:r>
      <w:r w:rsidR="5120513C">
        <w:t xml:space="preserve"> Just wars were widely accepted in the Middle Ages, provided ‘rapine’ behaviour was also curtailed.</w:t>
      </w:r>
      <w:r w:rsidR="5120513C" w:rsidRPr="5120513C">
        <w:rPr>
          <w:rStyle w:val="FootnoteReference"/>
        </w:rPr>
        <w:footnoteReference w:id="9"/>
      </w:r>
      <w:r w:rsidR="5120513C">
        <w:t xml:space="preserve"> It has been argued that the Trojan War myths form something of a doctrine of Just Wars for the Ancient World.</w:t>
      </w:r>
      <w:r w:rsidR="5120513C" w:rsidRPr="5120513C">
        <w:rPr>
          <w:rStyle w:val="FootnoteReference"/>
        </w:rPr>
        <w:footnoteReference w:id="10"/>
      </w:r>
      <w:r w:rsidR="5120513C">
        <w:t xml:space="preserve"> Starting with the Hague Conventions in 1889 and 1907 there was also a modern response using International Law rather than the Church.</w:t>
      </w:r>
      <w:r w:rsidR="5120513C" w:rsidRPr="5120513C">
        <w:rPr>
          <w:rStyle w:val="FootnoteReference"/>
        </w:rPr>
        <w:footnoteReference w:id="11"/>
      </w:r>
      <w:r w:rsidR="5120513C">
        <w:t xml:space="preserve"> Clausewitz was influential in this development by denouncing brigands.</w:t>
      </w:r>
      <w:r w:rsidR="5120513C" w:rsidRPr="5120513C">
        <w:rPr>
          <w:rStyle w:val="FootnoteReference"/>
        </w:rPr>
        <w:footnoteReference w:id="12"/>
      </w:r>
      <w:r w:rsidR="5120513C">
        <w:t xml:space="preserve"> His work continues to affect international law to this day.</w:t>
      </w:r>
      <w:r w:rsidR="5120513C" w:rsidRPr="5120513C">
        <w:rPr>
          <w:rStyle w:val="FootnoteReference"/>
        </w:rPr>
        <w:footnoteReference w:id="13"/>
      </w:r>
      <w:r w:rsidR="5120513C">
        <w:t xml:space="preserve"> By</w:t>
      </w:r>
      <w:r w:rsidR="5120513C" w:rsidRPr="207E036A">
        <w:rPr>
          <w:i/>
          <w:iCs/>
        </w:rPr>
        <w:t xml:space="preserve"> </w:t>
      </w:r>
      <w:r w:rsidR="5120513C" w:rsidRPr="207E036A">
        <w:rPr>
          <w:b/>
          <w:bCs/>
        </w:rPr>
        <w:t>defining</w:t>
      </w:r>
      <w:r w:rsidR="5120513C">
        <w:t xml:space="preserve"> just war its existence is implied.</w:t>
      </w:r>
    </w:p>
    <w:p w14:paraId="779DB461" w14:textId="291CEDA4" w:rsidR="5120513C" w:rsidRDefault="5120513C" w:rsidP="5120513C">
      <w:pPr>
        <w:ind w:firstLine="720"/>
        <w:jc w:val="both"/>
      </w:pPr>
      <w:r>
        <w:t>To truly discern whether wars are intrinsically immoral Pacifist arguments should be evaluated alongside concepts of just war. While Pacifism, at its most broadly defined, rejects the slaughter of animals and even self-defence,</w:t>
      </w:r>
      <w:r w:rsidRPr="561BE23E">
        <w:rPr>
          <w:rStyle w:val="FootnoteReference"/>
        </w:rPr>
        <w:footnoteReference w:id="14"/>
      </w:r>
      <w:r>
        <w:t xml:space="preserve"> most arguments focus on the issue of war. This can include contingent pacifists who allow for war in certain circumstances and absolute pacifists who reject all violence.</w:t>
      </w:r>
    </w:p>
    <w:p w14:paraId="079B2259" w14:textId="0E954544" w:rsidR="5120513C" w:rsidRDefault="5120513C" w:rsidP="5120513C">
      <w:pPr>
        <w:ind w:firstLine="720"/>
        <w:jc w:val="both"/>
      </w:pPr>
      <w:r>
        <w:t>Historically the largest pacifist movements have been based on religion. Certain interpretations of the Sermon on the Mount see absolute pacifism in Jesus’ teachings. This interpretation could be seen in effect as early as in St. Maximillian of Numidia (</w:t>
      </w:r>
      <w:r w:rsidR="561BE23E" w:rsidRPr="207E036A">
        <w:rPr>
          <w:rFonts w:ascii="Calibri" w:eastAsia="Calibri" w:hAnsi="Calibri" w:cs="Calibri"/>
          <w:color w:val="222222"/>
          <w:sz w:val="20"/>
          <w:szCs w:val="20"/>
        </w:rPr>
        <w:t>274–295</w:t>
      </w:r>
      <w:r w:rsidRPr="207E036A">
        <w:t>)</w:t>
      </w:r>
      <w:r w:rsidRPr="2994F68F">
        <w:t xml:space="preserve"> who claimed that his faith contradicted his military service</w:t>
      </w:r>
      <w:r w:rsidR="008915B7">
        <w:rPr>
          <w:rStyle w:val="FootnoteReference"/>
        </w:rPr>
        <w:footnoteReference w:id="15"/>
      </w:r>
      <w:r w:rsidR="561BE23E">
        <w:t>. One of the most popular saints of all time, St. Martin of Tours was a conscientious objector</w:t>
      </w:r>
      <w:r w:rsidRPr="561BE23E">
        <w:rPr>
          <w:rStyle w:val="FootnoteReference"/>
        </w:rPr>
        <w:footnoteReference w:id="16"/>
      </w:r>
      <w:r w:rsidR="561BE23E">
        <w:t>. In the World Wars Christian conscientious objectors numbered in the tens, or even hundreds of thousands</w:t>
      </w:r>
      <w:r w:rsidRPr="561BE23E">
        <w:rPr>
          <w:rStyle w:val="FootnoteReference"/>
        </w:rPr>
        <w:footnoteReference w:id="17"/>
      </w:r>
      <w:r w:rsidR="561BE23E" w:rsidRPr="207E036A">
        <w:t>.</w:t>
      </w:r>
    </w:p>
    <w:p w14:paraId="31F3FF46" w14:textId="38B5D5FD" w:rsidR="079C2014" w:rsidRDefault="2994F68F" w:rsidP="079C2014">
      <w:pPr>
        <w:ind w:firstLine="720"/>
        <w:jc w:val="both"/>
      </w:pPr>
      <w:r>
        <w:t>Despite this</w:t>
      </w:r>
      <w:r w:rsidRPr="207E036A">
        <w:t xml:space="preserve">, </w:t>
      </w:r>
      <w:r>
        <w:t>Christians have mostly preferred Just War theory. Church Fathers, especially Augustine and Ambrose, are often considered the founders of Just War theory. In the Book of Romans, the Apostle Paul states that God has given the Emperor, and all rulers, power to wield the sword</w:t>
      </w:r>
      <w:r w:rsidRPr="207E036A">
        <w:t>.</w:t>
      </w:r>
      <w:r w:rsidR="079C2014" w:rsidRPr="2994F68F">
        <w:rPr>
          <w:rStyle w:val="FootnoteReference"/>
        </w:rPr>
        <w:footnoteReference w:id="18"/>
      </w:r>
      <w:r>
        <w:t xml:space="preserve"> </w:t>
      </w:r>
      <w:r>
        <w:lastRenderedPageBreak/>
        <w:t>There are also far more military saints than pacifist ones, starting with the Saints Longinus and Cornelius in the Bible. The disarming of clerics in the Medieval period was done to enforce the armed strength of the warrior class of knights and nobles.</w:t>
      </w:r>
      <w:r w:rsidR="079C2014" w:rsidRPr="2994F68F">
        <w:rPr>
          <w:rStyle w:val="FootnoteReference"/>
        </w:rPr>
        <w:footnoteReference w:id="19"/>
      </w:r>
    </w:p>
    <w:p w14:paraId="1CCB1C01" w14:textId="0F63280E" w:rsidR="5120513C" w:rsidRDefault="2994F68F" w:rsidP="2994F68F">
      <w:pPr>
        <w:ind w:firstLine="720"/>
        <w:jc w:val="both"/>
        <w:rPr>
          <w:rStyle w:val="FootnoteReference"/>
        </w:rPr>
      </w:pPr>
      <w:r>
        <w:t xml:space="preserve">Many forms of Hinduism, Buddhism, Taoism and Jainism reject any form of violence on principle, Gandhi being the most famous defender of these forms of Eastern Philosophies. In Gandhi’s thought although violence (especially in the case of self-defence) may be understandable, it is </w:t>
      </w:r>
      <w:proofErr w:type="gramStart"/>
      <w:r>
        <w:t>wrong</w:t>
      </w:r>
      <w:proofErr w:type="gramEnd"/>
      <w:r>
        <w:t xml:space="preserve"> nevertheless. In both Christian and Eastern cases appeals to doctrine were the basis of the arguments.</w:t>
      </w:r>
      <w:r w:rsidR="5120513C" w:rsidRPr="2994F68F">
        <w:rPr>
          <w:rStyle w:val="FootnoteReference"/>
        </w:rPr>
        <w:footnoteReference w:id="20"/>
      </w:r>
      <w:r>
        <w:t xml:space="preserve"> For many modern pacifists, arguments tend to be philosophical or concerned with the effects of war.</w:t>
      </w:r>
    </w:p>
    <w:p w14:paraId="563CE741" w14:textId="3B8D3D7F" w:rsidR="5120513C" w:rsidRDefault="2994F68F" w:rsidP="2994F68F">
      <w:pPr>
        <w:ind w:firstLine="720"/>
        <w:jc w:val="both"/>
      </w:pPr>
      <w:r>
        <w:t xml:space="preserve">A major concern in war is concerning war crimes or atrocities, especially towards civilians. Even before international law defined war crimes, ideas such as </w:t>
      </w:r>
      <w:r w:rsidRPr="207E036A">
        <w:rPr>
          <w:i/>
          <w:iCs/>
        </w:rPr>
        <w:t>mala in se (</w:t>
      </w:r>
      <w:r w:rsidRPr="207E036A">
        <w:t>intrinsic evil regardless of legality) formed a basis for anti-war movements. The argument was that soldiers can never really be stopped from committing evils when the moral ambiguity of warzones allowed such people to justify themselves.</w:t>
      </w:r>
      <w:r w:rsidR="5120513C" w:rsidRPr="207E036A">
        <w:rPr>
          <w:rStyle w:val="FootnoteReference"/>
        </w:rPr>
        <w:footnoteReference w:id="21"/>
      </w:r>
    </w:p>
    <w:p w14:paraId="1D8115D7" w14:textId="5D71EF2D" w:rsidR="079C2014" w:rsidRDefault="079C2014" w:rsidP="079C2014">
      <w:pPr>
        <w:ind w:firstLine="720"/>
        <w:jc w:val="both"/>
      </w:pPr>
      <w:r>
        <w:t>An example of how such atrocities can be avoided is the Castilian conquest of Toledo, which was carried out without bloodshed.</w:t>
      </w:r>
      <w:r w:rsidRPr="079C2014">
        <w:rPr>
          <w:rStyle w:val="FootnoteReference"/>
        </w:rPr>
        <w:footnoteReference w:id="22"/>
      </w:r>
      <w:r w:rsidRPr="207E036A">
        <w:t xml:space="preserve"> </w:t>
      </w:r>
      <w:r w:rsidRPr="207E036A">
        <w:rPr>
          <w:rFonts w:ascii="Calibri" w:eastAsia="Calibri" w:hAnsi="Calibri" w:cs="Calibri"/>
          <w:color w:val="000000" w:themeColor="text1"/>
          <w:sz w:val="21"/>
          <w:szCs w:val="21"/>
        </w:rPr>
        <w:t xml:space="preserve">A mere display of Castilian forces made the </w:t>
      </w:r>
      <w:proofErr w:type="spellStart"/>
      <w:r w:rsidRPr="207E036A">
        <w:rPr>
          <w:rFonts w:ascii="Calibri" w:eastAsia="Calibri" w:hAnsi="Calibri" w:cs="Calibri"/>
          <w:color w:val="000000" w:themeColor="text1"/>
          <w:sz w:val="21"/>
          <w:szCs w:val="21"/>
        </w:rPr>
        <w:t>Toledan</w:t>
      </w:r>
      <w:proofErr w:type="spellEnd"/>
      <w:r w:rsidRPr="207E036A">
        <w:rPr>
          <w:rFonts w:ascii="Calibri" w:eastAsia="Calibri" w:hAnsi="Calibri" w:cs="Calibri"/>
          <w:color w:val="000000" w:themeColor="text1"/>
          <w:sz w:val="21"/>
          <w:szCs w:val="21"/>
        </w:rPr>
        <w:t xml:space="preserve"> </w:t>
      </w:r>
      <w:proofErr w:type="spellStart"/>
      <w:r w:rsidRPr="207E036A">
        <w:rPr>
          <w:rFonts w:ascii="Calibri" w:eastAsia="Calibri" w:hAnsi="Calibri" w:cs="Calibri"/>
          <w:color w:val="000000" w:themeColor="text1"/>
          <w:sz w:val="21"/>
          <w:szCs w:val="21"/>
        </w:rPr>
        <w:t>Taifa</w:t>
      </w:r>
      <w:proofErr w:type="spellEnd"/>
      <w:r w:rsidRPr="207E036A">
        <w:rPr>
          <w:rFonts w:ascii="Calibri" w:eastAsia="Calibri" w:hAnsi="Calibri" w:cs="Calibri"/>
          <w:color w:val="000000" w:themeColor="text1"/>
          <w:sz w:val="21"/>
          <w:szCs w:val="21"/>
        </w:rPr>
        <w:t xml:space="preserve"> surrender their large kingdom without any further resistance. The lack of bloodshed meant that Arabic/Moorish culture would persevere hundreds of years after the conquest.</w:t>
      </w:r>
      <w:r w:rsidRPr="207E036A">
        <w:rPr>
          <w:rStyle w:val="FootnoteReference"/>
          <w:rFonts w:ascii="Calibri" w:eastAsia="Calibri" w:hAnsi="Calibri" w:cs="Calibri"/>
          <w:color w:val="000000" w:themeColor="text1"/>
          <w:sz w:val="21"/>
          <w:szCs w:val="21"/>
        </w:rPr>
        <w:footnoteReference w:id="23"/>
      </w:r>
      <w:r w:rsidRPr="207E036A">
        <w:rPr>
          <w:rFonts w:ascii="Calibri" w:eastAsia="Calibri" w:hAnsi="Calibri" w:cs="Calibri"/>
          <w:color w:val="000000" w:themeColor="text1"/>
          <w:sz w:val="21"/>
          <w:szCs w:val="21"/>
        </w:rPr>
        <w:t xml:space="preserve"> The 1085 conquest of Toledo is an excellent example a Medieval bloodless war. Both definitions of war fit as it involves one state’s use of armed force against another and was a large enough conflict to not simply be discarded as an aberration or technicality as most bloodless wars are.</w:t>
      </w:r>
    </w:p>
    <w:p w14:paraId="25F20769" w14:textId="35E76859" w:rsidR="079C2014" w:rsidRDefault="2994F68F" w:rsidP="2994F68F">
      <w:pPr>
        <w:ind w:firstLine="720"/>
        <w:jc w:val="both"/>
        <w:rPr>
          <w:rFonts w:ascii="Calibri" w:eastAsia="Calibri" w:hAnsi="Calibri" w:cs="Calibri"/>
          <w:color w:val="000000" w:themeColor="text1"/>
          <w:sz w:val="21"/>
          <w:szCs w:val="21"/>
        </w:rPr>
      </w:pPr>
      <w:r w:rsidRPr="207E036A">
        <w:rPr>
          <w:rFonts w:ascii="Calibri" w:eastAsia="Calibri" w:hAnsi="Calibri" w:cs="Calibri"/>
          <w:color w:val="000000" w:themeColor="text1"/>
          <w:sz w:val="21"/>
          <w:szCs w:val="21"/>
        </w:rPr>
        <w:t>The bloodless wars of the Medieval period were possible due to knights being a well-trained and relatively easily controlled group.</w:t>
      </w:r>
      <w:r w:rsidR="079C2014" w:rsidRPr="207E036A">
        <w:rPr>
          <w:rStyle w:val="FootnoteReference"/>
          <w:rFonts w:ascii="Calibri" w:eastAsia="Calibri" w:hAnsi="Calibri" w:cs="Calibri"/>
          <w:color w:val="000000" w:themeColor="text1"/>
          <w:sz w:val="21"/>
          <w:szCs w:val="21"/>
        </w:rPr>
        <w:footnoteReference w:id="24"/>
      </w:r>
      <w:r w:rsidR="079C2014" w:rsidRPr="207E036A">
        <w:rPr>
          <w:rFonts w:ascii="Calibri" w:eastAsia="Calibri" w:hAnsi="Calibri" w:cs="Calibri"/>
          <w:color w:val="000000" w:themeColor="text1"/>
          <w:sz w:val="21"/>
          <w:szCs w:val="21"/>
        </w:rPr>
        <w:t xml:space="preserve"> Similar efforts towards bloodless wars continue today. While many maintain that such a war is impossible in the modern world, there have been advances in non-lethal weaponry and tactics.</w:t>
      </w:r>
      <w:r w:rsidR="079C2014" w:rsidRPr="207E036A">
        <w:rPr>
          <w:rStyle w:val="FootnoteReference"/>
          <w:rFonts w:ascii="Calibri" w:eastAsia="Calibri" w:hAnsi="Calibri" w:cs="Calibri"/>
          <w:color w:val="000000" w:themeColor="text1"/>
          <w:sz w:val="21"/>
          <w:szCs w:val="21"/>
        </w:rPr>
        <w:footnoteReference w:id="25"/>
      </w:r>
      <w:r w:rsidR="079C2014" w:rsidRPr="207E036A">
        <w:rPr>
          <w:rFonts w:ascii="Calibri" w:eastAsia="Calibri" w:hAnsi="Calibri" w:cs="Calibri"/>
          <w:color w:val="000000" w:themeColor="text1"/>
          <w:sz w:val="21"/>
          <w:szCs w:val="21"/>
        </w:rPr>
        <w:t xml:space="preserve"> After gunpowder was widely utilised the problem arose of being unable to train larger, infantry-based armies.</w:t>
      </w:r>
      <w:r w:rsidR="079C2014" w:rsidRPr="207E036A">
        <w:rPr>
          <w:rStyle w:val="FootnoteReference"/>
          <w:rFonts w:ascii="Calibri" w:eastAsia="Calibri" w:hAnsi="Calibri" w:cs="Calibri"/>
          <w:color w:val="000000" w:themeColor="text1"/>
          <w:sz w:val="21"/>
          <w:szCs w:val="21"/>
        </w:rPr>
        <w:footnoteReference w:id="26"/>
      </w:r>
      <w:r w:rsidR="079C2014" w:rsidRPr="207E036A">
        <w:rPr>
          <w:rFonts w:ascii="Calibri" w:eastAsia="Calibri" w:hAnsi="Calibri" w:cs="Calibri"/>
          <w:color w:val="000000" w:themeColor="text1"/>
          <w:sz w:val="21"/>
          <w:szCs w:val="21"/>
        </w:rPr>
        <w:t xml:space="preserve"> Bloodless wars have been theorised to be possible utilising the military establishment and army professionalism. It is argued that professionalism can ensure ’moral strength’ and, with an equally moral chain of command, a bloodless war, or at least a casualty averse war, can be achieved.</w:t>
      </w:r>
      <w:r w:rsidR="079C2014" w:rsidRPr="207E036A">
        <w:rPr>
          <w:rStyle w:val="FootnoteReference"/>
          <w:rFonts w:ascii="Calibri" w:eastAsia="Calibri" w:hAnsi="Calibri" w:cs="Calibri"/>
          <w:color w:val="000000" w:themeColor="text1"/>
          <w:sz w:val="21"/>
          <w:szCs w:val="21"/>
        </w:rPr>
        <w:footnoteReference w:id="27"/>
      </w:r>
    </w:p>
    <w:p w14:paraId="68B54C56" w14:textId="5243F400" w:rsidR="079C2014" w:rsidRDefault="079C2014" w:rsidP="207E036A">
      <w:pPr>
        <w:ind w:firstLine="720"/>
        <w:jc w:val="both"/>
      </w:pPr>
      <w:r w:rsidRPr="207E036A">
        <w:rPr>
          <w:rFonts w:ascii="Calibri" w:eastAsia="Calibri" w:hAnsi="Calibri" w:cs="Calibri"/>
          <w:color w:val="000000" w:themeColor="text1"/>
          <w:sz w:val="21"/>
          <w:szCs w:val="21"/>
        </w:rPr>
        <w:t xml:space="preserve">Many pacifists would argue that even if bloodshed could be avoided, war is still intrinsically evil. </w:t>
      </w:r>
      <w:r w:rsidR="2994F68F" w:rsidRPr="207E036A">
        <w:t xml:space="preserve">An argument based on politics is the Liberal Pacifism argument, which argues that the Liberal </w:t>
      </w:r>
      <w:r w:rsidR="2994F68F" w:rsidRPr="207E036A">
        <w:lastRenderedPageBreak/>
        <w:t>Democratic ideal of power from below runs counter to the notion that a superior officer can order another to fight. True equality under the law cannot be achieved when there is a legal structure with power over individuals such as the right to kill or use force.</w:t>
      </w:r>
      <w:r w:rsidR="00882EE4">
        <w:rPr>
          <w:rStyle w:val="FootnoteReference"/>
        </w:rPr>
        <w:footnoteReference w:id="28"/>
      </w:r>
    </w:p>
    <w:p w14:paraId="1119B3EB" w14:textId="46330F8A" w:rsidR="079C2014" w:rsidRDefault="207E036A" w:rsidP="207E036A">
      <w:pPr>
        <w:ind w:firstLine="720"/>
        <w:jc w:val="both"/>
      </w:pPr>
      <w:r w:rsidRPr="207E036A">
        <w:t xml:space="preserve">Against this one could argue that if the military is inclusive, the problem is minimal. Every profession involves </w:t>
      </w:r>
      <w:r w:rsidRPr="207E036A">
        <w:rPr>
          <w:rFonts w:ascii="Calibri" w:eastAsia="Calibri" w:hAnsi="Calibri" w:cs="Calibri"/>
        </w:rPr>
        <w:t>hierarchies of competence</w:t>
      </w:r>
      <w:r w:rsidRPr="207E036A">
        <w:t>. The military is not unique in this aspect. Short of Marxism, there is no way to prevent inequality of outcome in a working economy and Marxism tends to reject Liberal Democracies. In an ideal meritocracy the hierarchy will be based on competency</w:t>
      </w:r>
      <w:r w:rsidR="079C2014" w:rsidRPr="207E036A">
        <w:footnoteReference w:id="29"/>
      </w:r>
      <w:r w:rsidR="079C2014" w:rsidRPr="207E036A">
        <w:rPr>
          <w:rStyle w:val="FootnoteReference"/>
        </w:rPr>
        <w:footnoteReference w:id="30"/>
      </w:r>
    </w:p>
    <w:p w14:paraId="0F949348" w14:textId="735F461F" w:rsidR="079C2014" w:rsidRDefault="2994F68F" w:rsidP="207E036A">
      <w:pPr>
        <w:ind w:firstLine="720"/>
        <w:jc w:val="both"/>
      </w:pPr>
      <w:r w:rsidRPr="207E036A">
        <w:t>Another argument is the Libertarian Pacifist (Zero-Aggression) position. People of this position argue that when governments can declare war, they wield a unique sort of power that affects everyone in a state. Governments have also been known to increase propaganda or state power using war, directly going against libertarian principles. Proponents of this position do not always reject armies as a rule, as an army could be used for defensive purposes. They believe that the state should not declare war.</w:t>
      </w:r>
      <w:r w:rsidR="079C2014" w:rsidRPr="2994F68F">
        <w:rPr>
          <w:rStyle w:val="FootnoteReference"/>
        </w:rPr>
        <w:footnoteReference w:id="31"/>
      </w:r>
    </w:p>
    <w:p w14:paraId="7D2C24B3" w14:textId="145617CA" w:rsidR="207E036A" w:rsidRDefault="207E036A" w:rsidP="207E036A">
      <w:pPr>
        <w:ind w:firstLine="720"/>
        <w:jc w:val="both"/>
      </w:pPr>
      <w:r w:rsidRPr="207E036A">
        <w:t>Against Libertarian Pacifism it could be argued that a country may need to protect its interests outside its borders. Libertarians tend to agree with Free Trade, but less Libertarian countries may decide to embargo a fully Libertarian one. In that case how can Free Trade be guaranteed if it relies on other countries? To rule out all declarations of war may in certain cases negatively affect one’s own liberties.</w:t>
      </w:r>
    </w:p>
    <w:p w14:paraId="0CD64C80" w14:textId="3A6D3091" w:rsidR="079C2014" w:rsidRDefault="207E036A" w:rsidP="207E036A">
      <w:pPr>
        <w:ind w:firstLine="720"/>
        <w:jc w:val="both"/>
      </w:pPr>
      <w:r w:rsidRPr="207E036A">
        <w:t xml:space="preserve">The ‘sceptical pacifist’ position states that rather than defend pacifism those threatening war must defend their right to kill. As they could potentially be responsible for the death of anyone in the country that they are at war with, they must be able to justify the death of any and </w:t>
      </w:r>
      <w:proofErr w:type="gramStart"/>
      <w:r w:rsidRPr="207E036A">
        <w:t>every one</w:t>
      </w:r>
      <w:proofErr w:type="gramEnd"/>
      <w:r w:rsidRPr="207E036A">
        <w:t xml:space="preserve"> there, something that they argue cannot reasonably be done.</w:t>
      </w:r>
    </w:p>
    <w:p w14:paraId="3339F8F8" w14:textId="46DE82B9" w:rsidR="207E036A" w:rsidRDefault="207E036A" w:rsidP="207E036A">
      <w:pPr>
        <w:ind w:firstLine="720"/>
        <w:jc w:val="both"/>
      </w:pPr>
      <w:r w:rsidRPr="207E036A">
        <w:t>Against the sceptical position it could be argued that decisions sometimes must be made regardless of how many innocent people it affects. For example, quarantine is widely employed and has been since the Medieval Period.</w:t>
      </w:r>
      <w:r w:rsidRPr="207E036A">
        <w:rPr>
          <w:rStyle w:val="FootnoteReference"/>
        </w:rPr>
        <w:footnoteReference w:id="32"/>
      </w:r>
      <w:r w:rsidRPr="207E036A">
        <w:t xml:space="preserve"> Extremely infectious and dangerous diseases have been curtailed with quarantine, though it threatens the life of those quarantined. This tends to be justified in two ways: the Christian value of responsibility for ‘what we have failed to do’ and the Utilitarian value of serving the greatest number of people. There are many who would consider failing to help someone else as a moral failing. Therefore, if it could be proven that another regime intended to do more harm than a war would create, then there is no reason to call that war immoral.</w:t>
      </w:r>
    </w:p>
    <w:p w14:paraId="5FB957C1" w14:textId="0A9411D8" w:rsidR="079C2014" w:rsidRDefault="207E036A" w:rsidP="207E036A">
      <w:pPr>
        <w:ind w:firstLine="720"/>
        <w:jc w:val="both"/>
      </w:pPr>
      <w:r w:rsidRPr="207E036A">
        <w:rPr>
          <w:i/>
          <w:iCs/>
        </w:rPr>
        <w:t>Prima Facie</w:t>
      </w:r>
      <w:r w:rsidRPr="207E036A">
        <w:t xml:space="preserve"> pacifism states that calls for war cannot be trusted due to the amount of times calls for war have been based on lies only found out later. Only under extreme and irrefutable evidence can war take place. A </w:t>
      </w:r>
      <w:r w:rsidRPr="207E036A">
        <w:rPr>
          <w:i/>
          <w:iCs/>
        </w:rPr>
        <w:t>Prima Facie</w:t>
      </w:r>
      <w:r w:rsidRPr="207E036A">
        <w:t xml:space="preserve"> Pacifist and a Sceptical Pacifist might disagree on WWII as the Sceptical Pacifist could see all the German civilian victims, such as those in Dresden, and see that </w:t>
      </w:r>
      <w:r w:rsidRPr="207E036A">
        <w:lastRenderedPageBreak/>
        <w:t xml:space="preserve">as unjustifiable; whereas the </w:t>
      </w:r>
      <w:r w:rsidRPr="207E036A">
        <w:rPr>
          <w:i/>
          <w:iCs/>
        </w:rPr>
        <w:t>Prima Facie</w:t>
      </w:r>
      <w:r w:rsidRPr="207E036A">
        <w:t xml:space="preserve"> Pacifist might see the evidence of Nazi, Fascist and Japanese atrocities and see that as justification.</w:t>
      </w:r>
    </w:p>
    <w:p w14:paraId="466A1C82" w14:textId="3B1CAF51" w:rsidR="207E036A" w:rsidRDefault="207E036A" w:rsidP="207E036A">
      <w:pPr>
        <w:ind w:firstLine="720"/>
        <w:jc w:val="both"/>
      </w:pPr>
      <w:r w:rsidRPr="207E036A">
        <w:t xml:space="preserve">This is a hard position to fully satisfy. What one considers to be beyond any reasonable doubt is not the same as another’s. As a personal stance it makes perfect sense to only wish for war when </w:t>
      </w:r>
      <w:proofErr w:type="gramStart"/>
      <w:r w:rsidRPr="207E036A">
        <w:t>absolutely necessary</w:t>
      </w:r>
      <w:proofErr w:type="gramEnd"/>
      <w:r w:rsidRPr="207E036A">
        <w:t>, but this stance offers no practical solutions to the problem of war.</w:t>
      </w:r>
    </w:p>
    <w:p w14:paraId="3F89D6EB" w14:textId="152359A8" w:rsidR="079C2014" w:rsidRDefault="2994F68F" w:rsidP="207E036A">
      <w:pPr>
        <w:ind w:firstLine="720"/>
        <w:jc w:val="both"/>
      </w:pPr>
      <w:r w:rsidRPr="2994F68F">
        <w:t>Transformational Pacifism posits that Pacifism is worth whatever price there is to pay for inaction as the ardent pursuit of Pacifism might create a society where war is so archaic that it is no longer considered an option. In this belief any pursuit of war perpetuates war and that is unacceptable.</w:t>
      </w:r>
      <w:r w:rsidR="079C2014" w:rsidRPr="2994F68F">
        <w:rPr>
          <w:rStyle w:val="FootnoteReference"/>
        </w:rPr>
        <w:footnoteReference w:id="33"/>
      </w:r>
    </w:p>
    <w:p w14:paraId="05572580" w14:textId="4E3709C4" w:rsidR="207E036A" w:rsidRDefault="207E036A" w:rsidP="207E036A">
      <w:pPr>
        <w:ind w:firstLine="720"/>
        <w:jc w:val="both"/>
      </w:pPr>
      <w:r w:rsidRPr="207E036A">
        <w:t>This is another view that is hard to argue against as it is entirely theoretical. Gandhi is the main supporter of this view and he supported it on religious grounds. For those who do not share his religion or convictions about society this position cannot be found convincing.</w:t>
      </w:r>
    </w:p>
    <w:p w14:paraId="3884C2E0" w14:textId="32A1CFFB" w:rsidR="079C2014" w:rsidRDefault="2994F68F" w:rsidP="207E036A">
      <w:pPr>
        <w:ind w:firstLine="720"/>
        <w:jc w:val="both"/>
      </w:pPr>
      <w:r w:rsidRPr="2994F68F">
        <w:t>Utilitarian Pacifists argue that the greatest happiness of the greatest amount of people must be pursued. War very rarely increases happiness; therefore, war should be avoided at any cost less than the cost of the war itself.  Utilitarian pacifists tend to say that other options can always be pursued and almost any is preferable to war.</w:t>
      </w:r>
    </w:p>
    <w:p w14:paraId="0CFF7C4D" w14:textId="1E697508" w:rsidR="207E036A" w:rsidRDefault="207E036A" w:rsidP="207E036A">
      <w:pPr>
        <w:ind w:firstLine="720"/>
        <w:jc w:val="both"/>
      </w:pPr>
      <w:r w:rsidRPr="207E036A">
        <w:t>This position is weak in areas where there is lasting tension, such as in Reconquista-era Spain. Tensions caused by identity can recur throughout history.</w:t>
      </w:r>
      <w:r w:rsidRPr="207E036A">
        <w:rPr>
          <w:rStyle w:val="FootnoteReference"/>
        </w:rPr>
        <w:footnoteReference w:id="34"/>
      </w:r>
      <w:r w:rsidRPr="207E036A">
        <w:t xml:space="preserve"> Most conquests in this period were violent on both sides. It would be hard to argue that Alfonso of Castile was wrong for pursuing </w:t>
      </w:r>
      <w:r w:rsidR="004173A1">
        <w:t>the</w:t>
      </w:r>
      <w:r w:rsidRPr="207E036A">
        <w:t xml:space="preserve"> bloodless </w:t>
      </w:r>
      <w:r w:rsidR="004173A1">
        <w:t>conquest of Toledo</w:t>
      </w:r>
      <w:r w:rsidRPr="207E036A">
        <w:t>, when a bloodier war could have followed. A true Utilitarian would likely concede that if a war creates more happiness than the lack of that war, the war is just.</w:t>
      </w:r>
    </w:p>
    <w:p w14:paraId="684F2F61" w14:textId="529051BA" w:rsidR="00D129E4" w:rsidRDefault="207E036A" w:rsidP="008915B7">
      <w:pPr>
        <w:ind w:firstLine="720"/>
        <w:jc w:val="both"/>
      </w:pPr>
      <w:r w:rsidRPr="207E036A">
        <w:t>There are other pacifist positions than those given here, but from these it can be ascertained that some Pacifists do believe in just wars. The debate has nuances beyond simple pro-war and anti-war categories. Nevertheless, most people consider certain wars to be just, and there are strong arguments behind such convictions.</w:t>
      </w:r>
    </w:p>
    <w:p w14:paraId="76173AF2" w14:textId="77777777" w:rsidR="00D129E4" w:rsidRDefault="00D129E4" w:rsidP="207E036A">
      <w:pPr>
        <w:ind w:firstLine="720"/>
        <w:jc w:val="both"/>
      </w:pPr>
    </w:p>
    <w:p w14:paraId="064C39BA" w14:textId="57381AD8" w:rsidR="00D129E4" w:rsidRDefault="00D129E4" w:rsidP="00D129E4">
      <w:pPr>
        <w:pStyle w:val="Heading1"/>
        <w:rPr>
          <w:rFonts w:eastAsia="Calibri"/>
        </w:rPr>
      </w:pPr>
      <w:r>
        <w:rPr>
          <w:rFonts w:eastAsia="Calibri"/>
        </w:rPr>
        <w:t>Bibliography</w:t>
      </w:r>
    </w:p>
    <w:p w14:paraId="27FE2E78" w14:textId="77777777" w:rsidR="0094233E" w:rsidRPr="0094233E" w:rsidRDefault="0094233E" w:rsidP="0094233E">
      <w:pPr>
        <w:rPr>
          <w:color w:val="666666"/>
          <w:sz w:val="19"/>
          <w:szCs w:val="19"/>
        </w:rPr>
      </w:pPr>
      <w:r w:rsidRPr="0094233E">
        <w:rPr>
          <w:color w:val="666666"/>
          <w:sz w:val="19"/>
          <w:szCs w:val="19"/>
        </w:rPr>
        <w:t>"Great Philosophers: Augustine On War", Oregonstate.Edu, 2018 &lt;https://oregonstate.edu/instruct/phl201/modules/Philosophers/Augustine/augustine_justwar.html&gt; [Accessed 20 December 2018]</w:t>
      </w:r>
    </w:p>
    <w:p w14:paraId="5D496C43" w14:textId="77777777" w:rsidR="0094233E" w:rsidRPr="0094233E" w:rsidRDefault="0094233E" w:rsidP="0094233E">
      <w:pPr>
        <w:rPr>
          <w:color w:val="666666"/>
          <w:sz w:val="19"/>
          <w:szCs w:val="19"/>
        </w:rPr>
      </w:pPr>
    </w:p>
    <w:p w14:paraId="64CB28CB" w14:textId="77777777" w:rsidR="0094233E" w:rsidRPr="0094233E" w:rsidRDefault="0094233E" w:rsidP="0094233E">
      <w:pPr>
        <w:rPr>
          <w:color w:val="666666"/>
          <w:sz w:val="19"/>
          <w:szCs w:val="19"/>
        </w:rPr>
      </w:pPr>
      <w:r w:rsidRPr="0094233E">
        <w:rPr>
          <w:color w:val="666666"/>
          <w:sz w:val="19"/>
          <w:szCs w:val="19"/>
        </w:rPr>
        <w:t>"Overheid.Nl | Treaty Database", Minbuza.Nl, 2018 &lt;http://www.minbuza.nl/en/key-topics/treaties/depositary-duties-of-the-kingdom-of-the-netherlands/other-treaties-for-which-the-netherlands-acts-as-depositary/the-hague-peace-conventions-1899.html&gt; [Accessed 20 December 2018]</w:t>
      </w:r>
    </w:p>
    <w:p w14:paraId="60E8E782" w14:textId="77777777" w:rsidR="0094233E" w:rsidRPr="0094233E" w:rsidRDefault="0094233E" w:rsidP="0094233E">
      <w:pPr>
        <w:rPr>
          <w:color w:val="666666"/>
          <w:sz w:val="19"/>
          <w:szCs w:val="19"/>
        </w:rPr>
      </w:pPr>
    </w:p>
    <w:p w14:paraId="6206586A" w14:textId="77777777" w:rsidR="0094233E" w:rsidRPr="0094233E" w:rsidRDefault="0094233E" w:rsidP="0094233E">
      <w:pPr>
        <w:rPr>
          <w:color w:val="666666"/>
          <w:sz w:val="19"/>
          <w:szCs w:val="19"/>
        </w:rPr>
      </w:pPr>
      <w:r w:rsidRPr="0094233E">
        <w:rPr>
          <w:color w:val="666666"/>
          <w:sz w:val="19"/>
          <w:szCs w:val="19"/>
        </w:rPr>
        <w:t xml:space="preserve">"Pacifism (Stanford </w:t>
      </w:r>
      <w:proofErr w:type="spellStart"/>
      <w:r w:rsidRPr="0094233E">
        <w:rPr>
          <w:color w:val="666666"/>
          <w:sz w:val="19"/>
          <w:szCs w:val="19"/>
        </w:rPr>
        <w:t>Encyclopedia</w:t>
      </w:r>
      <w:proofErr w:type="spellEnd"/>
      <w:r w:rsidRPr="0094233E">
        <w:rPr>
          <w:color w:val="666666"/>
          <w:sz w:val="19"/>
          <w:szCs w:val="19"/>
        </w:rPr>
        <w:t xml:space="preserve"> Of Philosophy)", </w:t>
      </w:r>
      <w:proofErr w:type="gramStart"/>
      <w:r w:rsidRPr="0094233E">
        <w:rPr>
          <w:color w:val="666666"/>
          <w:sz w:val="19"/>
          <w:szCs w:val="19"/>
        </w:rPr>
        <w:t>Plato.Stanford.Edu</w:t>
      </w:r>
      <w:proofErr w:type="gramEnd"/>
      <w:r w:rsidRPr="0094233E">
        <w:rPr>
          <w:color w:val="666666"/>
          <w:sz w:val="19"/>
          <w:szCs w:val="19"/>
        </w:rPr>
        <w:t>, 2018 &lt;https://plato.stanford.edu/entries/pacifism/&gt; [Accessed 20 December 2018]</w:t>
      </w:r>
    </w:p>
    <w:p w14:paraId="287AD3D2" w14:textId="77777777" w:rsidR="0094233E" w:rsidRPr="0094233E" w:rsidRDefault="0094233E" w:rsidP="0094233E">
      <w:pPr>
        <w:rPr>
          <w:color w:val="666666"/>
          <w:sz w:val="19"/>
          <w:szCs w:val="19"/>
        </w:rPr>
      </w:pPr>
    </w:p>
    <w:p w14:paraId="0B1CD5B1" w14:textId="77777777" w:rsidR="0094233E" w:rsidRPr="0094233E" w:rsidRDefault="0094233E" w:rsidP="0094233E">
      <w:pPr>
        <w:rPr>
          <w:color w:val="666666"/>
          <w:sz w:val="19"/>
          <w:szCs w:val="19"/>
        </w:rPr>
      </w:pPr>
      <w:r w:rsidRPr="0094233E">
        <w:rPr>
          <w:color w:val="666666"/>
          <w:sz w:val="19"/>
          <w:szCs w:val="19"/>
        </w:rPr>
        <w:t xml:space="preserve">"Report On British Attitudes To Defence, Security And The Armed Forces | </w:t>
      </w:r>
      <w:proofErr w:type="spellStart"/>
      <w:r w:rsidRPr="0094233E">
        <w:rPr>
          <w:color w:val="666666"/>
          <w:sz w:val="19"/>
          <w:szCs w:val="19"/>
        </w:rPr>
        <w:t>Yougov</w:t>
      </w:r>
      <w:proofErr w:type="spellEnd"/>
      <w:r w:rsidRPr="0094233E">
        <w:rPr>
          <w:color w:val="666666"/>
          <w:sz w:val="19"/>
          <w:szCs w:val="19"/>
        </w:rPr>
        <w:t xml:space="preserve">", </w:t>
      </w:r>
      <w:proofErr w:type="gramStart"/>
      <w:r w:rsidRPr="0094233E">
        <w:rPr>
          <w:color w:val="666666"/>
          <w:sz w:val="19"/>
          <w:szCs w:val="19"/>
        </w:rPr>
        <w:t>Yougov.Co.Uk</w:t>
      </w:r>
      <w:proofErr w:type="gramEnd"/>
      <w:r w:rsidRPr="0094233E">
        <w:rPr>
          <w:color w:val="666666"/>
          <w:sz w:val="19"/>
          <w:szCs w:val="19"/>
        </w:rPr>
        <w:t>, 2018 &lt;https://yougov.co.uk/topics/international/articles-reports/2014/10/25/report-british-attitudes-defence-security-and-arme&gt; [Accessed 20 December 2018]</w:t>
      </w:r>
    </w:p>
    <w:p w14:paraId="6C3E95D4" w14:textId="77777777" w:rsidR="0094233E" w:rsidRPr="0094233E" w:rsidRDefault="0094233E" w:rsidP="0094233E">
      <w:pPr>
        <w:rPr>
          <w:color w:val="666666"/>
          <w:sz w:val="19"/>
          <w:szCs w:val="19"/>
        </w:rPr>
      </w:pPr>
    </w:p>
    <w:p w14:paraId="3806DE80" w14:textId="77777777" w:rsidR="0094233E" w:rsidRPr="0094233E" w:rsidRDefault="0094233E" w:rsidP="0094233E">
      <w:pPr>
        <w:rPr>
          <w:color w:val="666666"/>
          <w:sz w:val="19"/>
          <w:szCs w:val="19"/>
        </w:rPr>
      </w:pPr>
      <w:r w:rsidRPr="0094233E">
        <w:rPr>
          <w:color w:val="666666"/>
          <w:sz w:val="19"/>
          <w:szCs w:val="19"/>
        </w:rPr>
        <w:t xml:space="preserve">"St. Martin Of Tours | French Saint", </w:t>
      </w:r>
      <w:proofErr w:type="spellStart"/>
      <w:r w:rsidRPr="0094233E">
        <w:rPr>
          <w:color w:val="666666"/>
          <w:sz w:val="19"/>
          <w:szCs w:val="19"/>
        </w:rPr>
        <w:t>Encyclopedia</w:t>
      </w:r>
      <w:proofErr w:type="spellEnd"/>
      <w:r w:rsidRPr="0094233E">
        <w:rPr>
          <w:color w:val="666666"/>
          <w:sz w:val="19"/>
          <w:szCs w:val="19"/>
        </w:rPr>
        <w:t xml:space="preserve"> Britannica, 2018 &lt;https://w</w:t>
      </w:r>
    </w:p>
    <w:p w14:paraId="7A92B155" w14:textId="77777777" w:rsidR="0094233E" w:rsidRPr="0094233E" w:rsidRDefault="0094233E" w:rsidP="0094233E">
      <w:pPr>
        <w:rPr>
          <w:color w:val="666666"/>
          <w:sz w:val="19"/>
          <w:szCs w:val="19"/>
        </w:rPr>
      </w:pPr>
    </w:p>
    <w:p w14:paraId="68AA0C1A" w14:textId="77777777" w:rsidR="0094233E" w:rsidRPr="0094233E" w:rsidRDefault="0094233E" w:rsidP="0094233E">
      <w:pPr>
        <w:rPr>
          <w:color w:val="666666"/>
          <w:sz w:val="19"/>
          <w:szCs w:val="19"/>
        </w:rPr>
      </w:pPr>
      <w:r w:rsidRPr="0094233E">
        <w:rPr>
          <w:color w:val="666666"/>
          <w:sz w:val="19"/>
          <w:szCs w:val="19"/>
        </w:rPr>
        <w:t>Aaron Michael Moreno, Arabicizing, Privileges, and Liturgy in Medieval Castilian Toledo: The Problems and Mutations of Mozarab Identification (1085-1436) (Los Angeles: University of California Press, 2012), p. 4.</w:t>
      </w:r>
    </w:p>
    <w:p w14:paraId="5E9F35F5" w14:textId="77777777" w:rsidR="0094233E" w:rsidRPr="0094233E" w:rsidRDefault="0094233E" w:rsidP="0094233E">
      <w:pPr>
        <w:rPr>
          <w:color w:val="666666"/>
          <w:sz w:val="19"/>
          <w:szCs w:val="19"/>
        </w:rPr>
      </w:pPr>
    </w:p>
    <w:p w14:paraId="1CE5E327" w14:textId="77777777" w:rsidR="0094233E" w:rsidRPr="0094233E" w:rsidRDefault="0094233E" w:rsidP="0094233E">
      <w:pPr>
        <w:rPr>
          <w:color w:val="666666"/>
          <w:sz w:val="19"/>
          <w:szCs w:val="19"/>
        </w:rPr>
      </w:pPr>
      <w:r w:rsidRPr="0094233E">
        <w:rPr>
          <w:color w:val="666666"/>
          <w:sz w:val="19"/>
          <w:szCs w:val="19"/>
        </w:rPr>
        <w:t xml:space="preserve">Alban Butler and Teresa Rodrigues (1999). Butler's Lives </w:t>
      </w:r>
      <w:proofErr w:type="gramStart"/>
      <w:r w:rsidRPr="0094233E">
        <w:rPr>
          <w:color w:val="666666"/>
          <w:sz w:val="19"/>
          <w:szCs w:val="19"/>
        </w:rPr>
        <w:t>Of</w:t>
      </w:r>
      <w:proofErr w:type="gramEnd"/>
      <w:r w:rsidRPr="0094233E">
        <w:rPr>
          <w:color w:val="666666"/>
          <w:sz w:val="19"/>
          <w:szCs w:val="19"/>
        </w:rPr>
        <w:t xml:space="preserve"> The Saints Tunbridge Wells, Kent: Burns &amp; Oates/Search Press, Ltd</w:t>
      </w:r>
    </w:p>
    <w:p w14:paraId="3A481F44" w14:textId="77777777" w:rsidR="0094233E" w:rsidRPr="0094233E" w:rsidRDefault="0094233E" w:rsidP="0094233E">
      <w:pPr>
        <w:rPr>
          <w:color w:val="666666"/>
          <w:sz w:val="19"/>
          <w:szCs w:val="19"/>
        </w:rPr>
      </w:pPr>
    </w:p>
    <w:p w14:paraId="7BE45435" w14:textId="77777777" w:rsidR="0094233E" w:rsidRPr="0094233E" w:rsidRDefault="0094233E" w:rsidP="0094233E">
      <w:pPr>
        <w:rPr>
          <w:color w:val="666666"/>
          <w:sz w:val="19"/>
          <w:szCs w:val="19"/>
        </w:rPr>
      </w:pPr>
      <w:r w:rsidRPr="0094233E">
        <w:rPr>
          <w:color w:val="666666"/>
          <w:sz w:val="19"/>
          <w:szCs w:val="19"/>
        </w:rPr>
        <w:t xml:space="preserve">Andrew Cliff and Matthew Smallman-Raynor, Oxford Textbook of Infectious Disease Control: A Geographical Analysis from Medieval Quarantine to Global Eradication (Oxford Textbooks In Public Health) (English </w:t>
      </w:r>
      <w:proofErr w:type="gramStart"/>
      <w:r w:rsidRPr="0094233E">
        <w:rPr>
          <w:color w:val="666666"/>
          <w:sz w:val="19"/>
          <w:szCs w:val="19"/>
        </w:rPr>
        <w:t>Edition)(</w:t>
      </w:r>
      <w:proofErr w:type="gramEnd"/>
      <w:r w:rsidRPr="0094233E">
        <w:rPr>
          <w:color w:val="666666"/>
          <w:sz w:val="19"/>
          <w:szCs w:val="19"/>
        </w:rPr>
        <w:t>Oxford: OUP, 2013), in , &lt;&gt; [accessed 20 December 2018].</w:t>
      </w:r>
    </w:p>
    <w:p w14:paraId="017F73A9" w14:textId="77777777" w:rsidR="0094233E" w:rsidRPr="0094233E" w:rsidRDefault="0094233E" w:rsidP="0094233E">
      <w:pPr>
        <w:rPr>
          <w:color w:val="666666"/>
          <w:sz w:val="19"/>
          <w:szCs w:val="19"/>
        </w:rPr>
      </w:pPr>
    </w:p>
    <w:p w14:paraId="1184DE5C" w14:textId="77777777" w:rsidR="0094233E" w:rsidRPr="0094233E" w:rsidRDefault="0094233E" w:rsidP="0094233E">
      <w:pPr>
        <w:rPr>
          <w:color w:val="666666"/>
          <w:sz w:val="19"/>
          <w:szCs w:val="19"/>
        </w:rPr>
      </w:pPr>
      <w:r w:rsidRPr="0094233E">
        <w:rPr>
          <w:color w:val="666666"/>
          <w:sz w:val="19"/>
          <w:szCs w:val="19"/>
        </w:rPr>
        <w:t xml:space="preserve">Bernard S. </w:t>
      </w:r>
      <w:proofErr w:type="gramStart"/>
      <w:r w:rsidRPr="0094233E">
        <w:rPr>
          <w:color w:val="666666"/>
          <w:sz w:val="19"/>
          <w:szCs w:val="19"/>
        </w:rPr>
        <w:t>Bachrach ,</w:t>
      </w:r>
      <w:proofErr w:type="gramEnd"/>
      <w:r w:rsidRPr="0094233E">
        <w:rPr>
          <w:color w:val="666666"/>
          <w:sz w:val="19"/>
          <w:szCs w:val="19"/>
        </w:rPr>
        <w:t xml:space="preserve"> 'Focus On </w:t>
      </w:r>
      <w:proofErr w:type="spellStart"/>
      <w:r w:rsidRPr="0094233E">
        <w:rPr>
          <w:color w:val="666666"/>
          <w:sz w:val="19"/>
          <w:szCs w:val="19"/>
        </w:rPr>
        <w:t>theMedieval</w:t>
      </w:r>
      <w:proofErr w:type="spellEnd"/>
      <w:r w:rsidRPr="0094233E">
        <w:rPr>
          <w:color w:val="666666"/>
          <w:sz w:val="19"/>
          <w:szCs w:val="19"/>
        </w:rPr>
        <w:t xml:space="preserve"> siege warfare: A reconnaissance', The Journal of Military History, 58.1, (1994), .</w:t>
      </w:r>
    </w:p>
    <w:p w14:paraId="3153193C" w14:textId="77777777" w:rsidR="0094233E" w:rsidRPr="0094233E" w:rsidRDefault="0094233E" w:rsidP="0094233E">
      <w:pPr>
        <w:rPr>
          <w:color w:val="666666"/>
          <w:sz w:val="19"/>
          <w:szCs w:val="19"/>
        </w:rPr>
      </w:pPr>
    </w:p>
    <w:p w14:paraId="5BFBDF69" w14:textId="77777777" w:rsidR="0094233E" w:rsidRPr="0094233E" w:rsidRDefault="0094233E" w:rsidP="0094233E">
      <w:pPr>
        <w:rPr>
          <w:color w:val="666666"/>
          <w:sz w:val="19"/>
          <w:szCs w:val="19"/>
        </w:rPr>
      </w:pPr>
      <w:r w:rsidRPr="0094233E">
        <w:rPr>
          <w:color w:val="666666"/>
          <w:sz w:val="19"/>
          <w:szCs w:val="19"/>
        </w:rPr>
        <w:t xml:space="preserve">Butler, Alban, and Teresa Rodrigues, Butler's Lives </w:t>
      </w:r>
      <w:proofErr w:type="gramStart"/>
      <w:r w:rsidRPr="0094233E">
        <w:rPr>
          <w:color w:val="666666"/>
          <w:sz w:val="19"/>
          <w:szCs w:val="19"/>
        </w:rPr>
        <w:t>Of</w:t>
      </w:r>
      <w:proofErr w:type="gramEnd"/>
      <w:r w:rsidRPr="0094233E">
        <w:rPr>
          <w:color w:val="666666"/>
          <w:sz w:val="19"/>
          <w:szCs w:val="19"/>
        </w:rPr>
        <w:t xml:space="preserve"> The Saints (Tunbridge Wells, Kent: Burns &amp; Oates/Search Press, Ltd., 1999) March 12</w:t>
      </w:r>
    </w:p>
    <w:p w14:paraId="68B6A1B6" w14:textId="77777777" w:rsidR="0094233E" w:rsidRPr="0094233E" w:rsidRDefault="0094233E" w:rsidP="0094233E">
      <w:pPr>
        <w:rPr>
          <w:color w:val="666666"/>
          <w:sz w:val="19"/>
          <w:szCs w:val="19"/>
        </w:rPr>
      </w:pPr>
    </w:p>
    <w:p w14:paraId="4166AE1D" w14:textId="77777777" w:rsidR="0094233E" w:rsidRPr="0094233E" w:rsidRDefault="0094233E" w:rsidP="0094233E">
      <w:pPr>
        <w:rPr>
          <w:color w:val="666666"/>
          <w:sz w:val="19"/>
          <w:szCs w:val="19"/>
        </w:rPr>
      </w:pPr>
      <w:r w:rsidRPr="0094233E">
        <w:rPr>
          <w:color w:val="666666"/>
          <w:sz w:val="19"/>
          <w:szCs w:val="19"/>
        </w:rPr>
        <w:t xml:space="preserve">Dan Smith, 'Focus </w:t>
      </w:r>
      <w:proofErr w:type="gramStart"/>
      <w:r w:rsidRPr="0094233E">
        <w:rPr>
          <w:color w:val="666666"/>
          <w:sz w:val="19"/>
          <w:szCs w:val="19"/>
        </w:rPr>
        <w:t>On</w:t>
      </w:r>
      <w:proofErr w:type="gramEnd"/>
      <w:r w:rsidRPr="0094233E">
        <w:rPr>
          <w:color w:val="666666"/>
          <w:sz w:val="19"/>
          <w:szCs w:val="19"/>
        </w:rPr>
        <w:t xml:space="preserve"> the Case against Intervention: Just War, Clausewitz and Sarajevo', Journal of Peace Research, 31.2, (1994), 136-142.</w:t>
      </w:r>
    </w:p>
    <w:p w14:paraId="1B327710" w14:textId="77777777" w:rsidR="0094233E" w:rsidRPr="0094233E" w:rsidRDefault="0094233E" w:rsidP="0094233E">
      <w:pPr>
        <w:rPr>
          <w:color w:val="666666"/>
          <w:sz w:val="19"/>
          <w:szCs w:val="19"/>
        </w:rPr>
      </w:pPr>
    </w:p>
    <w:p w14:paraId="7A0E6332" w14:textId="77777777" w:rsidR="0094233E" w:rsidRPr="0094233E" w:rsidRDefault="0094233E" w:rsidP="0094233E">
      <w:pPr>
        <w:rPr>
          <w:color w:val="666666"/>
          <w:sz w:val="19"/>
          <w:szCs w:val="19"/>
        </w:rPr>
      </w:pPr>
      <w:r w:rsidRPr="0094233E">
        <w:rPr>
          <w:color w:val="666666"/>
          <w:sz w:val="19"/>
          <w:szCs w:val="19"/>
        </w:rPr>
        <w:t>DeVries, Kelly, and Robert Douglas Smith, Medieval Military Technology ([Toronto]: University of Toronto Press, 2012)</w:t>
      </w:r>
    </w:p>
    <w:p w14:paraId="150072D2" w14:textId="77777777" w:rsidR="0094233E" w:rsidRPr="0094233E" w:rsidRDefault="0094233E" w:rsidP="0094233E">
      <w:pPr>
        <w:rPr>
          <w:color w:val="666666"/>
          <w:sz w:val="19"/>
          <w:szCs w:val="19"/>
        </w:rPr>
      </w:pPr>
    </w:p>
    <w:p w14:paraId="4D41AD4B" w14:textId="77777777" w:rsidR="0094233E" w:rsidRPr="0094233E" w:rsidRDefault="0094233E" w:rsidP="0094233E">
      <w:pPr>
        <w:rPr>
          <w:color w:val="666666"/>
          <w:sz w:val="19"/>
          <w:szCs w:val="19"/>
        </w:rPr>
      </w:pPr>
      <w:r w:rsidRPr="0094233E">
        <w:rPr>
          <w:color w:val="666666"/>
          <w:sz w:val="19"/>
          <w:szCs w:val="19"/>
        </w:rPr>
        <w:t>Gallup, Inc., "Almost All Americans Consider World War II A “Just” War", Gallup.Com, 2018 &lt;https://news.gallup.com/poll/11881/Almost-All-Americans-Consider-World-War-Just-War.aspx&gt; [Accessed 20 December 2018]</w:t>
      </w:r>
    </w:p>
    <w:p w14:paraId="6BA1E944" w14:textId="77777777" w:rsidR="0094233E" w:rsidRPr="0094233E" w:rsidRDefault="0094233E" w:rsidP="0094233E">
      <w:pPr>
        <w:rPr>
          <w:color w:val="666666"/>
          <w:sz w:val="19"/>
          <w:szCs w:val="19"/>
        </w:rPr>
      </w:pPr>
    </w:p>
    <w:p w14:paraId="3D7EB96F" w14:textId="77777777" w:rsidR="0094233E" w:rsidRPr="0094233E" w:rsidRDefault="0094233E" w:rsidP="0094233E">
      <w:pPr>
        <w:rPr>
          <w:color w:val="666666"/>
          <w:sz w:val="19"/>
          <w:szCs w:val="19"/>
        </w:rPr>
      </w:pPr>
      <w:r w:rsidRPr="0094233E">
        <w:rPr>
          <w:color w:val="666666"/>
          <w:sz w:val="19"/>
          <w:szCs w:val="19"/>
        </w:rPr>
        <w:t xml:space="preserve">Gamble, Andrew, David Marsh, and Tony </w:t>
      </w:r>
      <w:proofErr w:type="spellStart"/>
      <w:r w:rsidRPr="0094233E">
        <w:rPr>
          <w:color w:val="666666"/>
          <w:sz w:val="19"/>
          <w:szCs w:val="19"/>
        </w:rPr>
        <w:t>Tant</w:t>
      </w:r>
      <w:proofErr w:type="spellEnd"/>
      <w:r w:rsidRPr="0094233E">
        <w:rPr>
          <w:color w:val="666666"/>
          <w:sz w:val="19"/>
          <w:szCs w:val="19"/>
        </w:rPr>
        <w:t>, Marxism And Social Science (</w:t>
      </w:r>
      <w:proofErr w:type="spellStart"/>
      <w:r w:rsidRPr="0094233E">
        <w:rPr>
          <w:color w:val="666666"/>
          <w:sz w:val="19"/>
          <w:szCs w:val="19"/>
        </w:rPr>
        <w:t>Houndmills</w:t>
      </w:r>
      <w:proofErr w:type="spellEnd"/>
      <w:r w:rsidRPr="0094233E">
        <w:rPr>
          <w:color w:val="666666"/>
          <w:sz w:val="19"/>
          <w:szCs w:val="19"/>
        </w:rPr>
        <w:t xml:space="preserve"> (Hampshire): MacMillan, 1999)</w:t>
      </w:r>
    </w:p>
    <w:p w14:paraId="419CA82C" w14:textId="77777777" w:rsidR="0094233E" w:rsidRPr="0094233E" w:rsidRDefault="0094233E" w:rsidP="0094233E">
      <w:pPr>
        <w:rPr>
          <w:color w:val="666666"/>
          <w:sz w:val="19"/>
          <w:szCs w:val="19"/>
        </w:rPr>
      </w:pPr>
    </w:p>
    <w:p w14:paraId="31EC7973" w14:textId="77777777" w:rsidR="0094233E" w:rsidRPr="0094233E" w:rsidRDefault="0094233E" w:rsidP="0094233E">
      <w:pPr>
        <w:rPr>
          <w:color w:val="666666"/>
          <w:sz w:val="19"/>
          <w:szCs w:val="19"/>
        </w:rPr>
      </w:pPr>
      <w:r w:rsidRPr="0094233E">
        <w:rPr>
          <w:color w:val="666666"/>
          <w:sz w:val="19"/>
          <w:szCs w:val="19"/>
        </w:rPr>
        <w:t>Gandhi, Mahatma, and Paul F Power, Non-Violence In Peace And War, 1942</w:t>
      </w:r>
      <w:proofErr w:type="gramStart"/>
      <w:r w:rsidRPr="0094233E">
        <w:rPr>
          <w:color w:val="666666"/>
          <w:sz w:val="19"/>
          <w:szCs w:val="19"/>
        </w:rPr>
        <w:t>-[</w:t>
      </w:r>
      <w:proofErr w:type="gramEnd"/>
      <w:r w:rsidRPr="0094233E">
        <w:rPr>
          <w:color w:val="666666"/>
          <w:sz w:val="19"/>
          <w:szCs w:val="19"/>
        </w:rPr>
        <w:t>1949] (New York: Garland Publishing, 1972)</w:t>
      </w:r>
    </w:p>
    <w:p w14:paraId="57FC05F8" w14:textId="77777777" w:rsidR="0094233E" w:rsidRPr="0094233E" w:rsidRDefault="0094233E" w:rsidP="0094233E">
      <w:pPr>
        <w:rPr>
          <w:color w:val="666666"/>
          <w:sz w:val="19"/>
          <w:szCs w:val="19"/>
        </w:rPr>
      </w:pPr>
    </w:p>
    <w:p w14:paraId="7A7DE916" w14:textId="77777777" w:rsidR="0094233E" w:rsidRPr="0094233E" w:rsidRDefault="0094233E" w:rsidP="0094233E">
      <w:pPr>
        <w:rPr>
          <w:color w:val="666666"/>
          <w:sz w:val="19"/>
          <w:szCs w:val="19"/>
        </w:rPr>
      </w:pPr>
      <w:proofErr w:type="spellStart"/>
      <w:r w:rsidRPr="0094233E">
        <w:rPr>
          <w:color w:val="666666"/>
          <w:sz w:val="19"/>
          <w:szCs w:val="19"/>
        </w:rPr>
        <w:lastRenderedPageBreak/>
        <w:t>Gray</w:t>
      </w:r>
      <w:proofErr w:type="spellEnd"/>
      <w:r w:rsidRPr="0094233E">
        <w:rPr>
          <w:color w:val="666666"/>
          <w:sz w:val="19"/>
          <w:szCs w:val="19"/>
        </w:rPr>
        <w:t xml:space="preserve">, Ezio M; Bernard </w:t>
      </w:r>
      <w:proofErr w:type="spellStart"/>
      <w:r w:rsidRPr="0094233E">
        <w:rPr>
          <w:color w:val="666666"/>
          <w:sz w:val="19"/>
          <w:szCs w:val="19"/>
        </w:rPr>
        <w:t>Miall</w:t>
      </w:r>
      <w:proofErr w:type="spellEnd"/>
      <w:r w:rsidRPr="0094233E">
        <w:rPr>
          <w:color w:val="666666"/>
          <w:sz w:val="19"/>
          <w:szCs w:val="19"/>
        </w:rPr>
        <w:t xml:space="preserve"> (1917). The bloodless war. London: Hodder and Stoughton.</w:t>
      </w:r>
    </w:p>
    <w:p w14:paraId="4B63E3B5" w14:textId="77777777" w:rsidR="0094233E" w:rsidRPr="0094233E" w:rsidRDefault="0094233E" w:rsidP="0094233E">
      <w:pPr>
        <w:rPr>
          <w:color w:val="666666"/>
          <w:sz w:val="19"/>
          <w:szCs w:val="19"/>
        </w:rPr>
      </w:pPr>
    </w:p>
    <w:p w14:paraId="52237430" w14:textId="77777777" w:rsidR="0094233E" w:rsidRPr="0094233E" w:rsidRDefault="0094233E" w:rsidP="0094233E">
      <w:pPr>
        <w:rPr>
          <w:color w:val="666666"/>
          <w:sz w:val="19"/>
          <w:szCs w:val="19"/>
        </w:rPr>
      </w:pPr>
      <w:r w:rsidRPr="0094233E">
        <w:rPr>
          <w:color w:val="666666"/>
          <w:sz w:val="19"/>
          <w:szCs w:val="19"/>
        </w:rPr>
        <w:t>Howard Miller, According to Christian Sunna: Mozarabic Notarial Culture in Toledo, 1085-1300 (New Haven: Yale University Press, 2003).</w:t>
      </w:r>
    </w:p>
    <w:p w14:paraId="352D42AF" w14:textId="77777777" w:rsidR="0094233E" w:rsidRPr="0094233E" w:rsidRDefault="0094233E" w:rsidP="0094233E">
      <w:pPr>
        <w:rPr>
          <w:color w:val="666666"/>
          <w:sz w:val="19"/>
          <w:szCs w:val="19"/>
        </w:rPr>
      </w:pPr>
    </w:p>
    <w:p w14:paraId="246406F9" w14:textId="77777777" w:rsidR="0094233E" w:rsidRPr="0094233E" w:rsidRDefault="0094233E" w:rsidP="0094233E">
      <w:pPr>
        <w:rPr>
          <w:color w:val="666666"/>
          <w:sz w:val="19"/>
          <w:szCs w:val="19"/>
        </w:rPr>
      </w:pPr>
      <w:r w:rsidRPr="0094233E">
        <w:rPr>
          <w:color w:val="666666"/>
          <w:sz w:val="19"/>
          <w:szCs w:val="19"/>
        </w:rPr>
        <w:t xml:space="preserve">Mandel, Robert, Security, Strategy, And </w:t>
      </w:r>
      <w:proofErr w:type="gramStart"/>
      <w:r w:rsidRPr="0094233E">
        <w:rPr>
          <w:color w:val="666666"/>
          <w:sz w:val="19"/>
          <w:szCs w:val="19"/>
        </w:rPr>
        <w:t>The</w:t>
      </w:r>
      <w:proofErr w:type="gramEnd"/>
      <w:r w:rsidRPr="0094233E">
        <w:rPr>
          <w:color w:val="666666"/>
          <w:sz w:val="19"/>
          <w:szCs w:val="19"/>
        </w:rPr>
        <w:t xml:space="preserve"> Quest For Bloodless War (Boulder, Colo.: Lynne </w:t>
      </w:r>
      <w:proofErr w:type="spellStart"/>
      <w:r w:rsidRPr="0094233E">
        <w:rPr>
          <w:color w:val="666666"/>
          <w:sz w:val="19"/>
          <w:szCs w:val="19"/>
        </w:rPr>
        <w:t>Rienner</w:t>
      </w:r>
      <w:proofErr w:type="spellEnd"/>
      <w:r w:rsidRPr="0094233E">
        <w:rPr>
          <w:color w:val="666666"/>
          <w:sz w:val="19"/>
          <w:szCs w:val="19"/>
        </w:rPr>
        <w:t>, 2004)</w:t>
      </w:r>
    </w:p>
    <w:p w14:paraId="2C6C384E" w14:textId="77777777" w:rsidR="0094233E" w:rsidRPr="0094233E" w:rsidRDefault="0094233E" w:rsidP="0094233E">
      <w:pPr>
        <w:rPr>
          <w:color w:val="666666"/>
          <w:sz w:val="19"/>
          <w:szCs w:val="19"/>
        </w:rPr>
      </w:pPr>
    </w:p>
    <w:p w14:paraId="4EB8C481" w14:textId="77777777" w:rsidR="0094233E" w:rsidRPr="0094233E" w:rsidRDefault="0094233E" w:rsidP="0094233E">
      <w:pPr>
        <w:rPr>
          <w:color w:val="666666"/>
          <w:sz w:val="19"/>
          <w:szCs w:val="19"/>
        </w:rPr>
      </w:pPr>
      <w:r w:rsidRPr="0094233E">
        <w:rPr>
          <w:color w:val="666666"/>
          <w:sz w:val="19"/>
          <w:szCs w:val="19"/>
        </w:rPr>
        <w:t xml:space="preserve">May, Larry, and Jill </w:t>
      </w:r>
      <w:proofErr w:type="spellStart"/>
      <w:r w:rsidRPr="0094233E">
        <w:rPr>
          <w:color w:val="666666"/>
          <w:sz w:val="19"/>
          <w:szCs w:val="19"/>
        </w:rPr>
        <w:t>Delston</w:t>
      </w:r>
      <w:proofErr w:type="spellEnd"/>
      <w:r w:rsidRPr="0094233E">
        <w:rPr>
          <w:color w:val="666666"/>
          <w:sz w:val="19"/>
          <w:szCs w:val="19"/>
        </w:rPr>
        <w:t>, Applied Ethics (New York: Routledge, 2016)</w:t>
      </w:r>
    </w:p>
    <w:p w14:paraId="21575D3C" w14:textId="77777777" w:rsidR="0094233E" w:rsidRPr="0094233E" w:rsidRDefault="0094233E" w:rsidP="0094233E">
      <w:pPr>
        <w:rPr>
          <w:color w:val="666666"/>
          <w:sz w:val="19"/>
          <w:szCs w:val="19"/>
        </w:rPr>
      </w:pPr>
    </w:p>
    <w:p w14:paraId="2FA08E81" w14:textId="77777777" w:rsidR="0094233E" w:rsidRPr="0094233E" w:rsidRDefault="0094233E" w:rsidP="0094233E">
      <w:pPr>
        <w:rPr>
          <w:color w:val="666666"/>
          <w:sz w:val="19"/>
          <w:szCs w:val="19"/>
        </w:rPr>
      </w:pPr>
      <w:proofErr w:type="spellStart"/>
      <w:r w:rsidRPr="0094233E">
        <w:rPr>
          <w:color w:val="666666"/>
          <w:sz w:val="19"/>
          <w:szCs w:val="19"/>
        </w:rPr>
        <w:t>Menelaos</w:t>
      </w:r>
      <w:proofErr w:type="spellEnd"/>
      <w:r w:rsidRPr="0094233E">
        <w:rPr>
          <w:color w:val="666666"/>
          <w:sz w:val="19"/>
          <w:szCs w:val="19"/>
        </w:rPr>
        <w:t xml:space="preserve"> </w:t>
      </w:r>
      <w:proofErr w:type="spellStart"/>
      <w:r w:rsidRPr="0094233E">
        <w:rPr>
          <w:color w:val="666666"/>
          <w:sz w:val="19"/>
          <w:szCs w:val="19"/>
        </w:rPr>
        <w:t>Christopoulos</w:t>
      </w:r>
      <w:proofErr w:type="spellEnd"/>
      <w:r w:rsidRPr="0094233E">
        <w:rPr>
          <w:color w:val="666666"/>
          <w:sz w:val="19"/>
          <w:szCs w:val="19"/>
        </w:rPr>
        <w:t>, 'Casus belli: Causes of the Trojan War in the Epic Cycle', Classics, 6, (2011)</w:t>
      </w:r>
      <w:proofErr w:type="gramStart"/>
      <w:r w:rsidRPr="0094233E">
        <w:rPr>
          <w:color w:val="666666"/>
          <w:sz w:val="19"/>
          <w:szCs w:val="19"/>
        </w:rPr>
        <w:t>, .</w:t>
      </w:r>
      <w:proofErr w:type="gramEnd"/>
    </w:p>
    <w:p w14:paraId="3D87BE2F" w14:textId="77777777" w:rsidR="0094233E" w:rsidRPr="0094233E" w:rsidRDefault="0094233E" w:rsidP="0094233E">
      <w:pPr>
        <w:rPr>
          <w:color w:val="666666"/>
          <w:sz w:val="19"/>
          <w:szCs w:val="19"/>
        </w:rPr>
      </w:pPr>
    </w:p>
    <w:p w14:paraId="1B97EA51" w14:textId="77777777" w:rsidR="0094233E" w:rsidRPr="0094233E" w:rsidRDefault="0094233E" w:rsidP="0094233E">
      <w:pPr>
        <w:rPr>
          <w:color w:val="666666"/>
          <w:sz w:val="19"/>
          <w:szCs w:val="19"/>
        </w:rPr>
      </w:pPr>
      <w:r w:rsidRPr="0094233E">
        <w:rPr>
          <w:color w:val="666666"/>
          <w:sz w:val="19"/>
          <w:szCs w:val="19"/>
        </w:rPr>
        <w:t xml:space="preserve">Metz, Steven. </w:t>
      </w:r>
      <w:proofErr w:type="spellStart"/>
      <w:r w:rsidRPr="0094233E">
        <w:rPr>
          <w:color w:val="666666"/>
          <w:sz w:val="19"/>
          <w:szCs w:val="19"/>
        </w:rPr>
        <w:t>Cuccia</w:t>
      </w:r>
      <w:proofErr w:type="spellEnd"/>
      <w:r w:rsidRPr="0094233E">
        <w:rPr>
          <w:color w:val="666666"/>
          <w:sz w:val="19"/>
          <w:szCs w:val="19"/>
        </w:rPr>
        <w:t>, Phillip R. (2011). Defining War for the 21st Century. Carlisle: Strategic Studies Institute, U.S. Army War College.</w:t>
      </w:r>
    </w:p>
    <w:p w14:paraId="2E04E5B7" w14:textId="77777777" w:rsidR="0094233E" w:rsidRPr="0094233E" w:rsidRDefault="0094233E" w:rsidP="0094233E">
      <w:pPr>
        <w:rPr>
          <w:color w:val="666666"/>
          <w:sz w:val="19"/>
          <w:szCs w:val="19"/>
        </w:rPr>
      </w:pPr>
    </w:p>
    <w:p w14:paraId="0CED717B" w14:textId="77777777" w:rsidR="0094233E" w:rsidRPr="0094233E" w:rsidRDefault="0094233E" w:rsidP="0094233E">
      <w:pPr>
        <w:rPr>
          <w:color w:val="666666"/>
          <w:sz w:val="19"/>
          <w:szCs w:val="19"/>
        </w:rPr>
      </w:pPr>
      <w:r w:rsidRPr="0094233E">
        <w:rPr>
          <w:color w:val="666666"/>
          <w:sz w:val="19"/>
          <w:szCs w:val="19"/>
        </w:rPr>
        <w:t xml:space="preserve">Metz, Steven. </w:t>
      </w:r>
      <w:proofErr w:type="spellStart"/>
      <w:r w:rsidRPr="0094233E">
        <w:rPr>
          <w:color w:val="666666"/>
          <w:sz w:val="19"/>
          <w:szCs w:val="19"/>
        </w:rPr>
        <w:t>Cuccia</w:t>
      </w:r>
      <w:proofErr w:type="spellEnd"/>
      <w:r w:rsidRPr="0094233E">
        <w:rPr>
          <w:color w:val="666666"/>
          <w:sz w:val="19"/>
          <w:szCs w:val="19"/>
        </w:rPr>
        <w:t>, Phillip R. (2011). Security, Strategy, and the Quest for Bloodless War. Carlisle: Strategic Studies Institute, U.S. Army War College.</w:t>
      </w:r>
    </w:p>
    <w:p w14:paraId="0C27208D" w14:textId="77777777" w:rsidR="0094233E" w:rsidRPr="0094233E" w:rsidRDefault="0094233E" w:rsidP="0094233E">
      <w:pPr>
        <w:rPr>
          <w:color w:val="666666"/>
          <w:sz w:val="19"/>
          <w:szCs w:val="19"/>
        </w:rPr>
      </w:pPr>
    </w:p>
    <w:p w14:paraId="541882C9" w14:textId="77777777" w:rsidR="0094233E" w:rsidRPr="0094233E" w:rsidRDefault="0094233E" w:rsidP="0094233E">
      <w:pPr>
        <w:rPr>
          <w:color w:val="666666"/>
          <w:sz w:val="19"/>
          <w:szCs w:val="19"/>
        </w:rPr>
      </w:pPr>
      <w:r w:rsidRPr="0094233E">
        <w:rPr>
          <w:color w:val="666666"/>
          <w:sz w:val="19"/>
          <w:szCs w:val="19"/>
        </w:rPr>
        <w:t>Renee de Nevers, 'Democratization and ethnic conflict', Survival, 35.2, (1993), 31-48.</w:t>
      </w:r>
    </w:p>
    <w:p w14:paraId="4B5E3063" w14:textId="77777777" w:rsidR="0094233E" w:rsidRPr="0094233E" w:rsidRDefault="0094233E" w:rsidP="0094233E">
      <w:pPr>
        <w:rPr>
          <w:color w:val="666666"/>
          <w:sz w:val="19"/>
          <w:szCs w:val="19"/>
        </w:rPr>
      </w:pPr>
    </w:p>
    <w:p w14:paraId="777317DC" w14:textId="77777777" w:rsidR="0094233E" w:rsidRPr="0094233E" w:rsidRDefault="0094233E" w:rsidP="0094233E">
      <w:pPr>
        <w:rPr>
          <w:color w:val="666666"/>
          <w:sz w:val="19"/>
          <w:szCs w:val="19"/>
        </w:rPr>
      </w:pPr>
      <w:r w:rsidRPr="0094233E">
        <w:rPr>
          <w:color w:val="666666"/>
          <w:sz w:val="19"/>
          <w:szCs w:val="19"/>
        </w:rPr>
        <w:t>Rothbard, Murray N, For A New Liberty (</w:t>
      </w:r>
      <w:proofErr w:type="spellStart"/>
      <w:r w:rsidRPr="0094233E">
        <w:rPr>
          <w:color w:val="666666"/>
          <w:sz w:val="19"/>
          <w:szCs w:val="19"/>
        </w:rPr>
        <w:t>Createspace</w:t>
      </w:r>
      <w:proofErr w:type="spellEnd"/>
      <w:r w:rsidRPr="0094233E">
        <w:rPr>
          <w:color w:val="666666"/>
          <w:sz w:val="19"/>
          <w:szCs w:val="19"/>
        </w:rPr>
        <w:t>, 2006)</w:t>
      </w:r>
    </w:p>
    <w:p w14:paraId="15674138" w14:textId="77777777" w:rsidR="0094233E" w:rsidRPr="0094233E" w:rsidRDefault="0094233E" w:rsidP="0094233E">
      <w:pPr>
        <w:rPr>
          <w:color w:val="666666"/>
          <w:sz w:val="19"/>
          <w:szCs w:val="19"/>
        </w:rPr>
      </w:pPr>
    </w:p>
    <w:p w14:paraId="353DC335" w14:textId="77777777" w:rsidR="0094233E" w:rsidRPr="0094233E" w:rsidRDefault="0094233E" w:rsidP="0094233E">
      <w:pPr>
        <w:rPr>
          <w:color w:val="666666"/>
          <w:sz w:val="19"/>
          <w:szCs w:val="19"/>
        </w:rPr>
      </w:pPr>
      <w:r w:rsidRPr="0094233E">
        <w:rPr>
          <w:color w:val="666666"/>
          <w:sz w:val="19"/>
          <w:szCs w:val="19"/>
        </w:rPr>
        <w:t>Russell, Bertrand. (1943). The Future of Pacifism. Washington, D.C.: John Churchill</w:t>
      </w:r>
    </w:p>
    <w:p w14:paraId="1D769522" w14:textId="77777777" w:rsidR="0094233E" w:rsidRPr="0094233E" w:rsidRDefault="0094233E" w:rsidP="0094233E">
      <w:pPr>
        <w:rPr>
          <w:color w:val="666666"/>
          <w:sz w:val="19"/>
          <w:szCs w:val="19"/>
        </w:rPr>
      </w:pPr>
    </w:p>
    <w:p w14:paraId="6943FAC3" w14:textId="77777777" w:rsidR="0094233E" w:rsidRPr="0094233E" w:rsidRDefault="0094233E" w:rsidP="0094233E">
      <w:pPr>
        <w:rPr>
          <w:color w:val="666666"/>
          <w:sz w:val="19"/>
          <w:szCs w:val="19"/>
        </w:rPr>
      </w:pPr>
      <w:r w:rsidRPr="0094233E">
        <w:rPr>
          <w:color w:val="666666"/>
          <w:sz w:val="19"/>
          <w:szCs w:val="19"/>
        </w:rPr>
        <w:t xml:space="preserve">Smith, Katherine Allen, War </w:t>
      </w:r>
      <w:proofErr w:type="gramStart"/>
      <w:r w:rsidRPr="0094233E">
        <w:rPr>
          <w:color w:val="666666"/>
          <w:sz w:val="19"/>
          <w:szCs w:val="19"/>
        </w:rPr>
        <w:t>And</w:t>
      </w:r>
      <w:proofErr w:type="gramEnd"/>
      <w:r w:rsidRPr="0094233E">
        <w:rPr>
          <w:color w:val="666666"/>
          <w:sz w:val="19"/>
          <w:szCs w:val="19"/>
        </w:rPr>
        <w:t xml:space="preserve"> The Making Of Medieval Monastic Culture (Woodbridge: Boydell, 2011)</w:t>
      </w:r>
    </w:p>
    <w:p w14:paraId="6FF7FAA1" w14:textId="77777777" w:rsidR="0094233E" w:rsidRPr="0094233E" w:rsidRDefault="0094233E" w:rsidP="0094233E">
      <w:pPr>
        <w:rPr>
          <w:color w:val="666666"/>
          <w:sz w:val="19"/>
          <w:szCs w:val="19"/>
        </w:rPr>
      </w:pPr>
    </w:p>
    <w:p w14:paraId="1756F2FE" w14:textId="77777777" w:rsidR="0094233E" w:rsidRPr="0094233E" w:rsidRDefault="0094233E" w:rsidP="0094233E">
      <w:pPr>
        <w:rPr>
          <w:color w:val="666666"/>
          <w:sz w:val="19"/>
          <w:szCs w:val="19"/>
        </w:rPr>
      </w:pPr>
      <w:r w:rsidRPr="0094233E">
        <w:rPr>
          <w:color w:val="666666"/>
          <w:sz w:val="19"/>
          <w:szCs w:val="19"/>
        </w:rPr>
        <w:t xml:space="preserve">Taylor, Steven J, Acts </w:t>
      </w:r>
      <w:proofErr w:type="gramStart"/>
      <w:r w:rsidRPr="0094233E">
        <w:rPr>
          <w:color w:val="666666"/>
          <w:sz w:val="19"/>
          <w:szCs w:val="19"/>
        </w:rPr>
        <w:t>Of</w:t>
      </w:r>
      <w:proofErr w:type="gramEnd"/>
      <w:r w:rsidRPr="0094233E">
        <w:rPr>
          <w:color w:val="666666"/>
          <w:sz w:val="19"/>
          <w:szCs w:val="19"/>
        </w:rPr>
        <w:t xml:space="preserve"> Conscience (Syracuse, N.Y.: Syracuse University Press, 2009)</w:t>
      </w:r>
    </w:p>
    <w:p w14:paraId="7DB4C187" w14:textId="77777777" w:rsidR="0094233E" w:rsidRPr="0094233E" w:rsidRDefault="0094233E" w:rsidP="0094233E">
      <w:pPr>
        <w:rPr>
          <w:color w:val="666666"/>
          <w:sz w:val="19"/>
          <w:szCs w:val="19"/>
        </w:rPr>
      </w:pPr>
    </w:p>
    <w:p w14:paraId="1A714E48" w14:textId="77777777" w:rsidR="0094233E" w:rsidRPr="0094233E" w:rsidRDefault="0094233E" w:rsidP="0094233E">
      <w:pPr>
        <w:rPr>
          <w:color w:val="666666"/>
          <w:sz w:val="19"/>
          <w:szCs w:val="19"/>
        </w:rPr>
      </w:pPr>
      <w:r w:rsidRPr="0094233E">
        <w:rPr>
          <w:color w:val="666666"/>
          <w:sz w:val="19"/>
          <w:szCs w:val="19"/>
        </w:rPr>
        <w:t xml:space="preserve">Taylor, Steven J, Acts </w:t>
      </w:r>
      <w:proofErr w:type="gramStart"/>
      <w:r w:rsidRPr="0094233E">
        <w:rPr>
          <w:color w:val="666666"/>
          <w:sz w:val="19"/>
          <w:szCs w:val="19"/>
        </w:rPr>
        <w:t>Of</w:t>
      </w:r>
      <w:proofErr w:type="gramEnd"/>
      <w:r w:rsidRPr="0094233E">
        <w:rPr>
          <w:color w:val="666666"/>
          <w:sz w:val="19"/>
          <w:szCs w:val="19"/>
        </w:rPr>
        <w:t xml:space="preserve"> Conscience (Syracuse, N.Y.: Syracuse University Press, 2009)</w:t>
      </w:r>
    </w:p>
    <w:p w14:paraId="07D4EBEA" w14:textId="77777777" w:rsidR="0094233E" w:rsidRPr="0094233E" w:rsidRDefault="0094233E" w:rsidP="0094233E">
      <w:pPr>
        <w:rPr>
          <w:color w:val="666666"/>
          <w:sz w:val="19"/>
          <w:szCs w:val="19"/>
        </w:rPr>
      </w:pPr>
    </w:p>
    <w:p w14:paraId="0E6B15A0" w14:textId="77777777" w:rsidR="0094233E" w:rsidRPr="0094233E" w:rsidRDefault="0094233E" w:rsidP="0094233E">
      <w:pPr>
        <w:rPr>
          <w:color w:val="666666"/>
          <w:sz w:val="19"/>
          <w:szCs w:val="19"/>
        </w:rPr>
      </w:pPr>
      <w:r w:rsidRPr="0094233E">
        <w:rPr>
          <w:color w:val="666666"/>
          <w:sz w:val="19"/>
          <w:szCs w:val="19"/>
        </w:rPr>
        <w:t>William H. Shaw, Transformative Pacifism: Critical Theory and Practice (London: Routledge, 2016), p. 58.</w:t>
      </w:r>
    </w:p>
    <w:p w14:paraId="3D2955A5" w14:textId="77777777" w:rsidR="0094233E" w:rsidRPr="0094233E" w:rsidRDefault="0094233E" w:rsidP="0094233E">
      <w:pPr>
        <w:rPr>
          <w:color w:val="666666"/>
          <w:sz w:val="19"/>
          <w:szCs w:val="19"/>
        </w:rPr>
      </w:pPr>
      <w:bookmarkStart w:id="0" w:name="_GoBack"/>
      <w:bookmarkEnd w:id="0"/>
    </w:p>
    <w:p w14:paraId="13BB2060" w14:textId="75C76F75" w:rsidR="00D66183" w:rsidRPr="00AA2FD0" w:rsidRDefault="0094233E" w:rsidP="0094233E">
      <w:pPr>
        <w:rPr>
          <w:sz w:val="20"/>
          <w:szCs w:val="20"/>
        </w:rPr>
      </w:pPr>
      <w:r w:rsidRPr="0094233E">
        <w:rPr>
          <w:color w:val="666666"/>
          <w:sz w:val="19"/>
          <w:szCs w:val="19"/>
        </w:rPr>
        <w:t>ww.britannica.com/biography/Saint-Martin-of-Tours&gt; [Accessed 20 December 2018]</w:t>
      </w:r>
    </w:p>
    <w:sectPr w:rsidR="00D66183" w:rsidRPr="00AA2FD0">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65C2AE" w14:textId="77777777" w:rsidR="00000000" w:rsidRDefault="0094233E">
      <w:pPr>
        <w:spacing w:after="0" w:line="240" w:lineRule="auto"/>
      </w:pPr>
      <w:r>
        <w:separator/>
      </w:r>
    </w:p>
  </w:endnote>
  <w:endnote w:type="continuationSeparator" w:id="0">
    <w:p w14:paraId="6241D915" w14:textId="77777777" w:rsidR="00000000" w:rsidRDefault="00942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120513C" w14:paraId="5C0C22E9" w14:textId="77777777" w:rsidTr="5120513C">
      <w:tc>
        <w:tcPr>
          <w:tcW w:w="3009" w:type="dxa"/>
        </w:tcPr>
        <w:p w14:paraId="14792D3D" w14:textId="0ADD2010" w:rsidR="5120513C" w:rsidRDefault="5120513C" w:rsidP="5120513C">
          <w:pPr>
            <w:pStyle w:val="Header"/>
            <w:ind w:left="-115"/>
          </w:pPr>
        </w:p>
      </w:tc>
      <w:tc>
        <w:tcPr>
          <w:tcW w:w="3009" w:type="dxa"/>
        </w:tcPr>
        <w:p w14:paraId="1261B6F0" w14:textId="0D6CE849" w:rsidR="5120513C" w:rsidRDefault="5120513C" w:rsidP="5120513C">
          <w:pPr>
            <w:pStyle w:val="Header"/>
            <w:jc w:val="center"/>
          </w:pPr>
        </w:p>
      </w:tc>
      <w:tc>
        <w:tcPr>
          <w:tcW w:w="3009" w:type="dxa"/>
        </w:tcPr>
        <w:p w14:paraId="4AC8EEA9" w14:textId="5E701964" w:rsidR="5120513C" w:rsidRDefault="5120513C" w:rsidP="5120513C">
          <w:pPr>
            <w:pStyle w:val="Header"/>
            <w:ind w:right="-115"/>
            <w:jc w:val="right"/>
          </w:pPr>
        </w:p>
      </w:tc>
    </w:tr>
  </w:tbl>
  <w:p w14:paraId="71B8D389" w14:textId="557A65AB" w:rsidR="5120513C" w:rsidRDefault="5120513C" w:rsidP="51205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F1722B" w14:textId="3F0A0EFA" w:rsidR="5120513C" w:rsidRDefault="5120513C">
      <w:pPr>
        <w:spacing w:after="0" w:line="240" w:lineRule="auto"/>
      </w:pPr>
      <w:r>
        <w:separator/>
      </w:r>
    </w:p>
  </w:footnote>
  <w:footnote w:type="continuationSeparator" w:id="0">
    <w:p w14:paraId="575D6631" w14:textId="77AA67D5" w:rsidR="5120513C" w:rsidRDefault="5120513C">
      <w:pPr>
        <w:spacing w:after="0" w:line="240" w:lineRule="auto"/>
      </w:pPr>
      <w:r>
        <w:continuationSeparator/>
      </w:r>
    </w:p>
  </w:footnote>
  <w:footnote w:id="1">
    <w:p w14:paraId="2AAE724F" w14:textId="73CB991C" w:rsidR="008F0A50" w:rsidRDefault="008F0A50">
      <w:pPr>
        <w:pStyle w:val="FootnoteText"/>
      </w:pPr>
      <w:r>
        <w:rPr>
          <w:rStyle w:val="FootnoteReference"/>
        </w:rPr>
        <w:footnoteRef/>
      </w:r>
      <w:r>
        <w:t xml:space="preserve"> </w:t>
      </w:r>
      <w:r w:rsidRPr="00D129E4">
        <w:t xml:space="preserve">Steven Metz, Phillip R. </w:t>
      </w:r>
      <w:proofErr w:type="spellStart"/>
      <w:r w:rsidRPr="00D129E4">
        <w:t>Cuccia</w:t>
      </w:r>
      <w:proofErr w:type="spellEnd"/>
      <w:r w:rsidRPr="00D129E4">
        <w:t xml:space="preserve"> </w:t>
      </w:r>
      <w:r w:rsidRPr="00D129E4">
        <w:rPr>
          <w:i/>
          <w:iCs/>
        </w:rPr>
        <w:t>Defining War for the 21st Century</w:t>
      </w:r>
      <w:r>
        <w:t xml:space="preserve"> (</w:t>
      </w:r>
      <w:r w:rsidRPr="00D129E4">
        <w:t>Carlisle: Strategic Studies Institute, U.S. Army War College,</w:t>
      </w:r>
      <w:r>
        <w:t xml:space="preserve"> 2011) p.1</w:t>
      </w:r>
    </w:p>
  </w:footnote>
  <w:footnote w:id="2">
    <w:p w14:paraId="0C3AE773" w14:textId="634E9036" w:rsidR="00B2413E" w:rsidRDefault="00B2413E">
      <w:pPr>
        <w:pStyle w:val="FootnoteText"/>
      </w:pPr>
      <w:r>
        <w:rPr>
          <w:rStyle w:val="FootnoteReference"/>
        </w:rPr>
        <w:footnoteRef/>
      </w:r>
      <w:r>
        <w:t xml:space="preserve"> </w:t>
      </w:r>
      <w:r w:rsidRPr="008F0A50">
        <w:t xml:space="preserve">Ezio M </w:t>
      </w:r>
      <w:proofErr w:type="spellStart"/>
      <w:r w:rsidRPr="008F0A50">
        <w:t>Gray</w:t>
      </w:r>
      <w:proofErr w:type="spellEnd"/>
      <w:r w:rsidRPr="008F0A50">
        <w:t xml:space="preserve">; Bernard </w:t>
      </w:r>
      <w:proofErr w:type="spellStart"/>
      <w:r w:rsidRPr="008F0A50">
        <w:t>Miall</w:t>
      </w:r>
      <w:proofErr w:type="spellEnd"/>
      <w:r w:rsidRPr="008F0A50">
        <w:rPr>
          <w:i/>
          <w:iCs/>
        </w:rPr>
        <w:t xml:space="preserve"> </w:t>
      </w:r>
      <w:proofErr w:type="gramStart"/>
      <w:r>
        <w:rPr>
          <w:i/>
          <w:iCs/>
        </w:rPr>
        <w:t>T</w:t>
      </w:r>
      <w:r w:rsidRPr="008F0A50">
        <w:rPr>
          <w:i/>
          <w:iCs/>
        </w:rPr>
        <w:t>he</w:t>
      </w:r>
      <w:proofErr w:type="gramEnd"/>
      <w:r w:rsidRPr="008F0A50">
        <w:rPr>
          <w:i/>
          <w:iCs/>
        </w:rPr>
        <w:t xml:space="preserve"> bloodless war</w:t>
      </w:r>
      <w:r>
        <w:t xml:space="preserve"> (</w:t>
      </w:r>
      <w:r w:rsidRPr="008F0A50">
        <w:t>London</w:t>
      </w:r>
      <w:r>
        <w:t>:</w:t>
      </w:r>
      <w:r w:rsidRPr="008F0A50">
        <w:t xml:space="preserve"> Hodder and Stoughton</w:t>
      </w:r>
      <w:r>
        <w:t>,</w:t>
      </w:r>
      <w:r w:rsidRPr="008F0A50">
        <w:t xml:space="preserve"> 1917</w:t>
      </w:r>
      <w:r>
        <w:t>)</w:t>
      </w:r>
      <w:r w:rsidRPr="00D129E4">
        <w:t xml:space="preserve"> </w:t>
      </w:r>
    </w:p>
  </w:footnote>
  <w:footnote w:id="3">
    <w:p w14:paraId="798C3700" w14:textId="071C4972" w:rsidR="5120513C" w:rsidRDefault="5120513C" w:rsidP="5120513C">
      <w:pPr>
        <w:pStyle w:val="FootnoteText"/>
      </w:pPr>
      <w:r w:rsidRPr="5120513C">
        <w:rPr>
          <w:rStyle w:val="FootnoteReference"/>
        </w:rPr>
        <w:footnoteRef/>
      </w:r>
      <w:r>
        <w:t xml:space="preserve"> </w:t>
      </w:r>
      <w:r w:rsidR="00B2413E">
        <w:t>Bertrand Russell</w:t>
      </w:r>
      <w:r w:rsidR="00B2413E" w:rsidRPr="00D129E4">
        <w:t xml:space="preserve"> </w:t>
      </w:r>
      <w:r w:rsidR="00B2413E" w:rsidRPr="00B2413E">
        <w:rPr>
          <w:i/>
          <w:iCs/>
        </w:rPr>
        <w:t>The Future of Pacifism</w:t>
      </w:r>
      <w:r w:rsidR="00B2413E">
        <w:t xml:space="preserve"> (</w:t>
      </w:r>
      <w:r w:rsidR="00B2413E" w:rsidRPr="00B2413E">
        <w:t>Washington, D.C.</w:t>
      </w:r>
      <w:r w:rsidR="00B2413E" w:rsidRPr="00D129E4">
        <w:t>:</w:t>
      </w:r>
      <w:r w:rsidR="00B2413E">
        <w:t xml:space="preserve"> </w:t>
      </w:r>
      <w:r w:rsidR="00B2413E" w:rsidRPr="00B2413E">
        <w:t>John Churchill</w:t>
      </w:r>
      <w:r w:rsidR="00B2413E" w:rsidRPr="00D129E4">
        <w:t>,</w:t>
      </w:r>
      <w:r w:rsidR="00B2413E">
        <w:t xml:space="preserve"> 1943) </w:t>
      </w:r>
      <w:r w:rsidR="00B2413E">
        <w:t>p</w:t>
      </w:r>
      <w:r w:rsidR="00B2413E">
        <w:t>p.</w:t>
      </w:r>
      <w:r w:rsidR="00B2413E" w:rsidRPr="5120513C">
        <w:rPr>
          <w:color w:val="222222"/>
          <w:sz w:val="18"/>
          <w:szCs w:val="18"/>
        </w:rPr>
        <w:t xml:space="preserve"> 7–13</w:t>
      </w:r>
    </w:p>
  </w:footnote>
  <w:footnote w:id="4">
    <w:p w14:paraId="0313C3B5" w14:textId="24E25B51" w:rsidR="2994F68F" w:rsidRDefault="2994F68F" w:rsidP="2994F68F">
      <w:pPr>
        <w:pStyle w:val="FootnoteText"/>
      </w:pPr>
      <w:r w:rsidRPr="2994F68F">
        <w:rPr>
          <w:rStyle w:val="FootnoteReference"/>
        </w:rPr>
        <w:footnoteRef/>
      </w:r>
      <w:r>
        <w:t xml:space="preserve"> Lawrence Freedman War p.69-70</w:t>
      </w:r>
    </w:p>
  </w:footnote>
  <w:footnote w:id="5">
    <w:p w14:paraId="3E98EE4D" w14:textId="65378BED" w:rsidR="561BE23E" w:rsidRDefault="561BE23E" w:rsidP="00A722E0">
      <w:pPr>
        <w:pStyle w:val="FootnoteText"/>
      </w:pPr>
      <w:r w:rsidRPr="561BE23E">
        <w:rPr>
          <w:rStyle w:val="FootnoteReference"/>
        </w:rPr>
        <w:footnoteRef/>
      </w:r>
      <w:r>
        <w:t xml:space="preserve"> </w:t>
      </w:r>
      <w:r w:rsidR="00A722E0" w:rsidRPr="00D66183">
        <w:t xml:space="preserve">Robert Mandel </w:t>
      </w:r>
      <w:r w:rsidR="00A722E0" w:rsidRPr="00A722E0">
        <w:rPr>
          <w:i/>
          <w:iCs/>
        </w:rPr>
        <w:t>Security, Strategy, and the Quest for Bloodless War</w:t>
      </w:r>
      <w:r w:rsidR="00A722E0">
        <w:t xml:space="preserve"> (</w:t>
      </w:r>
      <w:r w:rsidR="00A722E0" w:rsidRPr="00A722E0">
        <w:t>Boulder, Colorado</w:t>
      </w:r>
      <w:r w:rsidR="00A722E0" w:rsidRPr="00D129E4">
        <w:t xml:space="preserve">: </w:t>
      </w:r>
      <w:r w:rsidR="00A722E0" w:rsidRPr="00A722E0">
        <w:t xml:space="preserve">Lynne </w:t>
      </w:r>
      <w:proofErr w:type="spellStart"/>
      <w:r w:rsidR="00A722E0" w:rsidRPr="00A722E0">
        <w:t>Rienner</w:t>
      </w:r>
      <w:proofErr w:type="spellEnd"/>
      <w:r w:rsidR="00A722E0" w:rsidRPr="00A722E0">
        <w:t xml:space="preserve"> Publishers</w:t>
      </w:r>
      <w:r w:rsidR="00A722E0">
        <w:t xml:space="preserve">, </w:t>
      </w:r>
      <w:r w:rsidR="00A722E0" w:rsidRPr="00A722E0">
        <w:t>2004</w:t>
      </w:r>
      <w:r w:rsidR="00A722E0">
        <w:t>) p.1</w:t>
      </w:r>
    </w:p>
  </w:footnote>
  <w:footnote w:id="6">
    <w:p w14:paraId="776D6CE3" w14:textId="54ED006B" w:rsidR="00AA2FD0" w:rsidRDefault="00AA2FD0">
      <w:pPr>
        <w:pStyle w:val="FootnoteText"/>
      </w:pPr>
      <w:r>
        <w:rPr>
          <w:rStyle w:val="FootnoteReference"/>
        </w:rPr>
        <w:footnoteRef/>
      </w:r>
      <w:r>
        <w:t xml:space="preserve"> </w:t>
      </w:r>
      <w:r w:rsidRPr="00AA2FD0">
        <w:t xml:space="preserve">"Great Philosophers: Augustine On War", </w:t>
      </w:r>
      <w:r w:rsidRPr="00AA2FD0">
        <w:rPr>
          <w:i/>
          <w:iCs/>
        </w:rPr>
        <w:t>Oregonstate.Edu</w:t>
      </w:r>
      <w:r w:rsidRPr="00AA2FD0">
        <w:t>, 2018 &lt;https://oregonstate.edu/instruct/phl201/modules/Philosophers/Augustine/augustine_justwar.html&gt; [Accessed 20 December 2018].</w:t>
      </w:r>
    </w:p>
  </w:footnote>
  <w:footnote w:id="7">
    <w:p w14:paraId="09559278" w14:textId="05A113EB" w:rsidR="5120513C" w:rsidRDefault="5120513C" w:rsidP="5120513C">
      <w:pPr>
        <w:pStyle w:val="FootnoteText"/>
      </w:pPr>
      <w:r w:rsidRPr="5120513C">
        <w:rPr>
          <w:rStyle w:val="FootnoteReference"/>
        </w:rPr>
        <w:footnoteRef/>
      </w:r>
      <w:r>
        <w:t xml:space="preserve"> </w:t>
      </w:r>
      <w:r w:rsidR="00AA2FD0" w:rsidRPr="00AA2FD0">
        <w:t xml:space="preserve">Inc. Gallup, "Almost All Americans Consider World War II A “Just” War", </w:t>
      </w:r>
      <w:r w:rsidR="00AA2FD0" w:rsidRPr="00AA2FD0">
        <w:rPr>
          <w:i/>
          <w:iCs/>
        </w:rPr>
        <w:t>Gallup.Com</w:t>
      </w:r>
      <w:r w:rsidR="00AA2FD0" w:rsidRPr="00AA2FD0">
        <w:t>, 2018 &lt;https://news.gallup.com/poll/11881/Almost-All-Americans-Consider-World-War-Just-War.aspx&gt; [Accessed 20 December 2018].</w:t>
      </w:r>
    </w:p>
  </w:footnote>
  <w:footnote w:id="8">
    <w:p w14:paraId="4928F9AA" w14:textId="56D341A0" w:rsidR="561BE23E" w:rsidRDefault="561BE23E" w:rsidP="561BE23E">
      <w:pPr>
        <w:pStyle w:val="FootnoteText"/>
      </w:pPr>
      <w:r w:rsidRPr="561BE23E">
        <w:rPr>
          <w:rStyle w:val="FootnoteReference"/>
        </w:rPr>
        <w:footnoteRef/>
      </w:r>
      <w:r>
        <w:t xml:space="preserve"> </w:t>
      </w:r>
      <w:r w:rsidR="008915B7" w:rsidRPr="008915B7">
        <w:t xml:space="preserve">"Report On British Attitudes To Defence, Security And The Armed Forces | </w:t>
      </w:r>
      <w:proofErr w:type="spellStart"/>
      <w:r w:rsidR="008915B7" w:rsidRPr="008915B7">
        <w:t>Yougov</w:t>
      </w:r>
      <w:proofErr w:type="spellEnd"/>
      <w:r w:rsidR="008915B7" w:rsidRPr="008915B7">
        <w:t xml:space="preserve">", </w:t>
      </w:r>
      <w:proofErr w:type="gramStart"/>
      <w:r w:rsidR="008915B7" w:rsidRPr="008915B7">
        <w:rPr>
          <w:i/>
          <w:iCs/>
        </w:rPr>
        <w:t>Yougov.Co.Uk</w:t>
      </w:r>
      <w:proofErr w:type="gramEnd"/>
      <w:r w:rsidR="008915B7" w:rsidRPr="008915B7">
        <w:t>, 2018 &lt;https://yougov.co.uk/topics/international/articles-reports/2014/10/25/report-british-attitudes-defence-security-and-arme&gt; [Accessed 20 December 2018].</w:t>
      </w:r>
    </w:p>
  </w:footnote>
  <w:footnote w:id="9">
    <w:p w14:paraId="7B65DDAF" w14:textId="02A0071E" w:rsidR="5120513C" w:rsidRDefault="5120513C" w:rsidP="008915B7">
      <w:pPr>
        <w:pStyle w:val="FootnoteText"/>
      </w:pPr>
      <w:r w:rsidRPr="5120513C">
        <w:rPr>
          <w:rStyle w:val="FootnoteReference"/>
        </w:rPr>
        <w:footnoteRef/>
      </w:r>
      <w:r>
        <w:t xml:space="preserve"> </w:t>
      </w:r>
      <w:r w:rsidR="008915B7" w:rsidRPr="00A722E0">
        <w:t>Frederick H.</w:t>
      </w:r>
      <w:r w:rsidR="008915B7">
        <w:t xml:space="preserve"> </w:t>
      </w:r>
      <w:r w:rsidR="008915B7" w:rsidRPr="00A722E0">
        <w:t xml:space="preserve">Russell </w:t>
      </w:r>
      <w:r w:rsidR="008915B7" w:rsidRPr="00A722E0">
        <w:rPr>
          <w:i/>
        </w:rPr>
        <w:t>The Just War in the Middle Ages</w:t>
      </w:r>
      <w:r w:rsidR="008915B7">
        <w:t xml:space="preserve"> (</w:t>
      </w:r>
      <w:r w:rsidR="008915B7" w:rsidRPr="00A722E0">
        <w:t>Cambridge</w:t>
      </w:r>
      <w:r w:rsidR="008915B7" w:rsidRPr="00D129E4">
        <w:t xml:space="preserve">: </w:t>
      </w:r>
      <w:r w:rsidR="008915B7" w:rsidRPr="00A722E0">
        <w:t>Cambridge University Press</w:t>
      </w:r>
      <w:r w:rsidR="008915B7">
        <w:t xml:space="preserve">, </w:t>
      </w:r>
      <w:r w:rsidR="008915B7" w:rsidRPr="00A722E0">
        <w:t>200</w:t>
      </w:r>
      <w:r w:rsidR="008915B7">
        <w:t>3) p.246</w:t>
      </w:r>
    </w:p>
  </w:footnote>
  <w:footnote w:id="10">
    <w:p w14:paraId="1E517191" w14:textId="15B607E9" w:rsidR="5120513C" w:rsidRDefault="5120513C" w:rsidP="5120513C">
      <w:pPr>
        <w:pStyle w:val="FootnoteText"/>
      </w:pPr>
      <w:r w:rsidRPr="5120513C">
        <w:rPr>
          <w:rStyle w:val="FootnoteReference"/>
        </w:rPr>
        <w:footnoteRef/>
      </w:r>
      <w:r>
        <w:t xml:space="preserve"> </w:t>
      </w:r>
      <w:proofErr w:type="spellStart"/>
      <w:r w:rsidR="008915B7" w:rsidRPr="008915B7">
        <w:t>Menelaos</w:t>
      </w:r>
      <w:proofErr w:type="spellEnd"/>
      <w:r w:rsidR="008915B7" w:rsidRPr="008915B7">
        <w:t xml:space="preserve"> </w:t>
      </w:r>
      <w:proofErr w:type="spellStart"/>
      <w:r w:rsidR="008915B7" w:rsidRPr="008915B7">
        <w:t>Christopoulos</w:t>
      </w:r>
      <w:proofErr w:type="spellEnd"/>
      <w:r w:rsidR="008915B7" w:rsidRPr="008915B7">
        <w:t xml:space="preserve">, 'Casus belli: Causes of the Trojan War in the Epic Cycle', </w:t>
      </w:r>
      <w:r w:rsidR="008915B7" w:rsidRPr="008915B7">
        <w:rPr>
          <w:i/>
          <w:iCs/>
        </w:rPr>
        <w:t>Classics</w:t>
      </w:r>
      <w:r w:rsidR="008915B7" w:rsidRPr="008915B7">
        <w:t>, 6, (2011).</w:t>
      </w:r>
    </w:p>
  </w:footnote>
  <w:footnote w:id="11">
    <w:p w14:paraId="06253FE0" w14:textId="34AA56C8" w:rsidR="5120513C" w:rsidRDefault="5120513C" w:rsidP="5120513C">
      <w:pPr>
        <w:pStyle w:val="FootnoteText"/>
      </w:pPr>
      <w:r w:rsidRPr="5120513C">
        <w:rPr>
          <w:rStyle w:val="FootnoteReference"/>
        </w:rPr>
        <w:footnoteRef/>
      </w:r>
      <w:r w:rsidR="008915B7" w:rsidRPr="008915B7">
        <w:t>"Overheid.Nl | Treaty Database", Minbuza.Nl, 2018 &lt;http://www.minbuza.nl/en/key-topics/treaties/depositary-duties-of-the-kingdom-of-the-netherlands/other-treaties-for-which-the-netherlands-acts-as-depositary/the-hague-peace-conventions-1899.html&gt; [Accessed 20 December 2018].</w:t>
      </w:r>
    </w:p>
  </w:footnote>
  <w:footnote w:id="12">
    <w:p w14:paraId="7714FB8B" w14:textId="72438990" w:rsidR="5120513C" w:rsidRDefault="5120513C" w:rsidP="5120513C">
      <w:pPr>
        <w:pStyle w:val="Heading1"/>
      </w:pPr>
      <w:r w:rsidRPr="00882EE4">
        <w:rPr>
          <w:rStyle w:val="SubtleEmphasis"/>
          <w:sz w:val="16"/>
          <w:szCs w:val="16"/>
        </w:rPr>
        <w:footnoteRef/>
      </w:r>
      <w:r w:rsidRPr="008915B7">
        <w:t xml:space="preserve"> </w:t>
      </w:r>
      <w:r w:rsidR="008915B7" w:rsidRPr="008915B7">
        <w:rPr>
          <w:rFonts w:ascii="Arial" w:eastAsia="Arial" w:hAnsi="Arial" w:cs="Arial"/>
          <w:bCs/>
          <w:color w:val="333333"/>
          <w:sz w:val="17"/>
          <w:szCs w:val="17"/>
        </w:rPr>
        <w:t xml:space="preserve">Larry May and Jill </w:t>
      </w:r>
      <w:proofErr w:type="spellStart"/>
      <w:r w:rsidR="008915B7" w:rsidRPr="008915B7">
        <w:rPr>
          <w:rFonts w:ascii="Arial" w:eastAsia="Arial" w:hAnsi="Arial" w:cs="Arial"/>
          <w:bCs/>
          <w:color w:val="333333"/>
          <w:sz w:val="17"/>
          <w:szCs w:val="17"/>
        </w:rPr>
        <w:t>Delston</w:t>
      </w:r>
      <w:proofErr w:type="spellEnd"/>
      <w:r w:rsidR="008915B7" w:rsidRPr="008915B7">
        <w:rPr>
          <w:rFonts w:ascii="Arial" w:eastAsia="Arial" w:hAnsi="Arial" w:cs="Arial"/>
          <w:bCs/>
          <w:color w:val="333333"/>
          <w:sz w:val="17"/>
          <w:szCs w:val="17"/>
        </w:rPr>
        <w:t xml:space="preserve">, </w:t>
      </w:r>
      <w:r w:rsidR="008915B7" w:rsidRPr="008915B7">
        <w:rPr>
          <w:rFonts w:ascii="Arial" w:eastAsia="Arial" w:hAnsi="Arial" w:cs="Arial"/>
          <w:bCs/>
          <w:i/>
          <w:iCs/>
          <w:color w:val="333333"/>
          <w:sz w:val="17"/>
          <w:szCs w:val="17"/>
        </w:rPr>
        <w:t>Applied Ethics</w:t>
      </w:r>
      <w:r w:rsidR="008915B7" w:rsidRPr="008915B7">
        <w:rPr>
          <w:rFonts w:ascii="Arial" w:eastAsia="Arial" w:hAnsi="Arial" w:cs="Arial"/>
          <w:bCs/>
          <w:color w:val="333333"/>
          <w:sz w:val="17"/>
          <w:szCs w:val="17"/>
        </w:rPr>
        <w:t xml:space="preserve"> (New York: Routledge, 2016).</w:t>
      </w:r>
      <w:r w:rsidR="008915B7">
        <w:rPr>
          <w:rFonts w:ascii="Arial" w:eastAsia="Arial" w:hAnsi="Arial" w:cs="Arial"/>
          <w:b/>
          <w:bCs/>
          <w:color w:val="333333"/>
          <w:sz w:val="17"/>
          <w:szCs w:val="17"/>
        </w:rPr>
        <w:t xml:space="preserve"> </w:t>
      </w:r>
      <w:r w:rsidRPr="5120513C">
        <w:rPr>
          <w:rFonts w:ascii="Arial" w:eastAsia="Arial" w:hAnsi="Arial" w:cs="Arial"/>
          <w:color w:val="333333"/>
          <w:sz w:val="13"/>
          <w:szCs w:val="13"/>
        </w:rPr>
        <w:t>p.182</w:t>
      </w:r>
    </w:p>
  </w:footnote>
  <w:footnote w:id="13">
    <w:p w14:paraId="027DADA9" w14:textId="1154D025" w:rsidR="5120513C" w:rsidRPr="008915B7" w:rsidRDefault="5120513C" w:rsidP="008915B7">
      <w:pPr>
        <w:rPr>
          <w:sz w:val="20"/>
          <w:szCs w:val="20"/>
        </w:rPr>
      </w:pPr>
      <w:r w:rsidRPr="5120513C">
        <w:rPr>
          <w:rStyle w:val="FootnoteReference"/>
        </w:rPr>
        <w:footnoteRef/>
      </w:r>
      <w:r>
        <w:t xml:space="preserve"> </w:t>
      </w:r>
      <w:r w:rsidR="008915B7" w:rsidRPr="00AC7344">
        <w:rPr>
          <w:sz w:val="20"/>
          <w:szCs w:val="20"/>
        </w:rPr>
        <w:t xml:space="preserve">Dan Smith, 'Focus </w:t>
      </w:r>
      <w:proofErr w:type="gramStart"/>
      <w:r w:rsidR="008915B7" w:rsidRPr="00AC7344">
        <w:rPr>
          <w:sz w:val="20"/>
          <w:szCs w:val="20"/>
        </w:rPr>
        <w:t>On</w:t>
      </w:r>
      <w:proofErr w:type="gramEnd"/>
      <w:r w:rsidR="008915B7" w:rsidRPr="00AC7344">
        <w:rPr>
          <w:sz w:val="20"/>
          <w:szCs w:val="20"/>
        </w:rPr>
        <w:t xml:space="preserve"> the Case against Intervention: Just War, Clausewitz and Sarajevo', </w:t>
      </w:r>
      <w:r w:rsidR="008915B7" w:rsidRPr="00AC7344">
        <w:rPr>
          <w:i/>
          <w:sz w:val="20"/>
          <w:szCs w:val="20"/>
        </w:rPr>
        <w:t>Journal of Peace Research</w:t>
      </w:r>
      <w:r w:rsidR="008915B7" w:rsidRPr="00AC7344">
        <w:rPr>
          <w:sz w:val="20"/>
          <w:szCs w:val="20"/>
        </w:rPr>
        <w:t>, 31.2, (1994), 136-142.</w:t>
      </w:r>
    </w:p>
  </w:footnote>
  <w:footnote w:id="14">
    <w:p w14:paraId="39275DBA" w14:textId="575DE0BF" w:rsidR="561BE23E" w:rsidRDefault="561BE23E" w:rsidP="561BE23E">
      <w:pPr>
        <w:pStyle w:val="FootnoteText"/>
      </w:pPr>
      <w:r w:rsidRPr="561BE23E">
        <w:rPr>
          <w:rStyle w:val="FootnoteReference"/>
        </w:rPr>
        <w:footnoteRef/>
      </w:r>
      <w:r w:rsidR="004173A1" w:rsidRPr="004173A1">
        <w:t xml:space="preserve">"Pacifism (Stanford </w:t>
      </w:r>
      <w:proofErr w:type="spellStart"/>
      <w:r w:rsidR="004173A1" w:rsidRPr="004173A1">
        <w:t>Encyclopedia</w:t>
      </w:r>
      <w:proofErr w:type="spellEnd"/>
      <w:r w:rsidR="004173A1" w:rsidRPr="004173A1">
        <w:t xml:space="preserve"> Of Philosophy)", </w:t>
      </w:r>
      <w:proofErr w:type="gramStart"/>
      <w:r w:rsidR="004173A1" w:rsidRPr="004173A1">
        <w:rPr>
          <w:i/>
          <w:iCs/>
        </w:rPr>
        <w:t>Plato.Stanford.Edu</w:t>
      </w:r>
      <w:proofErr w:type="gramEnd"/>
      <w:r w:rsidR="004173A1" w:rsidRPr="004173A1">
        <w:t>, 2018 &lt;https://plato.stanford.edu/entries/pacifism/&gt; [Accessed 20 December 2018].</w:t>
      </w:r>
    </w:p>
  </w:footnote>
  <w:footnote w:id="15">
    <w:p w14:paraId="0F8F05D1" w14:textId="50AA37B0" w:rsidR="008915B7" w:rsidRPr="008915B7" w:rsidRDefault="008915B7" w:rsidP="008915B7">
      <w:pPr>
        <w:rPr>
          <w:sz w:val="20"/>
          <w:szCs w:val="20"/>
        </w:rPr>
      </w:pPr>
      <w:r>
        <w:rPr>
          <w:rStyle w:val="FootnoteReference"/>
        </w:rPr>
        <w:footnoteRef/>
      </w:r>
      <w:r>
        <w:t xml:space="preserve"> </w:t>
      </w:r>
      <w:r w:rsidRPr="00AC7344">
        <w:rPr>
          <w:sz w:val="20"/>
          <w:szCs w:val="20"/>
        </w:rPr>
        <w:t>Alban Butler and Teresa Rodrigues</w:t>
      </w:r>
      <w:r>
        <w:rPr>
          <w:sz w:val="20"/>
          <w:szCs w:val="20"/>
        </w:rPr>
        <w:t xml:space="preserve"> (1999).</w:t>
      </w:r>
      <w:r w:rsidRPr="00AC7344">
        <w:rPr>
          <w:sz w:val="20"/>
          <w:szCs w:val="20"/>
        </w:rPr>
        <w:t xml:space="preserve"> </w:t>
      </w:r>
      <w:r w:rsidRPr="00AC7344">
        <w:rPr>
          <w:i/>
          <w:sz w:val="20"/>
          <w:szCs w:val="20"/>
        </w:rPr>
        <w:t xml:space="preserve">Butler's Lives </w:t>
      </w:r>
      <w:proofErr w:type="gramStart"/>
      <w:r w:rsidRPr="00AC7344">
        <w:rPr>
          <w:i/>
          <w:sz w:val="20"/>
          <w:szCs w:val="20"/>
        </w:rPr>
        <w:t>Of</w:t>
      </w:r>
      <w:proofErr w:type="gramEnd"/>
      <w:r w:rsidRPr="00AC7344">
        <w:rPr>
          <w:i/>
          <w:sz w:val="20"/>
          <w:szCs w:val="20"/>
        </w:rPr>
        <w:t xml:space="preserve"> The Saints</w:t>
      </w:r>
      <w:r w:rsidRPr="00AC7344">
        <w:rPr>
          <w:sz w:val="20"/>
          <w:szCs w:val="20"/>
        </w:rPr>
        <w:t xml:space="preserve"> Tunbridge Wells, Kent: Burns &amp; Oates/Search Press, Ltd</w:t>
      </w:r>
      <w:r>
        <w:rPr>
          <w:sz w:val="20"/>
          <w:szCs w:val="20"/>
        </w:rPr>
        <w:t xml:space="preserve"> </w:t>
      </w:r>
      <w:r>
        <w:rPr>
          <w:sz w:val="20"/>
          <w:szCs w:val="20"/>
        </w:rPr>
        <w:t xml:space="preserve">p. </w:t>
      </w:r>
      <w:r w:rsidRPr="00AC7344">
        <w:rPr>
          <w:sz w:val="20"/>
          <w:szCs w:val="20"/>
        </w:rPr>
        <w:t>March 12</w:t>
      </w:r>
    </w:p>
  </w:footnote>
  <w:footnote w:id="16">
    <w:p w14:paraId="6CD8EFC8" w14:textId="6AC95BCB" w:rsidR="561BE23E" w:rsidRDefault="561BE23E" w:rsidP="561BE23E">
      <w:pPr>
        <w:pStyle w:val="FootnoteText"/>
      </w:pPr>
      <w:r w:rsidRPr="561BE23E">
        <w:rPr>
          <w:rStyle w:val="FootnoteReference"/>
        </w:rPr>
        <w:footnoteRef/>
      </w:r>
      <w:r>
        <w:t xml:space="preserve"> </w:t>
      </w:r>
      <w:r w:rsidR="004173A1" w:rsidRPr="004173A1">
        <w:t xml:space="preserve">"St. Martin Of Tours | French Saint", </w:t>
      </w:r>
      <w:proofErr w:type="spellStart"/>
      <w:r w:rsidR="004173A1" w:rsidRPr="004173A1">
        <w:rPr>
          <w:i/>
          <w:iCs/>
        </w:rPr>
        <w:t>Encyclopedia</w:t>
      </w:r>
      <w:proofErr w:type="spellEnd"/>
      <w:r w:rsidR="004173A1" w:rsidRPr="004173A1">
        <w:rPr>
          <w:i/>
          <w:iCs/>
        </w:rPr>
        <w:t xml:space="preserve"> Britannica</w:t>
      </w:r>
      <w:r w:rsidR="004173A1" w:rsidRPr="004173A1">
        <w:t>, 2018 &lt;https://www.britannica.com/biography/Saint-Martin-of-Tours&gt; [Accessed 20 December 2018].</w:t>
      </w:r>
    </w:p>
  </w:footnote>
  <w:footnote w:id="17">
    <w:p w14:paraId="49587CE7" w14:textId="15B5BB19" w:rsidR="561BE23E" w:rsidRDefault="561BE23E" w:rsidP="00882EE4">
      <w:pPr>
        <w:pStyle w:val="FootnoteText"/>
      </w:pPr>
      <w:r w:rsidRPr="561BE23E">
        <w:rPr>
          <w:rStyle w:val="FootnoteReference"/>
        </w:rPr>
        <w:footnoteRef/>
      </w:r>
      <w:r>
        <w:t xml:space="preserve"> </w:t>
      </w:r>
      <w:r w:rsidR="00882EE4" w:rsidRPr="00F17B98">
        <w:t xml:space="preserve">Steven J Taylor, </w:t>
      </w:r>
      <w:r w:rsidR="00882EE4" w:rsidRPr="00F17B98">
        <w:rPr>
          <w:i/>
        </w:rPr>
        <w:t xml:space="preserve">Acts </w:t>
      </w:r>
      <w:proofErr w:type="gramStart"/>
      <w:r w:rsidR="00882EE4" w:rsidRPr="00F17B98">
        <w:rPr>
          <w:i/>
        </w:rPr>
        <w:t>Of</w:t>
      </w:r>
      <w:proofErr w:type="gramEnd"/>
      <w:r w:rsidR="00882EE4" w:rsidRPr="00F17B98">
        <w:rPr>
          <w:i/>
        </w:rPr>
        <w:t xml:space="preserve"> Conscience </w:t>
      </w:r>
      <w:r w:rsidR="00882EE4" w:rsidRPr="00F17B98">
        <w:t>(Syracuse, N.Y.: Syracuse University Press, 2009).</w:t>
      </w:r>
      <w:r w:rsidR="00882EE4">
        <w:t xml:space="preserve"> </w:t>
      </w:r>
      <w:r w:rsidR="00882EE4" w:rsidRPr="00F17B98">
        <w:t>p.399</w:t>
      </w:r>
    </w:p>
  </w:footnote>
  <w:footnote w:id="18">
    <w:p w14:paraId="6B7E9F71" w14:textId="2B9010C3" w:rsidR="2994F68F" w:rsidRDefault="2994F68F" w:rsidP="2994F68F">
      <w:pPr>
        <w:pStyle w:val="FootnoteText"/>
      </w:pPr>
      <w:r w:rsidRPr="2994F68F">
        <w:rPr>
          <w:rStyle w:val="FootnoteReference"/>
        </w:rPr>
        <w:footnoteRef/>
      </w:r>
      <w:r>
        <w:t xml:space="preserve"> </w:t>
      </w:r>
      <w:r w:rsidR="004173A1">
        <w:t>Romans 13:4</w:t>
      </w:r>
    </w:p>
  </w:footnote>
  <w:footnote w:id="19">
    <w:p w14:paraId="72912F3C" w14:textId="04612820" w:rsidR="2994F68F" w:rsidRDefault="2994F68F" w:rsidP="00882EE4">
      <w:pPr>
        <w:pStyle w:val="FootnoteText"/>
      </w:pPr>
      <w:r w:rsidRPr="2994F68F">
        <w:rPr>
          <w:rStyle w:val="FootnoteReference"/>
        </w:rPr>
        <w:footnoteRef/>
      </w:r>
      <w:r w:rsidR="00882EE4">
        <w:rPr>
          <w:rFonts w:ascii="Arial" w:eastAsia="Arial" w:hAnsi="Arial" w:cs="Arial"/>
          <w:b/>
          <w:bCs/>
          <w:color w:val="333333"/>
          <w:sz w:val="17"/>
          <w:szCs w:val="17"/>
        </w:rPr>
        <w:t xml:space="preserve"> </w:t>
      </w:r>
      <w:r w:rsidR="00882EE4" w:rsidRPr="00F17B98">
        <w:t>Katherine Allen Smith,</w:t>
      </w:r>
      <w:r w:rsidR="00882EE4" w:rsidRPr="007E54A1">
        <w:rPr>
          <w:i/>
        </w:rPr>
        <w:t xml:space="preserve"> War </w:t>
      </w:r>
      <w:proofErr w:type="gramStart"/>
      <w:r w:rsidR="00882EE4" w:rsidRPr="007E54A1">
        <w:rPr>
          <w:i/>
        </w:rPr>
        <w:t>And</w:t>
      </w:r>
      <w:proofErr w:type="gramEnd"/>
      <w:r w:rsidR="00882EE4" w:rsidRPr="007E54A1">
        <w:rPr>
          <w:i/>
        </w:rPr>
        <w:t xml:space="preserve"> The Making Of Medieval Monastic Culture</w:t>
      </w:r>
      <w:r w:rsidR="00882EE4" w:rsidRPr="00F17B98">
        <w:t xml:space="preserve"> (Woodbridge: Boydell, 2011)</w:t>
      </w:r>
      <w:r w:rsidR="00882EE4">
        <w:t xml:space="preserve">. </w:t>
      </w:r>
    </w:p>
  </w:footnote>
  <w:footnote w:id="20">
    <w:p w14:paraId="14AECFB3" w14:textId="4D36C305" w:rsidR="2994F68F" w:rsidRDefault="2994F68F" w:rsidP="2994F68F">
      <w:pPr>
        <w:pStyle w:val="FootnoteText"/>
      </w:pPr>
      <w:r w:rsidRPr="2994F68F">
        <w:rPr>
          <w:rStyle w:val="FootnoteReference"/>
        </w:rPr>
        <w:footnoteRef/>
      </w:r>
      <w:r>
        <w:t xml:space="preserve"> </w:t>
      </w:r>
      <w:r w:rsidR="00882EE4" w:rsidRPr="00AA2FD0">
        <w:t>Mahatma Gandhi and Paul F Power</w:t>
      </w:r>
      <w:r w:rsidR="00882EE4" w:rsidRPr="007E54A1">
        <w:rPr>
          <w:i/>
        </w:rPr>
        <w:t xml:space="preserve">, Non-Violence </w:t>
      </w:r>
      <w:proofErr w:type="gramStart"/>
      <w:r w:rsidR="00882EE4" w:rsidRPr="007E54A1">
        <w:rPr>
          <w:i/>
        </w:rPr>
        <w:t>In</w:t>
      </w:r>
      <w:proofErr w:type="gramEnd"/>
      <w:r w:rsidR="00882EE4" w:rsidRPr="007E54A1">
        <w:rPr>
          <w:i/>
        </w:rPr>
        <w:t xml:space="preserve"> Peace And War, 1942-1949</w:t>
      </w:r>
      <w:r w:rsidR="00882EE4" w:rsidRPr="00AA2FD0">
        <w:t xml:space="preserve"> (New York: Garland Publishing, 1972).</w:t>
      </w:r>
    </w:p>
  </w:footnote>
  <w:footnote w:id="21">
    <w:p w14:paraId="41CCDA5F" w14:textId="46E3D8C1" w:rsidR="2994F68F" w:rsidRDefault="2994F68F" w:rsidP="2994F68F">
      <w:pPr>
        <w:pStyle w:val="FootnoteText"/>
      </w:pPr>
      <w:r w:rsidRPr="2994F68F">
        <w:rPr>
          <w:rStyle w:val="FootnoteReference"/>
        </w:rPr>
        <w:footnoteRef/>
      </w:r>
      <w:r>
        <w:t xml:space="preserve"> </w:t>
      </w:r>
      <w:r w:rsidR="00882EE4" w:rsidRPr="00882EE4">
        <w:t xml:space="preserve">"Pacifism (Stanford </w:t>
      </w:r>
      <w:proofErr w:type="spellStart"/>
      <w:r w:rsidR="00882EE4" w:rsidRPr="00882EE4">
        <w:t>Encyclopedia</w:t>
      </w:r>
      <w:proofErr w:type="spellEnd"/>
      <w:r w:rsidR="00882EE4" w:rsidRPr="00882EE4">
        <w:t xml:space="preserve"> Of Philosophy)", </w:t>
      </w:r>
      <w:proofErr w:type="gramStart"/>
      <w:r w:rsidR="00882EE4" w:rsidRPr="00882EE4">
        <w:rPr>
          <w:i/>
          <w:iCs/>
        </w:rPr>
        <w:t>Plato.Stanford.Edu</w:t>
      </w:r>
      <w:proofErr w:type="gramEnd"/>
      <w:r w:rsidR="00882EE4" w:rsidRPr="00882EE4">
        <w:t>, 2018 &lt;https://plato.stanford.edu/entries/pacifism/&gt; [Accessed 20 December 2018].</w:t>
      </w:r>
    </w:p>
  </w:footnote>
  <w:footnote w:id="22">
    <w:p w14:paraId="542EC466" w14:textId="36A7F14F" w:rsidR="079C2014" w:rsidRDefault="079C2014" w:rsidP="079C2014">
      <w:pPr>
        <w:pStyle w:val="FootnoteText"/>
      </w:pPr>
      <w:r w:rsidRPr="079C2014">
        <w:rPr>
          <w:rStyle w:val="FootnoteReference"/>
        </w:rPr>
        <w:footnoteRef/>
      </w:r>
      <w:r>
        <w:t xml:space="preserve"> </w:t>
      </w:r>
      <w:r w:rsidR="00882EE4" w:rsidRPr="00F17B98">
        <w:t xml:space="preserve">Aaron Michael Moreno, </w:t>
      </w:r>
      <w:r w:rsidR="00882EE4" w:rsidRPr="00F17B98">
        <w:rPr>
          <w:i/>
        </w:rPr>
        <w:t>Arabicizing, Privileges, and Liturgy in Medieval Castilian Toledo: The Problems and Mutations of Mozarab Identification (1085-1436)</w:t>
      </w:r>
      <w:r w:rsidR="00882EE4" w:rsidRPr="00F17B98">
        <w:t xml:space="preserve"> (Los Angeles: University of California Press, 2012), p. 4.</w:t>
      </w:r>
    </w:p>
  </w:footnote>
  <w:footnote w:id="23">
    <w:p w14:paraId="4546C58C" w14:textId="074344A7" w:rsidR="079C2014" w:rsidRDefault="079C2014" w:rsidP="079C2014">
      <w:pPr>
        <w:pStyle w:val="FootnoteText"/>
      </w:pPr>
      <w:r w:rsidRPr="079C2014">
        <w:rPr>
          <w:rStyle w:val="FootnoteReference"/>
        </w:rPr>
        <w:footnoteRef/>
      </w:r>
      <w:r>
        <w:t xml:space="preserve"> </w:t>
      </w:r>
      <w:r w:rsidR="00882EE4" w:rsidRPr="00C84774">
        <w:t xml:space="preserve">Howard Miller, </w:t>
      </w:r>
      <w:r w:rsidR="00882EE4" w:rsidRPr="00C84774">
        <w:rPr>
          <w:i/>
        </w:rPr>
        <w:t>According to Christian Sunna: Mozarabic Notarial Culture in Toledo, 1085-1300</w:t>
      </w:r>
      <w:r w:rsidR="00882EE4" w:rsidRPr="00C84774">
        <w:t xml:space="preserve"> (New Haven: Yale University Press, 2003).</w:t>
      </w:r>
    </w:p>
  </w:footnote>
  <w:footnote w:id="24">
    <w:p w14:paraId="7BAB4266" w14:textId="7C878FC0" w:rsidR="2994F68F" w:rsidRDefault="2994F68F" w:rsidP="00882EE4">
      <w:pPr>
        <w:pStyle w:val="FootnoteText"/>
      </w:pPr>
      <w:r w:rsidRPr="2994F68F">
        <w:rPr>
          <w:rStyle w:val="FootnoteReference"/>
        </w:rPr>
        <w:footnoteRef/>
      </w:r>
      <w:r>
        <w:t xml:space="preserve"> </w:t>
      </w:r>
      <w:r w:rsidR="00882EE4" w:rsidRPr="00C84774">
        <w:t xml:space="preserve">Bernard S. </w:t>
      </w:r>
      <w:proofErr w:type="gramStart"/>
      <w:r w:rsidR="00882EE4" w:rsidRPr="00C84774">
        <w:t>Bachrach ,</w:t>
      </w:r>
      <w:proofErr w:type="gramEnd"/>
      <w:r w:rsidR="00882EE4" w:rsidRPr="00C84774">
        <w:t xml:space="preserve"> 'Focus On the</w:t>
      </w:r>
      <w:r w:rsidR="00882EE4">
        <w:t xml:space="preserve"> </w:t>
      </w:r>
      <w:r w:rsidR="00882EE4" w:rsidRPr="00C84774">
        <w:t xml:space="preserve">Medieval siege warfare: A reconnaissance', </w:t>
      </w:r>
      <w:r w:rsidR="00882EE4" w:rsidRPr="00C84774">
        <w:rPr>
          <w:i/>
        </w:rPr>
        <w:t>The Journal of Military History</w:t>
      </w:r>
      <w:r w:rsidR="00882EE4" w:rsidRPr="00C84774">
        <w:t>, 58.1, (1994), .</w:t>
      </w:r>
    </w:p>
  </w:footnote>
  <w:footnote w:id="25">
    <w:p w14:paraId="73B61305" w14:textId="684F181A" w:rsidR="079C2014" w:rsidRDefault="079C2014" w:rsidP="00882EE4">
      <w:pPr>
        <w:pStyle w:val="FootnoteText"/>
      </w:pPr>
      <w:r w:rsidRPr="079C2014">
        <w:rPr>
          <w:rStyle w:val="FootnoteReference"/>
        </w:rPr>
        <w:footnoteRef/>
      </w:r>
      <w:r>
        <w:t xml:space="preserve"> </w:t>
      </w:r>
      <w:r w:rsidR="00882EE4" w:rsidRPr="00C84774">
        <w:t xml:space="preserve">Robert Mandel, </w:t>
      </w:r>
      <w:r w:rsidR="00882EE4" w:rsidRPr="00C84774">
        <w:rPr>
          <w:i/>
        </w:rPr>
        <w:t xml:space="preserve">Security, Strategy, And </w:t>
      </w:r>
      <w:proofErr w:type="gramStart"/>
      <w:r w:rsidR="00882EE4" w:rsidRPr="00C84774">
        <w:rPr>
          <w:i/>
        </w:rPr>
        <w:t>The</w:t>
      </w:r>
      <w:proofErr w:type="gramEnd"/>
      <w:r w:rsidR="00882EE4" w:rsidRPr="00C84774">
        <w:rPr>
          <w:i/>
        </w:rPr>
        <w:t xml:space="preserve"> Quest For Bloodless War</w:t>
      </w:r>
      <w:r w:rsidR="00882EE4" w:rsidRPr="00C84774">
        <w:t xml:space="preserve"> (Boulder, Colo.: Lynne </w:t>
      </w:r>
      <w:proofErr w:type="spellStart"/>
      <w:r w:rsidR="00882EE4" w:rsidRPr="00C84774">
        <w:t>Rienner</w:t>
      </w:r>
      <w:proofErr w:type="spellEnd"/>
      <w:r w:rsidR="00882EE4" w:rsidRPr="00C84774">
        <w:t>, 2004).</w:t>
      </w:r>
    </w:p>
  </w:footnote>
  <w:footnote w:id="26">
    <w:p w14:paraId="6EC7421A" w14:textId="25EC03FD" w:rsidR="079C2014" w:rsidRDefault="079C2014" w:rsidP="00882EE4">
      <w:pPr>
        <w:pStyle w:val="FootnoteText"/>
      </w:pPr>
      <w:r w:rsidRPr="079C2014">
        <w:rPr>
          <w:rStyle w:val="FootnoteReference"/>
        </w:rPr>
        <w:footnoteRef/>
      </w:r>
      <w:r>
        <w:t xml:space="preserve"> </w:t>
      </w:r>
      <w:r w:rsidR="00882EE4" w:rsidRPr="00C84774">
        <w:t xml:space="preserve">Kelly DeVries and Robert Douglas Smith, </w:t>
      </w:r>
      <w:r w:rsidR="00882EE4" w:rsidRPr="00C84774">
        <w:rPr>
          <w:i/>
        </w:rPr>
        <w:t>Medieval Military Technology</w:t>
      </w:r>
      <w:r w:rsidR="00882EE4" w:rsidRPr="00C84774">
        <w:t xml:space="preserve"> (Toronto: University of Toronto Press, 2012).</w:t>
      </w:r>
    </w:p>
  </w:footnote>
  <w:footnote w:id="27">
    <w:p w14:paraId="020D8AC8" w14:textId="038D17C0" w:rsidR="2994F68F" w:rsidRDefault="2994F68F" w:rsidP="2994F68F">
      <w:pPr>
        <w:pStyle w:val="FootnoteText"/>
      </w:pPr>
      <w:r w:rsidRPr="2994F68F">
        <w:rPr>
          <w:rStyle w:val="FootnoteReference"/>
        </w:rPr>
        <w:footnoteRef/>
      </w:r>
      <w:r>
        <w:t xml:space="preserve"> </w:t>
      </w:r>
      <w:r w:rsidR="00882EE4">
        <w:t>Major Robert F. Wendel,</w:t>
      </w:r>
      <w:r w:rsidR="00882EE4" w:rsidRPr="00C84774">
        <w:t xml:space="preserve"> </w:t>
      </w:r>
      <w:r w:rsidR="00882EE4" w:rsidRPr="00C84774">
        <w:rPr>
          <w:i/>
        </w:rPr>
        <w:t xml:space="preserve">Casualty Aversion in the Post-Cold War Era: Defined and </w:t>
      </w:r>
      <w:proofErr w:type="spellStart"/>
      <w:r w:rsidR="00882EE4" w:rsidRPr="00C84774">
        <w:rPr>
          <w:i/>
        </w:rPr>
        <w:t>analyzed</w:t>
      </w:r>
      <w:proofErr w:type="spellEnd"/>
      <w:r w:rsidR="00882EE4" w:rsidRPr="00C84774">
        <w:rPr>
          <w:i/>
        </w:rPr>
        <w:t xml:space="preserve"> through the logic of Clausewitz </w:t>
      </w:r>
      <w:r w:rsidR="00882EE4" w:rsidRPr="00C84774">
        <w:t>(Quantico, Virginia: Marine Corps University, 2012).</w:t>
      </w:r>
      <w:r w:rsidR="00882EE4">
        <w:t xml:space="preserve"> </w:t>
      </w:r>
      <w:r w:rsidR="00882EE4" w:rsidRPr="00C84774">
        <w:t>pp. 21-22</w:t>
      </w:r>
    </w:p>
  </w:footnote>
  <w:footnote w:id="28">
    <w:p w14:paraId="13F4943F" w14:textId="33EADFBE" w:rsidR="00882EE4" w:rsidRDefault="00882EE4">
      <w:pPr>
        <w:pStyle w:val="FootnoteText"/>
      </w:pPr>
      <w:r>
        <w:rPr>
          <w:rStyle w:val="FootnoteReference"/>
        </w:rPr>
        <w:footnoteRef/>
      </w:r>
      <w:r>
        <w:t xml:space="preserve"> </w:t>
      </w:r>
      <w:r w:rsidRPr="0057523B">
        <w:t xml:space="preserve">Richard K Betts, </w:t>
      </w:r>
      <w:r w:rsidRPr="0057523B">
        <w:rPr>
          <w:i/>
        </w:rPr>
        <w:t xml:space="preserve">Conflict After </w:t>
      </w:r>
      <w:proofErr w:type="gramStart"/>
      <w:r w:rsidRPr="0057523B">
        <w:rPr>
          <w:i/>
        </w:rPr>
        <w:t>The</w:t>
      </w:r>
      <w:proofErr w:type="gramEnd"/>
      <w:r w:rsidRPr="0057523B">
        <w:rPr>
          <w:i/>
        </w:rPr>
        <w:t xml:space="preserve"> Cold War. Arguments </w:t>
      </w:r>
      <w:proofErr w:type="gramStart"/>
      <w:r w:rsidRPr="0057523B">
        <w:rPr>
          <w:i/>
        </w:rPr>
        <w:t>On</w:t>
      </w:r>
      <w:proofErr w:type="gramEnd"/>
      <w:r w:rsidRPr="0057523B">
        <w:rPr>
          <w:i/>
        </w:rPr>
        <w:t xml:space="preserve"> Causes Of War And Peace</w:t>
      </w:r>
      <w:r w:rsidRPr="0057523B">
        <w:t xml:space="preserve"> (Andover: Routledge Ltd, 2017). p. 149-150</w:t>
      </w:r>
    </w:p>
  </w:footnote>
  <w:footnote w:id="29">
    <w:p w14:paraId="25297F77" w14:textId="77777777" w:rsidR="00000000" w:rsidRDefault="0094233E"/>
  </w:footnote>
  <w:footnote w:id="30">
    <w:p w14:paraId="48AEFAA4" w14:textId="678DEE6D" w:rsidR="207E036A" w:rsidRDefault="207E036A" w:rsidP="00882EE4">
      <w:pPr>
        <w:pStyle w:val="FootnoteText"/>
      </w:pPr>
      <w:r w:rsidRPr="207E036A">
        <w:rPr>
          <w:rStyle w:val="FootnoteReference"/>
        </w:rPr>
        <w:footnoteRef/>
      </w:r>
      <w:r>
        <w:t xml:space="preserve"> </w:t>
      </w:r>
      <w:r w:rsidR="00882EE4" w:rsidRPr="0057523B">
        <w:t xml:space="preserve">Andrew Gamble, David Marsh and Tony </w:t>
      </w:r>
      <w:proofErr w:type="spellStart"/>
      <w:r w:rsidR="00882EE4" w:rsidRPr="0057523B">
        <w:t>Tant</w:t>
      </w:r>
      <w:proofErr w:type="spellEnd"/>
      <w:r w:rsidR="00882EE4" w:rsidRPr="0057523B">
        <w:t xml:space="preserve">, </w:t>
      </w:r>
      <w:r w:rsidR="00882EE4" w:rsidRPr="0057523B">
        <w:rPr>
          <w:i/>
        </w:rPr>
        <w:t>Marxism And Social</w:t>
      </w:r>
      <w:r w:rsidR="00882EE4" w:rsidRPr="0057523B">
        <w:t xml:space="preserve"> Science (</w:t>
      </w:r>
      <w:proofErr w:type="spellStart"/>
      <w:r w:rsidR="00882EE4" w:rsidRPr="0057523B">
        <w:t>Houndmills</w:t>
      </w:r>
      <w:proofErr w:type="spellEnd"/>
      <w:r w:rsidR="00882EE4">
        <w:t xml:space="preserve">, </w:t>
      </w:r>
      <w:r w:rsidR="00882EE4" w:rsidRPr="0057523B">
        <w:t>Hampshire: MacMillan, 1999).</w:t>
      </w:r>
      <w:r w:rsidR="00882EE4">
        <w:t xml:space="preserve"> </w:t>
      </w:r>
      <w:r w:rsidR="00882EE4" w:rsidRPr="0057523B">
        <w:t>p. 85</w:t>
      </w:r>
    </w:p>
  </w:footnote>
  <w:footnote w:id="31">
    <w:p w14:paraId="007F7AA7" w14:textId="3CAFC43E" w:rsidR="2994F68F" w:rsidRDefault="2994F68F" w:rsidP="00882EE4">
      <w:pPr>
        <w:pStyle w:val="FootnoteText"/>
      </w:pPr>
      <w:r w:rsidRPr="2994F68F">
        <w:rPr>
          <w:rStyle w:val="FootnoteReference"/>
        </w:rPr>
        <w:footnoteRef/>
      </w:r>
      <w:r w:rsidR="00882EE4" w:rsidRPr="0057523B">
        <w:t>Murray N Rothbard</w:t>
      </w:r>
      <w:r w:rsidR="00882EE4" w:rsidRPr="0057523B">
        <w:rPr>
          <w:i/>
        </w:rPr>
        <w:t>, For A New Liberty</w:t>
      </w:r>
      <w:r w:rsidR="00882EE4" w:rsidRPr="0057523B">
        <w:t xml:space="preserve"> (</w:t>
      </w:r>
      <w:proofErr w:type="spellStart"/>
      <w:r w:rsidR="00882EE4" w:rsidRPr="0057523B">
        <w:t>Createspace</w:t>
      </w:r>
      <w:proofErr w:type="spellEnd"/>
      <w:r w:rsidR="00882EE4" w:rsidRPr="0057523B">
        <w:t>, 2006)</w:t>
      </w:r>
      <w:r w:rsidR="00882EE4">
        <w:t xml:space="preserve">. </w:t>
      </w:r>
      <w:r w:rsidR="00882EE4" w:rsidRPr="0057523B">
        <w:t>p. 347</w:t>
      </w:r>
    </w:p>
  </w:footnote>
  <w:footnote w:id="32">
    <w:p w14:paraId="3B42ADB0" w14:textId="3117BA9B" w:rsidR="207E036A" w:rsidRDefault="207E036A" w:rsidP="00882EE4">
      <w:pPr>
        <w:pStyle w:val="FootnoteText"/>
      </w:pPr>
      <w:r w:rsidRPr="207E036A">
        <w:rPr>
          <w:rStyle w:val="FootnoteReference"/>
        </w:rPr>
        <w:footnoteRef/>
      </w:r>
      <w:r>
        <w:t xml:space="preserve"> </w:t>
      </w:r>
      <w:r w:rsidR="00882EE4" w:rsidRPr="0057523B">
        <w:t xml:space="preserve">Andrew Cliff and Matthew Smallman-Raynor, Oxford Textbook of Infectious Disease Control: A Geographical Analysis from Medieval Quarantine to Global Eradication (Oxford Textbooks In Public Health) (English </w:t>
      </w:r>
      <w:proofErr w:type="gramStart"/>
      <w:r w:rsidR="00882EE4" w:rsidRPr="0057523B">
        <w:t>Edition)(</w:t>
      </w:r>
      <w:proofErr w:type="gramEnd"/>
      <w:r w:rsidR="00882EE4" w:rsidRPr="0057523B">
        <w:t>Oxford: OUP, 2013), [accessed 20 December 2018].</w:t>
      </w:r>
      <w:r w:rsidR="00882EE4">
        <w:t xml:space="preserve"> </w:t>
      </w:r>
      <w:proofErr w:type="spellStart"/>
      <w:r w:rsidR="00882EE4" w:rsidRPr="00AA2FD0">
        <w:t>p.viii</w:t>
      </w:r>
      <w:proofErr w:type="spellEnd"/>
    </w:p>
  </w:footnote>
  <w:footnote w:id="33">
    <w:p w14:paraId="5D2F0FF4" w14:textId="77777777" w:rsidR="00882EE4" w:rsidRDefault="2994F68F" w:rsidP="00882EE4">
      <w:pPr>
        <w:pStyle w:val="FootnoteText"/>
      </w:pPr>
      <w:r w:rsidRPr="2994F68F">
        <w:rPr>
          <w:rStyle w:val="FootnoteReference"/>
        </w:rPr>
        <w:footnoteRef/>
      </w:r>
      <w:r>
        <w:t xml:space="preserve"> </w:t>
      </w:r>
      <w:r w:rsidR="00882EE4" w:rsidRPr="00AA2FD0">
        <w:t xml:space="preserve">William H. Shaw, </w:t>
      </w:r>
      <w:r w:rsidR="00882EE4" w:rsidRPr="00AA2FD0">
        <w:rPr>
          <w:i/>
          <w:iCs/>
        </w:rPr>
        <w:t>Transformative Pacifism: Critical Theory and Practice</w:t>
      </w:r>
      <w:r w:rsidR="00882EE4" w:rsidRPr="00AA2FD0">
        <w:t xml:space="preserve"> (London: Routledge, 2016), p. 58.</w:t>
      </w:r>
    </w:p>
    <w:p w14:paraId="3DDDE454" w14:textId="27C5753B" w:rsidR="2994F68F" w:rsidRDefault="2994F68F" w:rsidP="2994F68F">
      <w:pPr>
        <w:pStyle w:val="FootnoteText"/>
      </w:pPr>
    </w:p>
  </w:footnote>
  <w:footnote w:id="34">
    <w:p w14:paraId="02705D1A" w14:textId="21989F07" w:rsidR="207E036A" w:rsidRDefault="207E036A" w:rsidP="004173A1">
      <w:pPr>
        <w:pStyle w:val="FootnoteText"/>
      </w:pPr>
      <w:r w:rsidRPr="207E036A">
        <w:rPr>
          <w:rStyle w:val="FootnoteReference"/>
        </w:rPr>
        <w:footnoteRef/>
      </w:r>
      <w:r>
        <w:t xml:space="preserve"> </w:t>
      </w:r>
      <w:r w:rsidR="004173A1" w:rsidRPr="00AA2FD0">
        <w:t xml:space="preserve">Renee de Nevers, 'Democratization and ethnic conflict', </w:t>
      </w:r>
      <w:r w:rsidR="004173A1" w:rsidRPr="00AA2FD0">
        <w:rPr>
          <w:i/>
          <w:iCs/>
        </w:rPr>
        <w:t>Survival</w:t>
      </w:r>
      <w:r w:rsidR="004173A1" w:rsidRPr="00AA2FD0">
        <w:t>, 35.2, (1993), 31-48.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120513C" w14:paraId="2D1E4D76" w14:textId="77777777" w:rsidTr="5120513C">
      <w:tc>
        <w:tcPr>
          <w:tcW w:w="3009" w:type="dxa"/>
        </w:tcPr>
        <w:p w14:paraId="593CE426" w14:textId="65D2225C" w:rsidR="5120513C" w:rsidRDefault="5120513C" w:rsidP="5120513C">
          <w:pPr>
            <w:pStyle w:val="Header"/>
            <w:ind w:left="-115"/>
          </w:pPr>
        </w:p>
      </w:tc>
      <w:tc>
        <w:tcPr>
          <w:tcW w:w="3009" w:type="dxa"/>
        </w:tcPr>
        <w:p w14:paraId="262B902F" w14:textId="593CFEC8" w:rsidR="5120513C" w:rsidRDefault="5120513C" w:rsidP="5120513C">
          <w:pPr>
            <w:pStyle w:val="Header"/>
            <w:jc w:val="center"/>
          </w:pPr>
        </w:p>
      </w:tc>
      <w:tc>
        <w:tcPr>
          <w:tcW w:w="3009" w:type="dxa"/>
        </w:tcPr>
        <w:p w14:paraId="644B80E0" w14:textId="48948E69" w:rsidR="5120513C" w:rsidRDefault="5120513C" w:rsidP="5120513C">
          <w:pPr>
            <w:pStyle w:val="Header"/>
            <w:ind w:right="-115"/>
            <w:jc w:val="right"/>
          </w:pPr>
        </w:p>
      </w:tc>
    </w:tr>
  </w:tbl>
  <w:p w14:paraId="71F87C02" w14:textId="6D0D7758" w:rsidR="5120513C" w:rsidRDefault="5120513C" w:rsidP="512051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053D6"/>
    <w:multiLevelType w:val="hybridMultilevel"/>
    <w:tmpl w:val="0F44F85E"/>
    <w:lvl w:ilvl="0" w:tplc="D6A8ACCA">
      <w:start w:val="1"/>
      <w:numFmt w:val="decimal"/>
      <w:lvlText w:val="%1."/>
      <w:lvlJc w:val="left"/>
      <w:pPr>
        <w:ind w:left="720" w:hanging="360"/>
      </w:pPr>
    </w:lvl>
    <w:lvl w:ilvl="1" w:tplc="43E62B28">
      <w:start w:val="1"/>
      <w:numFmt w:val="lowerLetter"/>
      <w:lvlText w:val="%2."/>
      <w:lvlJc w:val="left"/>
      <w:pPr>
        <w:ind w:left="1440" w:hanging="360"/>
      </w:pPr>
    </w:lvl>
    <w:lvl w:ilvl="2" w:tplc="0FFA2D62">
      <w:start w:val="1"/>
      <w:numFmt w:val="lowerRoman"/>
      <w:lvlText w:val="%3."/>
      <w:lvlJc w:val="right"/>
      <w:pPr>
        <w:ind w:left="2160" w:hanging="180"/>
      </w:pPr>
    </w:lvl>
    <w:lvl w:ilvl="3" w:tplc="62EC9044">
      <w:start w:val="1"/>
      <w:numFmt w:val="decimal"/>
      <w:lvlText w:val="%4."/>
      <w:lvlJc w:val="left"/>
      <w:pPr>
        <w:ind w:left="2880" w:hanging="360"/>
      </w:pPr>
    </w:lvl>
    <w:lvl w:ilvl="4" w:tplc="11A8D390">
      <w:start w:val="1"/>
      <w:numFmt w:val="lowerLetter"/>
      <w:lvlText w:val="%5."/>
      <w:lvlJc w:val="left"/>
      <w:pPr>
        <w:ind w:left="3600" w:hanging="360"/>
      </w:pPr>
    </w:lvl>
    <w:lvl w:ilvl="5" w:tplc="F7620CC2">
      <w:start w:val="1"/>
      <w:numFmt w:val="lowerRoman"/>
      <w:lvlText w:val="%6."/>
      <w:lvlJc w:val="right"/>
      <w:pPr>
        <w:ind w:left="4320" w:hanging="180"/>
      </w:pPr>
    </w:lvl>
    <w:lvl w:ilvl="6" w:tplc="E30CF394">
      <w:start w:val="1"/>
      <w:numFmt w:val="decimal"/>
      <w:lvlText w:val="%7."/>
      <w:lvlJc w:val="left"/>
      <w:pPr>
        <w:ind w:left="5040" w:hanging="360"/>
      </w:pPr>
    </w:lvl>
    <w:lvl w:ilvl="7" w:tplc="0F267D68">
      <w:start w:val="1"/>
      <w:numFmt w:val="lowerLetter"/>
      <w:lvlText w:val="%8."/>
      <w:lvlJc w:val="left"/>
      <w:pPr>
        <w:ind w:left="5760" w:hanging="360"/>
      </w:pPr>
    </w:lvl>
    <w:lvl w:ilvl="8" w:tplc="7E9CCCB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942080"/>
    <w:rsid w:val="00157F23"/>
    <w:rsid w:val="004173A1"/>
    <w:rsid w:val="0057523B"/>
    <w:rsid w:val="00882EE4"/>
    <w:rsid w:val="008915B7"/>
    <w:rsid w:val="008F0A50"/>
    <w:rsid w:val="0094233E"/>
    <w:rsid w:val="00A722E0"/>
    <w:rsid w:val="00AA2FD0"/>
    <w:rsid w:val="00AC7344"/>
    <w:rsid w:val="00B2413E"/>
    <w:rsid w:val="00C84774"/>
    <w:rsid w:val="00D129E4"/>
    <w:rsid w:val="00D66183"/>
    <w:rsid w:val="00F17B98"/>
    <w:rsid w:val="079C2014"/>
    <w:rsid w:val="207E036A"/>
    <w:rsid w:val="2994F68F"/>
    <w:rsid w:val="5120513C"/>
    <w:rsid w:val="561BE23E"/>
    <w:rsid w:val="64942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A29E0D"/>
  <w15:chartTrackingRefBased/>
  <w15:docId w15:val="{04EE5E57-079A-4FAF-8992-82E4E057C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rPr>
      <w:sz w:val="20"/>
      <w:szCs w:val="20"/>
    </w:rPr>
  </w:style>
  <w:style w:type="paragraph" w:styleId="FootnoteText">
    <w:name w:val="footnote text"/>
    <w:basedOn w:val="Normal"/>
    <w:link w:val="FootnoteTextChar"/>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character" w:customStyle="1" w:styleId="selectable">
    <w:name w:val="selectable"/>
    <w:basedOn w:val="DefaultParagraphFont"/>
    <w:rsid w:val="00AC7344"/>
  </w:style>
  <w:style w:type="character" w:styleId="Emphasis">
    <w:name w:val="Emphasis"/>
    <w:basedOn w:val="DefaultParagraphFont"/>
    <w:uiPriority w:val="20"/>
    <w:qFormat/>
    <w:rsid w:val="00882EE4"/>
    <w:rPr>
      <w:i/>
      <w:iCs/>
    </w:rPr>
  </w:style>
  <w:style w:type="character" w:styleId="SubtleEmphasis">
    <w:name w:val="Subtle Emphasis"/>
    <w:basedOn w:val="DefaultParagraphFont"/>
    <w:uiPriority w:val="19"/>
    <w:qFormat/>
    <w:rsid w:val="00882EE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5475">
      <w:bodyDiv w:val="1"/>
      <w:marLeft w:val="0"/>
      <w:marRight w:val="0"/>
      <w:marTop w:val="0"/>
      <w:marBottom w:val="0"/>
      <w:divBdr>
        <w:top w:val="none" w:sz="0" w:space="0" w:color="auto"/>
        <w:left w:val="none" w:sz="0" w:space="0" w:color="auto"/>
        <w:bottom w:val="none" w:sz="0" w:space="0" w:color="auto"/>
        <w:right w:val="none" w:sz="0" w:space="0" w:color="auto"/>
      </w:divBdr>
    </w:div>
    <w:div w:id="279805070">
      <w:bodyDiv w:val="1"/>
      <w:marLeft w:val="0"/>
      <w:marRight w:val="0"/>
      <w:marTop w:val="0"/>
      <w:marBottom w:val="0"/>
      <w:divBdr>
        <w:top w:val="none" w:sz="0" w:space="0" w:color="auto"/>
        <w:left w:val="none" w:sz="0" w:space="0" w:color="auto"/>
        <w:bottom w:val="none" w:sz="0" w:space="0" w:color="auto"/>
        <w:right w:val="none" w:sz="0" w:space="0" w:color="auto"/>
      </w:divBdr>
    </w:div>
    <w:div w:id="551113637">
      <w:bodyDiv w:val="1"/>
      <w:marLeft w:val="0"/>
      <w:marRight w:val="0"/>
      <w:marTop w:val="0"/>
      <w:marBottom w:val="0"/>
      <w:divBdr>
        <w:top w:val="none" w:sz="0" w:space="0" w:color="auto"/>
        <w:left w:val="none" w:sz="0" w:space="0" w:color="auto"/>
        <w:bottom w:val="none" w:sz="0" w:space="0" w:color="auto"/>
        <w:right w:val="none" w:sz="0" w:space="0" w:color="auto"/>
      </w:divBdr>
    </w:div>
    <w:div w:id="1330330531">
      <w:bodyDiv w:val="1"/>
      <w:marLeft w:val="0"/>
      <w:marRight w:val="0"/>
      <w:marTop w:val="0"/>
      <w:marBottom w:val="0"/>
      <w:divBdr>
        <w:top w:val="none" w:sz="0" w:space="0" w:color="auto"/>
        <w:left w:val="none" w:sz="0" w:space="0" w:color="auto"/>
        <w:bottom w:val="none" w:sz="0" w:space="0" w:color="auto"/>
        <w:right w:val="none" w:sz="0" w:space="0" w:color="auto"/>
      </w:divBdr>
    </w:div>
    <w:div w:id="1564632446">
      <w:bodyDiv w:val="1"/>
      <w:marLeft w:val="0"/>
      <w:marRight w:val="0"/>
      <w:marTop w:val="0"/>
      <w:marBottom w:val="0"/>
      <w:divBdr>
        <w:top w:val="none" w:sz="0" w:space="0" w:color="auto"/>
        <w:left w:val="none" w:sz="0" w:space="0" w:color="auto"/>
        <w:bottom w:val="none" w:sz="0" w:space="0" w:color="auto"/>
        <w:right w:val="none" w:sz="0" w:space="0" w:color="auto"/>
      </w:divBdr>
    </w:div>
    <w:div w:id="1639139864">
      <w:bodyDiv w:val="1"/>
      <w:marLeft w:val="0"/>
      <w:marRight w:val="0"/>
      <w:marTop w:val="0"/>
      <w:marBottom w:val="0"/>
      <w:divBdr>
        <w:top w:val="none" w:sz="0" w:space="0" w:color="auto"/>
        <w:left w:val="none" w:sz="0" w:space="0" w:color="auto"/>
        <w:bottom w:val="none" w:sz="0" w:space="0" w:color="auto"/>
        <w:right w:val="none" w:sz="0" w:space="0" w:color="auto"/>
      </w:divBdr>
    </w:div>
    <w:div w:id="198103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37037-3EF0-4DD1-B77F-32814F54E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7</Pages>
  <Words>2729</Words>
  <Characters>14438</Characters>
  <Application>Microsoft Office Word</Application>
  <DocSecurity>0</DocSecurity>
  <Lines>225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Blackham (1802365)</dc:creator>
  <cp:keywords/>
  <dc:description/>
  <cp:lastModifiedBy>Paul Blackham</cp:lastModifiedBy>
  <cp:revision>1</cp:revision>
  <dcterms:created xsi:type="dcterms:W3CDTF">2018-12-17T13:19:00Z</dcterms:created>
  <dcterms:modified xsi:type="dcterms:W3CDTF">2018-12-20T11:07:00Z</dcterms:modified>
</cp:coreProperties>
</file>