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CD798E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766B0">
              <w:rPr>
                <w:b/>
                <w:color w:val="auto"/>
                <w:sz w:val="32"/>
              </w:rPr>
              <w:t>Geraint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5199E5" w:rsidR="005A1BA3" w:rsidRDefault="007766B0" w:rsidP="00340E9A">
            <w:pPr>
              <w:overflowPunct/>
              <w:autoSpaceDE/>
              <w:autoSpaceDN/>
              <w:adjustRightInd/>
              <w:ind w:right="237"/>
              <w:textAlignment w:val="auto"/>
              <w:rPr>
                <w:b/>
                <w:color w:val="auto"/>
                <w:sz w:val="32"/>
              </w:rPr>
            </w:pPr>
            <w:r>
              <w:rPr>
                <w:b/>
                <w:color w:val="auto"/>
                <w:sz w:val="32"/>
              </w:rPr>
              <w:t>1922424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D2B4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543BAB">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543BAB">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3696E00" w:rsidR="00AA666E" w:rsidRDefault="00025650" w:rsidP="00340E9A">
      <w:pPr>
        <w:ind w:right="237"/>
        <w:jc w:val="both"/>
        <w:rPr>
          <w:b/>
          <w:sz w:val="24"/>
          <w:szCs w:val="24"/>
        </w:rPr>
      </w:pPr>
      <w:r w:rsidRPr="00025650">
        <w:rPr>
          <w:b/>
          <w:sz w:val="24"/>
          <w:szCs w:val="24"/>
        </w:rPr>
        <w:t>ANSWER:</w:t>
      </w:r>
    </w:p>
    <w:p w14:paraId="5EADD289" w14:textId="2A09E447" w:rsidR="007A7044" w:rsidRDefault="007A7044" w:rsidP="00340E9A">
      <w:pPr>
        <w:ind w:right="237"/>
        <w:jc w:val="both"/>
        <w:rPr>
          <w:b/>
          <w:sz w:val="24"/>
          <w:szCs w:val="24"/>
        </w:rPr>
      </w:pPr>
    </w:p>
    <w:p w14:paraId="66C620B5"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t xml:space="preserve">I am going to reflect on the coping strategies I have applied to help me minimise stress, and to develop resilience whilst adapting to the new role as a police constable during my tutorship. I will be using the GIBBS reflective model to evaluate my reflection. </w:t>
      </w:r>
    </w:p>
    <w:p w14:paraId="59E19AA4" w14:textId="77777777" w:rsidR="007A7044" w:rsidRPr="004278F7" w:rsidRDefault="007A7044" w:rsidP="007A7044">
      <w:pPr>
        <w:rPr>
          <w:rFonts w:asciiTheme="minorHAnsi" w:hAnsiTheme="minorHAnsi" w:cstheme="minorHAnsi"/>
          <w:sz w:val="22"/>
          <w:szCs w:val="22"/>
        </w:rPr>
      </w:pPr>
    </w:p>
    <w:p w14:paraId="3EF66C15"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t xml:space="preserve">Following the successful completion of my police training, I was provided with my allocated place of work and police tutor. Due to not knowing the role this brought some stress and anxiety. I had gone from the safe controlled classroom environment to a level of unknown. I did not realise at the time, that the following ten weeks would assist me in developing more coping strategies and building further resilience to the stresses caused by being a new police constable. </w:t>
      </w:r>
    </w:p>
    <w:p w14:paraId="0E9D27B1" w14:textId="77777777" w:rsidR="007A7044" w:rsidRPr="004278F7" w:rsidRDefault="007A7044" w:rsidP="007A7044">
      <w:pPr>
        <w:rPr>
          <w:rFonts w:asciiTheme="minorHAnsi" w:hAnsiTheme="minorHAnsi" w:cstheme="minorHAnsi"/>
          <w:sz w:val="22"/>
          <w:szCs w:val="22"/>
        </w:rPr>
      </w:pPr>
    </w:p>
    <w:p w14:paraId="3E085E68"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t xml:space="preserve">The first difficulty I experienced was being a new member of the team. I found entering the morning briefing as a new member of staff nerve racking. This caused sweating to my hands, trembling to my legs and dryness to my mouth. To help combat this I began by introducing myself to my new colleagues. I remained calm, respectful, whilst using active listening skills. By using active listening skills, it helped me to keep in conversation with my colleagues in a positive way. I know by having active listening skills, it helps build longer conversations, and so in turn will help me get to know my colleagues and team (Very Well Mind 2001). This also ensured that I listened attentively whilst a member of my team spoke. </w:t>
      </w:r>
    </w:p>
    <w:p w14:paraId="621AA2F5" w14:textId="77777777" w:rsidR="007A7044" w:rsidRPr="004278F7" w:rsidRDefault="007A7044" w:rsidP="007A7044">
      <w:pPr>
        <w:rPr>
          <w:rFonts w:asciiTheme="minorHAnsi" w:hAnsiTheme="minorHAnsi" w:cstheme="minorHAnsi"/>
          <w:sz w:val="22"/>
          <w:szCs w:val="22"/>
        </w:rPr>
      </w:pPr>
    </w:p>
    <w:p w14:paraId="32EA6F6A"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t>The second difficulty I faced was the change of shift patterns. This was mainly due to working unsociable hours and during times where my body would normally be asleep. This affected my sleeping pattern along with my daily routine. I found it difficult to sleep and would often wake up during the early hours of the morning. This had a negative impact on my health as I began to feel the effects of fatigue, tiredness and irritability. Because of this, it caused me further stress and sleep disturbance (Crew, 2006). To help combat stress and build resilience I began to seek support from my colleagues. I did this by asking them if they had also suffered the same effects that I was suffering due to working unsociable hours. I learnt that most of my colleagues had experienced some form of negative effects on their wellbeing as a direct result of working unsociable hours. They suggested that it was mainly due to being new to the role and it would take time to adapt to the shift patterns and workload that came with it. From analysing what they told me as well as how I was feeling I found that whilst I started a new role and the first wave of excitement has passed, it is normal for me to experience uncomfortable emotions (Brzosko 2019).</w:t>
      </w:r>
    </w:p>
    <w:p w14:paraId="66C10A40" w14:textId="77777777" w:rsidR="007A7044" w:rsidRPr="004278F7" w:rsidRDefault="007A7044" w:rsidP="007A7044">
      <w:pPr>
        <w:rPr>
          <w:rFonts w:asciiTheme="minorHAnsi" w:hAnsiTheme="minorHAnsi" w:cstheme="minorHAnsi"/>
          <w:sz w:val="22"/>
          <w:szCs w:val="22"/>
        </w:rPr>
      </w:pPr>
    </w:p>
    <w:p w14:paraId="16B323CD"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lastRenderedPageBreak/>
        <w:t xml:space="preserve">Upon reflection, I have learnt that when starting a new role, and one that has such emotional and physical demand on your body. Not only does it require resilience but also it requires patience in order to combat stress. By continuing to use the support of my colleagues and ensuring that I get sufficient sleep in-between shifts, this will ensure that I am able to work effectively, make quick and safe decisions. By doing this not only will I work safely but will become a more effective police constable whilst progressing through my career. </w:t>
      </w:r>
    </w:p>
    <w:p w14:paraId="71712E2F" w14:textId="77777777" w:rsidR="007A7044" w:rsidRPr="004278F7" w:rsidRDefault="007A7044" w:rsidP="007A7044">
      <w:pPr>
        <w:rPr>
          <w:rFonts w:asciiTheme="minorHAnsi" w:hAnsiTheme="minorHAnsi" w:cstheme="minorHAnsi"/>
          <w:sz w:val="22"/>
          <w:szCs w:val="22"/>
        </w:rPr>
      </w:pPr>
    </w:p>
    <w:p w14:paraId="1E05C28D" w14:textId="77777777" w:rsidR="007A7044" w:rsidRPr="004278F7" w:rsidRDefault="007A7044" w:rsidP="007A7044">
      <w:pPr>
        <w:rPr>
          <w:rFonts w:asciiTheme="minorHAnsi" w:hAnsiTheme="minorHAnsi" w:cstheme="minorHAnsi"/>
          <w:sz w:val="22"/>
          <w:szCs w:val="22"/>
        </w:rPr>
      </w:pPr>
      <w:r w:rsidRPr="004278F7">
        <w:rPr>
          <w:rFonts w:asciiTheme="minorHAnsi" w:hAnsiTheme="minorHAnsi" w:cstheme="minorHAnsi"/>
          <w:sz w:val="22"/>
          <w:szCs w:val="22"/>
        </w:rPr>
        <w:t>Total Word Count – 571.</w:t>
      </w:r>
    </w:p>
    <w:p w14:paraId="5887335C" w14:textId="77777777" w:rsidR="007A7044" w:rsidRPr="00025650" w:rsidRDefault="007A7044"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A704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A008920" w:rsidR="00450C83" w:rsidRDefault="00450C83" w:rsidP="00340E9A">
      <w:pPr>
        <w:ind w:right="237"/>
        <w:jc w:val="both"/>
        <w:rPr>
          <w:b/>
          <w:sz w:val="24"/>
          <w:szCs w:val="24"/>
        </w:rPr>
      </w:pPr>
      <w:r w:rsidRPr="00450C83">
        <w:rPr>
          <w:b/>
          <w:sz w:val="24"/>
          <w:szCs w:val="24"/>
        </w:rPr>
        <w:t>ANSWER:</w:t>
      </w:r>
    </w:p>
    <w:p w14:paraId="319992DA" w14:textId="1DAE7A2E" w:rsidR="005B7106" w:rsidRDefault="005B7106" w:rsidP="00340E9A">
      <w:pPr>
        <w:ind w:right="237"/>
        <w:jc w:val="both"/>
        <w:rPr>
          <w:b/>
          <w:sz w:val="24"/>
          <w:szCs w:val="24"/>
        </w:rPr>
      </w:pPr>
    </w:p>
    <w:p w14:paraId="7700895F" w14:textId="24CA33D1"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 xml:space="preserve">I am going to reflect on an incident where I played a significant role in highlighting and managing risk whilst safeguarding the victim. I will evidence my understanding of the role of a police constable and how effectively used communication skills along with using my own discretion and safe decision making in order to safeguard the victim and public whilst reducing the risk of any harm. </w:t>
      </w:r>
      <w:r w:rsidRPr="00FD4779">
        <w:rPr>
          <w:rFonts w:asciiTheme="minorHAnsi" w:eastAsia="Calibri" w:hAnsiTheme="minorHAnsi" w:cstheme="minorHAnsi"/>
          <w:sz w:val="22"/>
          <w:szCs w:val="22"/>
        </w:rPr>
        <w:t xml:space="preserve">I am going to </w:t>
      </w:r>
      <w:r w:rsidRPr="00FD4779">
        <w:rPr>
          <w:rFonts w:asciiTheme="minorHAnsi" w:hAnsiTheme="minorHAnsi" w:cstheme="minorHAnsi"/>
          <w:sz w:val="22"/>
          <w:szCs w:val="22"/>
        </w:rPr>
        <w:t>use Gibbs’ Reflective Cycle.</w:t>
      </w:r>
    </w:p>
    <w:p w14:paraId="7C32AC51" w14:textId="77777777" w:rsidR="00FD4779" w:rsidRPr="00FD4779" w:rsidRDefault="00FD4779" w:rsidP="005B7106">
      <w:pPr>
        <w:rPr>
          <w:rFonts w:asciiTheme="minorHAnsi" w:eastAsia="Calibri" w:hAnsiTheme="minorHAnsi" w:cstheme="minorHAnsi"/>
          <w:color w:val="FF0000"/>
          <w:sz w:val="22"/>
          <w:szCs w:val="22"/>
        </w:rPr>
      </w:pPr>
    </w:p>
    <w:p w14:paraId="6ED86202" w14:textId="77E287D4"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 xml:space="preserve">I attended an incident where there was an ongoing domestic assault between two persons within the family home. The suspect had been consuming alcohol throughout the evening where the domestic assault had taken place. </w:t>
      </w:r>
      <w:bookmarkStart w:id="6" w:name="_GoBack"/>
      <w:bookmarkEnd w:id="6"/>
      <w:r w:rsidRPr="00FD4779">
        <w:rPr>
          <w:rFonts w:asciiTheme="minorHAnsi" w:hAnsiTheme="minorHAnsi" w:cstheme="minorHAnsi"/>
          <w:sz w:val="22"/>
          <w:szCs w:val="22"/>
        </w:rPr>
        <w:t xml:space="preserve">I entered the premises and immediately made myself known to any persons within the building. I did this to reassure the victim that help had arrived, and if the suspect was still carrying out an attack on the victim, then he would be more likely to stop his attack, therefore safeguarding the victim. Whilst doing this I was constantly making dynamic risk assessments of my surroundings, such as what I can hear and where is the victim located. I did this by following the National Decision Model. By using The National Decision Model, this enables me to </w:t>
      </w:r>
      <w:r w:rsidRPr="00FD4779">
        <w:rPr>
          <w:rFonts w:asciiTheme="minorHAnsi" w:hAnsiTheme="minorHAnsi" w:cstheme="minorHAnsi"/>
          <w:sz w:val="22"/>
          <w:szCs w:val="22"/>
        </w:rPr>
        <w:lastRenderedPageBreak/>
        <w:t>identify and manage risk whilst making safe decisions during all types of situations (College of Policing, 2021).</w:t>
      </w:r>
    </w:p>
    <w:p w14:paraId="0CC9AF2B" w14:textId="77777777" w:rsidR="00FD4779" w:rsidRPr="00FD4779" w:rsidRDefault="00FD4779" w:rsidP="005B7106">
      <w:pPr>
        <w:rPr>
          <w:rFonts w:asciiTheme="minorHAnsi" w:hAnsiTheme="minorHAnsi" w:cstheme="minorHAnsi"/>
          <w:sz w:val="22"/>
          <w:szCs w:val="22"/>
        </w:rPr>
      </w:pPr>
    </w:p>
    <w:p w14:paraId="4B8C8CAA" w14:textId="0B54D261"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I then entered the bedroom and saw that the victim had sustained bruising to her face as a direct result of the domestic assault. I then began to communicate with the victim by using open-ended questions. By using open-ended questions, this allowed me to gather an accurate understanding of the events that have unfolded whilst gathering as much information as possible to assist me with my investigation. It also does not limit the response from the victim but allows to her to give quality to her answers to help clarify any information that I need. It allowed her to elaborate on her answers when asked to do so especially in complex situations such as this (Kunselman, J., Tewksbury, R., Vito, G, 2008, p. 144) Alongside this I ensured to use active listening skills to ensure I was gathering as much information as possible, as well as understanding of what had happened so I was able to support the victim (Verywell mind, 2021). By effectively using open-ended questions and gathering the answers from the victim not only was I was able to identify and get a full description of the suspect, but I also learnt that there was a child at the address.</w:t>
      </w:r>
    </w:p>
    <w:p w14:paraId="3761D859" w14:textId="77777777" w:rsidR="00FD4779" w:rsidRPr="00FD4779" w:rsidRDefault="00FD4779" w:rsidP="005B7106">
      <w:pPr>
        <w:rPr>
          <w:rFonts w:asciiTheme="minorHAnsi" w:hAnsiTheme="minorHAnsi" w:cstheme="minorHAnsi"/>
          <w:sz w:val="22"/>
          <w:szCs w:val="22"/>
        </w:rPr>
      </w:pPr>
    </w:p>
    <w:p w14:paraId="2F34E7FB" w14:textId="63591157"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Now I had to consider the vulnerabilities of the victim and child, but also how I could mitigate the current risks posed to the both of them. To measure the current risk posed to the victim I used a nationalised risk assessment model called Domestic Abuse Stalking and Harassment (DASH). This model helps frontline police to measure and highlight the risks posed to those who are victims of domestic related incidents. To do this I asked the victim a series of questions, which then assisted me in determining the current level of risk posed (College of Policing, 2018).</w:t>
      </w:r>
    </w:p>
    <w:p w14:paraId="1BB46360" w14:textId="77777777"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After going through the DASH risk assessment questionnaire with the victim, I determined that she was at that present time a high-risk domestic violence victim. The reason why she was such a high-risk victim was due to recently being a victim of a domestic related assault and had also sustained bruising to her face as a result of that domestic assault (College of Policing, 2018).</w:t>
      </w:r>
    </w:p>
    <w:p w14:paraId="72550F85" w14:textId="019305C1"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Also by using the DASH risk assessment questionnaire, I learnt that the victim was not from the immediate area and had been isolated from family and friends. Due to this and there being a child at the address, I knew that I had to relocate the victim and child as soon as possible for their own safety. I made this decision because the suspect was yet to be apprehended, so there was still a risk that the he could return to the address. I made a referral for the victim by contacting multi agencies such as victim support. This agency provide support and counselling for victims of domestic related incidents and it is the force policy that all victims are offered a victim support referral (South Wales Police, 2021).</w:t>
      </w:r>
    </w:p>
    <w:p w14:paraId="00505C4A" w14:textId="33F127CC" w:rsidR="00FD4779" w:rsidRPr="00FD4779" w:rsidRDefault="00FD4779" w:rsidP="005B7106">
      <w:pPr>
        <w:rPr>
          <w:rFonts w:asciiTheme="minorHAnsi" w:hAnsiTheme="minorHAnsi" w:cstheme="minorHAnsi"/>
          <w:sz w:val="22"/>
          <w:szCs w:val="22"/>
        </w:rPr>
      </w:pPr>
    </w:p>
    <w:p w14:paraId="1B977972" w14:textId="262B7C89"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After considering the risk to the victim and child as well as all of my options, I was aware that I had a duty to safeguard the victim in accordance with The South Wales Commissioner Police and Crime Plan 2021 – 2025. This takes a direct approach to tackle all forms of abuse and violence against women and girls (Police and Crime Commissioner, no date). I also had a legal obligation to safeguard the child under The Children’s Act 1989, which states: “Where a Constable has reasonable cause to believe that a child would otherwise be likely to suffer significant harm, he may remove the child to suitable accommodation and keep him there” (Legislation.gov.uk, 2021).</w:t>
      </w:r>
    </w:p>
    <w:p w14:paraId="6A737948" w14:textId="139004EC" w:rsidR="00FD4779" w:rsidRPr="00FD4779" w:rsidRDefault="00FD4779" w:rsidP="005B7106">
      <w:pPr>
        <w:rPr>
          <w:rFonts w:asciiTheme="minorHAnsi" w:hAnsiTheme="minorHAnsi" w:cstheme="minorHAnsi"/>
          <w:sz w:val="22"/>
          <w:szCs w:val="22"/>
        </w:rPr>
      </w:pPr>
    </w:p>
    <w:p w14:paraId="2C8735E1" w14:textId="77777777" w:rsidR="00F854CA"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In order to manage this risk I continued to make dynamic risk assessments using the National Decision Model. By using the National Decision Model, I was able to develop a working strategy, one that would safeguard the victim and child (College of Policing, 2014). In addition, it ensured that I continued to adhere to the College of Policing Code of Ethics. The Code of Ethics is a guide that has been created by the College of Policing that sets out the behaviours that are expected of a police constable, and ones that they must work to at all times in order to provide the best service to the service users (College of Policing, 2021).</w:t>
      </w:r>
    </w:p>
    <w:p w14:paraId="245E449C" w14:textId="77777777" w:rsidR="00F854CA" w:rsidRDefault="00F854CA" w:rsidP="005B7106">
      <w:pPr>
        <w:rPr>
          <w:rFonts w:asciiTheme="minorHAnsi" w:hAnsiTheme="minorHAnsi" w:cstheme="minorHAnsi"/>
          <w:sz w:val="22"/>
          <w:szCs w:val="22"/>
        </w:rPr>
      </w:pPr>
    </w:p>
    <w:p w14:paraId="4FF54DD0" w14:textId="41603F04"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lastRenderedPageBreak/>
        <w:t>Following assessing all the risks, I made the decision to use my discretion and allow both the victim and child to go out of area to stay with family. However, this would also mean allowing the victim’s family to travel into the country to collect her, as she had no form of transport. In order to make this decision I had to weigh up several risks such as, the current governmental restrictions and legislations due to Wales being in a lockdown due to a Covid 19 epidemic (Welsh Government, 2021). This meant that those in Wales are not allowed to go to another area of the UK and this was in force at the time of the incident.  In addition to this, the victim and child were at risk and had nowhere else to go, and due to it being in the early hours and because of the lockdown, finding alternative accommodation for the victim and child would be near impossible.  Despite all this and following consultation with my supervisor, I decided that due to the extreme circumstances I could use my police discretion and allow the victim to travel. Police discretion can be used in various circumstances but must be used wisely. When I used my discretion I must risk assessed what I am trying to achieve against any risks posed in my decision-making. I also considered my knowledge in police powers and current legislation. My decisions must always be in line with current policies and procedures, and I must be able to justify my decisions should any scrutiny arise. Police discretion also falls in line with the College of Policing, Code of Ethics (College of Policing, 2021). My justification for using my discretion and allowing the victim and child to travel despite current Covid restrictions was the suspects location at the time was unknown and so there was still a heightened risk posed towards the victim and child. It was currently out of hours then an alternative accommodation would be very unlikely. In addition to this, the victim would be with her family where she would receive further support and they would be able to check on her welfare following the domestic assault. By making this decision and using my discretion, it had effectively mitigated the risk towards the victim and child and ensured their safety and wellbeing following police contact.</w:t>
      </w:r>
    </w:p>
    <w:p w14:paraId="482CCB5C" w14:textId="77777777" w:rsidR="00FD4779" w:rsidRPr="00FD4779" w:rsidRDefault="00FD4779" w:rsidP="005B7106">
      <w:pPr>
        <w:rPr>
          <w:rFonts w:asciiTheme="minorHAnsi" w:hAnsiTheme="minorHAnsi" w:cstheme="minorHAnsi"/>
          <w:sz w:val="22"/>
          <w:szCs w:val="22"/>
        </w:rPr>
      </w:pPr>
    </w:p>
    <w:p w14:paraId="5A35E577" w14:textId="356C7D44"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 xml:space="preserve">Because of my decision making and using my own discretion, both the victim and child were both successfully safeguarded. This prevented any further incidents and ensured that both parties remained safeguarded whilst the incident was going through the investigative and prosecution process. </w:t>
      </w:r>
    </w:p>
    <w:p w14:paraId="59BB147A" w14:textId="77777777" w:rsidR="00FD4779" w:rsidRPr="00FD4779" w:rsidRDefault="00FD4779" w:rsidP="005B7106">
      <w:pPr>
        <w:rPr>
          <w:rFonts w:asciiTheme="minorHAnsi" w:hAnsiTheme="minorHAnsi" w:cstheme="minorHAnsi"/>
          <w:sz w:val="22"/>
          <w:szCs w:val="22"/>
        </w:rPr>
      </w:pPr>
    </w:p>
    <w:p w14:paraId="7CE72054" w14:textId="3C24E3C0"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 xml:space="preserve">Upon reflection to the incident, I feel that I handled the incident well as I was able to build rapport and effectively communicate with the victim. This proved to be a pivotal part in the investigation process as I was able to gather as much information as possible, which I then used to identify the suspect, safeguard the victim and child. Once I had collated all the information, I then inputted it into the Domestic Abuse, Stalking and Harassment and Honour-based violence risk identification, assessment and management model (DASH). I then made an accurate assessment of the current risk posed to the victim and child. Then by using our police systems, I shared this information, making referrals with the relevant multi-agencies. These agencies would provide counselling and additional support to the victim and would assist her to regain her confidence and normality in her life following being a victim of such an incident. </w:t>
      </w:r>
    </w:p>
    <w:p w14:paraId="0F0CAC47" w14:textId="2FD36DAA" w:rsidR="00FD4779" w:rsidRPr="00FD4779" w:rsidRDefault="00FD4779" w:rsidP="005B7106">
      <w:pPr>
        <w:rPr>
          <w:rFonts w:asciiTheme="minorHAnsi" w:hAnsiTheme="minorHAnsi" w:cstheme="minorHAnsi"/>
          <w:sz w:val="22"/>
          <w:szCs w:val="22"/>
        </w:rPr>
      </w:pPr>
    </w:p>
    <w:p w14:paraId="49D02DBA" w14:textId="52A54B36" w:rsidR="005B7106"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Upon further reflection to the incident, I would have like to have detained the suspect at a much earlier stage in the investigation. This may have given the victim the option to remain at the address of the incident, whilst ensuring that both victim and child were safeguarded whilst doing so.</w:t>
      </w:r>
    </w:p>
    <w:p w14:paraId="32F595DA" w14:textId="77777777" w:rsidR="004278F7" w:rsidRPr="00FD4779" w:rsidRDefault="004278F7" w:rsidP="005B7106">
      <w:pPr>
        <w:rPr>
          <w:rFonts w:asciiTheme="minorHAnsi" w:hAnsiTheme="minorHAnsi" w:cstheme="minorHAnsi"/>
          <w:sz w:val="22"/>
          <w:szCs w:val="22"/>
        </w:rPr>
      </w:pPr>
    </w:p>
    <w:p w14:paraId="5277121C" w14:textId="77777777" w:rsidR="005B7106" w:rsidRPr="00FD4779" w:rsidRDefault="005B7106" w:rsidP="005B7106">
      <w:pPr>
        <w:rPr>
          <w:rFonts w:asciiTheme="minorHAnsi" w:hAnsiTheme="minorHAnsi" w:cstheme="minorHAnsi"/>
          <w:sz w:val="22"/>
          <w:szCs w:val="22"/>
        </w:rPr>
      </w:pPr>
      <w:r w:rsidRPr="00FD4779">
        <w:rPr>
          <w:rFonts w:asciiTheme="minorHAnsi" w:hAnsiTheme="minorHAnsi" w:cstheme="minorHAnsi"/>
          <w:sz w:val="22"/>
          <w:szCs w:val="22"/>
        </w:rPr>
        <w:t>Total word count: 1583.</w:t>
      </w:r>
    </w:p>
    <w:p w14:paraId="4991F1AE" w14:textId="77777777" w:rsidR="005B7106" w:rsidRPr="00450C83" w:rsidRDefault="005B7106"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6297DFC" w:rsidR="00711A70" w:rsidRDefault="00711A70" w:rsidP="00340E9A">
      <w:pPr>
        <w:ind w:right="237"/>
        <w:jc w:val="both"/>
        <w:rPr>
          <w:b/>
          <w:sz w:val="24"/>
          <w:szCs w:val="24"/>
        </w:rPr>
      </w:pPr>
      <w:r w:rsidRPr="00450C83">
        <w:rPr>
          <w:b/>
          <w:sz w:val="24"/>
          <w:szCs w:val="24"/>
        </w:rPr>
        <w:t>ANSWER:</w:t>
      </w:r>
    </w:p>
    <w:p w14:paraId="60D3093B" w14:textId="32E1812E" w:rsidR="00056FFB" w:rsidRDefault="00056FFB" w:rsidP="00340E9A">
      <w:pPr>
        <w:ind w:right="237"/>
        <w:jc w:val="both"/>
        <w:rPr>
          <w:b/>
          <w:sz w:val="24"/>
          <w:szCs w:val="24"/>
        </w:rPr>
      </w:pPr>
    </w:p>
    <w:p w14:paraId="24F133BA" w14:textId="41D46A72" w:rsidR="00056FFB"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I am reflecting on an incident where I played a significant role in gathering all the evidence and interviewing a suspect. I am going to be using the Gibbs’ Reflective Cycle where I will briefly describe the incident, illustrate my decision-making and approach to interviewing the suspect, and evaluate the outcome. I will include any social and legislative contexts as well as aiming to demonstrate my considerations when planning the interview. I will evaluate my performance and explain the importance of following PACE guidelines when interviewing, also using the PEACE interview process whilst also considering any sensitive cultural issues.</w:t>
      </w:r>
    </w:p>
    <w:p w14:paraId="0D046BB6" w14:textId="77777777" w:rsidR="004943EF" w:rsidRPr="00700419" w:rsidRDefault="004943EF" w:rsidP="00056FFB">
      <w:pPr>
        <w:rPr>
          <w:rFonts w:asciiTheme="minorHAnsi" w:hAnsiTheme="minorHAnsi" w:cstheme="minorHAnsi"/>
          <w:sz w:val="22"/>
          <w:szCs w:val="22"/>
        </w:rPr>
      </w:pPr>
    </w:p>
    <w:p w14:paraId="545A2908" w14:textId="4A46DEFF"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I attended an incident where there had been a report of criminal damage to a rented property. Criminal damage is committed when a person without a lawful excuse or permission from the owner, causes damage to the property or acts in such a way that the property would likely to be destroyed or damaged (CPS, 2017).</w:t>
      </w:r>
    </w:p>
    <w:p w14:paraId="1BE5A6BE" w14:textId="21E77F7F" w:rsidR="00056FFB" w:rsidRPr="00700419" w:rsidRDefault="00056FFB" w:rsidP="00056FFB">
      <w:pPr>
        <w:rPr>
          <w:rFonts w:asciiTheme="minorHAnsi" w:hAnsiTheme="minorHAnsi" w:cstheme="minorHAnsi"/>
          <w:sz w:val="22"/>
          <w:szCs w:val="22"/>
        </w:rPr>
      </w:pPr>
    </w:p>
    <w:p w14:paraId="21E4F62B" w14:textId="0EC251EE"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Firstly, I communicated with the victim by using open-ended questions. Using open-ended questioning allowed me to gather as much information as possible from the victim, which then assisted me in evaluating if there was enough evidence to suggest that an offence had taken place. It  also assisted me in my ongoing investigation to the alleged offence (College of Policing, 2020).</w:t>
      </w:r>
    </w:p>
    <w:p w14:paraId="67C4966D" w14:textId="0B4CCB2B" w:rsidR="00056FFB"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 xml:space="preserve">From using open-ended questioning, I was able to ascertain that the victim had been renting the property to the suspect. Following the suspect moving out, the victim saw that the suspect had </w:t>
      </w:r>
      <w:r w:rsidRPr="00700419">
        <w:rPr>
          <w:rFonts w:asciiTheme="minorHAnsi" w:hAnsiTheme="minorHAnsi" w:cstheme="minorHAnsi"/>
          <w:sz w:val="22"/>
          <w:szCs w:val="22"/>
        </w:rPr>
        <w:lastRenderedPageBreak/>
        <w:t>damaged the property. I considered what evidence there was to support the allegation against the</w:t>
      </w:r>
      <w:r w:rsidR="00FC3CA2">
        <w:rPr>
          <w:rFonts w:asciiTheme="minorHAnsi" w:hAnsiTheme="minorHAnsi" w:cstheme="minorHAnsi"/>
          <w:sz w:val="22"/>
          <w:szCs w:val="22"/>
        </w:rPr>
        <w:t xml:space="preserve"> </w:t>
      </w:r>
      <w:r w:rsidRPr="00700419">
        <w:rPr>
          <w:rFonts w:asciiTheme="minorHAnsi" w:hAnsiTheme="minorHAnsi" w:cstheme="minorHAnsi"/>
          <w:sz w:val="22"/>
          <w:szCs w:val="22"/>
        </w:rPr>
        <w:t>suspect, and the length of time that had passed since the damage had taken place. Following my considerations, I decided that due to the amount of evidence, the estimated costings of the damaged caused, and the victim’s statement supporting that the suspect in the address when the damage had taken place, there would be sufficient evidence to interview the suspect in relation to the allegations made against him. I came to this decision by following the Criminal Procedure and Investigations Act 1996. This is current policy and procedure that must be followed whilst an investigation is being carried out by a police constable, in a view to ascertain if there is sufficient evidence to interview or charge a suspect with the offence they are alleged to have committed (Ministry of Justice, 2015).</w:t>
      </w:r>
    </w:p>
    <w:p w14:paraId="589501A5" w14:textId="77777777" w:rsidR="00700419" w:rsidRPr="00700419" w:rsidRDefault="00700419" w:rsidP="00056FFB">
      <w:pPr>
        <w:rPr>
          <w:rFonts w:asciiTheme="minorHAnsi" w:hAnsiTheme="minorHAnsi" w:cstheme="minorHAnsi"/>
          <w:sz w:val="22"/>
          <w:szCs w:val="22"/>
        </w:rPr>
      </w:pPr>
    </w:p>
    <w:p w14:paraId="7BCBC662" w14:textId="219DE321"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 xml:space="preserve">By using the National Decision Model I made an accurate assessment of threat, risk and harm to the victim and the property (College of Policing, 2014). I made the decision that because the suspect was no longer at the address and the risk of any further damage being low, I offered the suspect to attend a voluntary interview. A voluntary interview is used to interview a suspect of an offence who is not currently under arrest, but is still conducted under police caution (College of Policing, 2020). Prior to the interview commencing, the suspect was informed that they are not currently under arrest and are free to leave the voluntary interview at any point, unless the suspect is placed under arrest. Should the suspect be placed under arrest, they shall be informed at once. This is set out by the Police and Criminal Evidence Act 1984 codes of practice (Legislation.gov.uk, no date). Failing to adhere to this code of practice may breach the suspect’s human rights and render not only the interview but also potentially the whole investigation as void. By doing this, it could have a lasting effect on the suspects’ wellbeing and would fail to provide a service to the victim and could damage the police forces trust and reputation with the community. </w:t>
      </w:r>
    </w:p>
    <w:p w14:paraId="411F2CF3" w14:textId="7391E0E6" w:rsidR="00056FFB" w:rsidRPr="00700419" w:rsidRDefault="00056FFB" w:rsidP="00056FFB">
      <w:pPr>
        <w:rPr>
          <w:rFonts w:asciiTheme="minorHAnsi" w:hAnsiTheme="minorHAnsi" w:cstheme="minorHAnsi"/>
          <w:sz w:val="22"/>
          <w:szCs w:val="22"/>
        </w:rPr>
      </w:pPr>
    </w:p>
    <w:p w14:paraId="6FF32779" w14:textId="1DD0851C"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To prepare for the interview I used the PEACE model. There are 5 phases to the PEACE model and it is an interviewing method that is approved by the College of Policing. It is designed to assist investigators in structuring their interview in such a way that maximises the chances in gathering as much information as possible and an accurate account during the suspect interview (College of Policing, 2020).</w:t>
      </w:r>
    </w:p>
    <w:p w14:paraId="64F03E93" w14:textId="32DD4F64" w:rsidR="00056FFB" w:rsidRPr="00700419" w:rsidRDefault="00056FFB" w:rsidP="00056FFB">
      <w:pPr>
        <w:rPr>
          <w:rFonts w:asciiTheme="minorHAnsi" w:hAnsiTheme="minorHAnsi" w:cstheme="minorHAnsi"/>
          <w:sz w:val="22"/>
          <w:szCs w:val="22"/>
        </w:rPr>
      </w:pPr>
    </w:p>
    <w:p w14:paraId="5E3E522E" w14:textId="7E4A9229"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The first phase of the model is to plan and prepare. I did this by gathering all of the evidence such as a statement from the victim, photographs of the damage caused, evidence that the suspect was in fact at the address at the time of the damage taking place, any receipts of recent renovations to the property prior to the suspect moving in. I completed a written interview plan, by writing the topics and questions I wanted to discuss during the interview. This I ensured that I did not miss any topics out and I would be prepared for a no comment interview.  I also considered the suspects characteristics and wellbeing. I did this by considering the suspects age, ethnicity, cultural background, religion or belief, physical, mental wellbeing and if the suspect required an appropriate adult. The role of an appropriate adult is to provide support to a youth or vulnerable person during an interview and ensuring that their rights, entitlements and welfare are maintained throughout the interview whilst also ensuring they understand the questions being asked of them and are able to participate in the interview effectively (National Appropriate Adult, 2018). This also complies with the codes of practice set out by the Police and Criminal Evidence Act 1984 (Home Office, 2019).</w:t>
      </w:r>
    </w:p>
    <w:p w14:paraId="7DDE2493" w14:textId="64C6D859" w:rsidR="00056FFB" w:rsidRPr="00700419" w:rsidRDefault="00056FFB" w:rsidP="00056FFB">
      <w:pPr>
        <w:rPr>
          <w:rFonts w:asciiTheme="minorHAnsi" w:hAnsiTheme="minorHAnsi" w:cstheme="minorHAnsi"/>
          <w:sz w:val="22"/>
          <w:szCs w:val="22"/>
        </w:rPr>
      </w:pPr>
    </w:p>
    <w:p w14:paraId="4471230A" w14:textId="77777777" w:rsid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I then provided a full disclosure to the suspect’s solicitor. I did this by completing a disclosure form outlining the circumstances of the interview and then providing this to the solicitor prior to the solicitor having a brief with their client. This ensures compliance with PACE Code C which states before a suspect is interviewed either themselves or their representatives must be given full disclose so they are able to understand the offence and why they are a suspect so they are able to provide a defence (Home Office, 2018).</w:t>
      </w:r>
    </w:p>
    <w:p w14:paraId="283CE3BE" w14:textId="77777777" w:rsidR="00700419" w:rsidRDefault="00700419" w:rsidP="00056FFB">
      <w:pPr>
        <w:rPr>
          <w:rFonts w:asciiTheme="minorHAnsi" w:hAnsiTheme="minorHAnsi" w:cstheme="minorHAnsi"/>
          <w:sz w:val="22"/>
          <w:szCs w:val="22"/>
        </w:rPr>
      </w:pPr>
    </w:p>
    <w:p w14:paraId="0EC0DD7C" w14:textId="52123DD0" w:rsidR="00056FFB"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 xml:space="preserve">The second part of the process was to engage and explain. I introduced myself to the suspect and his legal representative. I then cautioned the suspect, and explained the grounds for his interview as he was identified as the person responsible for causing criminal damage to the property. Because of this, I wanted to ask the suspect if he was responsible for the offence and to discuss his whereabouts around the time of the offence-taking place. </w:t>
      </w:r>
    </w:p>
    <w:p w14:paraId="20DA23D7" w14:textId="77777777" w:rsidR="00700419" w:rsidRPr="00700419" w:rsidRDefault="00700419" w:rsidP="00056FFB">
      <w:pPr>
        <w:rPr>
          <w:rFonts w:asciiTheme="minorHAnsi" w:hAnsiTheme="minorHAnsi" w:cstheme="minorHAnsi"/>
          <w:sz w:val="22"/>
          <w:szCs w:val="22"/>
        </w:rPr>
      </w:pPr>
    </w:p>
    <w:p w14:paraId="17FD96C5" w14:textId="676E6B6D"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The third part of the process is account, clarify, challenge. I asked the suspect open-ended questions as it allowed me to extract as much information as possible and gather an accurate account from the suspect. This allowed the suspect to answer the questions in his own words without his answers being influenced by my interview techniques (College of Policing 2020). I kept my questions in simple format by avoiding the use of jargon and clarified the questions and points discussed before moving on. This ensured that the suspect agreed with the context of what had been discussed, the interview was conducted in a fair manner, did not breach the suspects Human Rights and fully complied with the Police and Criminal Evidence Act 1984 Code of Practice (Home Office, 2018)</w:t>
      </w:r>
      <w:hyperlink r:id="rId20" w:history="1"/>
      <w:r w:rsidRPr="00700419">
        <w:rPr>
          <w:rFonts w:asciiTheme="minorHAnsi" w:hAnsiTheme="minorHAnsi" w:cstheme="minorHAnsi"/>
          <w:sz w:val="22"/>
          <w:szCs w:val="22"/>
        </w:rPr>
        <w:t>, (Home Office, 2020). I began the challenge phase of the interview by clarifying all of the points already discussed in the interview and began to present the suspect with evidence that countered his alibi such as a witness statements, photographs of the damage caused and receipts of renovations prior to the suspect moving in. This proved that the damage was caused during the time of the suspect renting the property, but I also aware that it would not prove that the suspect had in fact caused the damage. I then began using specific-closed questioning. By using specific closed questions, it allowed me to acquire further responses from the suspect that he has not provided during the open-questioning phase of the interview (College of Policing, 2020).</w:t>
      </w:r>
    </w:p>
    <w:p w14:paraId="121C1A6E" w14:textId="3BF963B9" w:rsidR="00056FFB" w:rsidRPr="00700419" w:rsidRDefault="00056FFB" w:rsidP="00056FFB">
      <w:pPr>
        <w:rPr>
          <w:rFonts w:asciiTheme="minorHAnsi" w:hAnsiTheme="minorHAnsi" w:cstheme="minorHAnsi"/>
          <w:sz w:val="22"/>
          <w:szCs w:val="22"/>
        </w:rPr>
      </w:pPr>
    </w:p>
    <w:p w14:paraId="768DCA4C" w14:textId="69E8183D"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 xml:space="preserve">I proceeded to the closure phase of the process by summarising with the suspect what had been discussed and checking the suspect was happy with the context of the interview, also if he had any questions. I then concluded the interview, recording the date and time, and stopping the recording. </w:t>
      </w:r>
    </w:p>
    <w:p w14:paraId="3896B16F" w14:textId="27808B44"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I then moved onto the final evaluation phase of the process, where I provided a brief summary of the interview to the custody sergeant. I updated all of the relevant police computer systems. I then sent the casefile to the Crown Prosecution Service for a decision to be made on whether to formally charge the suspect with the offence of Criminal Damage. In order for the Crown Prosecution to reach a decision, they need to be satisfied that all relevant enquiries have been completed, there are no further enquiries to be made and the Full Code Test has been met (CPS, 2017).</w:t>
      </w:r>
    </w:p>
    <w:p w14:paraId="096B6C79" w14:textId="09AF60E2" w:rsidR="00056FFB" w:rsidRPr="00700419" w:rsidRDefault="00056FFB" w:rsidP="00056FFB">
      <w:pPr>
        <w:rPr>
          <w:rFonts w:asciiTheme="minorHAnsi" w:hAnsiTheme="minorHAnsi" w:cstheme="minorHAnsi"/>
          <w:sz w:val="22"/>
          <w:szCs w:val="22"/>
        </w:rPr>
      </w:pPr>
    </w:p>
    <w:p w14:paraId="0FA2CACD" w14:textId="2DB20621" w:rsidR="00056FFB"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 xml:space="preserve">Upon reflection of my interview I believe I was well organised and by following the PEACE model it assisted me to take a more structured approach to the interview. I have learnt when conducting an interview I need to consider the amount of evidence, the solicitors’ disclosure phase, the welfare of the suspect for example, their Human Rights, age of the suspect, any disabilities, any language barriers, appropriate adult, their mental capacity and are they fit to undertake the interview. All these considerations will be in line with the current code of conduct set out by the Police and Criminal Evidence Act 1984. Failing to follow this would be in breach of PACE 1984. This would have a negative impact on the suspect’s wellbeing, the public’s perception of the force and would cause the whole investigation to be void. This would also have a negative impact on the victim, as they would not get the justice that they feel that they deserve. I will take this experience forward with me on my career as a police constable and continue to reflect on it. </w:t>
      </w:r>
    </w:p>
    <w:p w14:paraId="42A45597" w14:textId="77777777" w:rsidR="00700419" w:rsidRPr="00700419" w:rsidRDefault="00700419" w:rsidP="00056FFB">
      <w:pPr>
        <w:rPr>
          <w:rFonts w:asciiTheme="minorHAnsi" w:hAnsiTheme="minorHAnsi" w:cstheme="minorHAnsi"/>
          <w:sz w:val="22"/>
          <w:szCs w:val="22"/>
        </w:rPr>
      </w:pPr>
    </w:p>
    <w:p w14:paraId="734ACB66" w14:textId="77777777" w:rsidR="00056FFB" w:rsidRPr="00700419" w:rsidRDefault="00056FFB" w:rsidP="00056FFB">
      <w:pPr>
        <w:rPr>
          <w:rFonts w:asciiTheme="minorHAnsi" w:hAnsiTheme="minorHAnsi" w:cstheme="minorHAnsi"/>
          <w:sz w:val="22"/>
          <w:szCs w:val="22"/>
        </w:rPr>
      </w:pPr>
      <w:r w:rsidRPr="00700419">
        <w:rPr>
          <w:rFonts w:asciiTheme="minorHAnsi" w:hAnsiTheme="minorHAnsi" w:cstheme="minorHAnsi"/>
          <w:sz w:val="22"/>
          <w:szCs w:val="22"/>
        </w:rPr>
        <w:t>Total word count – 1647.</w:t>
      </w:r>
    </w:p>
    <w:p w14:paraId="10257DA8" w14:textId="77777777" w:rsidR="00056FFB" w:rsidRPr="00700419" w:rsidRDefault="00056FFB" w:rsidP="00340E9A">
      <w:pPr>
        <w:ind w:right="237"/>
        <w:jc w:val="both"/>
        <w:rPr>
          <w:rFonts w:asciiTheme="minorHAnsi" w:hAnsiTheme="minorHAnsi" w:cstheme="minorHAnsi"/>
          <w:b/>
          <w:sz w:val="22"/>
          <w:szCs w:val="22"/>
        </w:rPr>
      </w:pPr>
    </w:p>
    <w:p w14:paraId="0797331D" w14:textId="77777777" w:rsidR="00025650" w:rsidRPr="00700419" w:rsidRDefault="00025650" w:rsidP="00340E9A">
      <w:pPr>
        <w:ind w:right="237"/>
        <w:jc w:val="both"/>
        <w:rPr>
          <w:rFonts w:asciiTheme="minorHAnsi" w:hAnsiTheme="minorHAnsi" w:cstheme="minorHAnsi"/>
          <w:sz w:val="22"/>
          <w:szCs w:val="22"/>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637ABFD5" w:rsidR="003C458C" w:rsidRDefault="003C458C" w:rsidP="00340E9A">
      <w:pPr>
        <w:ind w:right="237"/>
        <w:jc w:val="both"/>
        <w:rPr>
          <w:b/>
          <w:sz w:val="24"/>
          <w:szCs w:val="24"/>
        </w:rPr>
      </w:pPr>
      <w:r w:rsidRPr="00450C83">
        <w:rPr>
          <w:b/>
          <w:sz w:val="24"/>
          <w:szCs w:val="24"/>
        </w:rPr>
        <w:t>ANSWER:</w:t>
      </w:r>
    </w:p>
    <w:p w14:paraId="771E3241" w14:textId="71FAC589" w:rsidR="005265A1" w:rsidRDefault="005265A1" w:rsidP="00340E9A">
      <w:pPr>
        <w:ind w:right="237"/>
        <w:jc w:val="both"/>
        <w:rPr>
          <w:b/>
          <w:sz w:val="24"/>
          <w:szCs w:val="24"/>
        </w:rPr>
      </w:pPr>
    </w:p>
    <w:p w14:paraId="0CE38F43" w14:textId="77777777" w:rsidR="001955D4"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 xml:space="preserve">I am going to reflect on an incident that I have been involved in which was an ongoing investigation of anti-social behaviour, where I played a significant role with the victim and service user. I am going to be using the Gibbs Reflective Cycle where I will give a brief description of the incident and illustrate my approach to solving the problem by using my own decision-making and discretion, whilst utilising my understanding of evidence based policing, the police constable role and policing communities. </w:t>
      </w:r>
    </w:p>
    <w:p w14:paraId="55917E0D" w14:textId="77777777" w:rsidR="001955D4" w:rsidRDefault="001955D4" w:rsidP="005265A1">
      <w:pPr>
        <w:rPr>
          <w:rFonts w:asciiTheme="minorHAnsi" w:hAnsiTheme="minorHAnsi" w:cstheme="minorHAnsi"/>
          <w:sz w:val="22"/>
          <w:szCs w:val="22"/>
        </w:rPr>
      </w:pPr>
    </w:p>
    <w:p w14:paraId="5F167805" w14:textId="2F07B402"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lastRenderedPageBreak/>
        <w:t xml:space="preserve">I attended a report of a long-term ongoing issue of youths causing anti-social behaviour within a community area. Anti-social behaviour is described as behaviour that is causing or is likely to cause any person harassment, alarm or distress (Legislation.gov.uk, no date). It can be caused in many ways such as noise, nuisance behaviour, graffiti, consumption of alcohol in the street, underage drinking, setting fireworks off in residential areas and or during unsociable hours, trespassing onto property, driving a vehicle in an improper manner, and nuisance calls (South Wales Police, 2021). I received a report that a group of youths had trespassed onto a person’s property then entered their unused garage, and began to consume alcohol causing rowdy behaviour and they also littered where by discarding empty cans of alcohol into the garage. Upon arriving at the address, I began to communicate with the victim by using open-ended questioning skills. By using open-ended questions, I was able to gather an accurate description of the youths involved, the events that had unfolded and the negative impact this had on the victim (Edwards et al. 1997, p. 26). The negative impact of my open-ended questioning were it can also elicit an amount of irrelevant responses from the victim this can have a negative impact on the investigation (Edwards et al. 1997, p. 26). To overcome this I ensured that I kept the discussion between the victim and I relevant, and extracted the information required in order for me, to conduct my investigation effectively.  The victim told me that she had recently been getting regular disturbances of noise coming from within the unused garage out the back of her property. Upon investigating this disturbance, the victim saw a number of youths stood within the garage who were playing loud music and consuming alcohol. The victim challenged the youths and instructed them to leave. The victim then received a large amount of verbal abuse from one of the youths. The victim recognised this youth to be from the local area and provided me with the youth’s name. The youths then left the garage to which the victim saw that they had also littered within the garage by discarding empty cans of alcohol.  </w:t>
      </w:r>
    </w:p>
    <w:p w14:paraId="07B1087A" w14:textId="77777777" w:rsidR="005265A1" w:rsidRPr="004278F7" w:rsidRDefault="005265A1" w:rsidP="005265A1">
      <w:pPr>
        <w:rPr>
          <w:rFonts w:asciiTheme="minorHAnsi" w:hAnsiTheme="minorHAnsi" w:cstheme="minorHAnsi"/>
          <w:sz w:val="22"/>
          <w:szCs w:val="22"/>
        </w:rPr>
      </w:pPr>
    </w:p>
    <w:p w14:paraId="3D6D1028" w14:textId="08A5406D"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 xml:space="preserve">Following gathering all of this information from the victim, I considered what my next course of action would be, and the negative impact the anti-social behaviour had on the victim and the wider community. Anti-social behaviour has a negative impact on both the intended victim(s) and the wider community. It has a significant impact on their quality of life and can leave people feeling isolated, alone, vulnerable and victimised (Home Office, 2010). Recent research carried out by Her Majesty’s Inspectorate of Constabularies has stated, “crime and anti-social behaviour (ASB) is either a very big or quite a big problem in their local area (40%, compared to 30% in 2017)” (BMG Research, 2018).This research suggests that anti-social behaviour rising within the community. Along with the negative impact that anti-social behaviour has on its victims, it can also damage the public confidence and trust they have of their local police in their community. As a police force, we police by consent, and because of this, without public trust they would be less likely to assist the police in any future investigations. Former Home Secretary, Sir Robert Peele, in his Nine Policing Principles, defined policing by consent to be “To seek and preserve public favour” and also stated “To maintain at all times a relationship with the public that gives reality to the historic tradition that the police are the public and that the public are the police”(Gov.uk, 2012).  This means that without the favour of the public it would be increasingly difficult to maintain positive relationships with our communities, and therefore making it more difficult to keep our communities safe. </w:t>
      </w:r>
    </w:p>
    <w:p w14:paraId="1C11AC92" w14:textId="4A9AF95A" w:rsidR="005265A1" w:rsidRPr="004278F7" w:rsidRDefault="005265A1" w:rsidP="005265A1">
      <w:pPr>
        <w:rPr>
          <w:rFonts w:asciiTheme="minorHAnsi" w:hAnsiTheme="minorHAnsi" w:cstheme="minorHAnsi"/>
          <w:sz w:val="22"/>
          <w:szCs w:val="22"/>
        </w:rPr>
      </w:pPr>
    </w:p>
    <w:p w14:paraId="6D160EF0" w14:textId="77B8605D"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I informed the victim, as a police constable there are many ways that I can pursue the matter of anti-social behaviour in line with my responsibilities, all which are covered under the Anti-Social Behaviour, Crime and Policing Act 2014 (Legislation.gov.uk, no date). The first being a criminal behaviour order. A criminal behaviour order is issued by a criminal court; it is used to deal with those who are regularly responsible for causing anti-social behaviour within the community and engaged with criminal activity. (Bryant and Bryant 2020, p, 302). Although this would be unlikely as there was no evidence that the youth has been engaging in any other criminal offences at present. The second option for the victim would be the use of an out of court disposal order for young people. An out of court disposal order are used to identify and manage young persons who engage with any form of</w:t>
      </w:r>
      <w:r w:rsidR="001955D4">
        <w:rPr>
          <w:rFonts w:asciiTheme="minorHAnsi" w:hAnsiTheme="minorHAnsi" w:cstheme="minorHAnsi"/>
          <w:sz w:val="22"/>
          <w:szCs w:val="22"/>
        </w:rPr>
        <w:t xml:space="preserve"> </w:t>
      </w:r>
      <w:r w:rsidRPr="004278F7">
        <w:rPr>
          <w:rFonts w:asciiTheme="minorHAnsi" w:hAnsiTheme="minorHAnsi" w:cstheme="minorHAnsi"/>
          <w:sz w:val="22"/>
          <w:szCs w:val="22"/>
        </w:rPr>
        <w:lastRenderedPageBreak/>
        <w:t>anti-social behaviour within the community. The out of court disposal order is recorded on the relevant police systems, however it does not criminalise the young person and therefore does not carry the same future negative consequences a criminal record would have on the young person. (Bryant and Bryant 2020, p, 303). It also gives the victim many different options on how they would like the suspect to be managed regarding the anti-social behaviour. The third option would be mediation. Mediation is a form of restorative justice and it is where all relevant parties attend a voluntary conversation and all matters are discussed in the hope of a solution that can be agreed by all parties. (Bryant and Bryant 2020, p, 303). Mediation would also benefit the perpetrator, as it would not criminalise the young person and carry any future negative consequences on their life. The fourth option for the victim was to issue the perpetrator with an acceptable behaviour contract. An acceptable behaviour contract is a written agreement between the local authorities and the perpetrator and their parent or guardian. It provides the perpetrator a contract outlining what is acceptable behaviour and to cease their current unacceptable behaviour. (Bryant and Bryant 2020, p, 303). Should the perpetrator fail to follow the acceptable behaviour contract then legal action could be taken against the perpetrator. The final options would be the option of issuing the perpetrator with either a verbal or a written warning. The police or local authorities such as council can issue both of these options. This is done either verbally face to face or formally by letter to the perpetrator, informing him that his behaviour is unacceptable and should it continue then legal action could be taken against him. (Bryant and Bryant 2020, p, 303).</w:t>
      </w:r>
    </w:p>
    <w:p w14:paraId="41A937C9" w14:textId="77777777" w:rsidR="005265A1" w:rsidRPr="004278F7" w:rsidRDefault="005265A1" w:rsidP="005265A1">
      <w:pPr>
        <w:rPr>
          <w:rFonts w:asciiTheme="minorHAnsi" w:hAnsiTheme="minorHAnsi" w:cstheme="minorHAnsi"/>
          <w:sz w:val="22"/>
          <w:szCs w:val="22"/>
        </w:rPr>
      </w:pPr>
    </w:p>
    <w:p w14:paraId="210E48E3" w14:textId="3F2E2B3A"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I suggested to the victim, as it has been the first time the incident had been reported, a verbal warning may be the best course of action at present. I made this decision by using the National Decision Model. The National Decision Model is a nationalised initiative that has been created to assist officers to accurately assess risk in order to reach the safest outcome (College of Policing, 2021). By using The National Decision Model, I was able to consider the current threat, risk and harm to the victim and her property. I also considered my options available and remained impartial to the current investigation. This ensured that I remained professional, without the impact of bias influencing any my decisions, whilst allowing me to make a decision that would mitigate all the current risks posed to the victim whilst upholding the College of Policing Code of Ethics. The Code of Ethics has been created by the College of Policing and it sets out the standards of behaviour that all those employed within the police must adhere to (College of Policing, 2021).</w:t>
      </w:r>
    </w:p>
    <w:p w14:paraId="7941FA85" w14:textId="2692AC30" w:rsidR="005265A1" w:rsidRPr="004278F7" w:rsidRDefault="005265A1" w:rsidP="005265A1">
      <w:pPr>
        <w:rPr>
          <w:rFonts w:asciiTheme="minorHAnsi" w:hAnsiTheme="minorHAnsi" w:cstheme="minorHAnsi"/>
          <w:sz w:val="22"/>
          <w:szCs w:val="22"/>
        </w:rPr>
      </w:pPr>
    </w:p>
    <w:p w14:paraId="3C0EF9CB" w14:textId="19E6BF90"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 xml:space="preserve">I approached the investigation with total impartiality and with a non-bias approach. There are many forms of bias, such as cognitive bias. Cognitive bias is described as an error in the way people process the information around them. It can prevent me from making effective decisions, which can have a negative effect on my investigation and my assessment of risk (Verywell Mind, 2020). If I had not remained impartial to the investigation and allowed the potential impact of cognitive bias to influence my decisions then I would not be able to conduct the investigation with a professional and impartial approach. Because of this, I would breach the Code of Ethics where I could then be liable to having disciplinary action taken against me. In addition, I would not have provided the victim with the service that she deserves and it would be likely that the anti-social behaviour would continue. </w:t>
      </w:r>
    </w:p>
    <w:p w14:paraId="7123EAA5" w14:textId="77777777" w:rsidR="005265A1" w:rsidRPr="004278F7" w:rsidRDefault="005265A1" w:rsidP="005265A1">
      <w:pPr>
        <w:rPr>
          <w:rFonts w:asciiTheme="minorHAnsi" w:hAnsiTheme="minorHAnsi" w:cstheme="minorHAnsi"/>
          <w:sz w:val="22"/>
          <w:szCs w:val="22"/>
        </w:rPr>
      </w:pPr>
    </w:p>
    <w:p w14:paraId="62FD7AAC" w14:textId="254C22CE"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Following considering all of the evidence available to me, I concluded that a verbal warning was the best course of action. My reasoning for this was because it would not criminalise the youth at the first instance and have a long lasting negative effect. In addition, it would highlight to the youth that their behaviour is unacceptable, and also should it continue, then I could evidence to the local authorities and criminal courts that I have attempted to resolve the matter without criminal proceedings. I explained this to the victim to which she agreed this was the best course of action at present.  I had also considered that should I instead approach the criminal court for a criminal behaviour order then it would not be likely to be approved. The reason for this was there was no</w:t>
      </w:r>
      <w:r w:rsidR="001955D4">
        <w:rPr>
          <w:rFonts w:asciiTheme="minorHAnsi" w:hAnsiTheme="minorHAnsi" w:cstheme="minorHAnsi"/>
          <w:sz w:val="22"/>
          <w:szCs w:val="22"/>
        </w:rPr>
        <w:t xml:space="preserve"> </w:t>
      </w:r>
      <w:r w:rsidRPr="004278F7">
        <w:rPr>
          <w:rFonts w:asciiTheme="minorHAnsi" w:hAnsiTheme="minorHAnsi" w:cstheme="minorHAnsi"/>
          <w:sz w:val="22"/>
          <w:szCs w:val="22"/>
        </w:rPr>
        <w:lastRenderedPageBreak/>
        <w:t xml:space="preserve">evidence that the youth had committed any other recent criminal offences and I had not pursued the matter in a less intrusive way such as by offering the victim a form of mediation or by issuing the youth a verbal warning at first. </w:t>
      </w:r>
    </w:p>
    <w:p w14:paraId="264BD324" w14:textId="77777777" w:rsidR="005265A1" w:rsidRPr="004278F7" w:rsidRDefault="005265A1" w:rsidP="005265A1">
      <w:pPr>
        <w:rPr>
          <w:rFonts w:asciiTheme="minorHAnsi" w:hAnsiTheme="minorHAnsi" w:cstheme="minorHAnsi"/>
          <w:sz w:val="22"/>
          <w:szCs w:val="22"/>
        </w:rPr>
      </w:pPr>
    </w:p>
    <w:p w14:paraId="16798602" w14:textId="3D1C1EF9"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I then provided the victim with anti-social prevention advice, such as – securing the garage with locks and putting CCTV up with signage and reporting the issue to neighbourhood watch. I provided additional support to the victim by referring the victim to an organisation called victim support. Victim support is a charitable organisation that provide additional support to victims of anti-social behaviour and crime. They provide this support by contacting the victim via telephone and having a telephone consultation discussing the ongoing issues, they also liaise with multiple agencies on behalf of the victim such as the council and other local housing authorities, and will provide additional support to the victim should the matter go to court (Victim Support, no date). I then took immediate action by updating the relevant police systems and updating the control room of the current situation.</w:t>
      </w:r>
    </w:p>
    <w:p w14:paraId="4F16B41F" w14:textId="77777777" w:rsidR="005265A1" w:rsidRPr="004278F7" w:rsidRDefault="005265A1" w:rsidP="005265A1">
      <w:pPr>
        <w:rPr>
          <w:rFonts w:asciiTheme="minorHAnsi" w:hAnsiTheme="minorHAnsi" w:cstheme="minorHAnsi"/>
          <w:sz w:val="22"/>
          <w:szCs w:val="22"/>
        </w:rPr>
      </w:pPr>
    </w:p>
    <w:p w14:paraId="3508E859" w14:textId="725019E6"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 xml:space="preserve">Next, I conducted an immediate area search for the youths, but I was unable to locate them. I did this in an attempt to identify the youths whom had yet to be identified as responsible for the anti-social behaviour. As I was unable to locate the youths responsible, I made the decision to visit the home of the youth that had been identified as one of those responsible by the victim. I did this because it falls in line with current force guidance and procedures on anti-social behaviour (South Wales Police, 2019). Following entering the youth’s home address, I began to speak with him using open-ended questions. This allowed the youth to provide me with an accurate account of the incident and assisted me with my investigation (Edwards et al. 1997, p. 26). The youth admitted that he and friends, whom he would not name, had entered the garage owned by the victim. They then began to consume alcohol and play music. The youth also stated that he did this due to being bored and had nothing else to do. </w:t>
      </w:r>
    </w:p>
    <w:p w14:paraId="05FE850B" w14:textId="6F103C9D" w:rsidR="005265A1" w:rsidRPr="004278F7" w:rsidRDefault="005265A1" w:rsidP="005265A1">
      <w:pPr>
        <w:rPr>
          <w:rFonts w:asciiTheme="minorHAnsi" w:hAnsiTheme="minorHAnsi" w:cstheme="minorHAnsi"/>
          <w:sz w:val="22"/>
          <w:szCs w:val="22"/>
        </w:rPr>
      </w:pPr>
    </w:p>
    <w:p w14:paraId="31C66511" w14:textId="1A7A61A8"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 xml:space="preserve">I challenged the youth on this and highlighted the risks of drinking alcohol and the ongoing impact the anti-social behaviour has on the victim and the community. I explained to the youth that he would receive a verbal warning from me today and it would be recorded on the systems but not render him with a criminal record. I would be making an anti-social behaviour referral to the local authorities and neighbourhood policing teams so they are fully aware this incident has occurred. I then advised the youth to stay away from the address, refrain from drinking alcohol or causing any further anti-social behaviour and failing to follow this then legal action may be taken against him. I then provided the youth with information of local youth clubs that may re-open once the lockdown restrictions are lifted. The youth and his parents thanked me for this and ensured to myself that it would not happen again. </w:t>
      </w:r>
    </w:p>
    <w:p w14:paraId="0F7E74E0" w14:textId="77777777" w:rsidR="005265A1" w:rsidRPr="004278F7" w:rsidRDefault="005265A1" w:rsidP="005265A1">
      <w:pPr>
        <w:rPr>
          <w:rFonts w:asciiTheme="minorHAnsi" w:hAnsiTheme="minorHAnsi" w:cstheme="minorHAnsi"/>
          <w:sz w:val="22"/>
          <w:szCs w:val="22"/>
        </w:rPr>
      </w:pPr>
    </w:p>
    <w:p w14:paraId="1E11E94E" w14:textId="163BF732"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Upon reflection to the incident, I believe that I have managed the incident well. I was able to provide a professional service to both the victim and service user. By using my own decision-making in line with the national decision model, I was able to reach a conclusion that would benefit the victim by preventing the antisocial behaviour from continuing but the service user, by advising him of his ways and not rendering him with a criminal conviction. This would have a positive outcome on how the community perceive the police as it would show that we are working to prevent crime and to help to rehabilitate those involved in crime. I also conducted myself in line with the college of policing code of ethics throughout the whole course of the investigation. Upon further reflection to my recent experiences in anti-social behaviour, it is evidential that anti-social behaviour affects both the intended victim(s) and the community in a negative way. If the local police do not deal with this promptly, resolving the problem, then it can escalate having a negative effect on the quality of life of the victims. This in turn will effect on how the community perceive the police and will change their opinion of the local police force. This would have a negative impact on the relationship between the</w:t>
      </w:r>
      <w:r w:rsidR="001955D4">
        <w:rPr>
          <w:rFonts w:asciiTheme="minorHAnsi" w:hAnsiTheme="minorHAnsi" w:cstheme="minorHAnsi"/>
          <w:sz w:val="22"/>
          <w:szCs w:val="22"/>
        </w:rPr>
        <w:t xml:space="preserve"> </w:t>
      </w:r>
      <w:r w:rsidRPr="004278F7">
        <w:rPr>
          <w:rFonts w:asciiTheme="minorHAnsi" w:hAnsiTheme="minorHAnsi" w:cstheme="minorHAnsi"/>
          <w:sz w:val="22"/>
          <w:szCs w:val="22"/>
        </w:rPr>
        <w:lastRenderedPageBreak/>
        <w:t xml:space="preserve">community and the police, where the community would no longer engage with the police and would be less likely to provide the police with any intelligence or information regarding ongoing issues within the area. As a police force, we identify issues in the local area by using evidential policing. This is where intelligence provides both senior and police officers with local intelligence of the issues and crime within the local area. This intelligence is then used to target the in the form of special operations and local force priorities. Without the positive engagement of the public and working closely with one and other, this would be impossible to do therefore making keeping our communities safe even harder. As police, we need to be able to work closely with the communities in order to maintain positive relationships, gather intelligence and then use this intelligence through evidence based policing to keep our communities safe. </w:t>
      </w:r>
    </w:p>
    <w:p w14:paraId="303010C1" w14:textId="77777777" w:rsidR="005265A1" w:rsidRPr="004278F7" w:rsidRDefault="005265A1" w:rsidP="005265A1">
      <w:pPr>
        <w:rPr>
          <w:rFonts w:asciiTheme="minorHAnsi" w:hAnsiTheme="minorHAnsi" w:cstheme="minorHAnsi"/>
          <w:sz w:val="22"/>
          <w:szCs w:val="22"/>
        </w:rPr>
      </w:pPr>
    </w:p>
    <w:p w14:paraId="3EFF9787" w14:textId="77777777" w:rsidR="005265A1" w:rsidRPr="004278F7" w:rsidRDefault="005265A1" w:rsidP="005265A1">
      <w:pPr>
        <w:rPr>
          <w:rFonts w:asciiTheme="minorHAnsi" w:hAnsiTheme="minorHAnsi" w:cstheme="minorHAnsi"/>
          <w:sz w:val="22"/>
          <w:szCs w:val="22"/>
        </w:rPr>
      </w:pPr>
      <w:r w:rsidRPr="004278F7">
        <w:rPr>
          <w:rFonts w:asciiTheme="minorHAnsi" w:hAnsiTheme="minorHAnsi" w:cstheme="minorHAnsi"/>
          <w:sz w:val="22"/>
          <w:szCs w:val="22"/>
        </w:rPr>
        <w:t>Total word count – 2526.</w:t>
      </w:r>
    </w:p>
    <w:p w14:paraId="3C7908F0" w14:textId="77777777" w:rsidR="005265A1" w:rsidRPr="00450C83" w:rsidRDefault="005265A1"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7A7044">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162C3296" w:rsidR="00390074" w:rsidRDefault="00390074" w:rsidP="5848403C">
      <w:pPr>
        <w:ind w:right="237"/>
        <w:jc w:val="both"/>
        <w:rPr>
          <w:b/>
          <w:bCs/>
          <w:sz w:val="24"/>
          <w:szCs w:val="24"/>
        </w:rPr>
      </w:pPr>
    </w:p>
    <w:p w14:paraId="1A8E1EDE" w14:textId="4490C928"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BMG Research (2018) </w:t>
      </w:r>
      <w:r w:rsidRPr="003A0EA0">
        <w:rPr>
          <w:rFonts w:ascii="Calibri" w:eastAsia="Calibri" w:hAnsi="Calibri" w:cs="Calibri"/>
          <w:i/>
          <w:color w:val="auto"/>
          <w:sz w:val="22"/>
          <w:szCs w:val="22"/>
          <w:lang w:eastAsia="en-US"/>
        </w:rPr>
        <w:t>Public Perceptions of Policing in England and Wales 2018</w:t>
      </w:r>
      <w:r w:rsidRPr="003A0EA0">
        <w:rPr>
          <w:rFonts w:ascii="Calibri" w:eastAsia="Calibri" w:hAnsi="Calibri" w:cs="Calibri"/>
          <w:color w:val="auto"/>
          <w:sz w:val="22"/>
          <w:szCs w:val="22"/>
          <w:lang w:eastAsia="en-US"/>
        </w:rPr>
        <w:t xml:space="preserve">. Available at: </w:t>
      </w:r>
      <w:hyperlink r:id="rId27" w:history="1">
        <w:r w:rsidRPr="003A0EA0">
          <w:rPr>
            <w:rFonts w:ascii="Calibri" w:eastAsia="Calibri" w:hAnsi="Calibri" w:cs="Calibri"/>
            <w:color w:val="0563C1"/>
            <w:sz w:val="22"/>
            <w:szCs w:val="22"/>
            <w:u w:val="single"/>
            <w:lang w:eastAsia="en-US"/>
          </w:rPr>
          <w:t>https://www.bmgresearch.co.uk/wp-content/uploads/2019/01/1578-HMICFRS-Public-Perceptions-of-Policing-2018_FINAL.pdf</w:t>
        </w:r>
      </w:hyperlink>
      <w:r w:rsidRPr="003A0EA0">
        <w:rPr>
          <w:rFonts w:ascii="Calibri" w:eastAsia="Calibri" w:hAnsi="Calibri" w:cs="Calibri"/>
          <w:color w:val="auto"/>
          <w:sz w:val="22"/>
          <w:szCs w:val="22"/>
          <w:lang w:eastAsia="en-US"/>
        </w:rPr>
        <w:t xml:space="preserve"> (Accessed: 23 February 2021).</w:t>
      </w:r>
    </w:p>
    <w:p w14:paraId="5942EED5"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Bryant, R and Bryant, S. (2020) </w:t>
      </w:r>
      <w:r w:rsidRPr="003A0EA0">
        <w:rPr>
          <w:rFonts w:ascii="Calibri" w:eastAsia="Calibri" w:hAnsi="Calibri" w:cs="Calibri"/>
          <w:i/>
          <w:color w:val="auto"/>
          <w:sz w:val="22"/>
          <w:szCs w:val="22"/>
          <w:lang w:eastAsia="en-US"/>
        </w:rPr>
        <w:t>Handbook for Policing Students</w:t>
      </w:r>
      <w:r w:rsidRPr="003A0EA0">
        <w:rPr>
          <w:rFonts w:ascii="Calibri" w:eastAsia="Calibri" w:hAnsi="Calibri" w:cs="Calibri"/>
          <w:color w:val="auto"/>
          <w:sz w:val="22"/>
          <w:szCs w:val="22"/>
          <w:lang w:eastAsia="en-US"/>
        </w:rPr>
        <w:t>. Oxford: Oxford University Press.</w:t>
      </w:r>
    </w:p>
    <w:p w14:paraId="77D14674"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bCs/>
          <w:color w:val="auto"/>
          <w:sz w:val="22"/>
          <w:szCs w:val="22"/>
          <w:lang w:eastAsia="en-US"/>
        </w:rPr>
      </w:pPr>
      <w:r w:rsidRPr="003A0EA0">
        <w:rPr>
          <w:rFonts w:ascii="Calibri" w:eastAsia="Calibri" w:hAnsi="Calibri" w:cs="Calibri"/>
          <w:bCs/>
          <w:color w:val="auto"/>
          <w:sz w:val="22"/>
          <w:szCs w:val="22"/>
          <w:lang w:eastAsia="en-US"/>
        </w:rPr>
        <w:t xml:space="preserve">Brzosko, M (2019) ‘How to Adapt to a New Workplace’, </w:t>
      </w:r>
      <w:r w:rsidRPr="003A0EA0">
        <w:rPr>
          <w:rFonts w:ascii="Calibri" w:eastAsia="Calibri" w:hAnsi="Calibri" w:cs="Calibri"/>
          <w:bCs/>
          <w:i/>
          <w:color w:val="auto"/>
          <w:sz w:val="22"/>
          <w:szCs w:val="22"/>
          <w:lang w:eastAsia="en-US"/>
        </w:rPr>
        <w:t>Better Marketing</w:t>
      </w:r>
      <w:r w:rsidRPr="003A0EA0">
        <w:rPr>
          <w:rFonts w:ascii="Calibri" w:eastAsia="Calibri" w:hAnsi="Calibri" w:cs="Calibri"/>
          <w:bCs/>
          <w:color w:val="auto"/>
          <w:sz w:val="22"/>
          <w:szCs w:val="22"/>
          <w:lang w:eastAsia="en-US"/>
        </w:rPr>
        <w:t xml:space="preserve">. Available at: </w:t>
      </w:r>
      <w:hyperlink r:id="rId28" w:history="1">
        <w:r w:rsidRPr="003A0EA0">
          <w:rPr>
            <w:rFonts w:ascii="Calibri" w:eastAsia="Calibri" w:hAnsi="Calibri" w:cs="Calibri"/>
            <w:bCs/>
            <w:color w:val="0563C1"/>
            <w:sz w:val="22"/>
            <w:szCs w:val="22"/>
            <w:u w:val="single"/>
            <w:lang w:eastAsia="en-US"/>
          </w:rPr>
          <w:t>https://bettermarketing.pub/how-to-adapt-to-a-new-workplace-7aaa6986fb</w:t>
        </w:r>
      </w:hyperlink>
      <w:r w:rsidRPr="003A0EA0">
        <w:rPr>
          <w:rFonts w:ascii="Calibri" w:eastAsia="Calibri" w:hAnsi="Calibri" w:cs="Calibri"/>
          <w:bCs/>
          <w:color w:val="auto"/>
          <w:sz w:val="22"/>
          <w:szCs w:val="22"/>
          <w:lang w:eastAsia="en-US"/>
        </w:rPr>
        <w:t xml:space="preserve"> (Accessed 12 February 2021).</w:t>
      </w:r>
    </w:p>
    <w:p w14:paraId="3288D19E"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(2014) </w:t>
      </w:r>
      <w:r w:rsidRPr="003A0EA0">
        <w:rPr>
          <w:rFonts w:ascii="Calibri" w:eastAsia="Calibri" w:hAnsi="Calibri" w:cs="Calibri"/>
          <w:i/>
          <w:color w:val="auto"/>
          <w:sz w:val="22"/>
          <w:szCs w:val="22"/>
          <w:lang w:eastAsia="en-US"/>
        </w:rPr>
        <w:t>National Decision Model</w:t>
      </w:r>
      <w:r w:rsidRPr="003A0EA0">
        <w:rPr>
          <w:rFonts w:ascii="Calibri" w:eastAsia="Calibri" w:hAnsi="Calibri" w:cs="Calibri"/>
          <w:color w:val="auto"/>
          <w:sz w:val="22"/>
          <w:szCs w:val="22"/>
          <w:lang w:eastAsia="en-US"/>
        </w:rPr>
        <w:t xml:space="preserve">. Available at: </w:t>
      </w:r>
      <w:hyperlink r:id="rId29" w:anchor="application" w:history="1">
        <w:r w:rsidRPr="003A0EA0">
          <w:rPr>
            <w:rFonts w:ascii="Calibri" w:eastAsia="Calibri" w:hAnsi="Calibri" w:cs="Calibri"/>
            <w:color w:val="0563C1"/>
            <w:sz w:val="22"/>
            <w:szCs w:val="22"/>
            <w:u w:val="single"/>
            <w:lang w:eastAsia="en-US"/>
          </w:rPr>
          <w:t>National Decision Model (college.police.uk)</w:t>
        </w:r>
      </w:hyperlink>
      <w:r w:rsidRPr="003A0EA0">
        <w:rPr>
          <w:rFonts w:ascii="Calibri" w:eastAsia="Calibri" w:hAnsi="Calibri" w:cs="Calibri"/>
          <w:color w:val="auto"/>
          <w:sz w:val="22"/>
          <w:szCs w:val="22"/>
          <w:lang w:eastAsia="en-US"/>
        </w:rPr>
        <w:t xml:space="preserve"> (Accessed: 12 February 2021).</w:t>
      </w:r>
    </w:p>
    <w:p w14:paraId="45DE6F71"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(2018) </w:t>
      </w:r>
      <w:r w:rsidRPr="003A0EA0">
        <w:rPr>
          <w:rFonts w:ascii="Calibri" w:eastAsia="Calibri" w:hAnsi="Calibri" w:cs="Calibri"/>
          <w:i/>
          <w:color w:val="auto"/>
          <w:sz w:val="22"/>
          <w:szCs w:val="22"/>
          <w:lang w:eastAsia="en-US"/>
        </w:rPr>
        <w:t>Piloting a new approach to domestic abuse frontline risk assessment</w:t>
      </w:r>
      <w:r w:rsidRPr="003A0EA0">
        <w:rPr>
          <w:rFonts w:ascii="Calibri" w:eastAsia="Calibri" w:hAnsi="Calibri" w:cs="Calibri"/>
          <w:color w:val="auto"/>
          <w:sz w:val="22"/>
          <w:szCs w:val="22"/>
          <w:lang w:eastAsia="en-US"/>
        </w:rPr>
        <w:t xml:space="preserve">. Available at: </w:t>
      </w:r>
      <w:hyperlink r:id="rId30" w:history="1">
        <w:r w:rsidRPr="003A0EA0">
          <w:rPr>
            <w:rFonts w:ascii="Calibri" w:eastAsia="Calibri" w:hAnsi="Calibri" w:cs="Calibri"/>
            <w:color w:val="0563C1"/>
            <w:sz w:val="22"/>
            <w:szCs w:val="22"/>
            <w:u w:val="single"/>
            <w:lang w:eastAsia="en-US"/>
          </w:rPr>
          <w:t>DA_risk_assessment_pilot.pdf (college.police.uk)</w:t>
        </w:r>
      </w:hyperlink>
      <w:r w:rsidRPr="003A0EA0">
        <w:rPr>
          <w:rFonts w:ascii="Calibri" w:eastAsia="Calibri" w:hAnsi="Calibri" w:cs="Calibri"/>
          <w:color w:val="auto"/>
          <w:sz w:val="22"/>
          <w:szCs w:val="22"/>
          <w:lang w:eastAsia="en-US"/>
        </w:rPr>
        <w:t xml:space="preserve"> (Accessed: 12 February 2021).</w:t>
      </w:r>
    </w:p>
    <w:p w14:paraId="0166221D"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(2020) </w:t>
      </w:r>
      <w:r w:rsidRPr="003A0EA0">
        <w:rPr>
          <w:rFonts w:ascii="Calibri" w:eastAsia="Calibri" w:hAnsi="Calibri" w:cs="Calibri"/>
          <w:i/>
          <w:color w:val="auto"/>
          <w:sz w:val="22"/>
          <w:szCs w:val="22"/>
          <w:lang w:eastAsia="en-US"/>
        </w:rPr>
        <w:t xml:space="preserve">Investigate interviewing. </w:t>
      </w:r>
      <w:r w:rsidRPr="003A0EA0">
        <w:rPr>
          <w:rFonts w:ascii="Calibri" w:eastAsia="Calibri" w:hAnsi="Calibri" w:cs="Calibri"/>
          <w:color w:val="auto"/>
          <w:sz w:val="22"/>
          <w:szCs w:val="22"/>
          <w:lang w:eastAsia="en-US"/>
        </w:rPr>
        <w:t xml:space="preserve">Available at: </w:t>
      </w:r>
      <w:hyperlink r:id="rId31" w:history="1">
        <w:r w:rsidRPr="003A0EA0">
          <w:rPr>
            <w:rFonts w:ascii="Calibri" w:eastAsia="Calibri" w:hAnsi="Calibri" w:cs="Calibri"/>
            <w:color w:val="0563C1"/>
            <w:sz w:val="22"/>
            <w:szCs w:val="22"/>
            <w:u w:val="single"/>
            <w:lang w:eastAsia="en-US"/>
          </w:rPr>
          <w:t>Investigative interviewing (college.police.uk)</w:t>
        </w:r>
      </w:hyperlink>
      <w:r w:rsidRPr="003A0EA0">
        <w:rPr>
          <w:rFonts w:ascii="Calibri" w:eastAsia="Calibri" w:hAnsi="Calibri" w:cs="Calibri"/>
          <w:color w:val="auto"/>
          <w:sz w:val="22"/>
          <w:szCs w:val="22"/>
          <w:lang w:eastAsia="en-US"/>
        </w:rPr>
        <w:t xml:space="preserve"> (Accessed: 17 February 2021).</w:t>
      </w:r>
    </w:p>
    <w:p w14:paraId="463760C4"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(2020) </w:t>
      </w:r>
      <w:r w:rsidRPr="003A0EA0">
        <w:rPr>
          <w:rFonts w:ascii="Calibri" w:eastAsia="Calibri" w:hAnsi="Calibri" w:cs="Calibri"/>
          <w:i/>
          <w:color w:val="auto"/>
          <w:sz w:val="22"/>
          <w:szCs w:val="22"/>
          <w:lang w:eastAsia="en-US"/>
        </w:rPr>
        <w:t>Investigate interviewing.</w:t>
      </w:r>
      <w:r w:rsidRPr="003A0EA0">
        <w:rPr>
          <w:rFonts w:ascii="Calibri" w:eastAsia="Calibri" w:hAnsi="Calibri" w:cs="Calibri"/>
          <w:color w:val="auto"/>
          <w:sz w:val="22"/>
          <w:szCs w:val="22"/>
          <w:lang w:eastAsia="en-US"/>
        </w:rPr>
        <w:t xml:space="preserve"> Available at: </w:t>
      </w:r>
      <w:hyperlink r:id="rId32" w:anchor="peace-framework" w:history="1">
        <w:r w:rsidRPr="003A0EA0">
          <w:rPr>
            <w:rFonts w:ascii="Calibri" w:eastAsia="Calibri" w:hAnsi="Calibri" w:cs="Calibri"/>
            <w:color w:val="0563C1"/>
            <w:sz w:val="22"/>
            <w:szCs w:val="22"/>
            <w:u w:val="single"/>
            <w:lang w:eastAsia="en-US"/>
          </w:rPr>
          <w:t>Investigative interviewing (college.police.uk)</w:t>
        </w:r>
      </w:hyperlink>
      <w:r w:rsidRPr="003A0EA0">
        <w:rPr>
          <w:rFonts w:ascii="Calibri" w:eastAsia="Calibri" w:hAnsi="Calibri" w:cs="Calibri"/>
          <w:color w:val="auto"/>
          <w:sz w:val="22"/>
          <w:szCs w:val="22"/>
          <w:lang w:eastAsia="en-US"/>
        </w:rPr>
        <w:t xml:space="preserve"> (Accessed: 18 February 2021).</w:t>
      </w:r>
    </w:p>
    <w:p w14:paraId="55881BD1"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(2020) </w:t>
      </w:r>
      <w:r w:rsidRPr="003A0EA0">
        <w:rPr>
          <w:rFonts w:ascii="Calibri" w:eastAsia="Calibri" w:hAnsi="Calibri" w:cs="Calibri"/>
          <w:i/>
          <w:color w:val="auto"/>
          <w:sz w:val="22"/>
          <w:szCs w:val="22"/>
          <w:lang w:eastAsia="en-US"/>
        </w:rPr>
        <w:t>Witnesses’ own words and open questioning</w:t>
      </w:r>
      <w:r w:rsidRPr="003A0EA0">
        <w:rPr>
          <w:rFonts w:ascii="Calibri" w:eastAsia="Calibri" w:hAnsi="Calibri" w:cs="Calibri"/>
          <w:color w:val="auto"/>
          <w:sz w:val="22"/>
          <w:szCs w:val="22"/>
          <w:lang w:eastAsia="en-US"/>
        </w:rPr>
        <w:t xml:space="preserve">. Available at: </w:t>
      </w:r>
      <w:hyperlink r:id="rId33" w:history="1">
        <w:r w:rsidRPr="003A0EA0">
          <w:rPr>
            <w:rFonts w:ascii="Calibri" w:eastAsia="Calibri" w:hAnsi="Calibri" w:cs="Calibri"/>
            <w:color w:val="0563C1"/>
            <w:sz w:val="22"/>
            <w:szCs w:val="22"/>
            <w:u w:val="single"/>
            <w:lang w:eastAsia="en-US"/>
          </w:rPr>
          <w:t>Witnesses’ own words and open questioning | College of Policing</w:t>
        </w:r>
      </w:hyperlink>
      <w:r w:rsidRPr="003A0EA0">
        <w:rPr>
          <w:rFonts w:ascii="Calibri" w:eastAsia="Calibri" w:hAnsi="Calibri" w:cs="Calibri"/>
          <w:color w:val="auto"/>
          <w:sz w:val="22"/>
          <w:szCs w:val="22"/>
          <w:lang w:eastAsia="en-US"/>
        </w:rPr>
        <w:t xml:space="preserve"> (Accessed: 15 February 2021).</w:t>
      </w:r>
    </w:p>
    <w:p w14:paraId="619FF358"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(2021) </w:t>
      </w:r>
      <w:r w:rsidRPr="003A0EA0">
        <w:rPr>
          <w:rFonts w:ascii="Calibri" w:eastAsia="Calibri" w:hAnsi="Calibri" w:cs="Calibri"/>
          <w:i/>
          <w:color w:val="auto"/>
          <w:sz w:val="22"/>
          <w:szCs w:val="22"/>
          <w:lang w:eastAsia="en-US"/>
        </w:rPr>
        <w:t>Code of Ethics</w:t>
      </w:r>
      <w:r w:rsidRPr="003A0EA0">
        <w:rPr>
          <w:rFonts w:ascii="Calibri" w:eastAsia="Calibri" w:hAnsi="Calibri" w:cs="Calibri"/>
          <w:color w:val="auto"/>
          <w:sz w:val="22"/>
          <w:szCs w:val="22"/>
          <w:lang w:eastAsia="en-US"/>
        </w:rPr>
        <w:t xml:space="preserve">. Available at: </w:t>
      </w:r>
      <w:hyperlink r:id="rId34" w:history="1">
        <w:r w:rsidRPr="003A0EA0">
          <w:rPr>
            <w:rFonts w:ascii="Calibri" w:eastAsia="Calibri" w:hAnsi="Calibri" w:cs="Calibri"/>
            <w:color w:val="0563C1"/>
            <w:sz w:val="22"/>
            <w:szCs w:val="22"/>
            <w:u w:val="single"/>
            <w:lang w:eastAsia="en-US"/>
          </w:rPr>
          <w:t>https://www.college.police.uk/ethics/code-of-ethics</w:t>
        </w:r>
      </w:hyperlink>
      <w:r w:rsidRPr="003A0EA0">
        <w:rPr>
          <w:rFonts w:ascii="Calibri" w:eastAsia="Calibri" w:hAnsi="Calibri" w:cs="Calibri"/>
          <w:color w:val="auto"/>
          <w:sz w:val="22"/>
          <w:szCs w:val="22"/>
          <w:lang w:eastAsia="en-US"/>
        </w:rPr>
        <w:t xml:space="preserve"> (Accessed: 24 February 2021).</w:t>
      </w:r>
    </w:p>
    <w:p w14:paraId="50476FAD"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(2021) </w:t>
      </w:r>
      <w:r w:rsidRPr="003A0EA0">
        <w:rPr>
          <w:rFonts w:ascii="Calibri" w:eastAsia="Calibri" w:hAnsi="Calibri" w:cs="Calibri"/>
          <w:i/>
          <w:color w:val="auto"/>
          <w:sz w:val="22"/>
          <w:szCs w:val="22"/>
          <w:lang w:eastAsia="en-US"/>
        </w:rPr>
        <w:t>Ethics</w:t>
      </w:r>
      <w:r w:rsidRPr="003A0EA0">
        <w:rPr>
          <w:rFonts w:ascii="Calibri" w:eastAsia="Calibri" w:hAnsi="Calibri" w:cs="Calibri"/>
          <w:color w:val="auto"/>
          <w:sz w:val="22"/>
          <w:szCs w:val="22"/>
          <w:lang w:eastAsia="en-US"/>
        </w:rPr>
        <w:t xml:space="preserve">. Available at: </w:t>
      </w:r>
      <w:hyperlink r:id="rId35" w:history="1">
        <w:r w:rsidRPr="003A0EA0">
          <w:rPr>
            <w:rFonts w:ascii="Calibri" w:eastAsia="Calibri" w:hAnsi="Calibri" w:cs="Calibri"/>
            <w:color w:val="0563C1"/>
            <w:sz w:val="22"/>
            <w:szCs w:val="22"/>
            <w:u w:val="single"/>
            <w:lang w:eastAsia="en-US"/>
          </w:rPr>
          <w:t>Ethics | College of Policing</w:t>
        </w:r>
      </w:hyperlink>
      <w:r w:rsidRPr="003A0EA0">
        <w:rPr>
          <w:rFonts w:ascii="Calibri" w:eastAsia="Calibri" w:hAnsi="Calibri" w:cs="Calibri"/>
          <w:color w:val="auto"/>
          <w:sz w:val="22"/>
          <w:szCs w:val="22"/>
          <w:lang w:eastAsia="en-US"/>
        </w:rPr>
        <w:t xml:space="preserve"> (Accessed: 12 February 2021).</w:t>
      </w:r>
    </w:p>
    <w:p w14:paraId="5F943196"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College of Policing (2021) </w:t>
      </w:r>
      <w:r w:rsidRPr="003A0EA0">
        <w:rPr>
          <w:rFonts w:ascii="Calibri" w:eastAsia="Calibri" w:hAnsi="Calibri" w:cs="Calibri"/>
          <w:i/>
          <w:color w:val="auto"/>
          <w:sz w:val="22"/>
          <w:szCs w:val="22"/>
          <w:lang w:eastAsia="en-US"/>
        </w:rPr>
        <w:t>National Decision Model</w:t>
      </w:r>
      <w:r w:rsidRPr="003A0EA0">
        <w:rPr>
          <w:rFonts w:ascii="Calibri" w:eastAsia="Calibri" w:hAnsi="Calibri" w:cs="Calibri"/>
          <w:color w:val="auto"/>
          <w:sz w:val="22"/>
          <w:szCs w:val="22"/>
          <w:lang w:eastAsia="en-US"/>
        </w:rPr>
        <w:t xml:space="preserve">. Available at: </w:t>
      </w:r>
      <w:hyperlink r:id="rId36" w:anchor="application" w:history="1">
        <w:r w:rsidRPr="003A0EA0">
          <w:rPr>
            <w:rFonts w:ascii="Calibri" w:eastAsia="Calibri" w:hAnsi="Calibri" w:cs="Calibri"/>
            <w:color w:val="0563C1"/>
            <w:sz w:val="22"/>
            <w:szCs w:val="22"/>
            <w:u w:val="single"/>
            <w:lang w:eastAsia="en-US"/>
          </w:rPr>
          <w:t>National Decision Model (college.police.uk)</w:t>
        </w:r>
      </w:hyperlink>
      <w:r w:rsidRPr="003A0EA0">
        <w:rPr>
          <w:rFonts w:ascii="Calibri" w:eastAsia="Calibri" w:hAnsi="Calibri" w:cs="Calibri"/>
          <w:color w:val="auto"/>
          <w:sz w:val="22"/>
          <w:szCs w:val="22"/>
          <w:lang w:eastAsia="en-US"/>
        </w:rPr>
        <w:t xml:space="preserve"> (Accessed: 12 February 2021).</w:t>
      </w:r>
    </w:p>
    <w:p w14:paraId="533F3D5B"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CPS (2017) </w:t>
      </w:r>
      <w:r w:rsidRPr="003A0EA0">
        <w:rPr>
          <w:rFonts w:ascii="Calibri" w:eastAsia="Calibri" w:hAnsi="Calibri" w:cs="Calibri"/>
          <w:i/>
          <w:color w:val="auto"/>
          <w:sz w:val="22"/>
          <w:szCs w:val="22"/>
          <w:lang w:eastAsia="en-US"/>
        </w:rPr>
        <w:t>Criminal Damage</w:t>
      </w:r>
      <w:r w:rsidRPr="003A0EA0">
        <w:rPr>
          <w:rFonts w:ascii="Calibri" w:eastAsia="Calibri" w:hAnsi="Calibri" w:cs="Calibri"/>
          <w:color w:val="auto"/>
          <w:sz w:val="22"/>
          <w:szCs w:val="22"/>
          <w:lang w:eastAsia="en-US"/>
        </w:rPr>
        <w:t xml:space="preserve">. Available at: </w:t>
      </w:r>
      <w:hyperlink r:id="rId37" w:history="1">
        <w:r w:rsidRPr="003A0EA0">
          <w:rPr>
            <w:rFonts w:ascii="Calibri" w:eastAsia="Calibri" w:hAnsi="Calibri" w:cs="Calibri"/>
            <w:color w:val="0563C1"/>
            <w:sz w:val="22"/>
            <w:szCs w:val="22"/>
            <w:u w:val="single"/>
            <w:lang w:eastAsia="en-US"/>
          </w:rPr>
          <w:t>https://www.cps.gov.uk/legal-guidance/criminal-damage</w:t>
        </w:r>
      </w:hyperlink>
      <w:r w:rsidRPr="003A0EA0">
        <w:rPr>
          <w:rFonts w:ascii="Calibri" w:eastAsia="Calibri" w:hAnsi="Calibri" w:cs="Calibri"/>
          <w:color w:val="auto"/>
          <w:sz w:val="22"/>
          <w:szCs w:val="22"/>
          <w:lang w:eastAsia="en-US"/>
        </w:rPr>
        <w:t xml:space="preserve"> (Accessed: 17 February 2021).</w:t>
      </w:r>
    </w:p>
    <w:p w14:paraId="3C219B2F"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CPS (2017) </w:t>
      </w:r>
      <w:r w:rsidRPr="003A0EA0">
        <w:rPr>
          <w:rFonts w:ascii="Calibri" w:eastAsia="Calibri" w:hAnsi="Calibri" w:cs="Calibri"/>
          <w:i/>
          <w:color w:val="auto"/>
          <w:sz w:val="22"/>
          <w:szCs w:val="22"/>
          <w:lang w:eastAsia="en-US"/>
        </w:rPr>
        <w:t>The Code for Crown Prosecutors</w:t>
      </w:r>
      <w:r w:rsidRPr="003A0EA0">
        <w:rPr>
          <w:rFonts w:ascii="Calibri" w:eastAsia="Calibri" w:hAnsi="Calibri" w:cs="Calibri"/>
          <w:color w:val="auto"/>
          <w:sz w:val="22"/>
          <w:szCs w:val="22"/>
          <w:lang w:eastAsia="en-US"/>
        </w:rPr>
        <w:t xml:space="preserve">. Available at: </w:t>
      </w:r>
      <w:hyperlink r:id="rId38" w:anchor="section4" w:history="1">
        <w:r w:rsidRPr="003A0EA0">
          <w:rPr>
            <w:rFonts w:ascii="Calibri" w:eastAsia="Calibri" w:hAnsi="Calibri" w:cs="Calibri"/>
            <w:color w:val="0563C1"/>
            <w:sz w:val="22"/>
            <w:szCs w:val="22"/>
            <w:u w:val="single"/>
            <w:lang w:eastAsia="en-US"/>
          </w:rPr>
          <w:t>The Code for Crown Prosecutors | The Crown Prosecution Service (cps.gov.uk)</w:t>
        </w:r>
      </w:hyperlink>
      <w:r w:rsidRPr="003A0EA0">
        <w:rPr>
          <w:rFonts w:ascii="Calibri" w:eastAsia="Calibri" w:hAnsi="Calibri" w:cs="Calibri"/>
          <w:color w:val="auto"/>
          <w:sz w:val="22"/>
          <w:szCs w:val="22"/>
          <w:lang w:eastAsia="en-US"/>
        </w:rPr>
        <w:t xml:space="preserve"> (Accessed: 18 February 2021).</w:t>
      </w:r>
    </w:p>
    <w:p w14:paraId="704B2CB8"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bCs/>
          <w:color w:val="auto"/>
          <w:sz w:val="22"/>
          <w:szCs w:val="22"/>
          <w:lang w:eastAsia="en-US"/>
        </w:rPr>
      </w:pPr>
      <w:r w:rsidRPr="003A0EA0">
        <w:rPr>
          <w:rFonts w:ascii="Calibri" w:eastAsia="Calibri" w:hAnsi="Calibri" w:cs="Calibri"/>
          <w:bCs/>
          <w:color w:val="auto"/>
          <w:sz w:val="22"/>
          <w:szCs w:val="22"/>
          <w:lang w:eastAsia="en-US"/>
        </w:rPr>
        <w:t xml:space="preserve">Crew, S. (2006) ‘A qualitative study on effects of working unsocial hours’, </w:t>
      </w:r>
      <w:r w:rsidRPr="003A0EA0">
        <w:rPr>
          <w:rFonts w:ascii="Calibri" w:eastAsia="Calibri" w:hAnsi="Calibri" w:cs="Calibri"/>
          <w:bCs/>
          <w:i/>
          <w:color w:val="auto"/>
          <w:sz w:val="22"/>
          <w:szCs w:val="22"/>
          <w:lang w:eastAsia="en-US"/>
        </w:rPr>
        <w:t>The Nursing Times</w:t>
      </w:r>
      <w:r w:rsidRPr="003A0EA0">
        <w:rPr>
          <w:rFonts w:ascii="Calibri" w:eastAsia="Calibri" w:hAnsi="Calibri" w:cs="Calibri"/>
          <w:bCs/>
          <w:color w:val="auto"/>
          <w:sz w:val="22"/>
          <w:szCs w:val="22"/>
          <w:lang w:eastAsia="en-US"/>
        </w:rPr>
        <w:t xml:space="preserve">, Vol 102, Issue 23. Available at: </w:t>
      </w:r>
      <w:hyperlink r:id="rId39" w:history="1">
        <w:r w:rsidRPr="003A0EA0">
          <w:rPr>
            <w:rFonts w:ascii="Calibri" w:eastAsia="Calibri" w:hAnsi="Calibri" w:cs="Calibri"/>
            <w:bCs/>
            <w:color w:val="0563C1"/>
            <w:sz w:val="22"/>
            <w:szCs w:val="22"/>
            <w:u w:val="single"/>
            <w:lang w:eastAsia="en-US"/>
          </w:rPr>
          <w:t>https://www.nursingtimes.net/roles/nurse-managers/a-qualitative-study-on-effects-of-working-unsocial-hours-06-06-2006/</w:t>
        </w:r>
      </w:hyperlink>
      <w:r w:rsidRPr="003A0EA0">
        <w:rPr>
          <w:rFonts w:ascii="Calibri" w:eastAsia="Calibri" w:hAnsi="Calibri" w:cs="Calibri"/>
          <w:bCs/>
          <w:color w:val="auto"/>
          <w:sz w:val="22"/>
          <w:szCs w:val="22"/>
          <w:lang w:eastAsia="en-US"/>
        </w:rPr>
        <w:t xml:space="preserve"> (Accessed: 12 February 2021).</w:t>
      </w:r>
    </w:p>
    <w:p w14:paraId="0EFF7619"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lastRenderedPageBreak/>
        <w:t xml:space="preserve">Edwards, J. et al. (1997) </w:t>
      </w:r>
      <w:r w:rsidRPr="003A0EA0">
        <w:rPr>
          <w:rFonts w:ascii="Calibri" w:eastAsia="Calibri" w:hAnsi="Calibri" w:cs="Calibri"/>
          <w:i/>
          <w:color w:val="auto"/>
          <w:sz w:val="22"/>
          <w:szCs w:val="22"/>
          <w:lang w:eastAsia="en-US"/>
        </w:rPr>
        <w:t>How to Conduct Organizational Surveys</w:t>
      </w:r>
      <w:r w:rsidRPr="003A0EA0">
        <w:rPr>
          <w:rFonts w:ascii="Calibri" w:eastAsia="Calibri" w:hAnsi="Calibri" w:cs="Calibri"/>
          <w:color w:val="auto"/>
          <w:sz w:val="22"/>
          <w:szCs w:val="22"/>
          <w:lang w:eastAsia="en-US"/>
        </w:rPr>
        <w:t>. London: Sage Publications Ltd.</w:t>
      </w:r>
    </w:p>
    <w:p w14:paraId="79625C3E"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Gov.uk (2012) </w:t>
      </w:r>
      <w:r w:rsidRPr="003A0EA0">
        <w:rPr>
          <w:rFonts w:ascii="Calibri" w:eastAsia="Calibri" w:hAnsi="Calibri" w:cs="Calibri"/>
          <w:i/>
          <w:color w:val="auto"/>
          <w:sz w:val="22"/>
          <w:szCs w:val="22"/>
          <w:lang w:eastAsia="en-US"/>
        </w:rPr>
        <w:t>Defination of Policing by Consent</w:t>
      </w:r>
      <w:r w:rsidRPr="003A0EA0">
        <w:rPr>
          <w:rFonts w:ascii="Calibri" w:eastAsia="Calibri" w:hAnsi="Calibri" w:cs="Calibri"/>
          <w:color w:val="auto"/>
          <w:sz w:val="22"/>
          <w:szCs w:val="22"/>
          <w:lang w:eastAsia="en-US"/>
        </w:rPr>
        <w:t xml:space="preserve">. Available at: </w:t>
      </w:r>
      <w:hyperlink r:id="rId40" w:history="1">
        <w:r w:rsidRPr="003A0EA0">
          <w:rPr>
            <w:rFonts w:ascii="Calibri" w:eastAsia="Calibri" w:hAnsi="Calibri" w:cs="Calibri"/>
            <w:color w:val="0563C1"/>
            <w:sz w:val="22"/>
            <w:szCs w:val="22"/>
            <w:u w:val="single"/>
            <w:lang w:eastAsia="en-US"/>
          </w:rPr>
          <w:t>Definition of policing by consent - GOV.UK (www.gov.uk)</w:t>
        </w:r>
      </w:hyperlink>
      <w:r w:rsidRPr="003A0EA0">
        <w:rPr>
          <w:rFonts w:ascii="Calibri" w:eastAsia="Calibri" w:hAnsi="Calibri" w:cs="Calibri"/>
          <w:color w:val="auto"/>
          <w:sz w:val="22"/>
          <w:szCs w:val="22"/>
          <w:lang w:eastAsia="en-US"/>
        </w:rPr>
        <w:t xml:space="preserve"> (Accessed: 23 February 2021).</w:t>
      </w:r>
    </w:p>
    <w:p w14:paraId="4D79BB72"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Home Office (2010) </w:t>
      </w:r>
      <w:r w:rsidRPr="003A0EA0">
        <w:rPr>
          <w:rFonts w:ascii="Calibri" w:eastAsia="Calibri" w:hAnsi="Calibri" w:cs="Calibri"/>
          <w:i/>
          <w:color w:val="auto"/>
          <w:sz w:val="22"/>
          <w:szCs w:val="22"/>
          <w:lang w:eastAsia="en-US"/>
        </w:rPr>
        <w:t>Tackling anti-social behaviour: Tools and powers – toolkit for social landlords.</w:t>
      </w:r>
      <w:r w:rsidRPr="003A0EA0">
        <w:rPr>
          <w:rFonts w:ascii="Calibri" w:eastAsia="Calibri" w:hAnsi="Calibri" w:cs="Calibri"/>
          <w:color w:val="auto"/>
          <w:sz w:val="22"/>
          <w:szCs w:val="22"/>
          <w:lang w:eastAsia="en-US"/>
        </w:rPr>
        <w:t xml:space="preserve"> Available at: </w:t>
      </w:r>
      <w:hyperlink r:id="rId41" w:history="1">
        <w:r w:rsidRPr="003A0EA0">
          <w:rPr>
            <w:rFonts w:ascii="Calibri" w:eastAsia="Calibri" w:hAnsi="Calibri" w:cs="Calibri"/>
            <w:color w:val="0563C1"/>
            <w:sz w:val="22"/>
            <w:szCs w:val="22"/>
            <w:u w:val="single"/>
            <w:lang w:eastAsia="en-US"/>
          </w:rPr>
          <w:t>https://assets.publishing.service.gov.uk/government/uploads/system/uploads/attachment_data/file/8278/1530807.pdf</w:t>
        </w:r>
      </w:hyperlink>
      <w:r w:rsidRPr="003A0EA0">
        <w:rPr>
          <w:rFonts w:ascii="Calibri" w:eastAsia="Calibri" w:hAnsi="Calibri" w:cs="Calibri"/>
          <w:color w:val="auto"/>
          <w:sz w:val="22"/>
          <w:szCs w:val="22"/>
          <w:lang w:eastAsia="en-US"/>
        </w:rPr>
        <w:t xml:space="preserve"> (Accessed: 23 February 2021).</w:t>
      </w:r>
    </w:p>
    <w:p w14:paraId="5218E73E"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Home Office (2018) </w:t>
      </w:r>
      <w:r w:rsidRPr="003A0EA0">
        <w:rPr>
          <w:rFonts w:ascii="Calibri" w:eastAsia="Calibri" w:hAnsi="Calibri" w:cs="Calibri"/>
          <w:i/>
          <w:color w:val="auto"/>
          <w:sz w:val="22"/>
          <w:szCs w:val="22"/>
          <w:lang w:eastAsia="en-US"/>
        </w:rPr>
        <w:t>Police and Criminal Evidence Act 1984 (PACE) Code C Revised.</w:t>
      </w:r>
      <w:r w:rsidRPr="003A0EA0">
        <w:rPr>
          <w:rFonts w:ascii="Calibri" w:eastAsia="Calibri" w:hAnsi="Calibri" w:cs="Calibri"/>
          <w:color w:val="auto"/>
          <w:sz w:val="22"/>
          <w:szCs w:val="22"/>
          <w:lang w:eastAsia="en-US"/>
        </w:rPr>
        <w:t xml:space="preserve"> Available at: </w:t>
      </w:r>
      <w:hyperlink r:id="rId42" w:history="1">
        <w:r w:rsidRPr="003A0EA0">
          <w:rPr>
            <w:rFonts w:ascii="Calibri" w:eastAsia="Calibri" w:hAnsi="Calibri" w:cs="Calibri"/>
            <w:color w:val="0563C1"/>
            <w:sz w:val="22"/>
            <w:szCs w:val="22"/>
            <w:u w:val="single"/>
            <w:lang w:eastAsia="en-US"/>
          </w:rPr>
          <w:t>https://assets.publishing.service.gov.uk/government/uploads/system/uploads/attachment_data/file/729842/pace-code-c-2018.pdf</w:t>
        </w:r>
      </w:hyperlink>
      <w:r w:rsidRPr="003A0EA0">
        <w:rPr>
          <w:rFonts w:ascii="Calibri" w:eastAsia="Calibri" w:hAnsi="Calibri" w:cs="Calibri"/>
          <w:color w:val="auto"/>
          <w:sz w:val="22"/>
          <w:szCs w:val="22"/>
          <w:lang w:eastAsia="en-US"/>
        </w:rPr>
        <w:t xml:space="preserve"> (Accessed: 18 February 2021).</w:t>
      </w:r>
    </w:p>
    <w:p w14:paraId="206C25C5"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Home Office (2019) </w:t>
      </w:r>
      <w:r w:rsidRPr="003A0EA0">
        <w:rPr>
          <w:rFonts w:ascii="Calibri" w:eastAsia="Calibri" w:hAnsi="Calibri" w:cs="Calibri"/>
          <w:i/>
          <w:color w:val="auto"/>
          <w:sz w:val="22"/>
          <w:szCs w:val="22"/>
          <w:lang w:eastAsia="en-US"/>
        </w:rPr>
        <w:t>Police and Criminal Evidence Act 1984 (PACE)</w:t>
      </w:r>
      <w:r w:rsidRPr="003A0EA0">
        <w:rPr>
          <w:rFonts w:ascii="Calibri" w:eastAsia="Calibri" w:hAnsi="Calibri" w:cs="Calibri"/>
          <w:color w:val="auto"/>
          <w:sz w:val="22"/>
          <w:szCs w:val="22"/>
          <w:lang w:eastAsia="en-US"/>
        </w:rPr>
        <w:t xml:space="preserve">. Available at: </w:t>
      </w:r>
      <w:hyperlink r:id="rId43" w:history="1">
        <w:r w:rsidRPr="003A0EA0">
          <w:rPr>
            <w:rFonts w:ascii="Calibri" w:eastAsia="Calibri" w:hAnsi="Calibri" w:cs="Calibri"/>
            <w:color w:val="0563C1"/>
            <w:sz w:val="22"/>
            <w:szCs w:val="22"/>
            <w:u w:val="single"/>
            <w:lang w:eastAsia="en-US"/>
          </w:rPr>
          <w:t>Pace Code C (Revised) (publishing.service.gov.uk)</w:t>
        </w:r>
      </w:hyperlink>
      <w:r w:rsidRPr="003A0EA0">
        <w:rPr>
          <w:rFonts w:ascii="Calibri" w:eastAsia="Calibri" w:hAnsi="Calibri" w:cs="Calibri"/>
          <w:color w:val="auto"/>
          <w:sz w:val="22"/>
          <w:szCs w:val="22"/>
          <w:lang w:eastAsia="en-US"/>
        </w:rPr>
        <w:t xml:space="preserve"> (Accessed: 18 February 2021).</w:t>
      </w:r>
    </w:p>
    <w:p w14:paraId="6FF1ADC9"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Home Office (2020) </w:t>
      </w:r>
      <w:r w:rsidRPr="003A0EA0">
        <w:rPr>
          <w:rFonts w:ascii="Calibri" w:eastAsia="Calibri" w:hAnsi="Calibri" w:cs="Calibri"/>
          <w:i/>
          <w:color w:val="auto"/>
          <w:sz w:val="22"/>
          <w:szCs w:val="22"/>
          <w:lang w:eastAsia="en-US"/>
        </w:rPr>
        <w:t>Interviewing Suspects</w:t>
      </w:r>
      <w:r w:rsidRPr="003A0EA0">
        <w:rPr>
          <w:rFonts w:ascii="Calibri" w:eastAsia="Calibri" w:hAnsi="Calibri" w:cs="Calibri"/>
          <w:color w:val="auto"/>
          <w:sz w:val="22"/>
          <w:szCs w:val="22"/>
          <w:lang w:eastAsia="en-US"/>
        </w:rPr>
        <w:t xml:space="preserve">. Available at: </w:t>
      </w:r>
      <w:hyperlink r:id="rId44" w:history="1">
        <w:r w:rsidRPr="003A0EA0">
          <w:rPr>
            <w:rFonts w:ascii="Calibri" w:eastAsia="Calibri" w:hAnsi="Calibri" w:cs="Calibri"/>
            <w:color w:val="0563C1"/>
            <w:sz w:val="22"/>
            <w:szCs w:val="22"/>
            <w:u w:val="single"/>
            <w:lang w:eastAsia="en-US"/>
          </w:rPr>
          <w:t>https://assets.publishing.service.gov.uk/government/uploads/system/uploads/attachment_data/file/864940/interviewing-suspects-v7.0.pdf</w:t>
        </w:r>
      </w:hyperlink>
      <w:r w:rsidRPr="003A0EA0">
        <w:rPr>
          <w:rFonts w:ascii="Calibri" w:eastAsia="Calibri" w:hAnsi="Calibri" w:cs="Calibri"/>
          <w:color w:val="auto"/>
          <w:sz w:val="22"/>
          <w:szCs w:val="22"/>
          <w:lang w:eastAsia="en-US"/>
        </w:rPr>
        <w:t xml:space="preserve"> (Accessed: 18 February 2021).</w:t>
      </w:r>
    </w:p>
    <w:p w14:paraId="25A4F334"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Kunselman, J., Tewksbury, R., Vito, G, (2008) </w:t>
      </w:r>
      <w:r w:rsidRPr="003A0EA0">
        <w:rPr>
          <w:rFonts w:ascii="Calibri" w:eastAsia="Calibri" w:hAnsi="Calibri" w:cs="Calibri"/>
          <w:i/>
          <w:color w:val="auto"/>
          <w:sz w:val="22"/>
          <w:szCs w:val="22"/>
          <w:lang w:eastAsia="en-US"/>
        </w:rPr>
        <w:t>Introduction into Criminal Justice Research Methods</w:t>
      </w:r>
      <w:r w:rsidRPr="003A0EA0">
        <w:rPr>
          <w:rFonts w:ascii="Calibri" w:eastAsia="Calibri" w:hAnsi="Calibri" w:cs="Calibri"/>
          <w:color w:val="auto"/>
          <w:sz w:val="22"/>
          <w:szCs w:val="22"/>
          <w:lang w:eastAsia="en-US"/>
        </w:rPr>
        <w:t>. 2</w:t>
      </w:r>
      <w:r w:rsidRPr="003A0EA0">
        <w:rPr>
          <w:rFonts w:ascii="Calibri" w:eastAsia="Calibri" w:hAnsi="Calibri" w:cs="Calibri"/>
          <w:color w:val="auto"/>
          <w:sz w:val="22"/>
          <w:szCs w:val="22"/>
          <w:vertAlign w:val="superscript"/>
          <w:lang w:eastAsia="en-US"/>
        </w:rPr>
        <w:t>nd</w:t>
      </w:r>
      <w:r w:rsidRPr="003A0EA0">
        <w:rPr>
          <w:rFonts w:ascii="Calibri" w:eastAsia="Calibri" w:hAnsi="Calibri" w:cs="Calibri"/>
          <w:color w:val="auto"/>
          <w:sz w:val="22"/>
          <w:szCs w:val="22"/>
          <w:lang w:eastAsia="en-US"/>
        </w:rPr>
        <w:t xml:space="preserve"> edn. Illinois: Charles C Thomas Publisher Ltd.</w:t>
      </w:r>
    </w:p>
    <w:p w14:paraId="4412DD0B"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Legislation.gov.uk (2021) </w:t>
      </w:r>
      <w:r w:rsidRPr="003A0EA0">
        <w:rPr>
          <w:rFonts w:ascii="Calibri" w:eastAsia="Calibri" w:hAnsi="Calibri" w:cs="Calibri"/>
          <w:i/>
          <w:color w:val="auto"/>
          <w:sz w:val="22"/>
          <w:szCs w:val="22"/>
          <w:lang w:eastAsia="en-US"/>
        </w:rPr>
        <w:t>Children Act 1989.</w:t>
      </w:r>
      <w:r w:rsidRPr="003A0EA0">
        <w:rPr>
          <w:rFonts w:ascii="Calibri" w:eastAsia="Calibri" w:hAnsi="Calibri" w:cs="Calibri"/>
          <w:color w:val="auto"/>
          <w:sz w:val="22"/>
          <w:szCs w:val="22"/>
          <w:lang w:eastAsia="en-US"/>
        </w:rPr>
        <w:t xml:space="preserve"> Available at: </w:t>
      </w:r>
      <w:hyperlink r:id="rId45" w:history="1">
        <w:r w:rsidRPr="003A0EA0">
          <w:rPr>
            <w:rFonts w:ascii="Calibri" w:eastAsia="Calibri" w:hAnsi="Calibri" w:cs="Calibri"/>
            <w:color w:val="0563C1"/>
            <w:sz w:val="22"/>
            <w:szCs w:val="22"/>
            <w:u w:val="single"/>
            <w:lang w:eastAsia="en-US"/>
          </w:rPr>
          <w:t>Children Act 1989 (legislation.gov.uk)</w:t>
        </w:r>
      </w:hyperlink>
      <w:r w:rsidRPr="003A0EA0">
        <w:rPr>
          <w:rFonts w:ascii="Calibri" w:eastAsia="Calibri" w:hAnsi="Calibri" w:cs="Calibri"/>
          <w:color w:val="auto"/>
          <w:sz w:val="22"/>
          <w:szCs w:val="22"/>
          <w:lang w:eastAsia="en-US"/>
        </w:rPr>
        <w:t xml:space="preserve"> (Accessed: 12 February 2021).</w:t>
      </w:r>
    </w:p>
    <w:p w14:paraId="22B6CFF5"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Legislation.gov.uk (no date) </w:t>
      </w:r>
      <w:r w:rsidRPr="003A0EA0">
        <w:rPr>
          <w:rFonts w:ascii="Calibri" w:eastAsia="Calibri" w:hAnsi="Calibri" w:cs="Calibri"/>
          <w:i/>
          <w:color w:val="auto"/>
          <w:sz w:val="22"/>
          <w:szCs w:val="22"/>
          <w:lang w:eastAsia="en-US"/>
        </w:rPr>
        <w:t>Anti – social Behaviour Crime and Policy Act 2014</w:t>
      </w:r>
      <w:r w:rsidRPr="003A0EA0">
        <w:rPr>
          <w:rFonts w:ascii="Calibri" w:eastAsia="Calibri" w:hAnsi="Calibri" w:cs="Calibri"/>
          <w:color w:val="auto"/>
          <w:sz w:val="22"/>
          <w:szCs w:val="22"/>
          <w:lang w:eastAsia="en-US"/>
        </w:rPr>
        <w:t xml:space="preserve">. Available at: </w:t>
      </w:r>
      <w:hyperlink r:id="rId46" w:history="1">
        <w:r w:rsidRPr="003A0EA0">
          <w:rPr>
            <w:rFonts w:ascii="Calibri" w:eastAsia="Calibri" w:hAnsi="Calibri" w:cs="Calibri"/>
            <w:color w:val="0563C1"/>
            <w:sz w:val="22"/>
            <w:szCs w:val="22"/>
            <w:u w:val="single"/>
            <w:lang w:eastAsia="en-US"/>
          </w:rPr>
          <w:t>Anti-social Behaviour, Crime and Policing Act 2014 (legislation.gov.uk)</w:t>
        </w:r>
      </w:hyperlink>
      <w:r w:rsidRPr="003A0EA0">
        <w:rPr>
          <w:rFonts w:ascii="Calibri" w:eastAsia="Calibri" w:hAnsi="Calibri" w:cs="Calibri"/>
          <w:color w:val="auto"/>
          <w:sz w:val="22"/>
          <w:szCs w:val="22"/>
          <w:lang w:eastAsia="en-US"/>
        </w:rPr>
        <w:t xml:space="preserve"> (Accessed: 20 February 2021).</w:t>
      </w:r>
    </w:p>
    <w:p w14:paraId="5A549F20"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Legislation.gov.uk (no date) </w:t>
      </w:r>
      <w:r w:rsidRPr="003A0EA0">
        <w:rPr>
          <w:rFonts w:ascii="Calibri" w:eastAsia="Calibri" w:hAnsi="Calibri" w:cs="Calibri"/>
          <w:i/>
          <w:color w:val="auto"/>
          <w:sz w:val="22"/>
          <w:szCs w:val="22"/>
          <w:lang w:eastAsia="en-US"/>
        </w:rPr>
        <w:t>Police and Criminal Evidence Act 1984</w:t>
      </w:r>
      <w:r w:rsidRPr="003A0EA0">
        <w:rPr>
          <w:rFonts w:ascii="Calibri" w:eastAsia="Calibri" w:hAnsi="Calibri" w:cs="Calibri"/>
          <w:color w:val="auto"/>
          <w:sz w:val="22"/>
          <w:szCs w:val="22"/>
          <w:lang w:eastAsia="en-US"/>
        </w:rPr>
        <w:t xml:space="preserve">. Available at: </w:t>
      </w:r>
      <w:hyperlink r:id="rId47" w:history="1">
        <w:r w:rsidRPr="003A0EA0">
          <w:rPr>
            <w:rFonts w:ascii="Calibri" w:eastAsia="Calibri" w:hAnsi="Calibri" w:cs="Calibri"/>
            <w:color w:val="0563C1"/>
            <w:sz w:val="22"/>
            <w:szCs w:val="22"/>
            <w:u w:val="single"/>
            <w:lang w:eastAsia="en-US"/>
          </w:rPr>
          <w:t>Police and Criminal Evidence Act 1984 (legislation.gov.uk)</w:t>
        </w:r>
      </w:hyperlink>
      <w:r w:rsidRPr="003A0EA0">
        <w:rPr>
          <w:rFonts w:ascii="Calibri" w:eastAsia="Calibri" w:hAnsi="Calibri" w:cs="Calibri"/>
          <w:color w:val="auto"/>
          <w:sz w:val="22"/>
          <w:szCs w:val="22"/>
          <w:lang w:eastAsia="en-US"/>
        </w:rPr>
        <w:t xml:space="preserve"> (Accessed: 18 February 2021).</w:t>
      </w:r>
    </w:p>
    <w:p w14:paraId="7B698682"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Ministry of Justice (2015) </w:t>
      </w:r>
      <w:r w:rsidRPr="003A0EA0">
        <w:rPr>
          <w:rFonts w:ascii="Calibri" w:eastAsia="Calibri" w:hAnsi="Calibri" w:cs="Calibri"/>
          <w:i/>
          <w:color w:val="auto"/>
          <w:sz w:val="22"/>
          <w:szCs w:val="22"/>
          <w:lang w:eastAsia="en-US"/>
        </w:rPr>
        <w:t>Criminal Investigations Act 1996</w:t>
      </w:r>
      <w:r w:rsidRPr="003A0EA0">
        <w:rPr>
          <w:rFonts w:ascii="Calibri" w:eastAsia="Calibri" w:hAnsi="Calibri" w:cs="Calibri"/>
          <w:color w:val="auto"/>
          <w:sz w:val="22"/>
          <w:szCs w:val="22"/>
          <w:lang w:eastAsia="en-US"/>
        </w:rPr>
        <w:t xml:space="preserve">. Available at: </w:t>
      </w:r>
      <w:hyperlink r:id="rId48" w:history="1">
        <w:r w:rsidRPr="003A0EA0">
          <w:rPr>
            <w:rFonts w:ascii="Calibri" w:eastAsia="Calibri" w:hAnsi="Calibri" w:cs="Calibri"/>
            <w:color w:val="0563C1"/>
            <w:sz w:val="22"/>
            <w:szCs w:val="22"/>
            <w:u w:val="single"/>
            <w:lang w:eastAsia="en-US"/>
          </w:rPr>
          <w:t>https://assets.publishing.service.gov.uk/government/uploads/system/uploads/attachment_data/file/447967/code-of-practice-approved.pdf</w:t>
        </w:r>
      </w:hyperlink>
      <w:r w:rsidRPr="003A0EA0">
        <w:rPr>
          <w:rFonts w:ascii="Calibri" w:eastAsia="Calibri" w:hAnsi="Calibri" w:cs="Calibri"/>
          <w:color w:val="auto"/>
          <w:sz w:val="22"/>
          <w:szCs w:val="22"/>
          <w:lang w:eastAsia="en-US"/>
        </w:rPr>
        <w:t xml:space="preserve"> (Accessed 15 February 2021).</w:t>
      </w:r>
    </w:p>
    <w:p w14:paraId="1A5A1B0C"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National Appropriate Adult (2018) </w:t>
      </w:r>
      <w:r w:rsidRPr="003A0EA0">
        <w:rPr>
          <w:rFonts w:ascii="Calibri" w:eastAsia="Calibri" w:hAnsi="Calibri" w:cs="Calibri"/>
          <w:i/>
          <w:color w:val="auto"/>
          <w:sz w:val="22"/>
          <w:szCs w:val="22"/>
          <w:lang w:eastAsia="en-US"/>
        </w:rPr>
        <w:t>What is an appropriate adult?</w:t>
      </w:r>
      <w:r w:rsidRPr="003A0EA0">
        <w:rPr>
          <w:rFonts w:ascii="Calibri" w:eastAsia="Calibri" w:hAnsi="Calibri" w:cs="Calibri"/>
          <w:color w:val="auto"/>
          <w:sz w:val="22"/>
          <w:szCs w:val="22"/>
          <w:lang w:eastAsia="en-US"/>
        </w:rPr>
        <w:t xml:space="preserve"> Available at: </w:t>
      </w:r>
      <w:hyperlink r:id="rId49" w:history="1">
        <w:r w:rsidRPr="003A0EA0">
          <w:rPr>
            <w:rFonts w:ascii="Calibri" w:eastAsia="Calibri" w:hAnsi="Calibri" w:cs="Calibri"/>
            <w:color w:val="0563C1"/>
            <w:sz w:val="22"/>
            <w:szCs w:val="22"/>
            <w:u w:val="single"/>
            <w:lang w:eastAsia="en-US"/>
          </w:rPr>
          <w:t>https://appropriateadult.org.uk/index.php/information/what-is-an-appropriate-adult</w:t>
        </w:r>
      </w:hyperlink>
      <w:r w:rsidRPr="003A0EA0">
        <w:rPr>
          <w:rFonts w:ascii="Calibri" w:eastAsia="Calibri" w:hAnsi="Calibri" w:cs="Calibri"/>
          <w:color w:val="auto"/>
          <w:sz w:val="22"/>
          <w:szCs w:val="22"/>
          <w:lang w:eastAsia="en-US"/>
        </w:rPr>
        <w:t xml:space="preserve"> (Accessed: 18 February 2021).</w:t>
      </w:r>
    </w:p>
    <w:p w14:paraId="0DCC4B8B"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Police and Crime Commissioner (no date) </w:t>
      </w:r>
      <w:r w:rsidRPr="003A0EA0">
        <w:rPr>
          <w:rFonts w:ascii="Calibri" w:eastAsia="Calibri" w:hAnsi="Calibri" w:cs="Calibri"/>
          <w:i/>
          <w:color w:val="auto"/>
          <w:sz w:val="22"/>
          <w:szCs w:val="22"/>
          <w:lang w:eastAsia="en-US"/>
        </w:rPr>
        <w:t>Police and Crime Plan 2021 – 2025.</w:t>
      </w:r>
      <w:r w:rsidRPr="003A0EA0">
        <w:rPr>
          <w:rFonts w:ascii="Calibri" w:eastAsia="Calibri" w:hAnsi="Calibri" w:cs="Calibri"/>
          <w:color w:val="auto"/>
          <w:sz w:val="22"/>
          <w:szCs w:val="22"/>
          <w:lang w:eastAsia="en-US"/>
        </w:rPr>
        <w:t xml:space="preserve"> Available at: </w:t>
      </w:r>
      <w:hyperlink r:id="rId50" w:history="1">
        <w:r w:rsidRPr="003A0EA0">
          <w:rPr>
            <w:rFonts w:ascii="Calibri" w:eastAsia="Calibri" w:hAnsi="Calibri" w:cs="Calibri"/>
            <w:color w:val="0563C1"/>
            <w:sz w:val="22"/>
            <w:szCs w:val="22"/>
            <w:u w:val="single"/>
            <w:lang w:eastAsia="en-US"/>
          </w:rPr>
          <w:t>Police &amp; Crime Plan 2021-2025 (southwalescommissioner.org.uk)</w:t>
        </w:r>
      </w:hyperlink>
      <w:r w:rsidRPr="003A0EA0">
        <w:rPr>
          <w:rFonts w:ascii="Calibri" w:eastAsia="Calibri" w:hAnsi="Calibri" w:cs="Calibri"/>
          <w:color w:val="auto"/>
          <w:sz w:val="22"/>
          <w:szCs w:val="22"/>
          <w:lang w:eastAsia="en-US"/>
        </w:rPr>
        <w:t xml:space="preserve"> (Accessed: 12 February 2021).</w:t>
      </w:r>
    </w:p>
    <w:p w14:paraId="717ABF1A"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South Wales Police (2019) </w:t>
      </w:r>
      <w:r w:rsidRPr="003A0EA0">
        <w:rPr>
          <w:rFonts w:ascii="Calibri" w:eastAsia="Calibri" w:hAnsi="Calibri" w:cs="Calibri"/>
          <w:i/>
          <w:color w:val="auto"/>
          <w:sz w:val="22"/>
          <w:szCs w:val="22"/>
          <w:lang w:eastAsia="en-US"/>
        </w:rPr>
        <w:t>Anti-social behaviour</w:t>
      </w:r>
      <w:r w:rsidRPr="003A0EA0">
        <w:rPr>
          <w:rFonts w:ascii="Calibri" w:eastAsia="Calibri" w:hAnsi="Calibri" w:cs="Calibri"/>
          <w:color w:val="auto"/>
          <w:sz w:val="22"/>
          <w:szCs w:val="22"/>
          <w:lang w:eastAsia="en-US"/>
        </w:rPr>
        <w:t xml:space="preserve">. Available at: </w:t>
      </w:r>
      <w:hyperlink r:id="rId51" w:history="1">
        <w:r w:rsidRPr="003A0EA0">
          <w:rPr>
            <w:rFonts w:ascii="Calibri" w:eastAsia="Calibri" w:hAnsi="Calibri" w:cs="Calibri"/>
            <w:color w:val="0563C1"/>
            <w:sz w:val="22"/>
            <w:szCs w:val="22"/>
            <w:u w:val="single"/>
            <w:lang w:eastAsia="en-US"/>
          </w:rPr>
          <w:t>anti-social-behaviour.pdf (south-wales.police.uk)</w:t>
        </w:r>
      </w:hyperlink>
      <w:r w:rsidRPr="003A0EA0">
        <w:rPr>
          <w:rFonts w:ascii="Calibri" w:eastAsia="Calibri" w:hAnsi="Calibri" w:cs="Calibri"/>
          <w:color w:val="auto"/>
          <w:sz w:val="22"/>
          <w:szCs w:val="22"/>
          <w:lang w:eastAsia="en-US"/>
        </w:rPr>
        <w:t xml:space="preserve"> (Accessed: 25 February 2021).</w:t>
      </w:r>
    </w:p>
    <w:p w14:paraId="0D023DB6"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South Wales Police (2021) </w:t>
      </w:r>
      <w:r w:rsidRPr="003A0EA0">
        <w:rPr>
          <w:rFonts w:ascii="Calibri" w:eastAsia="Calibri" w:hAnsi="Calibri" w:cs="Calibri"/>
          <w:i/>
          <w:color w:val="auto"/>
          <w:sz w:val="22"/>
          <w:szCs w:val="22"/>
          <w:lang w:eastAsia="en-US"/>
        </w:rPr>
        <w:t>Support for Victims and Witnesses of Crime</w:t>
      </w:r>
      <w:r w:rsidRPr="003A0EA0">
        <w:rPr>
          <w:rFonts w:ascii="Calibri" w:eastAsia="Calibri" w:hAnsi="Calibri" w:cs="Calibri"/>
          <w:color w:val="auto"/>
          <w:sz w:val="22"/>
          <w:szCs w:val="22"/>
          <w:lang w:eastAsia="en-US"/>
        </w:rPr>
        <w:t xml:space="preserve">. Available at: </w:t>
      </w:r>
      <w:hyperlink r:id="rId52" w:history="1">
        <w:r w:rsidRPr="003A0EA0">
          <w:rPr>
            <w:rFonts w:ascii="Calibri" w:eastAsia="Calibri" w:hAnsi="Calibri" w:cs="Calibri"/>
            <w:color w:val="0563C1"/>
            <w:sz w:val="22"/>
            <w:szCs w:val="22"/>
            <w:u w:val="single"/>
            <w:lang w:eastAsia="en-US"/>
          </w:rPr>
          <w:t>Victim and witness support | South Wales Police (south-wales.police.uk)</w:t>
        </w:r>
      </w:hyperlink>
      <w:r w:rsidRPr="003A0EA0">
        <w:rPr>
          <w:rFonts w:ascii="Calibri" w:eastAsia="Calibri" w:hAnsi="Calibri" w:cs="Calibri"/>
          <w:color w:val="auto"/>
          <w:sz w:val="22"/>
          <w:szCs w:val="22"/>
          <w:lang w:eastAsia="en-US"/>
        </w:rPr>
        <w:t xml:space="preserve"> (Accessed: 12 February 2021).</w:t>
      </w:r>
    </w:p>
    <w:p w14:paraId="2A062CEF"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South Wales Police (2021) </w:t>
      </w:r>
      <w:r w:rsidRPr="003A0EA0">
        <w:rPr>
          <w:rFonts w:ascii="Calibri" w:eastAsia="Calibri" w:hAnsi="Calibri" w:cs="Calibri"/>
          <w:i/>
          <w:color w:val="auto"/>
          <w:sz w:val="22"/>
          <w:szCs w:val="22"/>
          <w:lang w:eastAsia="en-US"/>
        </w:rPr>
        <w:t xml:space="preserve">What is antisocial behaviour. </w:t>
      </w:r>
      <w:r w:rsidRPr="003A0EA0">
        <w:rPr>
          <w:rFonts w:ascii="Calibri" w:eastAsia="Calibri" w:hAnsi="Calibri" w:cs="Calibri"/>
          <w:color w:val="auto"/>
          <w:sz w:val="22"/>
          <w:szCs w:val="22"/>
          <w:lang w:eastAsia="en-US"/>
        </w:rPr>
        <w:t xml:space="preserve">Available at: </w:t>
      </w:r>
      <w:hyperlink r:id="rId53" w:history="1">
        <w:r w:rsidRPr="003A0EA0">
          <w:rPr>
            <w:rFonts w:ascii="Calibri" w:eastAsia="Calibri" w:hAnsi="Calibri" w:cs="Calibri"/>
            <w:color w:val="0563C1"/>
            <w:sz w:val="22"/>
            <w:szCs w:val="22"/>
            <w:u w:val="single"/>
            <w:lang w:eastAsia="en-US"/>
          </w:rPr>
          <w:t>What is antisocial behaviour? | South Wales Police (south-wales.police.uk)</w:t>
        </w:r>
      </w:hyperlink>
      <w:r w:rsidRPr="003A0EA0">
        <w:rPr>
          <w:rFonts w:ascii="Calibri" w:eastAsia="Calibri" w:hAnsi="Calibri" w:cs="Calibri"/>
          <w:color w:val="auto"/>
          <w:sz w:val="22"/>
          <w:szCs w:val="22"/>
          <w:lang w:eastAsia="en-US"/>
        </w:rPr>
        <w:t xml:space="preserve"> (Accessed: 20 February 2021).</w:t>
      </w:r>
    </w:p>
    <w:p w14:paraId="49F6A10B"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bCs/>
          <w:color w:val="auto"/>
          <w:sz w:val="22"/>
          <w:szCs w:val="22"/>
          <w:lang w:eastAsia="en-US"/>
        </w:rPr>
      </w:pPr>
      <w:r w:rsidRPr="003A0EA0">
        <w:rPr>
          <w:rFonts w:ascii="Calibri" w:eastAsia="Calibri" w:hAnsi="Calibri" w:cs="Calibri"/>
          <w:bCs/>
          <w:color w:val="auto"/>
          <w:sz w:val="22"/>
          <w:szCs w:val="22"/>
          <w:lang w:eastAsia="en-US"/>
        </w:rPr>
        <w:lastRenderedPageBreak/>
        <w:t xml:space="preserve">Very Well Mind (2011) </w:t>
      </w:r>
      <w:r w:rsidRPr="003A0EA0">
        <w:rPr>
          <w:rFonts w:ascii="Calibri" w:eastAsia="Calibri" w:hAnsi="Calibri" w:cs="Calibri"/>
          <w:bCs/>
          <w:i/>
          <w:color w:val="auto"/>
          <w:sz w:val="22"/>
          <w:szCs w:val="22"/>
          <w:lang w:eastAsia="en-US"/>
        </w:rPr>
        <w:t>How to Practice Active Listening.</w:t>
      </w:r>
      <w:r w:rsidRPr="003A0EA0">
        <w:rPr>
          <w:rFonts w:ascii="Calibri" w:eastAsia="Calibri" w:hAnsi="Calibri" w:cs="Calibri"/>
          <w:bCs/>
          <w:color w:val="auto"/>
          <w:sz w:val="22"/>
          <w:szCs w:val="22"/>
          <w:lang w:eastAsia="en-US"/>
        </w:rPr>
        <w:t xml:space="preserve"> Available at: </w:t>
      </w:r>
      <w:hyperlink r:id="rId54" w:history="1">
        <w:r w:rsidRPr="003A0EA0">
          <w:rPr>
            <w:rFonts w:ascii="Calibri" w:eastAsia="Calibri" w:hAnsi="Calibri" w:cs="Calibri"/>
            <w:bCs/>
            <w:color w:val="0563C1"/>
            <w:sz w:val="22"/>
            <w:szCs w:val="22"/>
            <w:u w:val="single"/>
            <w:lang w:eastAsia="en-US"/>
          </w:rPr>
          <w:t>https://www.verywellmind.com/what-is-active-listening-3024343</w:t>
        </w:r>
      </w:hyperlink>
      <w:r w:rsidRPr="003A0EA0">
        <w:rPr>
          <w:rFonts w:ascii="Calibri" w:eastAsia="Calibri" w:hAnsi="Calibri" w:cs="Calibri"/>
          <w:bCs/>
          <w:color w:val="auto"/>
          <w:sz w:val="22"/>
          <w:szCs w:val="22"/>
          <w:lang w:eastAsia="en-US"/>
        </w:rPr>
        <w:t xml:space="preserve"> (Accessed: 12 February 2021).</w:t>
      </w:r>
    </w:p>
    <w:p w14:paraId="158D0322"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Verywell Mind (2020) </w:t>
      </w:r>
      <w:r w:rsidRPr="003A0EA0">
        <w:rPr>
          <w:rFonts w:ascii="Calibri" w:eastAsia="Calibri" w:hAnsi="Calibri" w:cs="Calibri"/>
          <w:i/>
          <w:color w:val="auto"/>
          <w:sz w:val="22"/>
          <w:szCs w:val="22"/>
          <w:lang w:eastAsia="en-US"/>
        </w:rPr>
        <w:t xml:space="preserve">What is cognitive bias? </w:t>
      </w:r>
      <w:r w:rsidRPr="003A0EA0">
        <w:rPr>
          <w:rFonts w:ascii="Calibri" w:eastAsia="Calibri" w:hAnsi="Calibri" w:cs="Calibri"/>
          <w:color w:val="auto"/>
          <w:sz w:val="22"/>
          <w:szCs w:val="22"/>
          <w:lang w:eastAsia="en-US"/>
        </w:rPr>
        <w:t xml:space="preserve">Available at: </w:t>
      </w:r>
      <w:hyperlink r:id="rId55" w:history="1">
        <w:r w:rsidRPr="003A0EA0">
          <w:rPr>
            <w:rFonts w:ascii="Calibri" w:eastAsia="Calibri" w:hAnsi="Calibri" w:cs="Calibri"/>
            <w:color w:val="0563C1"/>
            <w:sz w:val="22"/>
            <w:szCs w:val="22"/>
            <w:u w:val="single"/>
            <w:lang w:eastAsia="en-US"/>
          </w:rPr>
          <w:t>What Is Cognitive Bias? (verywellmind.com)</w:t>
        </w:r>
      </w:hyperlink>
      <w:r w:rsidRPr="003A0EA0">
        <w:rPr>
          <w:rFonts w:ascii="Calibri" w:eastAsia="Calibri" w:hAnsi="Calibri" w:cs="Calibri"/>
          <w:color w:val="auto"/>
          <w:sz w:val="22"/>
          <w:szCs w:val="22"/>
          <w:lang w:eastAsia="en-US"/>
        </w:rPr>
        <w:t xml:space="preserve"> (Accessed: 25 February 2021).</w:t>
      </w:r>
    </w:p>
    <w:p w14:paraId="5DBDE48D"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Verywell mind (2021) </w:t>
      </w:r>
      <w:r w:rsidRPr="003A0EA0">
        <w:rPr>
          <w:rFonts w:ascii="Calibri" w:eastAsia="Calibri" w:hAnsi="Calibri" w:cs="Calibri"/>
          <w:i/>
          <w:color w:val="auto"/>
          <w:sz w:val="22"/>
          <w:szCs w:val="22"/>
          <w:lang w:eastAsia="en-US"/>
        </w:rPr>
        <w:t xml:space="preserve">How to practice active listening. </w:t>
      </w:r>
      <w:r w:rsidRPr="003A0EA0">
        <w:rPr>
          <w:rFonts w:ascii="Calibri" w:eastAsia="Calibri" w:hAnsi="Calibri" w:cs="Calibri"/>
          <w:color w:val="auto"/>
          <w:sz w:val="22"/>
          <w:szCs w:val="22"/>
          <w:lang w:eastAsia="en-US"/>
        </w:rPr>
        <w:t xml:space="preserve">Available at: </w:t>
      </w:r>
      <w:hyperlink r:id="rId56" w:history="1">
        <w:r w:rsidRPr="003A0EA0">
          <w:rPr>
            <w:rFonts w:ascii="Calibri" w:eastAsia="Calibri" w:hAnsi="Calibri" w:cs="Calibri"/>
            <w:color w:val="0563C1"/>
            <w:sz w:val="22"/>
            <w:szCs w:val="22"/>
            <w:u w:val="single"/>
            <w:lang w:eastAsia="en-US"/>
          </w:rPr>
          <w:t>How to Practice Active Listening (verywellmind.com)</w:t>
        </w:r>
      </w:hyperlink>
      <w:r w:rsidRPr="003A0EA0">
        <w:rPr>
          <w:rFonts w:ascii="Calibri" w:eastAsia="Calibri" w:hAnsi="Calibri" w:cs="Calibri"/>
          <w:color w:val="auto"/>
          <w:sz w:val="22"/>
          <w:szCs w:val="22"/>
          <w:lang w:eastAsia="en-US"/>
        </w:rPr>
        <w:t xml:space="preserve"> (Accessed: 12 February 2021).</w:t>
      </w:r>
    </w:p>
    <w:p w14:paraId="58F5CDB6"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Victim Support (no date) </w:t>
      </w:r>
      <w:r w:rsidRPr="003A0EA0">
        <w:rPr>
          <w:rFonts w:ascii="Calibri" w:eastAsia="Calibri" w:hAnsi="Calibri" w:cs="Calibri"/>
          <w:i/>
          <w:color w:val="auto"/>
          <w:sz w:val="22"/>
          <w:szCs w:val="22"/>
          <w:lang w:eastAsia="en-US"/>
        </w:rPr>
        <w:t>Antisocial behaviour</w:t>
      </w:r>
      <w:r w:rsidRPr="003A0EA0">
        <w:rPr>
          <w:rFonts w:ascii="Calibri" w:eastAsia="Calibri" w:hAnsi="Calibri" w:cs="Calibri"/>
          <w:color w:val="auto"/>
          <w:sz w:val="22"/>
          <w:szCs w:val="22"/>
          <w:lang w:eastAsia="en-US"/>
        </w:rPr>
        <w:t xml:space="preserve">. Available at: </w:t>
      </w:r>
      <w:hyperlink r:id="rId57" w:history="1">
        <w:r w:rsidRPr="003A0EA0">
          <w:rPr>
            <w:rFonts w:ascii="Calibri" w:eastAsia="Calibri" w:hAnsi="Calibri" w:cs="Calibri"/>
            <w:color w:val="0563C1"/>
            <w:sz w:val="22"/>
            <w:szCs w:val="22"/>
            <w:u w:val="single"/>
            <w:lang w:eastAsia="en-US"/>
          </w:rPr>
          <w:t>https://www.victimsupport.org.uk/crime-info/types-crime/antisocial-behaviour</w:t>
        </w:r>
      </w:hyperlink>
      <w:r w:rsidRPr="003A0EA0">
        <w:rPr>
          <w:rFonts w:ascii="Calibri" w:eastAsia="Calibri" w:hAnsi="Calibri" w:cs="Calibri"/>
          <w:color w:val="auto"/>
          <w:sz w:val="22"/>
          <w:szCs w:val="22"/>
          <w:lang w:eastAsia="en-US"/>
        </w:rPr>
        <w:t xml:space="preserve"> (Accessed 25 February 2021).</w:t>
      </w:r>
    </w:p>
    <w:p w14:paraId="68E1ACCF" w14:textId="77777777" w:rsidR="003A0EA0" w:rsidRPr="003A0EA0" w:rsidRDefault="003A0EA0" w:rsidP="003A0EA0">
      <w:pPr>
        <w:overflowPunct/>
        <w:autoSpaceDE/>
        <w:autoSpaceDN/>
        <w:adjustRightInd/>
        <w:spacing w:after="160" w:line="259" w:lineRule="auto"/>
        <w:textAlignment w:val="auto"/>
        <w:rPr>
          <w:rFonts w:ascii="Calibri" w:eastAsia="Calibri" w:hAnsi="Calibri" w:cs="Calibri"/>
          <w:color w:val="auto"/>
          <w:sz w:val="22"/>
          <w:szCs w:val="22"/>
          <w:lang w:eastAsia="en-US"/>
        </w:rPr>
      </w:pPr>
      <w:r w:rsidRPr="003A0EA0">
        <w:rPr>
          <w:rFonts w:ascii="Calibri" w:eastAsia="Calibri" w:hAnsi="Calibri" w:cs="Calibri"/>
          <w:color w:val="auto"/>
          <w:sz w:val="22"/>
          <w:szCs w:val="22"/>
          <w:lang w:eastAsia="en-US"/>
        </w:rPr>
        <w:t xml:space="preserve">Welsh Government (2021) </w:t>
      </w:r>
      <w:r w:rsidRPr="003A0EA0">
        <w:rPr>
          <w:rFonts w:ascii="Calibri" w:eastAsia="Calibri" w:hAnsi="Calibri" w:cs="Calibri"/>
          <w:i/>
          <w:color w:val="auto"/>
          <w:sz w:val="22"/>
          <w:szCs w:val="22"/>
          <w:lang w:eastAsia="en-US"/>
        </w:rPr>
        <w:t>Leaving your home and seeing other people: alert level 4</w:t>
      </w:r>
      <w:r w:rsidRPr="003A0EA0">
        <w:rPr>
          <w:rFonts w:ascii="Calibri" w:eastAsia="Calibri" w:hAnsi="Calibri" w:cs="Calibri"/>
          <w:color w:val="auto"/>
          <w:sz w:val="22"/>
          <w:szCs w:val="22"/>
          <w:lang w:eastAsia="en-US"/>
        </w:rPr>
        <w:t xml:space="preserve">. Available at: </w:t>
      </w:r>
      <w:hyperlink r:id="rId58" w:history="1">
        <w:r w:rsidRPr="003A0EA0">
          <w:rPr>
            <w:rFonts w:ascii="Calibri" w:eastAsia="Calibri" w:hAnsi="Calibri" w:cs="Calibri"/>
            <w:color w:val="0563C1"/>
            <w:sz w:val="22"/>
            <w:szCs w:val="22"/>
            <w:u w:val="single"/>
            <w:lang w:eastAsia="en-US"/>
          </w:rPr>
          <w:t>Leaving your home and seeing other people: alert level 4 | GOV.WALES</w:t>
        </w:r>
      </w:hyperlink>
      <w:r w:rsidRPr="003A0EA0">
        <w:rPr>
          <w:rFonts w:ascii="Calibri" w:eastAsia="Calibri" w:hAnsi="Calibri" w:cs="Calibri"/>
          <w:color w:val="auto"/>
          <w:sz w:val="22"/>
          <w:szCs w:val="22"/>
          <w:lang w:eastAsia="en-US"/>
        </w:rPr>
        <w:t xml:space="preserve"> (Accessed: 5 March 2021).</w:t>
      </w:r>
    </w:p>
    <w:p w14:paraId="5A701F56" w14:textId="3CB55CFE" w:rsidR="001D27E6" w:rsidRDefault="001D27E6" w:rsidP="5848403C">
      <w:pPr>
        <w:ind w:right="237"/>
        <w:jc w:val="both"/>
      </w:pPr>
    </w:p>
    <w:p w14:paraId="14BD3DD7" w14:textId="77777777" w:rsidR="001D27E6" w:rsidRPr="001D27E6" w:rsidRDefault="001D27E6" w:rsidP="5848403C">
      <w:pPr>
        <w:ind w:right="237"/>
        <w:jc w:val="both"/>
      </w:pPr>
    </w:p>
    <w:p w14:paraId="3C842C26" w14:textId="77777777" w:rsidR="000F78D9" w:rsidRPr="000F78D9" w:rsidRDefault="000F78D9" w:rsidP="5848403C">
      <w:pPr>
        <w:ind w:right="237"/>
        <w:jc w:val="both"/>
      </w:pPr>
    </w:p>
    <w:p w14:paraId="1394B720" w14:textId="77777777" w:rsidR="000F78D9" w:rsidRPr="000F78D9" w:rsidRDefault="000F78D9" w:rsidP="5848403C">
      <w:pPr>
        <w:ind w:right="237"/>
        <w:jc w:val="both"/>
      </w:pPr>
    </w:p>
    <w:p w14:paraId="5EBCECFC" w14:textId="77777777" w:rsidR="00C620A2" w:rsidRPr="00C620A2" w:rsidRDefault="00C620A2" w:rsidP="5848403C">
      <w:pPr>
        <w:ind w:right="237"/>
        <w:jc w:val="both"/>
      </w:pPr>
    </w:p>
    <w:p w14:paraId="7BE1FEDB" w14:textId="1304D59C" w:rsidR="007A614A" w:rsidRDefault="007A614A" w:rsidP="5848403C">
      <w:pPr>
        <w:ind w:right="237"/>
        <w:jc w:val="both"/>
      </w:pPr>
    </w:p>
    <w:p w14:paraId="3B8379A5" w14:textId="77777777" w:rsidR="007A614A" w:rsidRPr="007A614A" w:rsidRDefault="007A614A" w:rsidP="5848403C">
      <w:pPr>
        <w:ind w:right="237"/>
        <w:jc w:val="both"/>
      </w:pPr>
    </w:p>
    <w:p w14:paraId="35771912" w14:textId="4EB034C7" w:rsidR="00710E35" w:rsidRDefault="00710E35" w:rsidP="5848403C">
      <w:pPr>
        <w:ind w:right="237"/>
        <w:jc w:val="both"/>
      </w:pPr>
    </w:p>
    <w:p w14:paraId="58E5A868" w14:textId="77777777" w:rsidR="007A614A" w:rsidRPr="00710E35" w:rsidRDefault="007A614A" w:rsidP="5848403C">
      <w:pPr>
        <w:ind w:right="237"/>
        <w:jc w:val="both"/>
      </w:pPr>
    </w:p>
    <w:p w14:paraId="130573A0" w14:textId="3DBE6E72" w:rsidR="00C97671" w:rsidRDefault="00C97671" w:rsidP="5848403C">
      <w:pPr>
        <w:ind w:right="237"/>
        <w:jc w:val="both"/>
      </w:pPr>
    </w:p>
    <w:p w14:paraId="67A17AAD" w14:textId="77777777" w:rsidR="00630265" w:rsidRPr="00630265" w:rsidRDefault="00630265" w:rsidP="5848403C">
      <w:pPr>
        <w:ind w:right="237"/>
        <w:jc w:val="both"/>
      </w:pPr>
    </w:p>
    <w:p w14:paraId="680D035C" w14:textId="15284EE4" w:rsidR="00912F04" w:rsidRDefault="00912F04" w:rsidP="5848403C">
      <w:pPr>
        <w:ind w:right="237"/>
        <w:jc w:val="both"/>
      </w:pPr>
    </w:p>
    <w:p w14:paraId="70C60A64" w14:textId="22AFE436" w:rsidR="00CB0E44" w:rsidRDefault="00CB0E44" w:rsidP="5848403C">
      <w:pPr>
        <w:ind w:right="237"/>
        <w:jc w:val="both"/>
      </w:pPr>
    </w:p>
    <w:p w14:paraId="50D2A084" w14:textId="77777777" w:rsidR="00CB0E44" w:rsidRPr="00CB0E44" w:rsidRDefault="00CB0E44" w:rsidP="5848403C">
      <w:pPr>
        <w:ind w:right="237"/>
        <w:jc w:val="both"/>
      </w:pPr>
    </w:p>
    <w:p w14:paraId="3B7EA59E" w14:textId="36683845" w:rsidR="00E16C14" w:rsidRDefault="00E16C14" w:rsidP="5848403C">
      <w:pPr>
        <w:ind w:right="237"/>
        <w:jc w:val="both"/>
      </w:pPr>
    </w:p>
    <w:p w14:paraId="57437E90" w14:textId="77777777" w:rsidR="00E16C14" w:rsidRPr="00FA1E08" w:rsidRDefault="00E16C14" w:rsidP="5848403C">
      <w:pPr>
        <w:ind w:right="237"/>
        <w:jc w:val="both"/>
      </w:pPr>
    </w:p>
    <w:p w14:paraId="7BFC6279" w14:textId="77777777" w:rsidR="006911E2" w:rsidRPr="006911E2" w:rsidRDefault="006911E2" w:rsidP="5848403C">
      <w:pPr>
        <w:ind w:right="237"/>
        <w:jc w:val="both"/>
      </w:pPr>
    </w:p>
    <w:p w14:paraId="0729B7D2" w14:textId="77777777" w:rsidR="009425F8" w:rsidRPr="00AA2E26" w:rsidRDefault="009425F8" w:rsidP="5848403C">
      <w:pPr>
        <w:ind w:right="237"/>
        <w:jc w:val="both"/>
        <w:rPr>
          <w:bCs/>
          <w:sz w:val="24"/>
          <w:szCs w:val="24"/>
        </w:rPr>
      </w:pPr>
    </w:p>
    <w:p w14:paraId="7CC48FA0" w14:textId="77777777" w:rsidR="007A7044" w:rsidRPr="007A7044" w:rsidRDefault="007A7044" w:rsidP="5848403C">
      <w:pPr>
        <w:ind w:right="237"/>
        <w:jc w:val="both"/>
        <w:rPr>
          <w:bCs/>
          <w:sz w:val="24"/>
          <w:szCs w:val="24"/>
        </w:rPr>
      </w:pPr>
    </w:p>
    <w:p w14:paraId="389D708C" w14:textId="1D5D68FD" w:rsidR="00543BAB" w:rsidRPr="00543BAB" w:rsidRDefault="00543BAB" w:rsidP="5848403C">
      <w:pPr>
        <w:ind w:right="237"/>
        <w:jc w:val="both"/>
        <w:rPr>
          <w:bCs/>
          <w:sz w:val="24"/>
          <w:szCs w:val="24"/>
        </w:rPr>
      </w:pPr>
      <w:r>
        <w:rPr>
          <w:bCs/>
          <w:sz w:val="24"/>
          <w:szCs w:val="24"/>
        </w:rPr>
        <w:t xml:space="preserve"> </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AE585D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3A0EA0">
        <w:rPr>
          <w:rFonts w:eastAsia="Arial"/>
          <w:color w:val="000000" w:themeColor="text1"/>
          <w:sz w:val="24"/>
          <w:szCs w:val="24"/>
        </w:rPr>
        <w:t xml:space="preserve">  Geraint Lewis </w:t>
      </w:r>
    </w:p>
    <w:p w14:paraId="5473B39D" w14:textId="25489F28" w:rsidR="5848403C" w:rsidRDefault="5848403C" w:rsidP="5848403C">
      <w:pPr>
        <w:jc w:val="both"/>
        <w:rPr>
          <w:rFonts w:eastAsia="Arial"/>
          <w:color w:val="000000" w:themeColor="text1"/>
          <w:sz w:val="24"/>
          <w:szCs w:val="24"/>
        </w:rPr>
      </w:pPr>
    </w:p>
    <w:p w14:paraId="4EC5D203" w14:textId="39E9D5CA" w:rsidR="5848403C" w:rsidRDefault="003A0EA0" w:rsidP="5848403C">
      <w:pPr>
        <w:jc w:val="both"/>
        <w:rPr>
          <w:rFonts w:eastAsia="Arial"/>
          <w:color w:val="000000" w:themeColor="text1"/>
          <w:sz w:val="24"/>
          <w:szCs w:val="24"/>
        </w:rPr>
      </w:pPr>
      <w:r>
        <w:rPr>
          <w:rFonts w:eastAsia="Arial"/>
          <w:color w:val="000000" w:themeColor="text1"/>
          <w:sz w:val="24"/>
          <w:szCs w:val="24"/>
        </w:rPr>
        <w:t>Date: 06/03/2021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7A7044">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pPr>
    </w:p>
    <w:p w14:paraId="6C39F012" w14:textId="088E0C1A" w:rsidR="5848403C" w:rsidRDefault="00FF75A6" w:rsidP="5848403C">
      <w:r w:rsidRPr="00D706FB">
        <w:object w:dxaOrig="5949" w:dyaOrig="8419" w14:anchorId="331F5C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3.45pt;height:617.15pt" o:ole="">
            <v:imagedata r:id="rId65" o:title=""/>
          </v:shape>
          <o:OLEObject Type="Embed" ProgID="AcroExch.Document.DC" ShapeID="_x0000_i1025" DrawAspect="Content" ObjectID="_1676559700" r:id="rId66"/>
        </w:object>
      </w:r>
    </w:p>
    <w:p w14:paraId="052D5513" w14:textId="77777777" w:rsidR="00D706FB" w:rsidRDefault="00D706FB" w:rsidP="5848403C"/>
    <w:sectPr w:rsidR="00D706FB" w:rsidSect="007A7044">
      <w:headerReference w:type="even" r:id="rId67"/>
      <w:headerReference w:type="default" r:id="rId68"/>
      <w:footerReference w:type="even" r:id="rId69"/>
      <w:footerReference w:type="default" r:id="rId70"/>
      <w:headerReference w:type="first" r:id="rId71"/>
      <w:footerReference w:type="first" r:id="rId7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620A2" w:rsidRDefault="00C620A2">
      <w:r>
        <w:separator/>
      </w:r>
    </w:p>
  </w:endnote>
  <w:endnote w:type="continuationSeparator" w:id="0">
    <w:p w14:paraId="2FD44551" w14:textId="77777777" w:rsidR="00C620A2" w:rsidRDefault="00C62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85474" w14:textId="507AE2FE" w:rsidR="00C620A2" w:rsidRDefault="00ED2B40" w:rsidP="00ED2B40">
    <w:pPr>
      <w:pStyle w:val="Footer"/>
      <w:rPr>
        <w:sz w:val="17"/>
      </w:rPr>
    </w:pPr>
    <w:bookmarkStart w:id="2" w:name="TITUS1FooterEvenPages"/>
    <w:r>
      <w:rPr>
        <w:sz w:val="17"/>
      </w:rPr>
      <w:t> </w:t>
    </w:r>
  </w:p>
  <w:bookmarkEnd w:id="2"/>
  <w:p w14:paraId="0B191F30" w14:textId="5AAAC67D" w:rsidR="00C620A2" w:rsidRDefault="00C620A2" w:rsidP="007A7044">
    <w:pPr>
      <w:pStyle w:val="Footer"/>
      <w:jc w:val="right"/>
    </w:pPr>
    <w:r>
      <w:fldChar w:fldCharType="begin"/>
    </w:r>
    <w:r>
      <w:instrText xml:space="preserve"> PAGE   \* MERGEFORMAT </w:instrText>
    </w:r>
    <w:r>
      <w:fldChar w:fldCharType="separate"/>
    </w:r>
    <w:r w:rsidR="00ED2B40">
      <w:rPr>
        <w:noProof/>
      </w:rPr>
      <w:t>6</w:t>
    </w:r>
    <w:r>
      <w:rPr>
        <w:noProof/>
      </w:rPr>
      <w:fldChar w:fldCharType="end"/>
    </w:r>
  </w:p>
  <w:p w14:paraId="5DCE23B7" w14:textId="77777777" w:rsidR="00C620A2" w:rsidRPr="00BB5EAA" w:rsidRDefault="00C620A2" w:rsidP="007A7044">
    <w:pPr>
      <w:pStyle w:val="Footer"/>
      <w:ind w:right="360"/>
      <w:jc w:val="center"/>
    </w:pPr>
  </w:p>
  <w:p w14:paraId="0C1D90F6" w14:textId="77777777" w:rsidR="00C620A2" w:rsidRDefault="00C620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F48E9" w14:textId="1BDECAD7" w:rsidR="00C620A2" w:rsidRDefault="00ED2B40" w:rsidP="00ED2B40">
    <w:pPr>
      <w:pStyle w:val="Footer"/>
      <w:rPr>
        <w:sz w:val="17"/>
      </w:rPr>
    </w:pPr>
    <w:bookmarkStart w:id="3" w:name="TITUS1FooterPrimary"/>
    <w:r>
      <w:rPr>
        <w:sz w:val="17"/>
      </w:rPr>
      <w:t> </w:t>
    </w:r>
  </w:p>
  <w:bookmarkEnd w:id="3"/>
  <w:p w14:paraId="50521BFA" w14:textId="6719C32E" w:rsidR="00C620A2" w:rsidRDefault="00C620A2">
    <w:pPr>
      <w:pStyle w:val="Footer"/>
      <w:jc w:val="right"/>
    </w:pPr>
    <w:r>
      <w:fldChar w:fldCharType="begin"/>
    </w:r>
    <w:r>
      <w:instrText xml:space="preserve"> PAGE   \* MERGEFORMAT </w:instrText>
    </w:r>
    <w:r>
      <w:fldChar w:fldCharType="separate"/>
    </w:r>
    <w:r w:rsidR="00ED2B40">
      <w:rPr>
        <w:noProof/>
      </w:rPr>
      <w:t>5</w:t>
    </w:r>
    <w:r>
      <w:rPr>
        <w:noProof/>
      </w:rPr>
      <w:fldChar w:fldCharType="end"/>
    </w:r>
  </w:p>
  <w:p w14:paraId="790812FF" w14:textId="77777777" w:rsidR="00C620A2" w:rsidRPr="00BB5EAA" w:rsidRDefault="00C620A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BDCC3" w14:textId="66F6BD76" w:rsidR="00C620A2" w:rsidRDefault="00ED2B40" w:rsidP="00ED2B40">
    <w:pPr>
      <w:pStyle w:val="Footer"/>
      <w:rPr>
        <w:sz w:val="17"/>
      </w:rPr>
    </w:pPr>
    <w:bookmarkStart w:id="5" w:name="TITUS1FooterFirstPage"/>
    <w:r>
      <w:rPr>
        <w:sz w:val="17"/>
      </w:rPr>
      <w:t> </w:t>
    </w:r>
  </w:p>
  <w:bookmarkEnd w:id="5"/>
  <w:p w14:paraId="1E65AB8B" w14:textId="5D82A73F" w:rsidR="00C620A2" w:rsidRDefault="00C620A2" w:rsidP="007A7044">
    <w:pPr>
      <w:pStyle w:val="Footer"/>
      <w:jc w:val="right"/>
    </w:pPr>
    <w:r>
      <w:fldChar w:fldCharType="begin"/>
    </w:r>
    <w:r>
      <w:instrText xml:space="preserve"> PAGE   \* MERGEFORMAT </w:instrText>
    </w:r>
    <w:r>
      <w:fldChar w:fldCharType="separate"/>
    </w:r>
    <w:r w:rsidR="00ED2B40">
      <w:rPr>
        <w:noProof/>
      </w:rPr>
      <w:t>1</w:t>
    </w:r>
    <w:r>
      <w:rPr>
        <w:noProof/>
      </w:rPr>
      <w:fldChar w:fldCharType="end"/>
    </w:r>
  </w:p>
  <w:p w14:paraId="3D72C5D8" w14:textId="77777777" w:rsidR="00C620A2" w:rsidRPr="00BB5EAA" w:rsidRDefault="00C620A2" w:rsidP="007A7044">
    <w:pPr>
      <w:pStyle w:val="Footer"/>
      <w:ind w:right="360"/>
      <w:jc w:val="center"/>
    </w:pPr>
  </w:p>
  <w:p w14:paraId="357C6CCC" w14:textId="77777777" w:rsidR="00C620A2" w:rsidRDefault="00C620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D887D" w14:textId="096AA5F7" w:rsidR="00C620A2" w:rsidRDefault="00ED2B40" w:rsidP="00ED2B40">
    <w:pPr>
      <w:pStyle w:val="Footer"/>
      <w:rPr>
        <w:sz w:val="17"/>
      </w:rPr>
    </w:pPr>
    <w:bookmarkStart w:id="9" w:name="TITUS2FooterEvenPages"/>
    <w:r>
      <w:rPr>
        <w:sz w:val="17"/>
      </w:rPr>
      <w:t> </w:t>
    </w:r>
  </w:p>
  <w:bookmarkEnd w:id="9"/>
  <w:p w14:paraId="26213BF3" w14:textId="77777777" w:rsidR="00C620A2" w:rsidRDefault="00C620A2" w:rsidP="007A7044">
    <w:pPr>
      <w:pStyle w:val="Footer"/>
      <w:jc w:val="right"/>
    </w:pPr>
  </w:p>
  <w:p w14:paraId="42F9E8F2" w14:textId="288180DB" w:rsidR="00C620A2" w:rsidRDefault="00C620A2" w:rsidP="007A7044">
    <w:pPr>
      <w:pStyle w:val="Footer"/>
      <w:jc w:val="right"/>
    </w:pPr>
    <w:r>
      <w:fldChar w:fldCharType="begin"/>
    </w:r>
    <w:r>
      <w:instrText xml:space="preserve"> PAGE   \* MERGEFORMAT </w:instrText>
    </w:r>
    <w:r>
      <w:fldChar w:fldCharType="separate"/>
    </w:r>
    <w:r w:rsidR="00ED2B40">
      <w:rPr>
        <w:noProof/>
      </w:rPr>
      <w:t>20</w:t>
    </w:r>
    <w:r>
      <w:rPr>
        <w:noProof/>
      </w:rPr>
      <w:fldChar w:fldCharType="end"/>
    </w:r>
  </w:p>
  <w:p w14:paraId="086A54F9" w14:textId="77777777" w:rsidR="00C620A2" w:rsidRPr="00BB5EAA" w:rsidRDefault="00C620A2" w:rsidP="007A7044">
    <w:pPr>
      <w:pStyle w:val="Footer"/>
      <w:ind w:right="360"/>
      <w:jc w:val="center"/>
    </w:pPr>
  </w:p>
  <w:p w14:paraId="724A8BC0" w14:textId="77777777" w:rsidR="00C620A2" w:rsidRDefault="00C620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D36ED" w14:textId="329B5E1A" w:rsidR="00C620A2" w:rsidRDefault="00ED2B40" w:rsidP="00ED2B40">
    <w:pPr>
      <w:pStyle w:val="Footer"/>
      <w:rPr>
        <w:sz w:val="17"/>
      </w:rPr>
    </w:pPr>
    <w:bookmarkStart w:id="10" w:name="TITUS2FooterPrimary"/>
    <w:r>
      <w:rPr>
        <w:sz w:val="17"/>
      </w:rPr>
      <w:t> </w:t>
    </w:r>
  </w:p>
  <w:bookmarkEnd w:id="10"/>
  <w:p w14:paraId="5DE9017A" w14:textId="77777777" w:rsidR="00C620A2" w:rsidRDefault="00C620A2">
    <w:pPr>
      <w:pStyle w:val="Footer"/>
      <w:jc w:val="right"/>
    </w:pPr>
  </w:p>
  <w:p w14:paraId="4D910C1F" w14:textId="29EA2A98" w:rsidR="00C620A2" w:rsidRDefault="00C620A2">
    <w:pPr>
      <w:pStyle w:val="Footer"/>
      <w:jc w:val="right"/>
    </w:pPr>
    <w:r>
      <w:fldChar w:fldCharType="begin"/>
    </w:r>
    <w:r>
      <w:instrText xml:space="preserve"> PAGE   \* MERGEFORMAT </w:instrText>
    </w:r>
    <w:r>
      <w:fldChar w:fldCharType="separate"/>
    </w:r>
    <w:r w:rsidR="00ED2B40">
      <w:rPr>
        <w:noProof/>
      </w:rPr>
      <w:t>19</w:t>
    </w:r>
    <w:r>
      <w:rPr>
        <w:noProof/>
      </w:rPr>
      <w:fldChar w:fldCharType="end"/>
    </w:r>
  </w:p>
  <w:p w14:paraId="508ADC00" w14:textId="77777777" w:rsidR="00C620A2" w:rsidRPr="00BB5EAA" w:rsidRDefault="00C620A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805B0" w14:textId="2350B022" w:rsidR="00C620A2" w:rsidRDefault="00ED2B40" w:rsidP="00ED2B40">
    <w:pPr>
      <w:pStyle w:val="Footer"/>
      <w:rPr>
        <w:sz w:val="17"/>
      </w:rPr>
    </w:pPr>
    <w:bookmarkStart w:id="12" w:name="TITUS2FooterFirstPage"/>
    <w:r>
      <w:rPr>
        <w:sz w:val="17"/>
      </w:rPr>
      <w:t> </w:t>
    </w:r>
  </w:p>
  <w:bookmarkEnd w:id="12"/>
  <w:p w14:paraId="5F995430" w14:textId="77777777" w:rsidR="00C620A2" w:rsidRDefault="00C620A2" w:rsidP="007A7044">
    <w:pPr>
      <w:pStyle w:val="Footer"/>
      <w:jc w:val="right"/>
    </w:pPr>
  </w:p>
  <w:p w14:paraId="66DF0348" w14:textId="57526367" w:rsidR="00C620A2" w:rsidRDefault="00C620A2" w:rsidP="007A7044">
    <w:pPr>
      <w:pStyle w:val="Footer"/>
      <w:jc w:val="right"/>
    </w:pPr>
    <w:r>
      <w:fldChar w:fldCharType="begin"/>
    </w:r>
    <w:r>
      <w:instrText xml:space="preserve"> PAGE   \* MERGEFORMAT </w:instrText>
    </w:r>
    <w:r>
      <w:fldChar w:fldCharType="separate"/>
    </w:r>
    <w:r w:rsidR="00ED2B40">
      <w:rPr>
        <w:noProof/>
      </w:rPr>
      <w:t>8</w:t>
    </w:r>
    <w:r>
      <w:rPr>
        <w:noProof/>
      </w:rPr>
      <w:fldChar w:fldCharType="end"/>
    </w:r>
  </w:p>
  <w:p w14:paraId="148DD2E6" w14:textId="77777777" w:rsidR="00C620A2" w:rsidRPr="00BB5EAA" w:rsidRDefault="00C620A2" w:rsidP="007A7044">
    <w:pPr>
      <w:pStyle w:val="Footer"/>
      <w:ind w:right="360"/>
      <w:jc w:val="center"/>
    </w:pPr>
  </w:p>
  <w:p w14:paraId="6AF037F6" w14:textId="77777777" w:rsidR="00C620A2" w:rsidRDefault="00C620A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C123D" w14:textId="7C273273" w:rsidR="00C620A2" w:rsidRDefault="00ED2B40" w:rsidP="00ED2B40">
    <w:pPr>
      <w:pStyle w:val="Footer"/>
      <w:rPr>
        <w:sz w:val="17"/>
      </w:rPr>
    </w:pPr>
    <w:bookmarkStart w:id="15" w:name="TITUS3FooterEvenPages"/>
    <w:r>
      <w:rPr>
        <w:sz w:val="17"/>
      </w:rPr>
      <w:t> </w:t>
    </w:r>
  </w:p>
  <w:bookmarkEnd w:id="15"/>
  <w:p w14:paraId="4E665C48" w14:textId="77777777" w:rsidR="00C620A2" w:rsidRDefault="00C620A2" w:rsidP="007A7044">
    <w:pPr>
      <w:pStyle w:val="Footer"/>
      <w:jc w:val="right"/>
    </w:pPr>
  </w:p>
  <w:p w14:paraId="4184BCFA" w14:textId="5C26596C" w:rsidR="00C620A2" w:rsidRDefault="00C620A2" w:rsidP="007A7044">
    <w:pPr>
      <w:pStyle w:val="Footer"/>
      <w:jc w:val="right"/>
    </w:pPr>
    <w:r>
      <w:fldChar w:fldCharType="begin"/>
    </w:r>
    <w:r>
      <w:instrText xml:space="preserve"> PAGE   \* MERGEFORMAT </w:instrText>
    </w:r>
    <w:r>
      <w:fldChar w:fldCharType="separate"/>
    </w:r>
    <w:r w:rsidR="00ED2B40">
      <w:rPr>
        <w:noProof/>
      </w:rPr>
      <w:t>22</w:t>
    </w:r>
    <w:r>
      <w:rPr>
        <w:noProof/>
      </w:rPr>
      <w:fldChar w:fldCharType="end"/>
    </w:r>
  </w:p>
  <w:p w14:paraId="1C5289C8" w14:textId="77777777" w:rsidR="00C620A2" w:rsidRPr="00BB5EAA" w:rsidRDefault="00C620A2" w:rsidP="007A7044">
    <w:pPr>
      <w:pStyle w:val="Footer"/>
      <w:ind w:right="360"/>
      <w:jc w:val="center"/>
    </w:pPr>
  </w:p>
  <w:p w14:paraId="257C71A9" w14:textId="77777777" w:rsidR="00C620A2" w:rsidRDefault="00C620A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F4621" w14:textId="755751BB" w:rsidR="00C620A2" w:rsidRDefault="00ED2B40" w:rsidP="00ED2B40">
    <w:pPr>
      <w:pStyle w:val="Footer"/>
      <w:rPr>
        <w:sz w:val="17"/>
      </w:rPr>
    </w:pPr>
    <w:bookmarkStart w:id="16" w:name="TITUS3FooterPrimary"/>
    <w:r>
      <w:rPr>
        <w:sz w:val="17"/>
      </w:rPr>
      <w:t> </w:t>
    </w:r>
  </w:p>
  <w:bookmarkEnd w:id="16"/>
  <w:p w14:paraId="0DA32198" w14:textId="77777777" w:rsidR="00C620A2" w:rsidRDefault="00C620A2">
    <w:pPr>
      <w:pStyle w:val="Footer"/>
      <w:jc w:val="right"/>
    </w:pPr>
  </w:p>
  <w:p w14:paraId="64820081" w14:textId="07F8275E" w:rsidR="00C620A2" w:rsidRDefault="00C620A2">
    <w:pPr>
      <w:pStyle w:val="Footer"/>
      <w:jc w:val="right"/>
    </w:pPr>
    <w:r>
      <w:fldChar w:fldCharType="begin"/>
    </w:r>
    <w:r>
      <w:instrText xml:space="preserve"> PAGE   \* MERGEFORMAT </w:instrText>
    </w:r>
    <w:r>
      <w:fldChar w:fldCharType="separate"/>
    </w:r>
    <w:r w:rsidR="00ED2B40">
      <w:rPr>
        <w:noProof/>
      </w:rPr>
      <w:t>23</w:t>
    </w:r>
    <w:r>
      <w:rPr>
        <w:noProof/>
      </w:rPr>
      <w:fldChar w:fldCharType="end"/>
    </w:r>
  </w:p>
  <w:p w14:paraId="6A5A4E9F" w14:textId="77777777" w:rsidR="00C620A2" w:rsidRPr="00BB5EAA" w:rsidRDefault="00C620A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668E3" w14:textId="731DD27C" w:rsidR="00C620A2" w:rsidRDefault="00ED2B40" w:rsidP="00ED2B40">
    <w:pPr>
      <w:pStyle w:val="Footer"/>
      <w:rPr>
        <w:sz w:val="17"/>
      </w:rPr>
    </w:pPr>
    <w:bookmarkStart w:id="18" w:name="TITUS3FooterFirstPage"/>
    <w:r>
      <w:rPr>
        <w:sz w:val="17"/>
      </w:rPr>
      <w:t> </w:t>
    </w:r>
  </w:p>
  <w:bookmarkEnd w:id="18"/>
  <w:p w14:paraId="3AEEE82B" w14:textId="77777777" w:rsidR="00C620A2" w:rsidRDefault="00C620A2" w:rsidP="007A7044">
    <w:pPr>
      <w:pStyle w:val="Footer"/>
      <w:jc w:val="right"/>
    </w:pPr>
  </w:p>
  <w:p w14:paraId="43A2B49E" w14:textId="02D1E2E1" w:rsidR="00C620A2" w:rsidRDefault="00C620A2" w:rsidP="007A7044">
    <w:pPr>
      <w:pStyle w:val="Footer"/>
      <w:jc w:val="right"/>
    </w:pPr>
    <w:r>
      <w:fldChar w:fldCharType="begin"/>
    </w:r>
    <w:r>
      <w:instrText xml:space="preserve"> PAGE   \* MERGEFORMAT </w:instrText>
    </w:r>
    <w:r>
      <w:fldChar w:fldCharType="separate"/>
    </w:r>
    <w:r w:rsidR="00ED2B40">
      <w:rPr>
        <w:noProof/>
      </w:rPr>
      <w:t>21</w:t>
    </w:r>
    <w:r>
      <w:rPr>
        <w:noProof/>
      </w:rPr>
      <w:fldChar w:fldCharType="end"/>
    </w:r>
  </w:p>
  <w:p w14:paraId="53F7D775" w14:textId="77777777" w:rsidR="00C620A2" w:rsidRPr="00BB5EAA" w:rsidRDefault="00C620A2" w:rsidP="007A7044">
    <w:pPr>
      <w:pStyle w:val="Footer"/>
      <w:ind w:right="360"/>
      <w:jc w:val="center"/>
    </w:pPr>
  </w:p>
  <w:p w14:paraId="5C70B1E7" w14:textId="77777777" w:rsidR="00C620A2" w:rsidRDefault="00C620A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901F7" w14:textId="41921995" w:rsidR="00C620A2" w:rsidRDefault="00ED2B40" w:rsidP="00ED2B40">
    <w:pPr>
      <w:pStyle w:val="Footer"/>
      <w:rPr>
        <w:sz w:val="17"/>
      </w:rPr>
    </w:pPr>
    <w:bookmarkStart w:id="21" w:name="TITUS4FooterEvenPages"/>
    <w:r>
      <w:rPr>
        <w:sz w:val="17"/>
      </w:rPr>
      <w:t> </w:t>
    </w:r>
  </w:p>
  <w:bookmarkEnd w:id="21"/>
  <w:p w14:paraId="4B2C8C37" w14:textId="77777777" w:rsidR="00C620A2" w:rsidRDefault="00C620A2" w:rsidP="007A7044">
    <w:pPr>
      <w:pStyle w:val="Footer"/>
      <w:jc w:val="right"/>
    </w:pPr>
  </w:p>
  <w:p w14:paraId="616D2750" w14:textId="6D59BE78" w:rsidR="00C620A2" w:rsidRDefault="00C620A2" w:rsidP="007A7044">
    <w:pPr>
      <w:pStyle w:val="Footer"/>
      <w:jc w:val="right"/>
    </w:pPr>
    <w:r>
      <w:fldChar w:fldCharType="begin"/>
    </w:r>
    <w:r>
      <w:instrText xml:space="preserve"> PAGE   \* MERGEFORMAT </w:instrText>
    </w:r>
    <w:r>
      <w:fldChar w:fldCharType="separate"/>
    </w:r>
    <w:r w:rsidR="00D706FB">
      <w:rPr>
        <w:noProof/>
      </w:rPr>
      <w:t>26</w:t>
    </w:r>
    <w:r>
      <w:rPr>
        <w:noProof/>
      </w:rPr>
      <w:fldChar w:fldCharType="end"/>
    </w:r>
  </w:p>
  <w:p w14:paraId="338A05F3" w14:textId="77777777" w:rsidR="00C620A2" w:rsidRPr="00BB5EAA" w:rsidRDefault="00C620A2" w:rsidP="007A7044">
    <w:pPr>
      <w:pStyle w:val="Footer"/>
      <w:ind w:right="360"/>
      <w:jc w:val="center"/>
    </w:pPr>
  </w:p>
  <w:p w14:paraId="5113059B" w14:textId="77777777" w:rsidR="00C620A2" w:rsidRDefault="00C620A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5D410" w14:textId="73346E61" w:rsidR="00C620A2" w:rsidRDefault="00ED2B40" w:rsidP="00ED2B40">
    <w:pPr>
      <w:pStyle w:val="Footer"/>
      <w:rPr>
        <w:sz w:val="17"/>
      </w:rPr>
    </w:pPr>
    <w:bookmarkStart w:id="22" w:name="TITUS4FooterPrimary"/>
    <w:r>
      <w:rPr>
        <w:sz w:val="17"/>
      </w:rPr>
      <w:t> </w:t>
    </w:r>
  </w:p>
  <w:bookmarkEnd w:id="22"/>
  <w:p w14:paraId="54A0B9D2" w14:textId="77777777" w:rsidR="00C620A2" w:rsidRDefault="00C620A2">
    <w:pPr>
      <w:pStyle w:val="Footer"/>
      <w:jc w:val="right"/>
    </w:pPr>
  </w:p>
  <w:p w14:paraId="3B752A40" w14:textId="77777777" w:rsidR="00C620A2" w:rsidRDefault="00C620A2">
    <w:pPr>
      <w:pStyle w:val="Footer"/>
      <w:jc w:val="right"/>
    </w:pPr>
    <w:r>
      <w:fldChar w:fldCharType="begin"/>
    </w:r>
    <w:r>
      <w:instrText xml:space="preserve"> PAGE   \* MERGEFORMAT </w:instrText>
    </w:r>
    <w:r>
      <w:fldChar w:fldCharType="separate"/>
    </w:r>
    <w:r>
      <w:rPr>
        <w:noProof/>
      </w:rPr>
      <w:t>7</w:t>
    </w:r>
    <w:r>
      <w:rPr>
        <w:noProof/>
      </w:rPr>
      <w:fldChar w:fldCharType="end"/>
    </w:r>
  </w:p>
  <w:p w14:paraId="18E2BB2F" w14:textId="77777777" w:rsidR="00C620A2" w:rsidRPr="00BB5EAA" w:rsidRDefault="00C620A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0D8C8" w14:textId="5754A45C" w:rsidR="00C620A2" w:rsidRDefault="00ED2B40" w:rsidP="00ED2B40">
    <w:pPr>
      <w:pStyle w:val="Footer"/>
      <w:rPr>
        <w:sz w:val="17"/>
      </w:rPr>
    </w:pPr>
    <w:bookmarkStart w:id="24" w:name="TITUS4FooterFirstPage"/>
    <w:r>
      <w:rPr>
        <w:sz w:val="17"/>
      </w:rPr>
      <w:t> </w:t>
    </w:r>
  </w:p>
  <w:bookmarkEnd w:id="24"/>
  <w:p w14:paraId="7213DFC2" w14:textId="77777777" w:rsidR="00C620A2" w:rsidRDefault="00C620A2" w:rsidP="007A7044">
    <w:pPr>
      <w:pStyle w:val="Footer"/>
      <w:jc w:val="right"/>
    </w:pPr>
  </w:p>
  <w:p w14:paraId="6BA94519" w14:textId="46A49845" w:rsidR="00C620A2" w:rsidRDefault="00C620A2" w:rsidP="007A7044">
    <w:pPr>
      <w:pStyle w:val="Footer"/>
      <w:jc w:val="right"/>
    </w:pPr>
    <w:r>
      <w:fldChar w:fldCharType="begin"/>
    </w:r>
    <w:r>
      <w:instrText xml:space="preserve"> PAGE   \* MERGEFORMAT </w:instrText>
    </w:r>
    <w:r>
      <w:fldChar w:fldCharType="separate"/>
    </w:r>
    <w:r w:rsidR="00ED2B40">
      <w:rPr>
        <w:noProof/>
      </w:rPr>
      <w:t>25</w:t>
    </w:r>
    <w:r>
      <w:rPr>
        <w:noProof/>
      </w:rPr>
      <w:fldChar w:fldCharType="end"/>
    </w:r>
  </w:p>
  <w:p w14:paraId="57CCC51E" w14:textId="77777777" w:rsidR="00C620A2" w:rsidRPr="00BB5EAA" w:rsidRDefault="00C620A2" w:rsidP="007A7044">
    <w:pPr>
      <w:pStyle w:val="Footer"/>
      <w:ind w:right="360"/>
      <w:jc w:val="center"/>
    </w:pPr>
  </w:p>
  <w:p w14:paraId="03158F52" w14:textId="77777777" w:rsidR="00C620A2" w:rsidRDefault="00C62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620A2" w:rsidRDefault="00C620A2">
      <w:r>
        <w:separator/>
      </w:r>
    </w:p>
  </w:footnote>
  <w:footnote w:type="continuationSeparator" w:id="0">
    <w:p w14:paraId="458DDD75" w14:textId="77777777" w:rsidR="00C620A2" w:rsidRDefault="00C620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9C9F8" w14:textId="7802E847" w:rsidR="00C620A2" w:rsidRDefault="00ED2B40" w:rsidP="00ED2B40">
    <w:pPr>
      <w:pStyle w:val="Header"/>
      <w:rPr>
        <w:sz w:val="17"/>
      </w:rPr>
    </w:pPr>
    <w:bookmarkStart w:id="0" w:name="TITUS1HeaderEvenPages"/>
    <w:r>
      <w:rPr>
        <w:sz w:val="17"/>
      </w:rPr>
      <w:t> </w:t>
    </w:r>
  </w:p>
  <w:bookmarkEnd w:id="0"/>
  <w:p w14:paraId="32B2F150" w14:textId="77777777" w:rsidR="00C620A2" w:rsidRDefault="00C620A2" w:rsidP="00464658">
    <w:pPr>
      <w:pStyle w:val="Header"/>
    </w:pPr>
  </w:p>
  <w:p w14:paraId="3B566C96" w14:textId="77777777" w:rsidR="00C620A2" w:rsidRDefault="00C620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24E13" w14:textId="7F801FEB" w:rsidR="00C620A2" w:rsidRDefault="00ED2B40" w:rsidP="00ED2B40">
    <w:pPr>
      <w:pStyle w:val="Header"/>
      <w:rPr>
        <w:sz w:val="17"/>
      </w:rPr>
    </w:pPr>
    <w:bookmarkStart w:id="1" w:name="TITUS1HeaderPrimary"/>
    <w:r>
      <w:rPr>
        <w:sz w:val="17"/>
      </w:rPr>
      <w:t> </w:t>
    </w:r>
  </w:p>
  <w:bookmarkEnd w:id="1"/>
  <w:p w14:paraId="05E59F50" w14:textId="77777777" w:rsidR="00C620A2" w:rsidRDefault="00C620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C87DE" w14:textId="57BB1B61" w:rsidR="00C620A2" w:rsidRDefault="00ED2B40" w:rsidP="00ED2B40">
    <w:pPr>
      <w:pStyle w:val="Header"/>
      <w:rPr>
        <w:sz w:val="17"/>
      </w:rPr>
    </w:pPr>
    <w:bookmarkStart w:id="4" w:name="TITUS1HeaderFirstPage"/>
    <w:r>
      <w:rPr>
        <w:sz w:val="17"/>
      </w:rPr>
      <w:t> </w:t>
    </w:r>
  </w:p>
  <w:bookmarkEnd w:id="4"/>
  <w:p w14:paraId="64B14236" w14:textId="77777777" w:rsidR="00C620A2" w:rsidRDefault="00C620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B5279" w14:textId="696FC525" w:rsidR="00C620A2" w:rsidRDefault="00ED2B40" w:rsidP="00ED2B40">
    <w:pPr>
      <w:pStyle w:val="Header"/>
      <w:rPr>
        <w:sz w:val="17"/>
      </w:rPr>
    </w:pPr>
    <w:bookmarkStart w:id="7" w:name="TITUS2HeaderEvenPages"/>
    <w:r>
      <w:rPr>
        <w:sz w:val="17"/>
      </w:rPr>
      <w:t> </w:t>
    </w:r>
  </w:p>
  <w:bookmarkEnd w:id="7"/>
  <w:p w14:paraId="779D79CF" w14:textId="77777777" w:rsidR="00C620A2" w:rsidRDefault="00C620A2" w:rsidP="007A7044">
    <w:pPr>
      <w:pStyle w:val="Header"/>
    </w:pPr>
  </w:p>
  <w:p w14:paraId="3357C49F" w14:textId="77777777" w:rsidR="00C620A2" w:rsidRDefault="00C620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15E7A" w14:textId="6474B34F" w:rsidR="00C620A2" w:rsidRDefault="00ED2B40" w:rsidP="00ED2B40">
    <w:pPr>
      <w:pStyle w:val="Header"/>
      <w:rPr>
        <w:sz w:val="17"/>
      </w:rPr>
    </w:pPr>
    <w:bookmarkStart w:id="8" w:name="TITUS2HeaderPrimary"/>
    <w:r>
      <w:rPr>
        <w:sz w:val="17"/>
      </w:rPr>
      <w:t> </w:t>
    </w:r>
  </w:p>
  <w:bookmarkEnd w:id="8"/>
  <w:p w14:paraId="69B7B49E" w14:textId="77777777" w:rsidR="00C620A2" w:rsidRDefault="00C620A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E2067" w14:textId="6F7F2B39" w:rsidR="00C620A2" w:rsidRDefault="00ED2B40" w:rsidP="00ED2B40">
    <w:pPr>
      <w:pStyle w:val="Header"/>
      <w:rPr>
        <w:sz w:val="17"/>
      </w:rPr>
    </w:pPr>
    <w:bookmarkStart w:id="11" w:name="TITUS2HeaderFirstPage"/>
    <w:r>
      <w:rPr>
        <w:sz w:val="17"/>
      </w:rPr>
      <w:t> </w:t>
    </w:r>
  </w:p>
  <w:bookmarkEnd w:id="11"/>
  <w:p w14:paraId="548D113B" w14:textId="77777777" w:rsidR="00C620A2" w:rsidRDefault="00C620A2" w:rsidP="007A7044">
    <w:pPr>
      <w:pStyle w:val="Header"/>
    </w:pPr>
  </w:p>
  <w:p w14:paraId="4C82C22F" w14:textId="77777777" w:rsidR="00C620A2" w:rsidRDefault="00C620A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F999F" w14:textId="03FE674C" w:rsidR="00C620A2" w:rsidRDefault="00ED2B40" w:rsidP="00ED2B40">
    <w:pPr>
      <w:pStyle w:val="Header"/>
      <w:rPr>
        <w:sz w:val="17"/>
      </w:rPr>
    </w:pPr>
    <w:bookmarkStart w:id="13" w:name="TITUS3HeaderEvenPages"/>
    <w:r>
      <w:rPr>
        <w:sz w:val="17"/>
      </w:rPr>
      <w:t> </w:t>
    </w:r>
  </w:p>
  <w:bookmarkEnd w:id="13"/>
  <w:p w14:paraId="1E1EE365" w14:textId="77777777" w:rsidR="00C620A2" w:rsidRDefault="00C620A2" w:rsidP="007A7044">
    <w:pPr>
      <w:pStyle w:val="Header"/>
    </w:pPr>
  </w:p>
  <w:p w14:paraId="7DD54F7C" w14:textId="77777777" w:rsidR="00C620A2" w:rsidRDefault="00C620A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FEAAF" w14:textId="7A447948" w:rsidR="00C620A2" w:rsidRDefault="00ED2B40" w:rsidP="00ED2B40">
    <w:pPr>
      <w:pStyle w:val="Header"/>
      <w:rPr>
        <w:sz w:val="17"/>
      </w:rPr>
    </w:pPr>
    <w:bookmarkStart w:id="14" w:name="TITUS3HeaderPrimary"/>
    <w:r>
      <w:rPr>
        <w:sz w:val="17"/>
      </w:rPr>
      <w:t> </w:t>
    </w:r>
  </w:p>
  <w:bookmarkEnd w:id="14"/>
  <w:p w14:paraId="2E83571A" w14:textId="77777777" w:rsidR="00C620A2" w:rsidRDefault="00C620A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AAD0D" w14:textId="3CF60022" w:rsidR="00C620A2" w:rsidRDefault="00ED2B40" w:rsidP="00ED2B40">
    <w:pPr>
      <w:pStyle w:val="Header"/>
      <w:rPr>
        <w:sz w:val="17"/>
      </w:rPr>
    </w:pPr>
    <w:bookmarkStart w:id="17" w:name="TITUS3HeaderFirstPage"/>
    <w:r>
      <w:rPr>
        <w:sz w:val="17"/>
      </w:rPr>
      <w:t> </w:t>
    </w:r>
  </w:p>
  <w:bookmarkEnd w:id="17"/>
  <w:p w14:paraId="68A866D3" w14:textId="77777777" w:rsidR="00C620A2" w:rsidRDefault="00C620A2" w:rsidP="007A7044">
    <w:pPr>
      <w:pStyle w:val="Header"/>
    </w:pPr>
  </w:p>
  <w:p w14:paraId="5637424E" w14:textId="77777777" w:rsidR="00C620A2" w:rsidRDefault="00C620A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D5D2B" w14:textId="6713E33A" w:rsidR="00C620A2" w:rsidRDefault="00ED2B40" w:rsidP="00ED2B40">
    <w:pPr>
      <w:pStyle w:val="Header"/>
      <w:rPr>
        <w:sz w:val="17"/>
      </w:rPr>
    </w:pPr>
    <w:bookmarkStart w:id="19" w:name="TITUS4HeaderEvenPages"/>
    <w:r>
      <w:rPr>
        <w:sz w:val="17"/>
      </w:rPr>
      <w:t> </w:t>
    </w:r>
  </w:p>
  <w:bookmarkEnd w:id="19"/>
  <w:p w14:paraId="40D9A810" w14:textId="77777777" w:rsidR="00C620A2" w:rsidRDefault="00C620A2" w:rsidP="007A7044">
    <w:pPr>
      <w:pStyle w:val="Header"/>
    </w:pPr>
  </w:p>
  <w:p w14:paraId="425C076C" w14:textId="77777777" w:rsidR="00C620A2" w:rsidRDefault="00C620A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492245" w14:textId="776C6E07" w:rsidR="00C620A2" w:rsidRDefault="00ED2B40" w:rsidP="00ED2B40">
    <w:pPr>
      <w:pStyle w:val="Header"/>
      <w:rPr>
        <w:sz w:val="17"/>
      </w:rPr>
    </w:pPr>
    <w:bookmarkStart w:id="20" w:name="TITUS4HeaderPrimary"/>
    <w:r>
      <w:rPr>
        <w:sz w:val="17"/>
      </w:rPr>
      <w:t> </w:t>
    </w:r>
  </w:p>
  <w:bookmarkEnd w:id="20"/>
  <w:p w14:paraId="72A71833" w14:textId="77777777" w:rsidR="00C620A2" w:rsidRDefault="00C620A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59FAB" w14:textId="7DDC30CC" w:rsidR="00C620A2" w:rsidRDefault="00ED2B40" w:rsidP="00ED2B40">
    <w:pPr>
      <w:pStyle w:val="Header"/>
      <w:rPr>
        <w:sz w:val="17"/>
      </w:rPr>
    </w:pPr>
    <w:bookmarkStart w:id="23" w:name="TITUS4HeaderFirstPage"/>
    <w:r>
      <w:rPr>
        <w:sz w:val="17"/>
      </w:rPr>
      <w:t> </w:t>
    </w:r>
  </w:p>
  <w:bookmarkEnd w:id="23"/>
  <w:p w14:paraId="251978CF" w14:textId="77777777" w:rsidR="00C620A2" w:rsidRDefault="00C620A2" w:rsidP="007A7044">
    <w:pPr>
      <w:pStyle w:val="Header"/>
    </w:pPr>
  </w:p>
  <w:p w14:paraId="3F43AC8A" w14:textId="77777777" w:rsidR="00C620A2" w:rsidRDefault="00C620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6FFB"/>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8D9"/>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55D4"/>
    <w:rsid w:val="001961CF"/>
    <w:rsid w:val="001A59BB"/>
    <w:rsid w:val="001A6A51"/>
    <w:rsid w:val="001A732C"/>
    <w:rsid w:val="001A79C4"/>
    <w:rsid w:val="001B0333"/>
    <w:rsid w:val="001B0594"/>
    <w:rsid w:val="001B331A"/>
    <w:rsid w:val="001C0E74"/>
    <w:rsid w:val="001C6CEC"/>
    <w:rsid w:val="001D1C68"/>
    <w:rsid w:val="001D229F"/>
    <w:rsid w:val="001D2786"/>
    <w:rsid w:val="001D27E6"/>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41D4"/>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0EA0"/>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656"/>
    <w:rsid w:val="0040668F"/>
    <w:rsid w:val="00412677"/>
    <w:rsid w:val="00417925"/>
    <w:rsid w:val="004278F7"/>
    <w:rsid w:val="004348AE"/>
    <w:rsid w:val="004376C0"/>
    <w:rsid w:val="0044115F"/>
    <w:rsid w:val="0044223A"/>
    <w:rsid w:val="00446792"/>
    <w:rsid w:val="00446F80"/>
    <w:rsid w:val="00450C83"/>
    <w:rsid w:val="00451851"/>
    <w:rsid w:val="00453343"/>
    <w:rsid w:val="004608B9"/>
    <w:rsid w:val="00460ADB"/>
    <w:rsid w:val="00464658"/>
    <w:rsid w:val="00465947"/>
    <w:rsid w:val="00466D87"/>
    <w:rsid w:val="00470BB1"/>
    <w:rsid w:val="004718F7"/>
    <w:rsid w:val="00473153"/>
    <w:rsid w:val="004743AF"/>
    <w:rsid w:val="00482C17"/>
    <w:rsid w:val="004911B4"/>
    <w:rsid w:val="0049196A"/>
    <w:rsid w:val="004923DA"/>
    <w:rsid w:val="00493434"/>
    <w:rsid w:val="004943EF"/>
    <w:rsid w:val="004962F9"/>
    <w:rsid w:val="004968E2"/>
    <w:rsid w:val="004A2A49"/>
    <w:rsid w:val="004B600B"/>
    <w:rsid w:val="004B6822"/>
    <w:rsid w:val="004B69F6"/>
    <w:rsid w:val="004C2D3A"/>
    <w:rsid w:val="004D03C4"/>
    <w:rsid w:val="004D0BF1"/>
    <w:rsid w:val="004D24D2"/>
    <w:rsid w:val="004D35A4"/>
    <w:rsid w:val="004D445F"/>
    <w:rsid w:val="004E087B"/>
    <w:rsid w:val="004E1898"/>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5A1"/>
    <w:rsid w:val="00536FA9"/>
    <w:rsid w:val="005414F4"/>
    <w:rsid w:val="00543BAB"/>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B7106"/>
    <w:rsid w:val="005C1567"/>
    <w:rsid w:val="005C6CE5"/>
    <w:rsid w:val="005D3F07"/>
    <w:rsid w:val="005D583E"/>
    <w:rsid w:val="005E13EA"/>
    <w:rsid w:val="005E53BD"/>
    <w:rsid w:val="00601C05"/>
    <w:rsid w:val="00606E27"/>
    <w:rsid w:val="006108C9"/>
    <w:rsid w:val="00615C7E"/>
    <w:rsid w:val="0062158D"/>
    <w:rsid w:val="00630265"/>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11E2"/>
    <w:rsid w:val="00696F65"/>
    <w:rsid w:val="006A7A6D"/>
    <w:rsid w:val="006B5E67"/>
    <w:rsid w:val="006C2EB5"/>
    <w:rsid w:val="006D00F7"/>
    <w:rsid w:val="006D18A3"/>
    <w:rsid w:val="006D5970"/>
    <w:rsid w:val="006E481E"/>
    <w:rsid w:val="006E795F"/>
    <w:rsid w:val="006F408E"/>
    <w:rsid w:val="00700249"/>
    <w:rsid w:val="00700419"/>
    <w:rsid w:val="0070604C"/>
    <w:rsid w:val="007069CD"/>
    <w:rsid w:val="00710E35"/>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766B0"/>
    <w:rsid w:val="00784EC4"/>
    <w:rsid w:val="007872F2"/>
    <w:rsid w:val="007874BC"/>
    <w:rsid w:val="00787DE7"/>
    <w:rsid w:val="007908E0"/>
    <w:rsid w:val="00793EB3"/>
    <w:rsid w:val="00794205"/>
    <w:rsid w:val="00797012"/>
    <w:rsid w:val="007A1F6A"/>
    <w:rsid w:val="007A614A"/>
    <w:rsid w:val="007A7044"/>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4BA9"/>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CB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045"/>
    <w:rsid w:val="009079BD"/>
    <w:rsid w:val="00912BD9"/>
    <w:rsid w:val="00912F04"/>
    <w:rsid w:val="00920E5B"/>
    <w:rsid w:val="00926436"/>
    <w:rsid w:val="0093018C"/>
    <w:rsid w:val="00932CCA"/>
    <w:rsid w:val="009425F8"/>
    <w:rsid w:val="009544C0"/>
    <w:rsid w:val="00954FA4"/>
    <w:rsid w:val="00956AE9"/>
    <w:rsid w:val="00964CC6"/>
    <w:rsid w:val="00991FDA"/>
    <w:rsid w:val="009927A1"/>
    <w:rsid w:val="0099774D"/>
    <w:rsid w:val="009A5F3B"/>
    <w:rsid w:val="009B0B61"/>
    <w:rsid w:val="009B1687"/>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482"/>
    <w:rsid w:val="00AA241A"/>
    <w:rsid w:val="00AA252C"/>
    <w:rsid w:val="00AA2E26"/>
    <w:rsid w:val="00AA666E"/>
    <w:rsid w:val="00AB45D1"/>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01E8"/>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37115"/>
    <w:rsid w:val="00C42005"/>
    <w:rsid w:val="00C44446"/>
    <w:rsid w:val="00C4664D"/>
    <w:rsid w:val="00C472AA"/>
    <w:rsid w:val="00C50A05"/>
    <w:rsid w:val="00C54AED"/>
    <w:rsid w:val="00C55B2F"/>
    <w:rsid w:val="00C620A2"/>
    <w:rsid w:val="00C63D00"/>
    <w:rsid w:val="00C6441B"/>
    <w:rsid w:val="00C7108B"/>
    <w:rsid w:val="00C771EA"/>
    <w:rsid w:val="00C8089F"/>
    <w:rsid w:val="00C836CC"/>
    <w:rsid w:val="00C87A74"/>
    <w:rsid w:val="00C90A71"/>
    <w:rsid w:val="00C91574"/>
    <w:rsid w:val="00C91BC2"/>
    <w:rsid w:val="00C92C71"/>
    <w:rsid w:val="00C93F8F"/>
    <w:rsid w:val="00C97671"/>
    <w:rsid w:val="00CA2745"/>
    <w:rsid w:val="00CA3593"/>
    <w:rsid w:val="00CA7F4F"/>
    <w:rsid w:val="00CB0E44"/>
    <w:rsid w:val="00CB258E"/>
    <w:rsid w:val="00CB3C8F"/>
    <w:rsid w:val="00CB75CE"/>
    <w:rsid w:val="00CC02F1"/>
    <w:rsid w:val="00CC11A6"/>
    <w:rsid w:val="00CC135E"/>
    <w:rsid w:val="00CD5D3F"/>
    <w:rsid w:val="00CF1E90"/>
    <w:rsid w:val="00CF3DB3"/>
    <w:rsid w:val="00D052BC"/>
    <w:rsid w:val="00D05BC1"/>
    <w:rsid w:val="00D07026"/>
    <w:rsid w:val="00D11C62"/>
    <w:rsid w:val="00D22C8F"/>
    <w:rsid w:val="00D33491"/>
    <w:rsid w:val="00D44F8E"/>
    <w:rsid w:val="00D44FD0"/>
    <w:rsid w:val="00D5733C"/>
    <w:rsid w:val="00D6037A"/>
    <w:rsid w:val="00D607EF"/>
    <w:rsid w:val="00D60F88"/>
    <w:rsid w:val="00D625E7"/>
    <w:rsid w:val="00D646BD"/>
    <w:rsid w:val="00D70239"/>
    <w:rsid w:val="00D706FB"/>
    <w:rsid w:val="00D71201"/>
    <w:rsid w:val="00D720C7"/>
    <w:rsid w:val="00D77A04"/>
    <w:rsid w:val="00D81D06"/>
    <w:rsid w:val="00D8652C"/>
    <w:rsid w:val="00D876E6"/>
    <w:rsid w:val="00D93CA6"/>
    <w:rsid w:val="00D94C3D"/>
    <w:rsid w:val="00D951B9"/>
    <w:rsid w:val="00DA1025"/>
    <w:rsid w:val="00DA22EC"/>
    <w:rsid w:val="00DA5576"/>
    <w:rsid w:val="00DA5860"/>
    <w:rsid w:val="00DB2767"/>
    <w:rsid w:val="00DC418E"/>
    <w:rsid w:val="00DC4729"/>
    <w:rsid w:val="00DD233A"/>
    <w:rsid w:val="00DE556F"/>
    <w:rsid w:val="00E03B6D"/>
    <w:rsid w:val="00E16C14"/>
    <w:rsid w:val="00E17160"/>
    <w:rsid w:val="00E35BEC"/>
    <w:rsid w:val="00E35E31"/>
    <w:rsid w:val="00E42DC4"/>
    <w:rsid w:val="00E50821"/>
    <w:rsid w:val="00E50EF8"/>
    <w:rsid w:val="00E51F91"/>
    <w:rsid w:val="00E568C0"/>
    <w:rsid w:val="00E66D20"/>
    <w:rsid w:val="00E7086E"/>
    <w:rsid w:val="00E7374A"/>
    <w:rsid w:val="00E73C41"/>
    <w:rsid w:val="00E7598F"/>
    <w:rsid w:val="00E76825"/>
    <w:rsid w:val="00E76F60"/>
    <w:rsid w:val="00E83D90"/>
    <w:rsid w:val="00E83F28"/>
    <w:rsid w:val="00E83F91"/>
    <w:rsid w:val="00E9107A"/>
    <w:rsid w:val="00E91F62"/>
    <w:rsid w:val="00E929B3"/>
    <w:rsid w:val="00E929FD"/>
    <w:rsid w:val="00E93240"/>
    <w:rsid w:val="00E9479B"/>
    <w:rsid w:val="00EA4D48"/>
    <w:rsid w:val="00EB2173"/>
    <w:rsid w:val="00EB62E6"/>
    <w:rsid w:val="00ED1B30"/>
    <w:rsid w:val="00ED250E"/>
    <w:rsid w:val="00ED2B40"/>
    <w:rsid w:val="00ED392F"/>
    <w:rsid w:val="00ED528D"/>
    <w:rsid w:val="00EE1AC1"/>
    <w:rsid w:val="00EE39D6"/>
    <w:rsid w:val="00EE413C"/>
    <w:rsid w:val="00EE52AD"/>
    <w:rsid w:val="00F00945"/>
    <w:rsid w:val="00F01F92"/>
    <w:rsid w:val="00F10A08"/>
    <w:rsid w:val="00F13770"/>
    <w:rsid w:val="00F139CF"/>
    <w:rsid w:val="00F22AC5"/>
    <w:rsid w:val="00F254D1"/>
    <w:rsid w:val="00F32B82"/>
    <w:rsid w:val="00F35960"/>
    <w:rsid w:val="00F4043E"/>
    <w:rsid w:val="00F40CB5"/>
    <w:rsid w:val="00F41BBC"/>
    <w:rsid w:val="00F43B9D"/>
    <w:rsid w:val="00F444F0"/>
    <w:rsid w:val="00F46D75"/>
    <w:rsid w:val="00F50847"/>
    <w:rsid w:val="00F53F27"/>
    <w:rsid w:val="00F546D1"/>
    <w:rsid w:val="00F6513F"/>
    <w:rsid w:val="00F66272"/>
    <w:rsid w:val="00F66399"/>
    <w:rsid w:val="00F709C0"/>
    <w:rsid w:val="00F854CA"/>
    <w:rsid w:val="00F927A1"/>
    <w:rsid w:val="00F92E4D"/>
    <w:rsid w:val="00FA1E08"/>
    <w:rsid w:val="00FA3764"/>
    <w:rsid w:val="00FA56ED"/>
    <w:rsid w:val="00FB5FA6"/>
    <w:rsid w:val="00FC1310"/>
    <w:rsid w:val="00FC2FF3"/>
    <w:rsid w:val="00FC3263"/>
    <w:rsid w:val="00FC3CA2"/>
    <w:rsid w:val="00FC51F9"/>
    <w:rsid w:val="00FC5B40"/>
    <w:rsid w:val="00FC5FF8"/>
    <w:rsid w:val="00FC702B"/>
    <w:rsid w:val="00FD3D7C"/>
    <w:rsid w:val="00FD4779"/>
    <w:rsid w:val="00FD4F8F"/>
    <w:rsid w:val="00FE0C16"/>
    <w:rsid w:val="00FE14AD"/>
    <w:rsid w:val="00FE14B1"/>
    <w:rsid w:val="00FE1F6A"/>
    <w:rsid w:val="00FF0070"/>
    <w:rsid w:val="00FF31EC"/>
    <w:rsid w:val="00FF5F6A"/>
    <w:rsid w:val="00FF6BE0"/>
    <w:rsid w:val="00FF75A6"/>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56F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nursingtimes.net/roles/nurse-managers/a-qualitative-study-on-effects-of-working-unsocial-hours-06-06-2006/" TargetMode="External"/><Relationship Id="rId21" Type="http://schemas.openxmlformats.org/officeDocument/2006/relationships/header" Target="header4.xml"/><Relationship Id="rId34" Type="http://schemas.openxmlformats.org/officeDocument/2006/relationships/hyperlink" Target="https://www.college.police.uk/ethics/code-of-ethics" TargetMode="External"/><Relationship Id="rId42" Type="http://schemas.openxmlformats.org/officeDocument/2006/relationships/hyperlink" Target="https://assets.publishing.service.gov.uk/government/uploads/system/uploads/attachment_data/file/729842/pace-code-c-2018.pdf" TargetMode="External"/><Relationship Id="rId47" Type="http://schemas.openxmlformats.org/officeDocument/2006/relationships/hyperlink" Target="https://www.legislation.gov.uk/ukpga/1984/60/section/29" TargetMode="External"/><Relationship Id="rId50" Type="http://schemas.openxmlformats.org/officeDocument/2006/relationships/hyperlink" Target="https://www.southwalescommissioner.org.uk/en/your-commissioner/police-crime-plan-2021-2025/" TargetMode="External"/><Relationship Id="rId55" Type="http://schemas.openxmlformats.org/officeDocument/2006/relationships/hyperlink" Target="https://www.verywellmind.com/what-is-a-cognitive-bias-2794963" TargetMode="External"/><Relationship Id="rId63" Type="http://schemas.openxmlformats.org/officeDocument/2006/relationships/header" Target="header9.xml"/><Relationship Id="rId68"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app.college.police.uk/app-content/investigations/investigative-interviewing/" TargetMode="External"/><Relationship Id="rId37" Type="http://schemas.openxmlformats.org/officeDocument/2006/relationships/hyperlink" Target="https://www.cps.gov.uk/legal-guidance/criminal-damage" TargetMode="External"/><Relationship Id="rId40" Type="http://schemas.openxmlformats.org/officeDocument/2006/relationships/hyperlink" Target="https://www.gov.uk/government/publications/policing-by-consent/definition-of-policing-by-consent" TargetMode="External"/><Relationship Id="rId45" Type="http://schemas.openxmlformats.org/officeDocument/2006/relationships/hyperlink" Target="https://www.legislation.gov.uk/ukpga/1989/41/section/46" TargetMode="External"/><Relationship Id="rId53" Type="http://schemas.openxmlformats.org/officeDocument/2006/relationships/hyperlink" Target="https://www.south-wales.police.uk/advice/advice-and-information/asb/af/antisocial-behaviour/" TargetMode="External"/><Relationship Id="rId58" Type="http://schemas.openxmlformats.org/officeDocument/2006/relationships/hyperlink" Target="https://gov.wales/leaving-your-home-and-seeing-other-people-alert-level-4" TargetMode="External"/><Relationship Id="rId66" Type="http://schemas.openxmlformats.org/officeDocument/2006/relationships/oleObject" Target="embeddings/oleObject1.bin"/><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bettermarketing.pub/how-to-adapt-to-a-new-workplace-7aaa6986fb" TargetMode="External"/><Relationship Id="rId36" Type="http://schemas.openxmlformats.org/officeDocument/2006/relationships/hyperlink" Target="https://www.app.college.police.uk/app-content/national-decision-model/the-national-decision-model/" TargetMode="External"/><Relationship Id="rId49" Type="http://schemas.openxmlformats.org/officeDocument/2006/relationships/hyperlink" Target="https://appropriateadult.org.uk/index.php/information/what-is-an-appropriate-adult" TargetMode="External"/><Relationship Id="rId57" Type="http://schemas.openxmlformats.org/officeDocument/2006/relationships/hyperlink" Target="https://www.victimsupport.org.uk/crime-info/types-crime/antisocial-behaviour" TargetMode="External"/><Relationship Id="rId61"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investigative-interviewing/" TargetMode="External"/><Relationship Id="rId44" Type="http://schemas.openxmlformats.org/officeDocument/2006/relationships/hyperlink" Target="https://assets.publishing.service.gov.uk/government/uploads/system/uploads/attachment_data/file/864940/interviewing-suspects-v7.0.pdf" TargetMode="External"/><Relationship Id="rId52" Type="http://schemas.openxmlformats.org/officeDocument/2006/relationships/hyperlink" Target="https://www.south-wales.police.uk/advice/advice-and-information/wvs/victim-and-witness-support/" TargetMode="External"/><Relationship Id="rId60" Type="http://schemas.openxmlformats.org/officeDocument/2006/relationships/header" Target="header8.xml"/><Relationship Id="rId65" Type="http://schemas.openxmlformats.org/officeDocument/2006/relationships/image" Target="media/image2.emf"/><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bmgresearch.co.uk/wp-content/uploads/2019/01/1578-HMICFRS-Public-Perceptions-of-Policing-2018_FINAL.pdf" TargetMode="External"/><Relationship Id="rId30" Type="http://schemas.openxmlformats.org/officeDocument/2006/relationships/hyperlink" Target="https://whatworks.college.police.uk/Research/Documents/DA_risk_assessment_pilot.pdf" TargetMode="External"/><Relationship Id="rId35" Type="http://schemas.openxmlformats.org/officeDocument/2006/relationships/hyperlink" Target="https://www.college.police.uk/ethics" TargetMode="External"/><Relationship Id="rId43" Type="http://schemas.openxmlformats.org/officeDocument/2006/relationships/hyperlink" Target="https://assets.publishing.service.gov.uk/government/uploads/system/uploads/attachment_data/file/903473/pace-code-c-2019.pdf" TargetMode="External"/><Relationship Id="rId48" Type="http://schemas.openxmlformats.org/officeDocument/2006/relationships/hyperlink" Target="https://assets.publishing.service.gov.uk/government/uploads/system/uploads/attachment_data/file/447967/code-of-practice-approved.pdf" TargetMode="External"/><Relationship Id="rId56" Type="http://schemas.openxmlformats.org/officeDocument/2006/relationships/hyperlink" Target="https://www.verywellmind.com/what-is-active-listening-3024343" TargetMode="External"/><Relationship Id="rId64" Type="http://schemas.openxmlformats.org/officeDocument/2006/relationships/footer" Target="footer9.xml"/><Relationship Id="rId69"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www.south-wales.police.uk/SysSiteAssets/media/images/south-wales/policies/english/anti-social-behaviour.pdf" TargetMode="External"/><Relationship Id="rId72"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college.police.uk/guidance/obtaining-initial-accounts/witnesses-own-words-and-open-questioning" TargetMode="External"/><Relationship Id="rId38" Type="http://schemas.openxmlformats.org/officeDocument/2006/relationships/hyperlink" Target="https://www.cps.gov.uk/publication/code-crown-prosecutors" TargetMode="External"/><Relationship Id="rId46" Type="http://schemas.openxmlformats.org/officeDocument/2006/relationships/hyperlink" Target="https://www.legislation.gov.uk/ukpga/2014/12/contents" TargetMode="External"/><Relationship Id="rId59" Type="http://schemas.openxmlformats.org/officeDocument/2006/relationships/header" Target="header7.xml"/><Relationship Id="rId67" Type="http://schemas.openxmlformats.org/officeDocument/2006/relationships/header" Target="header10.xml"/><Relationship Id="rId20" Type="http://schemas.openxmlformats.org/officeDocument/2006/relationships/hyperlink" Target="https://assets.publishing.service.gov.uk/government/uploads/system/uploads/attachment_data/file/710129/2018_CodeC-Revised_Final-APS__18-05-23_WebCovers.pdf" TargetMode="External"/><Relationship Id="rId41" Type="http://schemas.openxmlformats.org/officeDocument/2006/relationships/hyperlink" Target="https://assets.publishing.service.gov.uk/government/uploads/system/uploads/attachment_data/file/8278/1530807.pdf" TargetMode="External"/><Relationship Id="rId54" Type="http://schemas.openxmlformats.org/officeDocument/2006/relationships/hyperlink" Target="https://www.verywellmind.com/what-is-active-listening-3024343" TargetMode="External"/><Relationship Id="rId62" Type="http://schemas.openxmlformats.org/officeDocument/2006/relationships/footer" Target="footer8.xml"/><Relationship Id="rId70"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openxmlformats.org/package/2006/metadata/core-properties"/>
    <ds:schemaRef ds:uri="2e89cfda-a374-4413-9f0d-8b601eddeb70"/>
    <ds:schemaRef ds:uri="http://purl.org/dc/term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91554D-89E5-4ADD-AF17-200D69C70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25</Pages>
  <Words>8626</Words>
  <Characters>50573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Lewis,Geraint swp6715</cp:lastModifiedBy>
  <cp:revision>54</cp:revision>
  <cp:lastPrinted>2019-09-26T14:40:00Z</cp:lastPrinted>
  <dcterms:created xsi:type="dcterms:W3CDTF">2021-02-04T14:27:00Z</dcterms:created>
  <dcterms:modified xsi:type="dcterms:W3CDTF">2021-03-06T18:15:00Z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9e251b42-f190-44f2-90a1-3758cb166283</vt:lpwstr>
  </property>
  <property fmtid="{D5CDD505-2E9C-101B-9397-08002B2CF9AE}" pid="4" name="Classification">
    <vt:lpwstr>OFFICIAL</vt:lpwstr>
  </property>
  <property fmtid="{D5CDD505-2E9C-101B-9397-08002B2CF9AE}" pid="5" name="Visibility">
    <vt:lpwstr>NOT VISIBLE</vt:lpwstr>
  </property>
</Properties>
</file>