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B9223" w14:textId="77777777" w:rsidR="006E79F3" w:rsidRDefault="006E79F3" w:rsidP="006E79F3">
      <w:pPr>
        <w:spacing w:line="360" w:lineRule="auto"/>
        <w:rPr>
          <w:rFonts w:cstheme="minorHAnsi"/>
          <w:b/>
          <w:bCs/>
          <w:color w:val="000000" w:themeColor="text1"/>
          <w:u w:val="single"/>
        </w:rPr>
      </w:pPr>
    </w:p>
    <w:p w14:paraId="56035524" w14:textId="3A1D3BF4" w:rsidR="006E79F3" w:rsidRDefault="006E79F3" w:rsidP="006E79F3">
      <w:pPr>
        <w:spacing w:line="360" w:lineRule="auto"/>
        <w:rPr>
          <w:rFonts w:cstheme="minorHAnsi"/>
          <w:b/>
          <w:bCs/>
          <w:color w:val="000000" w:themeColor="text1"/>
          <w:u w:val="single"/>
        </w:rPr>
      </w:pPr>
      <w:r>
        <w:rPr>
          <w:noProof/>
        </w:rPr>
        <w:drawing>
          <wp:anchor distT="0" distB="0" distL="114300" distR="114300" simplePos="0" relativeHeight="251659264" behindDoc="0" locked="0" layoutInCell="1" allowOverlap="1" wp14:anchorId="0E91C0FB" wp14:editId="08A51FA6">
            <wp:simplePos x="0" y="0"/>
            <wp:positionH relativeFrom="margin">
              <wp:posOffset>0</wp:posOffset>
            </wp:positionH>
            <wp:positionV relativeFrom="margin">
              <wp:posOffset>556260</wp:posOffset>
            </wp:positionV>
            <wp:extent cx="5613400" cy="2235835"/>
            <wp:effectExtent l="0" t="0" r="0"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5613400" cy="2235835"/>
                    </a:xfrm>
                    <a:prstGeom prst="rect">
                      <a:avLst/>
                    </a:prstGeom>
                  </pic:spPr>
                </pic:pic>
              </a:graphicData>
            </a:graphic>
            <wp14:sizeRelH relativeFrom="margin">
              <wp14:pctWidth>0</wp14:pctWidth>
            </wp14:sizeRelH>
            <wp14:sizeRelV relativeFrom="margin">
              <wp14:pctHeight>0</wp14:pctHeight>
            </wp14:sizeRelV>
          </wp:anchor>
        </w:drawing>
      </w:r>
    </w:p>
    <w:p w14:paraId="1026C341" w14:textId="77777777" w:rsidR="006E79F3" w:rsidRDefault="006E79F3" w:rsidP="006E79F3">
      <w:pPr>
        <w:spacing w:line="360" w:lineRule="auto"/>
        <w:rPr>
          <w:rFonts w:cstheme="minorHAnsi"/>
          <w:b/>
          <w:bCs/>
          <w:color w:val="000000" w:themeColor="text1"/>
          <w:u w:val="single"/>
        </w:rPr>
      </w:pPr>
    </w:p>
    <w:p w14:paraId="0AA36EA0" w14:textId="77777777" w:rsidR="006E79F3" w:rsidRDefault="006E79F3" w:rsidP="006E79F3">
      <w:pPr>
        <w:jc w:val="center"/>
      </w:pPr>
      <w:r w:rsidRPr="00DD58A5">
        <w:rPr>
          <w:u w:val="single"/>
        </w:rPr>
        <w:t>Module Code</w:t>
      </w:r>
      <w:r>
        <w:t>: ECEY5011</w:t>
      </w:r>
    </w:p>
    <w:p w14:paraId="3AD7AE2B" w14:textId="3CAF302A" w:rsidR="006E79F3" w:rsidRDefault="006E79F3" w:rsidP="006E79F3">
      <w:pPr>
        <w:jc w:val="center"/>
      </w:pPr>
      <w:r w:rsidRPr="00DD58A5">
        <w:rPr>
          <w:u w:val="single"/>
        </w:rPr>
        <w:t>Assignment title</w:t>
      </w:r>
      <w:r>
        <w:t>: Reflection</w:t>
      </w:r>
    </w:p>
    <w:p w14:paraId="7F416A61" w14:textId="77777777" w:rsidR="006E79F3" w:rsidRDefault="006E79F3" w:rsidP="006E79F3">
      <w:pPr>
        <w:jc w:val="center"/>
      </w:pPr>
    </w:p>
    <w:p w14:paraId="0B9B0560" w14:textId="77777777" w:rsidR="006E79F3" w:rsidRDefault="006E79F3" w:rsidP="006E79F3">
      <w:pPr>
        <w:jc w:val="center"/>
      </w:pPr>
      <w:r w:rsidRPr="00DD58A5">
        <w:rPr>
          <w:u w:val="single"/>
        </w:rPr>
        <w:t>Student Number</w:t>
      </w:r>
      <w:r>
        <w:t>: 2501895</w:t>
      </w:r>
    </w:p>
    <w:p w14:paraId="5529EA59" w14:textId="77777777" w:rsidR="006E79F3" w:rsidRDefault="006E79F3" w:rsidP="006E79F3">
      <w:pPr>
        <w:jc w:val="center"/>
      </w:pPr>
      <w:r w:rsidRPr="00DD58A5">
        <w:rPr>
          <w:u w:val="single"/>
        </w:rPr>
        <w:t>AI Acknowledgement</w:t>
      </w:r>
      <w:r>
        <w:t>: 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903F1F7" w14:textId="77777777" w:rsidR="006E79F3" w:rsidRDefault="006E79F3" w:rsidP="006E79F3">
      <w:pPr>
        <w:spacing w:line="360" w:lineRule="auto"/>
        <w:rPr>
          <w:rFonts w:cstheme="minorHAnsi"/>
          <w:b/>
          <w:bCs/>
          <w:color w:val="000000" w:themeColor="text1"/>
          <w:u w:val="single"/>
        </w:rPr>
      </w:pPr>
    </w:p>
    <w:p w14:paraId="3C4A54C9" w14:textId="77777777" w:rsidR="006E79F3" w:rsidRDefault="006E79F3" w:rsidP="006E79F3">
      <w:pPr>
        <w:spacing w:line="360" w:lineRule="auto"/>
        <w:rPr>
          <w:rFonts w:cstheme="minorHAnsi"/>
          <w:b/>
          <w:bCs/>
          <w:color w:val="000000" w:themeColor="text1"/>
          <w:u w:val="single"/>
        </w:rPr>
      </w:pPr>
    </w:p>
    <w:p w14:paraId="45A70B84" w14:textId="476657FD" w:rsidR="006E79F3" w:rsidRPr="006E79F3" w:rsidRDefault="006E79F3" w:rsidP="006E79F3">
      <w:pPr>
        <w:spacing w:line="360" w:lineRule="auto"/>
        <w:rPr>
          <w:rFonts w:eastAsia="Times New Roman" w:cstheme="minorHAnsi"/>
          <w:color w:val="000000" w:themeColor="text1"/>
          <w:lang w:eastAsia="en-GB"/>
        </w:rPr>
      </w:pPr>
      <w:r w:rsidRPr="006E79F3">
        <w:rPr>
          <w:rFonts w:cstheme="minorHAnsi"/>
          <w:b/>
          <w:bCs/>
          <w:color w:val="000000" w:themeColor="text1"/>
          <w:u w:val="single"/>
        </w:rPr>
        <w:t>Reflection</w:t>
      </w:r>
    </w:p>
    <w:p w14:paraId="347192EE"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For this assignment, I prepared a script to present in the role of a Health Visitor at a Child Protection Conference. My script focused on identifying safeguarding concerns, including the signs of neglect and concerns. I also researched relevant legislation, including the Children Act (1989), the Children Act (2004), the Social Services and Well-being (Wales) Act (2014), and the United Nations Convention on the Rights of the Child (UNCRC). I discussed the importance of multi-agency working and the recommendations a Health Visitor would make to promote safety and wellbeing.</w:t>
      </w:r>
    </w:p>
    <w:p w14:paraId="041E9559"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 xml:space="preserve">When I first started my university course, safeguarding was a daunting subject. I had some knowledge of safeguarding from working as a teaching assistant in a school, but I mainly thought of it as reporting abuse when there was clear evidence that a child was being harmed. But I lacked confidence in recognising the wider indicators of neglect and was </w:t>
      </w:r>
      <w:r w:rsidRPr="006E79F3">
        <w:rPr>
          <w:rFonts w:asciiTheme="minorHAnsi" w:hAnsiTheme="minorHAnsi" w:cstheme="minorHAnsi"/>
        </w:rPr>
        <w:lastRenderedPageBreak/>
        <w:t>unsure of the different roles and responsibilities of professionals involved in safeguarding. While preparing my script, I felt nervous because of the importance of the case and the need to apply legislation and safeguarding guidance accurately. However, as I continued to research the topic and develop my script, I became more confident in my understanding of safeguarding and the role of the Health Visitor within the child protection process.</w:t>
      </w:r>
    </w:p>
    <w:p w14:paraId="2454257D"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 xml:space="preserve">One of my strengths was my ability to link concerns within the case to current safeguarding guidance and demonstrate and how legislation informs professional decision-making.  I also recognised that safeguarding is not only about protecting children, </w:t>
      </w:r>
      <w:proofErr w:type="gramStart"/>
      <w:r w:rsidRPr="006E79F3">
        <w:rPr>
          <w:rFonts w:asciiTheme="minorHAnsi" w:hAnsiTheme="minorHAnsi" w:cstheme="minorHAnsi"/>
        </w:rPr>
        <w:t>NSPCC</w:t>
      </w:r>
      <w:proofErr w:type="gramEnd"/>
      <w:r w:rsidRPr="006E79F3">
        <w:rPr>
          <w:rFonts w:asciiTheme="minorHAnsi" w:hAnsiTheme="minorHAnsi" w:cstheme="minorHAnsi"/>
        </w:rPr>
        <w:t xml:space="preserve"> (2025) states that safeguarding is about identifying when parents or carers may need additional support</w:t>
      </w:r>
    </w:p>
    <w:p w14:paraId="4B2F020E"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One area I initially found challenging was understanding how different pieces of legislation work together in practice. At first, it was difficult to distinguish the purpose of each Act, but through further research and discussions with my peers, I developed a clearer understanding of how legislation provides the legal framework that guides safeguarding practice and supports professionals to work collaboratively.</w:t>
      </w:r>
    </w:p>
    <w:p w14:paraId="656E9E2A"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 xml:space="preserve">Completing this module has shown me how much my understanding of safeguarding has developed since the beginning of my course. I now recognise that safeguarding is much more than responding to obvious signs of abuse. It requires professionals to identify patterns of concern, recognise subtle indicators of neglect, and consider the wider circumstances surrounding the child and their family. One of the most valuable lessons I have learnt is the importance of recognising neglect and the </w:t>
      </w:r>
      <w:r w:rsidRPr="006E79F3">
        <w:rPr>
          <w:rFonts w:asciiTheme="minorHAnsi" w:hAnsiTheme="minorHAnsi" w:cstheme="minorHAnsi"/>
          <w:color w:val="000000" w:themeColor="text1"/>
        </w:rPr>
        <w:t xml:space="preserve">NSPCC (2025) Neglect is defined as “the ongoing failure to meet a child’s basic needs”. </w:t>
      </w:r>
      <w:r w:rsidRPr="006E79F3">
        <w:rPr>
          <w:rFonts w:asciiTheme="minorHAnsi" w:hAnsiTheme="minorHAnsi" w:cstheme="minorHAnsi"/>
        </w:rPr>
        <w:t xml:space="preserve"> </w:t>
      </w:r>
      <w:proofErr w:type="gramStart"/>
      <w:r w:rsidRPr="006E79F3">
        <w:rPr>
          <w:rFonts w:asciiTheme="minorHAnsi" w:hAnsiTheme="minorHAnsi" w:cstheme="minorHAnsi"/>
        </w:rPr>
        <w:t>.Before</w:t>
      </w:r>
      <w:proofErr w:type="gramEnd"/>
      <w:r w:rsidRPr="006E79F3">
        <w:rPr>
          <w:rFonts w:asciiTheme="minorHAnsi" w:hAnsiTheme="minorHAnsi" w:cstheme="minorHAnsi"/>
        </w:rPr>
        <w:t xml:space="preserve"> beginning my course, I did not fully understand that changes in behaviour, poor hygiene, inappropriate clothing, persistent absence, hunger, or emotional withdrawal could all indicate that a child's needs are not being met</w:t>
      </w:r>
    </w:p>
    <w:p w14:paraId="5FB68B3F"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 xml:space="preserve">By undertaking this </w:t>
      </w:r>
      <w:proofErr w:type="gramStart"/>
      <w:r w:rsidRPr="006E79F3">
        <w:rPr>
          <w:rFonts w:asciiTheme="minorHAnsi" w:hAnsiTheme="minorHAnsi" w:cstheme="minorHAnsi"/>
        </w:rPr>
        <w:t>course</w:t>
      </w:r>
      <w:proofErr w:type="gramEnd"/>
      <w:r w:rsidRPr="006E79F3">
        <w:rPr>
          <w:rFonts w:asciiTheme="minorHAnsi" w:hAnsiTheme="minorHAnsi" w:cstheme="minorHAnsi"/>
        </w:rPr>
        <w:t xml:space="preserve"> it has strengthened my understanding of the</w:t>
      </w:r>
      <w:r w:rsidRPr="006E79F3">
        <w:rPr>
          <w:rFonts w:asciiTheme="minorHAnsi" w:hAnsiTheme="minorHAnsi" w:cstheme="minorHAnsi"/>
          <w:b/>
          <w:bCs/>
        </w:rPr>
        <w:t xml:space="preserve"> </w:t>
      </w:r>
      <w:r w:rsidRPr="006E79F3">
        <w:rPr>
          <w:rStyle w:val="Strong"/>
          <w:rFonts w:asciiTheme="minorHAnsi" w:hAnsiTheme="minorHAnsi" w:cstheme="minorHAnsi"/>
          <w:b w:val="0"/>
          <w:bCs w:val="0"/>
        </w:rPr>
        <w:t>5 Rs of safeguarding: which are Recognise, Respond, Report, Record, and Refer</w:t>
      </w:r>
      <w:r w:rsidRPr="006E79F3">
        <w:rPr>
          <w:rFonts w:asciiTheme="minorHAnsi" w:hAnsiTheme="minorHAnsi" w:cstheme="minorHAnsi"/>
          <w:b/>
          <w:bCs/>
        </w:rPr>
        <w:t>.</w:t>
      </w:r>
      <w:r w:rsidRPr="006E79F3">
        <w:rPr>
          <w:rFonts w:asciiTheme="minorHAnsi" w:hAnsiTheme="minorHAnsi" w:cstheme="minorHAnsi"/>
        </w:rPr>
        <w:t xml:space="preserve"> I now understand the importance of recognising the signs of abuse or neglect, responding appropriately by listening to the child and remaining calm as well as reporting concerns immediately to the designated safeguarding lead and reporting this information accurately and recording </w:t>
      </w:r>
      <w:proofErr w:type="gramStart"/>
      <w:r w:rsidRPr="006E79F3">
        <w:rPr>
          <w:rFonts w:asciiTheme="minorHAnsi" w:hAnsiTheme="minorHAnsi" w:cstheme="minorHAnsi"/>
        </w:rPr>
        <w:lastRenderedPageBreak/>
        <w:t>factual information</w:t>
      </w:r>
      <w:proofErr w:type="gramEnd"/>
      <w:r w:rsidRPr="006E79F3">
        <w:rPr>
          <w:rFonts w:asciiTheme="minorHAnsi" w:hAnsiTheme="minorHAnsi" w:cstheme="minorHAnsi"/>
        </w:rPr>
        <w:t xml:space="preserve">, and referring concerns to the appropriate safeguarding agencies when necessary. These steps provide a clear framework for safeguarding practice and will help me in my role as a Teaching assistant to ensure that concerns are managed effectively </w:t>
      </w:r>
      <w:proofErr w:type="gramStart"/>
      <w:r w:rsidRPr="006E79F3">
        <w:rPr>
          <w:rFonts w:asciiTheme="minorHAnsi" w:hAnsiTheme="minorHAnsi" w:cstheme="minorHAnsi"/>
        </w:rPr>
        <w:t>and in the child's</w:t>
      </w:r>
      <w:proofErr w:type="gramEnd"/>
      <w:r w:rsidRPr="006E79F3">
        <w:rPr>
          <w:rFonts w:asciiTheme="minorHAnsi" w:hAnsiTheme="minorHAnsi" w:cstheme="minorHAnsi"/>
        </w:rPr>
        <w:t xml:space="preserve"> best interests.</w:t>
      </w:r>
    </w:p>
    <w:p w14:paraId="7908CF7E"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Working as a teaching assistant has allowed me to apply the 5 Rs in practice. I understand that I have a responsibility to remain vigilant as well as recognising changes in a child's appearance, behaviour, attendance, and even their emotional wellbeing that may indicate safeguarding concerns. I know that if a child discloses information to me, I know the importance of responding calmly without asking leading question the NSPCC (2023) state that the child should know that they have done the right thing by speaking up. As well I also know the importance of explaining to a child that I must share the information with the appropriate safeguarding professional. I would then report my concerns promptly to the Designated Safeguarding Lead (DSL), to ensure that I record only factual observations using the child's own word for word where possible and understand that referrals to children's services or other agencies will be made following the school's safeguarding procedures. This assignment has helped me appreciate how my role as a teaching assistant contributes to the wider safeguarding process and how early recognition and appropriate action can help protect vulnerable children.</w:t>
      </w:r>
    </w:p>
    <w:p w14:paraId="620D0C48"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I have also developed a much better understanding of the Health Visitor's role. Previously, I believed Health Visitors mainly monitored children's physical development. I now understand that they play a vital role in safeguarding through developmental assessments, identifying risk factors, supporting parents, making referrals, and working collaboratively with other professionals. This has reinforced the importance of building trusting relationships with families while always maintaining the child's welfare as the highest priority.</w:t>
      </w:r>
    </w:p>
    <w:p w14:paraId="299D1B92"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 xml:space="preserve">This module has also reinforced the importance of maintaining a child-centred approach. Gordon R (2025) states that a child centred approach is crucial for building trust, and rather than focusing solely on parents' circumstances’, safeguarding requires professionals evaluate the child's needs are being met and whether they are safe. I have learnt that every decision should be led by the child's voice, the NSPCC (2024) states that being led by the </w:t>
      </w:r>
      <w:r w:rsidRPr="006E79F3">
        <w:rPr>
          <w:rFonts w:asciiTheme="minorHAnsi" w:hAnsiTheme="minorHAnsi" w:cstheme="minorHAnsi"/>
        </w:rPr>
        <w:lastRenderedPageBreak/>
        <w:t>child helps professionals understand the child’s experiences. And requires professional to make sure that they receive the protection and support they need to achieve positive outcomes.</w:t>
      </w:r>
    </w:p>
    <w:p w14:paraId="0B377BB8" w14:textId="77777777" w:rsidR="006E79F3" w:rsidRPr="006E79F3" w:rsidRDefault="006E79F3" w:rsidP="006E79F3">
      <w:pPr>
        <w:pStyle w:val="isselectedend"/>
        <w:spacing w:line="360" w:lineRule="auto"/>
        <w:rPr>
          <w:rFonts w:asciiTheme="minorHAnsi" w:hAnsiTheme="minorHAnsi" w:cstheme="minorHAnsi"/>
        </w:rPr>
      </w:pPr>
      <w:r w:rsidRPr="006E79F3">
        <w:rPr>
          <w:rFonts w:asciiTheme="minorHAnsi" w:hAnsiTheme="minorHAnsi" w:cstheme="minorHAnsi"/>
        </w:rPr>
        <w:t>By using the Gibbs reflective cycle (1988) I recognise that my understanding of safeguarding has developed considerably since the beginning of my course. I have progressed from having a basic awareness of safeguarding to understanding the importance of early intervention, recognising subtle indicators of neglect, applying legislation, using the 5 Rs of safeguarding in practice, and working collaboratively with other professionals. I feel much more confident in identifying safeguarding concerns and understanding the responsibilities of both Health Visitors and teaching assistants within child protection processes.</w:t>
      </w:r>
    </w:p>
    <w:p w14:paraId="6A9206DA" w14:textId="77777777" w:rsidR="006E79F3" w:rsidRPr="006E79F3" w:rsidRDefault="006E79F3" w:rsidP="006E79F3">
      <w:pPr>
        <w:pStyle w:val="NormalWeb"/>
        <w:spacing w:line="360" w:lineRule="auto"/>
        <w:rPr>
          <w:rFonts w:asciiTheme="minorHAnsi" w:hAnsiTheme="minorHAnsi" w:cstheme="minorHAnsi"/>
        </w:rPr>
      </w:pPr>
      <w:r w:rsidRPr="006E79F3">
        <w:rPr>
          <w:rFonts w:asciiTheme="minorHAnsi" w:hAnsiTheme="minorHAnsi" w:cstheme="minorHAnsi"/>
        </w:rPr>
        <w:t>Moving forward, I will continue to develop my safeguarding knowledge by keeping up to date with current legislation, Welsh safeguarding guidance, and professional training. During future placements I will observe other professionals how they work together to safeguard children and families. I also want to continue to develop my confidence in recognising early signs of neglect and applying the 5 Rs of safeguarding consistently. This module has strengthened my understanding of child-centred care and ensuring that the safety, wellbeing, and rights of children remain at the heart of my future practice as a healthcare professional.</w:t>
      </w:r>
    </w:p>
    <w:p w14:paraId="7F1DBE32" w14:textId="77777777" w:rsidR="006E79F3" w:rsidRDefault="006E79F3" w:rsidP="006E79F3">
      <w:pPr>
        <w:rPr>
          <w:rFonts w:eastAsia="Times New Roman" w:cstheme="minorHAnsi"/>
          <w:color w:val="000000" w:themeColor="text1"/>
          <w:lang w:eastAsia="en-GB"/>
        </w:rPr>
      </w:pPr>
    </w:p>
    <w:p w14:paraId="33167EAC" w14:textId="77777777" w:rsidR="006E79F3" w:rsidRPr="002F20E7" w:rsidRDefault="006E79F3" w:rsidP="006E79F3">
      <w:pPr>
        <w:rPr>
          <w:rFonts w:eastAsia="Times New Roman" w:cstheme="minorHAnsi"/>
          <w:color w:val="000000" w:themeColor="text1"/>
          <w:u w:val="single"/>
          <w:lang w:eastAsia="en-GB"/>
        </w:rPr>
      </w:pPr>
      <w:r w:rsidRPr="002F20E7">
        <w:rPr>
          <w:rFonts w:eastAsia="Times New Roman" w:cstheme="minorHAnsi"/>
          <w:color w:val="000000" w:themeColor="text1"/>
          <w:u w:val="single"/>
          <w:lang w:eastAsia="en-GB"/>
        </w:rPr>
        <w:t>Reference List</w:t>
      </w:r>
    </w:p>
    <w:p w14:paraId="010665BA" w14:textId="77777777" w:rsidR="006E79F3" w:rsidRDefault="006E79F3" w:rsidP="006E79F3">
      <w:pPr>
        <w:shd w:val="clear" w:color="auto" w:fill="FFFFFF"/>
        <w:spacing w:after="240" w:line="360" w:lineRule="atLeast"/>
        <w:rPr>
          <w:rFonts w:ascii="Times New Roman" w:eastAsia="Times New Roman" w:hAnsi="Times New Roman" w:cs="Times New Roman"/>
          <w:color w:val="000000"/>
          <w:lang w:eastAsia="en-GB"/>
        </w:rPr>
      </w:pPr>
      <w:r w:rsidRPr="00B860D5">
        <w:rPr>
          <w:rFonts w:ascii="Times New Roman" w:eastAsia="Times New Roman" w:hAnsi="Times New Roman" w:cs="Times New Roman"/>
          <w:color w:val="000000"/>
          <w:lang w:eastAsia="en-GB"/>
        </w:rPr>
        <w:t>Children Act (1989). </w:t>
      </w:r>
      <w:r w:rsidRPr="00B860D5">
        <w:rPr>
          <w:rFonts w:ascii="Times New Roman" w:eastAsia="Times New Roman" w:hAnsi="Times New Roman" w:cs="Times New Roman"/>
          <w:i/>
          <w:iCs/>
          <w:color w:val="000000"/>
          <w:lang w:eastAsia="en-GB"/>
        </w:rPr>
        <w:t>Children Act 1989</w:t>
      </w:r>
      <w:r w:rsidRPr="00B860D5">
        <w:rPr>
          <w:rFonts w:ascii="Times New Roman" w:eastAsia="Times New Roman" w:hAnsi="Times New Roman" w:cs="Times New Roman"/>
          <w:color w:val="000000"/>
          <w:lang w:eastAsia="en-GB"/>
        </w:rPr>
        <w:t>. [online] </w:t>
      </w:r>
      <w:hyperlink r:id="rId7" w:tgtFrame="_blank" w:history="1">
        <w:r w:rsidRPr="00B860D5">
          <w:rPr>
            <w:rFonts w:ascii="Times New Roman" w:eastAsia="Times New Roman" w:hAnsi="Times New Roman" w:cs="Times New Roman"/>
            <w:color w:val="1155CC"/>
            <w:u w:val="single"/>
            <w:lang w:eastAsia="en-GB"/>
          </w:rPr>
          <w:t>Legislation.gov.uk</w:t>
        </w:r>
      </w:hyperlink>
      <w:r w:rsidRPr="00B860D5">
        <w:rPr>
          <w:rFonts w:ascii="Times New Roman" w:eastAsia="Times New Roman" w:hAnsi="Times New Roman" w:cs="Times New Roman"/>
          <w:color w:val="000000"/>
          <w:lang w:eastAsia="en-GB"/>
        </w:rPr>
        <w:t>. Available at: </w:t>
      </w:r>
      <w:hyperlink r:id="rId8" w:tgtFrame="_blank" w:history="1">
        <w:r w:rsidRPr="00B860D5">
          <w:rPr>
            <w:rFonts w:ascii="Times New Roman" w:eastAsia="Times New Roman" w:hAnsi="Times New Roman" w:cs="Times New Roman"/>
            <w:color w:val="1155CC"/>
            <w:u w:val="single"/>
            <w:lang w:eastAsia="en-GB"/>
          </w:rPr>
          <w:t>https://www.legislation.gov.uk/ukpga/1989/41/contents</w:t>
        </w:r>
      </w:hyperlink>
      <w:r w:rsidRPr="00B860D5">
        <w:rPr>
          <w:rFonts w:ascii="Times New Roman" w:eastAsia="Times New Roman" w:hAnsi="Times New Roman" w:cs="Times New Roman"/>
          <w:color w:val="000000"/>
          <w:lang w:eastAsia="en-GB"/>
        </w:rPr>
        <w:t>.</w:t>
      </w:r>
    </w:p>
    <w:p w14:paraId="6D7950DB" w14:textId="77777777" w:rsidR="006E79F3" w:rsidRPr="0014287F" w:rsidRDefault="006E79F3" w:rsidP="006E79F3">
      <w:pPr>
        <w:spacing w:after="240" w:line="360" w:lineRule="auto"/>
        <w:rPr>
          <w:rFonts w:ascii="Times New Roman" w:eastAsia="Times New Roman" w:hAnsi="Times New Roman" w:cs="Times New Roman"/>
          <w:lang w:eastAsia="en-GB"/>
        </w:rPr>
      </w:pPr>
      <w:r w:rsidRPr="0014287F">
        <w:rPr>
          <w:rFonts w:ascii="Times New Roman" w:eastAsia="Times New Roman" w:hAnsi="Times New Roman" w:cs="Times New Roman"/>
          <w:lang w:eastAsia="en-GB"/>
        </w:rPr>
        <w:t xml:space="preserve">Gordon, R. (2025). </w:t>
      </w:r>
      <w:r w:rsidRPr="0014287F">
        <w:rPr>
          <w:rFonts w:ascii="Times New Roman" w:eastAsia="Times New Roman" w:hAnsi="Times New Roman" w:cs="Times New Roman"/>
          <w:i/>
          <w:iCs/>
          <w:lang w:eastAsia="en-GB"/>
        </w:rPr>
        <w:t>What is a Child Centred Approach?</w:t>
      </w:r>
      <w:r w:rsidRPr="0014287F">
        <w:rPr>
          <w:rFonts w:ascii="Times New Roman" w:eastAsia="Times New Roman" w:hAnsi="Times New Roman" w:cs="Times New Roman"/>
          <w:lang w:eastAsia="en-GB"/>
        </w:rPr>
        <w:t xml:space="preserve"> [online] The Hub | High Speed Training. Available at: https://www.highspeedtraining.co.uk/hub/child-centred-approach/ [Accessed 7 July 2026].</w:t>
      </w:r>
    </w:p>
    <w:p w14:paraId="621FDBEA" w14:textId="77777777" w:rsidR="006E79F3" w:rsidRPr="0014287F" w:rsidRDefault="006E79F3" w:rsidP="006E79F3">
      <w:pPr>
        <w:spacing w:after="240" w:line="360" w:lineRule="auto"/>
        <w:rPr>
          <w:rFonts w:ascii="Times New Roman" w:eastAsia="Times New Roman" w:hAnsi="Times New Roman" w:cs="Times New Roman"/>
          <w:lang w:eastAsia="en-GB"/>
        </w:rPr>
      </w:pPr>
      <w:r w:rsidRPr="0014287F">
        <w:rPr>
          <w:rFonts w:ascii="Times New Roman" w:eastAsia="Times New Roman" w:hAnsi="Times New Roman" w:cs="Times New Roman"/>
          <w:lang w:eastAsia="en-GB"/>
        </w:rPr>
        <w:t xml:space="preserve">NSPCC (2023). </w:t>
      </w:r>
      <w:r w:rsidRPr="0014287F">
        <w:rPr>
          <w:rFonts w:ascii="Times New Roman" w:eastAsia="Times New Roman" w:hAnsi="Times New Roman" w:cs="Times New Roman"/>
          <w:i/>
          <w:iCs/>
          <w:lang w:eastAsia="en-GB"/>
        </w:rPr>
        <w:t>Recognising and responding to child abuse and neglect</w:t>
      </w:r>
      <w:r w:rsidRPr="0014287F">
        <w:rPr>
          <w:rFonts w:ascii="Times New Roman" w:eastAsia="Times New Roman" w:hAnsi="Times New Roman" w:cs="Times New Roman"/>
          <w:lang w:eastAsia="en-GB"/>
        </w:rPr>
        <w:t>. [online] NSPCC Learning. Available at: https://learning.nspcc.org.uk/child-abuse-and-neglect/recognising-and-responding-to-abuse [Accessed 7 July 2026].</w:t>
      </w:r>
    </w:p>
    <w:p w14:paraId="7B449D36" w14:textId="77777777" w:rsidR="006E79F3" w:rsidRPr="0014287F" w:rsidRDefault="006E79F3" w:rsidP="006E79F3">
      <w:pPr>
        <w:spacing w:after="240" w:line="360" w:lineRule="auto"/>
        <w:rPr>
          <w:rFonts w:ascii="Times New Roman" w:eastAsia="Times New Roman" w:hAnsi="Times New Roman" w:cs="Times New Roman"/>
          <w:lang w:eastAsia="en-GB"/>
        </w:rPr>
      </w:pPr>
      <w:r w:rsidRPr="0014287F">
        <w:rPr>
          <w:rFonts w:ascii="Times New Roman" w:eastAsia="Times New Roman" w:hAnsi="Times New Roman" w:cs="Times New Roman"/>
          <w:lang w:eastAsia="en-GB"/>
        </w:rPr>
        <w:lastRenderedPageBreak/>
        <w:t xml:space="preserve">NSPCC (2024). </w:t>
      </w:r>
      <w:r w:rsidRPr="0014287F">
        <w:rPr>
          <w:rFonts w:ascii="Times New Roman" w:eastAsia="Times New Roman" w:hAnsi="Times New Roman" w:cs="Times New Roman"/>
          <w:i/>
          <w:iCs/>
          <w:lang w:eastAsia="en-GB"/>
        </w:rPr>
        <w:t>The Voice of the child: Learning from Case Reviews</w:t>
      </w:r>
      <w:r w:rsidRPr="0014287F">
        <w:rPr>
          <w:rFonts w:ascii="Times New Roman" w:eastAsia="Times New Roman" w:hAnsi="Times New Roman" w:cs="Times New Roman"/>
          <w:lang w:eastAsia="en-GB"/>
        </w:rPr>
        <w:t>. [online] NSPCC Learning. Available at: https://learning.nspcc.org.uk/research-resources/learning-from-case-reviews/voice-child [Accessed 7 July 2026].</w:t>
      </w:r>
    </w:p>
    <w:p w14:paraId="12500E77" w14:textId="77777777" w:rsidR="006E79F3" w:rsidRPr="0014287F" w:rsidRDefault="006E79F3" w:rsidP="006E79F3">
      <w:pPr>
        <w:spacing w:after="240" w:line="360" w:lineRule="auto"/>
        <w:rPr>
          <w:rFonts w:ascii="Times New Roman" w:eastAsia="Times New Roman" w:hAnsi="Times New Roman" w:cs="Times New Roman"/>
          <w:lang w:eastAsia="en-GB"/>
        </w:rPr>
      </w:pPr>
      <w:r w:rsidRPr="0014287F">
        <w:rPr>
          <w:rFonts w:ascii="Times New Roman" w:eastAsia="Times New Roman" w:hAnsi="Times New Roman" w:cs="Times New Roman"/>
          <w:lang w:eastAsia="en-GB"/>
        </w:rPr>
        <w:t xml:space="preserve">NSPCC (2025). </w:t>
      </w:r>
      <w:r w:rsidRPr="0014287F">
        <w:rPr>
          <w:rFonts w:ascii="Times New Roman" w:eastAsia="Times New Roman" w:hAnsi="Times New Roman" w:cs="Times New Roman"/>
          <w:i/>
          <w:iCs/>
          <w:lang w:eastAsia="en-GB"/>
        </w:rPr>
        <w:t>Safeguarding children and child protection</w:t>
      </w:r>
      <w:r w:rsidRPr="0014287F">
        <w:rPr>
          <w:rFonts w:ascii="Times New Roman" w:eastAsia="Times New Roman" w:hAnsi="Times New Roman" w:cs="Times New Roman"/>
          <w:lang w:eastAsia="en-GB"/>
        </w:rPr>
        <w:t>. [online] NSPCC Learning. Available at: https://learning.nspcc.org.uk/safeguarding-child-protection [Accessed 7 July 2026].</w:t>
      </w:r>
    </w:p>
    <w:p w14:paraId="4215D132" w14:textId="77777777" w:rsidR="006E79F3" w:rsidRDefault="006E79F3"/>
    <w:sectPr w:rsidR="006E79F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7E6C0" w14:textId="77777777" w:rsidR="000A118A" w:rsidRDefault="000A118A" w:rsidP="006E79F3">
      <w:r>
        <w:separator/>
      </w:r>
    </w:p>
  </w:endnote>
  <w:endnote w:type="continuationSeparator" w:id="0">
    <w:p w14:paraId="04F209E9" w14:textId="77777777" w:rsidR="000A118A" w:rsidRDefault="000A118A" w:rsidP="006E79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8CAC08" w14:textId="77777777" w:rsidR="006E79F3" w:rsidRDefault="006E79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E310E" w14:textId="77777777" w:rsidR="006E79F3" w:rsidRDefault="006E79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1A77D" w14:textId="77777777" w:rsidR="006E79F3" w:rsidRDefault="006E7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234E2" w14:textId="77777777" w:rsidR="000A118A" w:rsidRDefault="000A118A" w:rsidP="006E79F3">
      <w:r>
        <w:separator/>
      </w:r>
    </w:p>
  </w:footnote>
  <w:footnote w:type="continuationSeparator" w:id="0">
    <w:p w14:paraId="19135817" w14:textId="77777777" w:rsidR="000A118A" w:rsidRDefault="000A118A" w:rsidP="006E79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93601" w14:textId="77777777" w:rsidR="006E79F3" w:rsidRDefault="006E79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3FB82" w14:textId="09A07B7A" w:rsidR="006E79F3" w:rsidRDefault="006E79F3">
    <w:pPr>
      <w:pStyle w:val="Header"/>
    </w:pPr>
    <w:r>
      <w:t>Student Number:2501895</w:t>
    </w:r>
  </w:p>
  <w:p w14:paraId="6CADA3D3" w14:textId="58ADE1C0" w:rsidR="006E79F3" w:rsidRDefault="006E79F3">
    <w:pPr>
      <w:pStyle w:val="Header"/>
    </w:pPr>
    <w:r>
      <w:t xml:space="preserve">Module Code: </w:t>
    </w:r>
    <w:r>
      <w:t>ECEY5011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E7788" w14:textId="77777777" w:rsidR="006E79F3" w:rsidRDefault="006E79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9F3"/>
    <w:rsid w:val="000A118A"/>
    <w:rsid w:val="006E7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F0909"/>
  <w15:chartTrackingRefBased/>
  <w15:docId w15:val="{65BCCEB0-FA28-8D4B-8569-A9A0FC08D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9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79F3"/>
    <w:pPr>
      <w:spacing w:before="100" w:beforeAutospacing="1" w:after="100" w:afterAutospacing="1"/>
    </w:pPr>
    <w:rPr>
      <w:rFonts w:ascii="Times New Roman" w:eastAsia="Times New Roman" w:hAnsi="Times New Roman" w:cs="Times New Roman"/>
      <w:lang w:eastAsia="en-GB"/>
    </w:rPr>
  </w:style>
  <w:style w:type="paragraph" w:customStyle="1" w:styleId="isselectedend">
    <w:name w:val="isselectedend"/>
    <w:basedOn w:val="Normal"/>
    <w:rsid w:val="006E79F3"/>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E79F3"/>
    <w:rPr>
      <w:b/>
      <w:bCs/>
    </w:rPr>
  </w:style>
  <w:style w:type="paragraph" w:styleId="Header">
    <w:name w:val="header"/>
    <w:basedOn w:val="Normal"/>
    <w:link w:val="HeaderChar"/>
    <w:uiPriority w:val="99"/>
    <w:unhideWhenUsed/>
    <w:rsid w:val="006E79F3"/>
    <w:pPr>
      <w:tabs>
        <w:tab w:val="center" w:pos="4513"/>
        <w:tab w:val="right" w:pos="9026"/>
      </w:tabs>
    </w:pPr>
  </w:style>
  <w:style w:type="character" w:customStyle="1" w:styleId="HeaderChar">
    <w:name w:val="Header Char"/>
    <w:basedOn w:val="DefaultParagraphFont"/>
    <w:link w:val="Header"/>
    <w:uiPriority w:val="99"/>
    <w:rsid w:val="006E79F3"/>
  </w:style>
  <w:style w:type="paragraph" w:styleId="Footer">
    <w:name w:val="footer"/>
    <w:basedOn w:val="Normal"/>
    <w:link w:val="FooterChar"/>
    <w:uiPriority w:val="99"/>
    <w:unhideWhenUsed/>
    <w:rsid w:val="006E79F3"/>
    <w:pPr>
      <w:tabs>
        <w:tab w:val="center" w:pos="4513"/>
        <w:tab w:val="right" w:pos="9026"/>
      </w:tabs>
    </w:pPr>
  </w:style>
  <w:style w:type="character" w:customStyle="1" w:styleId="FooterChar">
    <w:name w:val="Footer Char"/>
    <w:basedOn w:val="DefaultParagraphFont"/>
    <w:link w:val="Footer"/>
    <w:uiPriority w:val="99"/>
    <w:rsid w:val="006E79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contents"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legislation.gov.uk/"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1317</Words>
  <Characters>7513</Characters>
  <Application>Microsoft Office Word</Application>
  <DocSecurity>0</DocSecurity>
  <Lines>62</Lines>
  <Paragraphs>17</Paragraphs>
  <ScaleCrop>false</ScaleCrop>
  <Company/>
  <LinksUpToDate>false</LinksUpToDate>
  <CharactersWithSpaces>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cp:revision>
  <dcterms:created xsi:type="dcterms:W3CDTF">2026-07-11T19:25:00Z</dcterms:created>
  <dcterms:modified xsi:type="dcterms:W3CDTF">2026-07-11T19:27:00Z</dcterms:modified>
</cp:coreProperties>
</file>