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3707082"/>
        <w:docPartObj>
          <w:docPartGallery w:val="Table of Contents"/>
          <w:docPartUnique/>
        </w:docPartObj>
      </w:sdtPr>
      <w:sdtEndPr>
        <w:rPr>
          <w:rFonts w:asciiTheme="minorHAnsi" w:eastAsiaTheme="minorHAnsi" w:hAnsiTheme="minorHAnsi" w:cstheme="minorBidi"/>
          <w:b/>
          <w:bCs/>
          <w:noProof/>
          <w:color w:val="auto"/>
          <w:sz w:val="22"/>
          <w:szCs w:val="22"/>
          <w:lang w:val="en-PK"/>
        </w:rPr>
      </w:sdtEndPr>
      <w:sdtContent>
        <w:p w14:paraId="32DC39DF" w14:textId="5F2F7C12" w:rsidR="0045206E" w:rsidRDefault="0045206E">
          <w:pPr>
            <w:pStyle w:val="TOCHeading"/>
          </w:pPr>
          <w:r>
            <w:t>Contents</w:t>
          </w:r>
        </w:p>
        <w:p w14:paraId="103141D4" w14:textId="57E4E27D" w:rsidR="0045206E" w:rsidRDefault="0045206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30700860" w:history="1">
            <w:r w:rsidRPr="0035279D">
              <w:rPr>
                <w:rStyle w:val="Hyperlink"/>
                <w:b/>
                <w:i/>
                <w:noProof/>
              </w:rPr>
              <w:t>Executive Summary</w:t>
            </w:r>
            <w:r>
              <w:rPr>
                <w:noProof/>
                <w:webHidden/>
              </w:rPr>
              <w:tab/>
            </w:r>
            <w:r>
              <w:rPr>
                <w:noProof/>
                <w:webHidden/>
              </w:rPr>
              <w:fldChar w:fldCharType="begin"/>
            </w:r>
            <w:r>
              <w:rPr>
                <w:noProof/>
                <w:webHidden/>
              </w:rPr>
              <w:instrText xml:space="preserve"> PAGEREF _Toc130700860 \h </w:instrText>
            </w:r>
            <w:r>
              <w:rPr>
                <w:noProof/>
                <w:webHidden/>
              </w:rPr>
            </w:r>
            <w:r>
              <w:rPr>
                <w:noProof/>
                <w:webHidden/>
              </w:rPr>
              <w:fldChar w:fldCharType="separate"/>
            </w:r>
            <w:r>
              <w:rPr>
                <w:noProof/>
                <w:webHidden/>
              </w:rPr>
              <w:t>2</w:t>
            </w:r>
            <w:r>
              <w:rPr>
                <w:noProof/>
                <w:webHidden/>
              </w:rPr>
              <w:fldChar w:fldCharType="end"/>
            </w:r>
          </w:hyperlink>
        </w:p>
        <w:p w14:paraId="4CB720E1" w14:textId="14C5F0FB" w:rsidR="0045206E" w:rsidRDefault="0045206E">
          <w:pPr>
            <w:pStyle w:val="TOC1"/>
            <w:tabs>
              <w:tab w:val="right" w:leader="dot" w:pos="9016"/>
            </w:tabs>
            <w:rPr>
              <w:noProof/>
            </w:rPr>
          </w:pPr>
          <w:hyperlink w:anchor="_Toc130700861" w:history="1">
            <w:r w:rsidRPr="0035279D">
              <w:rPr>
                <w:rStyle w:val="Hyperlink"/>
                <w:b/>
                <w:i/>
                <w:noProof/>
              </w:rPr>
              <w:t>1.0 Introduction</w:t>
            </w:r>
            <w:r>
              <w:rPr>
                <w:noProof/>
                <w:webHidden/>
              </w:rPr>
              <w:tab/>
            </w:r>
            <w:r>
              <w:rPr>
                <w:noProof/>
                <w:webHidden/>
              </w:rPr>
              <w:fldChar w:fldCharType="begin"/>
            </w:r>
            <w:r>
              <w:rPr>
                <w:noProof/>
                <w:webHidden/>
              </w:rPr>
              <w:instrText xml:space="preserve"> PAGEREF _Toc130700861 \h </w:instrText>
            </w:r>
            <w:r>
              <w:rPr>
                <w:noProof/>
                <w:webHidden/>
              </w:rPr>
            </w:r>
            <w:r>
              <w:rPr>
                <w:noProof/>
                <w:webHidden/>
              </w:rPr>
              <w:fldChar w:fldCharType="separate"/>
            </w:r>
            <w:r>
              <w:rPr>
                <w:noProof/>
                <w:webHidden/>
              </w:rPr>
              <w:t>2</w:t>
            </w:r>
            <w:r>
              <w:rPr>
                <w:noProof/>
                <w:webHidden/>
              </w:rPr>
              <w:fldChar w:fldCharType="end"/>
            </w:r>
          </w:hyperlink>
        </w:p>
        <w:p w14:paraId="287540CA" w14:textId="61B57C10" w:rsidR="0045206E" w:rsidRDefault="0045206E">
          <w:pPr>
            <w:pStyle w:val="TOC1"/>
            <w:tabs>
              <w:tab w:val="right" w:leader="dot" w:pos="9016"/>
            </w:tabs>
            <w:rPr>
              <w:noProof/>
            </w:rPr>
          </w:pPr>
          <w:hyperlink w:anchor="_Toc130700862" w:history="1">
            <w:r w:rsidRPr="0035279D">
              <w:rPr>
                <w:rStyle w:val="Hyperlink"/>
                <w:b/>
                <w:i/>
                <w:noProof/>
              </w:rPr>
              <w:t>2.0 Organisational Overview</w:t>
            </w:r>
            <w:r>
              <w:rPr>
                <w:noProof/>
                <w:webHidden/>
              </w:rPr>
              <w:tab/>
            </w:r>
            <w:r>
              <w:rPr>
                <w:noProof/>
                <w:webHidden/>
              </w:rPr>
              <w:fldChar w:fldCharType="begin"/>
            </w:r>
            <w:r>
              <w:rPr>
                <w:noProof/>
                <w:webHidden/>
              </w:rPr>
              <w:instrText xml:space="preserve"> PAGEREF _Toc130700862 \h </w:instrText>
            </w:r>
            <w:r>
              <w:rPr>
                <w:noProof/>
                <w:webHidden/>
              </w:rPr>
            </w:r>
            <w:r>
              <w:rPr>
                <w:noProof/>
                <w:webHidden/>
              </w:rPr>
              <w:fldChar w:fldCharType="separate"/>
            </w:r>
            <w:r>
              <w:rPr>
                <w:noProof/>
                <w:webHidden/>
              </w:rPr>
              <w:t>3</w:t>
            </w:r>
            <w:r>
              <w:rPr>
                <w:noProof/>
                <w:webHidden/>
              </w:rPr>
              <w:fldChar w:fldCharType="end"/>
            </w:r>
          </w:hyperlink>
        </w:p>
        <w:p w14:paraId="3543522F" w14:textId="06F66DAD" w:rsidR="0045206E" w:rsidRDefault="0045206E">
          <w:pPr>
            <w:pStyle w:val="TOC1"/>
            <w:tabs>
              <w:tab w:val="right" w:leader="dot" w:pos="9016"/>
            </w:tabs>
            <w:rPr>
              <w:noProof/>
            </w:rPr>
          </w:pPr>
          <w:hyperlink w:anchor="_Toc130700863" w:history="1">
            <w:r w:rsidRPr="0035279D">
              <w:rPr>
                <w:rStyle w:val="Hyperlink"/>
                <w:b/>
                <w:i/>
                <w:noProof/>
              </w:rPr>
              <w:t>3.0 Main Discussion</w:t>
            </w:r>
            <w:r>
              <w:rPr>
                <w:noProof/>
                <w:webHidden/>
              </w:rPr>
              <w:tab/>
            </w:r>
            <w:r>
              <w:rPr>
                <w:noProof/>
                <w:webHidden/>
              </w:rPr>
              <w:fldChar w:fldCharType="begin"/>
            </w:r>
            <w:r>
              <w:rPr>
                <w:noProof/>
                <w:webHidden/>
              </w:rPr>
              <w:instrText xml:space="preserve"> PAGEREF _Toc130700863 \h </w:instrText>
            </w:r>
            <w:r>
              <w:rPr>
                <w:noProof/>
                <w:webHidden/>
              </w:rPr>
            </w:r>
            <w:r>
              <w:rPr>
                <w:noProof/>
                <w:webHidden/>
              </w:rPr>
              <w:fldChar w:fldCharType="separate"/>
            </w:r>
            <w:r>
              <w:rPr>
                <w:noProof/>
                <w:webHidden/>
              </w:rPr>
              <w:t>4</w:t>
            </w:r>
            <w:r>
              <w:rPr>
                <w:noProof/>
                <w:webHidden/>
              </w:rPr>
              <w:fldChar w:fldCharType="end"/>
            </w:r>
          </w:hyperlink>
        </w:p>
        <w:p w14:paraId="72B4B5E1" w14:textId="0B78BA24" w:rsidR="0045206E" w:rsidRDefault="0045206E">
          <w:pPr>
            <w:pStyle w:val="TOC2"/>
            <w:tabs>
              <w:tab w:val="right" w:leader="dot" w:pos="9016"/>
            </w:tabs>
            <w:rPr>
              <w:noProof/>
            </w:rPr>
          </w:pPr>
          <w:hyperlink w:anchor="_Toc130700864" w:history="1">
            <w:r w:rsidRPr="0035279D">
              <w:rPr>
                <w:rStyle w:val="Hyperlink"/>
                <w:b/>
                <w:i/>
                <w:noProof/>
              </w:rPr>
              <w:t>3.1 Priority Area: Employee Engagement</w:t>
            </w:r>
            <w:r>
              <w:rPr>
                <w:noProof/>
                <w:webHidden/>
              </w:rPr>
              <w:tab/>
            </w:r>
            <w:r>
              <w:rPr>
                <w:noProof/>
                <w:webHidden/>
              </w:rPr>
              <w:fldChar w:fldCharType="begin"/>
            </w:r>
            <w:r>
              <w:rPr>
                <w:noProof/>
                <w:webHidden/>
              </w:rPr>
              <w:instrText xml:space="preserve"> PAGEREF _Toc130700864 \h </w:instrText>
            </w:r>
            <w:r>
              <w:rPr>
                <w:noProof/>
                <w:webHidden/>
              </w:rPr>
            </w:r>
            <w:r>
              <w:rPr>
                <w:noProof/>
                <w:webHidden/>
              </w:rPr>
              <w:fldChar w:fldCharType="separate"/>
            </w:r>
            <w:r>
              <w:rPr>
                <w:noProof/>
                <w:webHidden/>
              </w:rPr>
              <w:t>4</w:t>
            </w:r>
            <w:r>
              <w:rPr>
                <w:noProof/>
                <w:webHidden/>
              </w:rPr>
              <w:fldChar w:fldCharType="end"/>
            </w:r>
          </w:hyperlink>
        </w:p>
        <w:p w14:paraId="19B26CA8" w14:textId="47D84E26" w:rsidR="0045206E" w:rsidRDefault="0045206E">
          <w:pPr>
            <w:pStyle w:val="TOC2"/>
            <w:tabs>
              <w:tab w:val="right" w:leader="dot" w:pos="9016"/>
            </w:tabs>
            <w:rPr>
              <w:noProof/>
            </w:rPr>
          </w:pPr>
          <w:hyperlink w:anchor="_Toc130700865" w:history="1">
            <w:r w:rsidRPr="0035279D">
              <w:rPr>
                <w:rStyle w:val="Hyperlink"/>
                <w:b/>
                <w:i/>
                <w:noProof/>
              </w:rPr>
              <w:t>3.2 Current Weaknesses in Employee Engagement at ACME Corporation</w:t>
            </w:r>
            <w:r>
              <w:rPr>
                <w:noProof/>
                <w:webHidden/>
              </w:rPr>
              <w:tab/>
            </w:r>
            <w:r>
              <w:rPr>
                <w:noProof/>
                <w:webHidden/>
              </w:rPr>
              <w:fldChar w:fldCharType="begin"/>
            </w:r>
            <w:r>
              <w:rPr>
                <w:noProof/>
                <w:webHidden/>
              </w:rPr>
              <w:instrText xml:space="preserve"> PAGEREF _Toc130700865 \h </w:instrText>
            </w:r>
            <w:r>
              <w:rPr>
                <w:noProof/>
                <w:webHidden/>
              </w:rPr>
            </w:r>
            <w:r>
              <w:rPr>
                <w:noProof/>
                <w:webHidden/>
              </w:rPr>
              <w:fldChar w:fldCharType="separate"/>
            </w:r>
            <w:r>
              <w:rPr>
                <w:noProof/>
                <w:webHidden/>
              </w:rPr>
              <w:t>4</w:t>
            </w:r>
            <w:r>
              <w:rPr>
                <w:noProof/>
                <w:webHidden/>
              </w:rPr>
              <w:fldChar w:fldCharType="end"/>
            </w:r>
          </w:hyperlink>
        </w:p>
        <w:p w14:paraId="6CFF1C81" w14:textId="5E760ED1" w:rsidR="0045206E" w:rsidRDefault="0045206E">
          <w:pPr>
            <w:pStyle w:val="TOC2"/>
            <w:tabs>
              <w:tab w:val="right" w:leader="dot" w:pos="9016"/>
            </w:tabs>
            <w:rPr>
              <w:noProof/>
            </w:rPr>
          </w:pPr>
          <w:hyperlink w:anchor="_Toc130700866" w:history="1">
            <w:r w:rsidRPr="0035279D">
              <w:rPr>
                <w:rStyle w:val="Hyperlink"/>
                <w:b/>
                <w:i/>
                <w:noProof/>
              </w:rPr>
              <w:t>3.3 Benefits of Improving Employee Engagement in ACME Corporation</w:t>
            </w:r>
            <w:r>
              <w:rPr>
                <w:noProof/>
                <w:webHidden/>
              </w:rPr>
              <w:tab/>
            </w:r>
            <w:r>
              <w:rPr>
                <w:noProof/>
                <w:webHidden/>
              </w:rPr>
              <w:fldChar w:fldCharType="begin"/>
            </w:r>
            <w:r>
              <w:rPr>
                <w:noProof/>
                <w:webHidden/>
              </w:rPr>
              <w:instrText xml:space="preserve"> PAGEREF _Toc130700866 \h </w:instrText>
            </w:r>
            <w:r>
              <w:rPr>
                <w:noProof/>
                <w:webHidden/>
              </w:rPr>
            </w:r>
            <w:r>
              <w:rPr>
                <w:noProof/>
                <w:webHidden/>
              </w:rPr>
              <w:fldChar w:fldCharType="separate"/>
            </w:r>
            <w:r>
              <w:rPr>
                <w:noProof/>
                <w:webHidden/>
              </w:rPr>
              <w:t>4</w:t>
            </w:r>
            <w:r>
              <w:rPr>
                <w:noProof/>
                <w:webHidden/>
              </w:rPr>
              <w:fldChar w:fldCharType="end"/>
            </w:r>
          </w:hyperlink>
        </w:p>
        <w:p w14:paraId="11F578E7" w14:textId="7E147AA4" w:rsidR="0045206E" w:rsidRDefault="0045206E">
          <w:pPr>
            <w:pStyle w:val="TOC1"/>
            <w:tabs>
              <w:tab w:val="right" w:leader="dot" w:pos="9016"/>
            </w:tabs>
            <w:rPr>
              <w:noProof/>
            </w:rPr>
          </w:pPr>
          <w:hyperlink w:anchor="_Toc130700867" w:history="1">
            <w:r w:rsidRPr="0035279D">
              <w:rPr>
                <w:rStyle w:val="Hyperlink"/>
                <w:b/>
                <w:i/>
                <w:noProof/>
              </w:rPr>
              <w:t>4.0 Conclusions</w:t>
            </w:r>
            <w:r>
              <w:rPr>
                <w:noProof/>
                <w:webHidden/>
              </w:rPr>
              <w:tab/>
            </w:r>
            <w:r>
              <w:rPr>
                <w:noProof/>
                <w:webHidden/>
              </w:rPr>
              <w:fldChar w:fldCharType="begin"/>
            </w:r>
            <w:r>
              <w:rPr>
                <w:noProof/>
                <w:webHidden/>
              </w:rPr>
              <w:instrText xml:space="preserve"> PAGEREF _Toc130700867 \h </w:instrText>
            </w:r>
            <w:r>
              <w:rPr>
                <w:noProof/>
                <w:webHidden/>
              </w:rPr>
            </w:r>
            <w:r>
              <w:rPr>
                <w:noProof/>
                <w:webHidden/>
              </w:rPr>
              <w:fldChar w:fldCharType="separate"/>
            </w:r>
            <w:r>
              <w:rPr>
                <w:noProof/>
                <w:webHidden/>
              </w:rPr>
              <w:t>5</w:t>
            </w:r>
            <w:r>
              <w:rPr>
                <w:noProof/>
                <w:webHidden/>
              </w:rPr>
              <w:fldChar w:fldCharType="end"/>
            </w:r>
          </w:hyperlink>
        </w:p>
        <w:p w14:paraId="112BE919" w14:textId="06A98C9F" w:rsidR="0045206E" w:rsidRDefault="0045206E">
          <w:pPr>
            <w:pStyle w:val="TOC1"/>
            <w:tabs>
              <w:tab w:val="right" w:leader="dot" w:pos="9016"/>
            </w:tabs>
            <w:rPr>
              <w:noProof/>
            </w:rPr>
          </w:pPr>
          <w:hyperlink w:anchor="_Toc130700868" w:history="1">
            <w:r w:rsidRPr="0035279D">
              <w:rPr>
                <w:rStyle w:val="Hyperlink"/>
                <w:b/>
                <w:i/>
                <w:noProof/>
              </w:rPr>
              <w:t>5.0 Recommendations</w:t>
            </w:r>
            <w:r>
              <w:rPr>
                <w:noProof/>
                <w:webHidden/>
              </w:rPr>
              <w:tab/>
            </w:r>
            <w:r>
              <w:rPr>
                <w:noProof/>
                <w:webHidden/>
              </w:rPr>
              <w:fldChar w:fldCharType="begin"/>
            </w:r>
            <w:r>
              <w:rPr>
                <w:noProof/>
                <w:webHidden/>
              </w:rPr>
              <w:instrText xml:space="preserve"> PAGEREF _Toc130700868 \h </w:instrText>
            </w:r>
            <w:r>
              <w:rPr>
                <w:noProof/>
                <w:webHidden/>
              </w:rPr>
            </w:r>
            <w:r>
              <w:rPr>
                <w:noProof/>
                <w:webHidden/>
              </w:rPr>
              <w:fldChar w:fldCharType="separate"/>
            </w:r>
            <w:r>
              <w:rPr>
                <w:noProof/>
                <w:webHidden/>
              </w:rPr>
              <w:t>6</w:t>
            </w:r>
            <w:r>
              <w:rPr>
                <w:noProof/>
                <w:webHidden/>
              </w:rPr>
              <w:fldChar w:fldCharType="end"/>
            </w:r>
          </w:hyperlink>
        </w:p>
        <w:p w14:paraId="5C9A19E1" w14:textId="5C0F5C22" w:rsidR="0045206E" w:rsidRDefault="0045206E">
          <w:pPr>
            <w:pStyle w:val="TOC1"/>
            <w:tabs>
              <w:tab w:val="right" w:leader="dot" w:pos="9016"/>
            </w:tabs>
            <w:rPr>
              <w:noProof/>
            </w:rPr>
          </w:pPr>
          <w:hyperlink w:anchor="_Toc130700869" w:history="1">
            <w:r w:rsidRPr="0035279D">
              <w:rPr>
                <w:rStyle w:val="Hyperlink"/>
                <w:b/>
                <w:i/>
                <w:noProof/>
                <w:lang w:val="en-US"/>
              </w:rPr>
              <w:t>References</w:t>
            </w:r>
            <w:r>
              <w:rPr>
                <w:noProof/>
                <w:webHidden/>
              </w:rPr>
              <w:tab/>
            </w:r>
            <w:r>
              <w:rPr>
                <w:noProof/>
                <w:webHidden/>
              </w:rPr>
              <w:fldChar w:fldCharType="begin"/>
            </w:r>
            <w:r>
              <w:rPr>
                <w:noProof/>
                <w:webHidden/>
              </w:rPr>
              <w:instrText xml:space="preserve"> PAGEREF _Toc130700869 \h </w:instrText>
            </w:r>
            <w:r>
              <w:rPr>
                <w:noProof/>
                <w:webHidden/>
              </w:rPr>
            </w:r>
            <w:r>
              <w:rPr>
                <w:noProof/>
                <w:webHidden/>
              </w:rPr>
              <w:fldChar w:fldCharType="separate"/>
            </w:r>
            <w:r>
              <w:rPr>
                <w:noProof/>
                <w:webHidden/>
              </w:rPr>
              <w:t>8</w:t>
            </w:r>
            <w:r>
              <w:rPr>
                <w:noProof/>
                <w:webHidden/>
              </w:rPr>
              <w:fldChar w:fldCharType="end"/>
            </w:r>
          </w:hyperlink>
        </w:p>
        <w:p w14:paraId="45A4E4B9" w14:textId="544E696E" w:rsidR="0045206E" w:rsidRDefault="0045206E">
          <w:r>
            <w:rPr>
              <w:b/>
              <w:bCs/>
              <w:noProof/>
            </w:rPr>
            <w:fldChar w:fldCharType="end"/>
          </w:r>
        </w:p>
      </w:sdtContent>
    </w:sdt>
    <w:p w14:paraId="3DD24482" w14:textId="77777777" w:rsidR="0045206E" w:rsidRDefault="0045206E" w:rsidP="00A5323B">
      <w:pPr>
        <w:pStyle w:val="Heading1"/>
        <w:rPr>
          <w:b/>
          <w:i/>
        </w:rPr>
      </w:pPr>
    </w:p>
    <w:p w14:paraId="451F1E31" w14:textId="77777777" w:rsidR="0045206E" w:rsidRDefault="0045206E">
      <w:pPr>
        <w:rPr>
          <w:rFonts w:asciiTheme="majorHAnsi" w:eastAsiaTheme="majorEastAsia" w:hAnsiTheme="majorHAnsi" w:cstheme="majorBidi"/>
          <w:b/>
          <w:i/>
          <w:color w:val="2F5496" w:themeColor="accent1" w:themeShade="BF"/>
          <w:sz w:val="32"/>
          <w:szCs w:val="32"/>
        </w:rPr>
      </w:pPr>
      <w:r>
        <w:rPr>
          <w:b/>
          <w:i/>
        </w:rPr>
        <w:br w:type="page"/>
      </w:r>
    </w:p>
    <w:p w14:paraId="4548B62A" w14:textId="469B0BC3" w:rsidR="00A5323B" w:rsidRPr="00A5323B" w:rsidRDefault="00A5323B" w:rsidP="00A5323B">
      <w:pPr>
        <w:pStyle w:val="Heading1"/>
        <w:rPr>
          <w:b/>
          <w:i/>
        </w:rPr>
      </w:pPr>
      <w:bookmarkStart w:id="0" w:name="_Toc130700860"/>
      <w:r w:rsidRPr="00A5323B">
        <w:rPr>
          <w:b/>
          <w:i/>
        </w:rPr>
        <w:lastRenderedPageBreak/>
        <w:t>Executive Summary</w:t>
      </w:r>
      <w:bookmarkEnd w:id="0"/>
    </w:p>
    <w:p w14:paraId="118135C3" w14:textId="77777777" w:rsidR="00A5323B" w:rsidRPr="0045206E" w:rsidRDefault="00A5323B" w:rsidP="00A5323B">
      <w:pPr>
        <w:rPr>
          <w:rFonts w:ascii="Arial" w:hAnsi="Arial" w:cs="Arial"/>
        </w:rPr>
      </w:pPr>
      <w:r w:rsidRPr="0045206E">
        <w:rPr>
          <w:rFonts w:ascii="Arial" w:hAnsi="Arial" w:cs="Arial"/>
        </w:rPr>
        <w:t>This report presents a comprehensive analysis of the priority area of employee engagement within the chosen multinational UK organisation, ACME Corporation. Employee engagement is a crucial element that contributes to an organisation's overall success, as it is directly linked to employee satisfaction, motivation, and productivity. By focusing on employee engagement, companies can enhance their organisational performance, reduce employee turnover, and foster a positive work environment.</w:t>
      </w:r>
    </w:p>
    <w:p w14:paraId="24F83EC7" w14:textId="77777777" w:rsidR="00A5323B" w:rsidRPr="0045206E" w:rsidRDefault="00A5323B" w:rsidP="00A5323B">
      <w:pPr>
        <w:rPr>
          <w:rFonts w:ascii="Arial" w:hAnsi="Arial" w:cs="Arial"/>
        </w:rPr>
      </w:pPr>
      <w:r w:rsidRPr="0045206E">
        <w:rPr>
          <w:rFonts w:ascii="Arial" w:hAnsi="Arial" w:cs="Arial"/>
        </w:rPr>
        <w:t>The report begins by outlining the significance of employee engagement and its impact on the organisation. It then identifies the benefits of prioritising employee engagement within ACME Corporation, which include increased productivity, higher job satisfaction, enhanced retention, improved organisational performance, and greater collaboration and innovation. These benefits serve to demonstrate the importance of addressing employee engagement issues for both the organisation and its stakeholders.</w:t>
      </w:r>
    </w:p>
    <w:p w14:paraId="628D0FF7" w14:textId="77777777" w:rsidR="00A5323B" w:rsidRPr="0045206E" w:rsidRDefault="00A5323B" w:rsidP="00A5323B">
      <w:pPr>
        <w:rPr>
          <w:rFonts w:ascii="Arial" w:hAnsi="Arial" w:cs="Arial"/>
        </w:rPr>
      </w:pPr>
      <w:r w:rsidRPr="0045206E">
        <w:rPr>
          <w:rFonts w:ascii="Arial" w:hAnsi="Arial" w:cs="Arial"/>
        </w:rPr>
        <w:t>Next, the report delves into the current weaknesses in employee engagement at ACME Corporation. The weaknesses identified include a lack of effective communication, inadequate recognition and rewards, limited opportunities for growth and development, and poor work-life balance. These shortcomings have led to decreased employee motivation, increased turnover, lower overall organisational performance, and a less desirable work environment.</w:t>
      </w:r>
    </w:p>
    <w:p w14:paraId="58AA4EFF" w14:textId="77777777" w:rsidR="00A5323B" w:rsidRPr="0045206E" w:rsidRDefault="00A5323B" w:rsidP="00A5323B">
      <w:pPr>
        <w:rPr>
          <w:rFonts w:ascii="Arial" w:hAnsi="Arial" w:cs="Arial"/>
        </w:rPr>
      </w:pPr>
      <w:r w:rsidRPr="0045206E">
        <w:rPr>
          <w:rFonts w:ascii="Arial" w:hAnsi="Arial" w:cs="Arial"/>
        </w:rPr>
        <w:t>In addition to examining the weaknesses, the report discusses the negative outcomes that have arisen due to these issues within ACME Corporation. The consequences include diminished organisational competitiveness, a higher likelihood of employee burnout, and reduced morale. These factors underscore the urgency of addressing employee engagement concerns in order to maintain the company's standing in the market and promote long-term organisational success.</w:t>
      </w:r>
    </w:p>
    <w:p w14:paraId="18A5656E" w14:textId="77777777" w:rsidR="00A5323B" w:rsidRPr="0045206E" w:rsidRDefault="00A5323B" w:rsidP="00A5323B">
      <w:pPr>
        <w:rPr>
          <w:rFonts w:ascii="Arial" w:hAnsi="Arial" w:cs="Arial"/>
        </w:rPr>
      </w:pPr>
      <w:r w:rsidRPr="0045206E">
        <w:rPr>
          <w:rFonts w:ascii="Arial" w:hAnsi="Arial" w:cs="Arial"/>
        </w:rPr>
        <w:t>Finally, the report offers feasible recommendations on how the HR function could improve employee engagement within the specific context of ACME Corporation. These recommendations include enhancing communication, recognising and rewarding employees' achievements, fostering growth and development opportunities, and promoting work-life balance. Each recommendation is presented with consideration of the organisation's needs, resources, and challenges to ensure their feasibility and effectiveness. The report also emphasises the importance of considering potential disadvantages, risks, costs, and ethical issues related to implementing these recommendations.</w:t>
      </w:r>
    </w:p>
    <w:p w14:paraId="40A19323" w14:textId="1B864A32" w:rsidR="00C764E7" w:rsidRPr="0045206E" w:rsidRDefault="00A5323B" w:rsidP="00A5323B">
      <w:pPr>
        <w:rPr>
          <w:rFonts w:ascii="Arial" w:hAnsi="Arial" w:cs="Arial"/>
        </w:rPr>
      </w:pPr>
      <w:r w:rsidRPr="0045206E">
        <w:rPr>
          <w:rFonts w:ascii="Arial" w:hAnsi="Arial" w:cs="Arial"/>
        </w:rPr>
        <w:t>In summary, this report presents a thorough analysis of the employee engagement priority area within ACME Corporation, highlighting the benefits of focusing on this area, the current weaknesses, and the negative outcomes that have resulted from these issues. Through feasible recommendations, the report offers actionable insights for the HR function to enhance employee engagement and contribute to the long-term success of the organisation.</w:t>
      </w:r>
    </w:p>
    <w:p w14:paraId="09D92926" w14:textId="6B0C4722" w:rsidR="00A5323B" w:rsidRPr="0045206E" w:rsidRDefault="00A5323B" w:rsidP="00A5323B">
      <w:pPr>
        <w:rPr>
          <w:rFonts w:ascii="Arial" w:hAnsi="Arial" w:cs="Arial"/>
        </w:rPr>
      </w:pPr>
    </w:p>
    <w:p w14:paraId="727174A4" w14:textId="77777777" w:rsidR="00A5323B" w:rsidRPr="0045206E" w:rsidRDefault="00A5323B" w:rsidP="00A5323B">
      <w:pPr>
        <w:pStyle w:val="Heading1"/>
        <w:rPr>
          <w:rFonts w:ascii="Arial" w:hAnsi="Arial" w:cs="Arial"/>
          <w:b/>
          <w:i/>
          <w:sz w:val="22"/>
          <w:szCs w:val="22"/>
        </w:rPr>
      </w:pPr>
      <w:bookmarkStart w:id="1" w:name="_Toc130700861"/>
      <w:r w:rsidRPr="0045206E">
        <w:rPr>
          <w:rFonts w:ascii="Arial" w:hAnsi="Arial" w:cs="Arial"/>
          <w:b/>
          <w:i/>
          <w:sz w:val="22"/>
          <w:szCs w:val="22"/>
        </w:rPr>
        <w:t>1.0 Introduction</w:t>
      </w:r>
      <w:bookmarkEnd w:id="1"/>
    </w:p>
    <w:p w14:paraId="05949BB0" w14:textId="382C5CF1" w:rsidR="00A5323B" w:rsidRPr="0045206E" w:rsidRDefault="00A5323B" w:rsidP="00A5323B">
      <w:pPr>
        <w:rPr>
          <w:rFonts w:ascii="Arial" w:hAnsi="Arial" w:cs="Arial"/>
        </w:rPr>
      </w:pPr>
      <w:r w:rsidRPr="0045206E">
        <w:rPr>
          <w:rFonts w:ascii="Arial" w:hAnsi="Arial" w:cs="Arial"/>
        </w:rPr>
        <w:t>Employee engagement has become increasingly important in today's rapidly changing business environment. It is a critical component of an organisation's success, directly related to employee productivity, job satisfaction, and organisational performance (</w:t>
      </w:r>
      <w:proofErr w:type="spellStart"/>
      <w:r w:rsidRPr="0045206E">
        <w:rPr>
          <w:rFonts w:ascii="Arial" w:hAnsi="Arial" w:cs="Arial"/>
        </w:rPr>
        <w:t>Mone</w:t>
      </w:r>
      <w:proofErr w:type="spellEnd"/>
      <w:r w:rsidRPr="0045206E">
        <w:rPr>
          <w:rFonts w:ascii="Arial" w:hAnsi="Arial" w:cs="Arial"/>
        </w:rPr>
        <w:t xml:space="preserve"> and London, 2018). A highly engaged workforce is more likely to be innovative, committed, and motivated, which translates into better business outcomes and a competitive advantage</w:t>
      </w:r>
      <w:r w:rsidR="0045206E" w:rsidRPr="0045206E">
        <w:rPr>
          <w:rFonts w:ascii="Arial" w:hAnsi="Arial" w:cs="Arial"/>
          <w:lang w:val="en-US"/>
        </w:rPr>
        <w:t xml:space="preserve">. </w:t>
      </w:r>
      <w:r w:rsidRPr="0045206E">
        <w:rPr>
          <w:rFonts w:ascii="Arial" w:hAnsi="Arial" w:cs="Arial"/>
        </w:rPr>
        <w:t xml:space="preserve">As organisations face various challenges such as globalisation, technological advancements, </w:t>
      </w:r>
      <w:r w:rsidRPr="0045206E">
        <w:rPr>
          <w:rFonts w:ascii="Arial" w:hAnsi="Arial" w:cs="Arial"/>
        </w:rPr>
        <w:lastRenderedPageBreak/>
        <w:t>and shifting workforce demographics, addressing employee engagement becomes paramount.</w:t>
      </w:r>
    </w:p>
    <w:p w14:paraId="312555D4" w14:textId="4648E135" w:rsidR="00A5323B" w:rsidRPr="0045206E" w:rsidRDefault="00A5323B" w:rsidP="00A5323B">
      <w:pPr>
        <w:rPr>
          <w:rFonts w:ascii="Arial" w:hAnsi="Arial" w:cs="Arial"/>
          <w:lang w:val="en-US"/>
        </w:rPr>
      </w:pPr>
      <w:r w:rsidRPr="0045206E">
        <w:rPr>
          <w:rFonts w:ascii="Arial" w:hAnsi="Arial" w:cs="Arial"/>
        </w:rPr>
        <w:t>This report aims to critically examine the employee engagement priority area within ACME Corporation and provide recommendations for improvement. The analysis will be based on a thorough review of relevant literature, organisational data, and industry best practices. By identifying the current weaknesses in employee engagement and offering feasible recommendations, the report seeks to contribute to the long-term success and sustainability of ACME Corporation</w:t>
      </w:r>
      <w:r w:rsidR="0045206E" w:rsidRPr="0045206E">
        <w:rPr>
          <w:rFonts w:ascii="Arial" w:hAnsi="Arial" w:cs="Arial"/>
          <w:lang w:val="en-US"/>
        </w:rPr>
        <w:t xml:space="preserve"> (</w:t>
      </w:r>
      <w:r w:rsidR="0045206E" w:rsidRPr="0045206E">
        <w:rPr>
          <w:rFonts w:ascii="Arial" w:hAnsi="Arial" w:cs="Arial"/>
          <w:lang w:val="en-US"/>
        </w:rPr>
        <w:t xml:space="preserve">Bailey, C., Madden, A., </w:t>
      </w:r>
      <w:proofErr w:type="spellStart"/>
      <w:r w:rsidR="0045206E" w:rsidRPr="0045206E">
        <w:rPr>
          <w:rFonts w:ascii="Arial" w:hAnsi="Arial" w:cs="Arial"/>
          <w:lang w:val="en-US"/>
        </w:rPr>
        <w:t>Alfes</w:t>
      </w:r>
      <w:proofErr w:type="spellEnd"/>
      <w:r w:rsidR="0045206E" w:rsidRPr="0045206E">
        <w:rPr>
          <w:rFonts w:ascii="Arial" w:hAnsi="Arial" w:cs="Arial"/>
          <w:lang w:val="en-US"/>
        </w:rPr>
        <w:t>, K., &amp; Fletcher, L.</w:t>
      </w:r>
      <w:r w:rsidR="0045206E" w:rsidRPr="0045206E">
        <w:rPr>
          <w:rFonts w:ascii="Arial" w:hAnsi="Arial" w:cs="Arial"/>
          <w:lang w:val="en-US"/>
        </w:rPr>
        <w:t xml:space="preserve">, </w:t>
      </w:r>
      <w:r w:rsidR="0045206E" w:rsidRPr="0045206E">
        <w:rPr>
          <w:rFonts w:ascii="Arial" w:hAnsi="Arial" w:cs="Arial"/>
          <w:lang w:val="en-US"/>
        </w:rPr>
        <w:t>2017)</w:t>
      </w:r>
      <w:r w:rsidR="0045206E" w:rsidRPr="0045206E">
        <w:rPr>
          <w:rFonts w:ascii="Arial" w:hAnsi="Arial" w:cs="Arial"/>
          <w:lang w:val="en-US"/>
        </w:rPr>
        <w:t>.</w:t>
      </w:r>
    </w:p>
    <w:p w14:paraId="005A63E9" w14:textId="77777777" w:rsidR="00A5323B" w:rsidRPr="0045206E" w:rsidRDefault="00A5323B" w:rsidP="00A5323B">
      <w:pPr>
        <w:rPr>
          <w:rFonts w:ascii="Arial" w:hAnsi="Arial" w:cs="Arial"/>
        </w:rPr>
      </w:pPr>
      <w:r w:rsidRPr="0045206E">
        <w:rPr>
          <w:rFonts w:ascii="Arial" w:hAnsi="Arial" w:cs="Arial"/>
        </w:rPr>
        <w:t>The structure of the report is as follows: Section 2 provides an overview of ACME Corporation and its HRM function; Section 3 presents the main discussion, including the identification of the priority area, current weaknesses, and the impact of these weaknesses on the organisation; Section 4 concludes the report by summarising the key findings; and Section 5 offers recommendations for improving employee engagement in ACME Corporation.</w:t>
      </w:r>
    </w:p>
    <w:p w14:paraId="26B79679" w14:textId="0DE8EDD6" w:rsidR="00A5323B" w:rsidRDefault="00A5323B" w:rsidP="00A5323B">
      <w:pPr>
        <w:pStyle w:val="Heading1"/>
        <w:rPr>
          <w:rFonts w:ascii="Arial" w:hAnsi="Arial" w:cs="Arial"/>
          <w:b/>
          <w:i/>
          <w:sz w:val="22"/>
          <w:szCs w:val="22"/>
        </w:rPr>
      </w:pPr>
      <w:bookmarkStart w:id="2" w:name="_Toc130700862"/>
      <w:r w:rsidRPr="0045206E">
        <w:rPr>
          <w:rFonts w:ascii="Arial" w:hAnsi="Arial" w:cs="Arial"/>
          <w:b/>
          <w:i/>
          <w:sz w:val="22"/>
          <w:szCs w:val="22"/>
        </w:rPr>
        <w:t>2.0 Organisational Overview</w:t>
      </w:r>
      <w:bookmarkEnd w:id="2"/>
    </w:p>
    <w:p w14:paraId="3BF8E5DC" w14:textId="444F799C" w:rsidR="00D651B0" w:rsidRPr="00D651B0" w:rsidRDefault="00D651B0" w:rsidP="00D651B0">
      <w:pPr>
        <w:jc w:val="center"/>
      </w:pPr>
      <w:r>
        <w:rPr>
          <w:noProof/>
        </w:rPr>
        <w:drawing>
          <wp:inline distT="0" distB="0" distL="0" distR="0" wp14:anchorId="4957D78A" wp14:editId="13E4094A">
            <wp:extent cx="3714750" cy="2080260"/>
            <wp:effectExtent l="0" t="0" r="0" b="0"/>
            <wp:docPr id="1" name="Picture 1" descr="C:\Users\HP\AppData\Local\Microsoft\Windows\INetCache\Content.MSO\BCC621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BCC62182.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2411" cy="2084550"/>
                    </a:xfrm>
                    <a:prstGeom prst="rect">
                      <a:avLst/>
                    </a:prstGeom>
                    <a:noFill/>
                    <a:ln>
                      <a:noFill/>
                    </a:ln>
                  </pic:spPr>
                </pic:pic>
              </a:graphicData>
            </a:graphic>
          </wp:inline>
        </w:drawing>
      </w:r>
    </w:p>
    <w:p w14:paraId="6C14559B" w14:textId="77777777" w:rsidR="00A5323B" w:rsidRPr="0045206E" w:rsidRDefault="00A5323B" w:rsidP="00A5323B">
      <w:pPr>
        <w:rPr>
          <w:rFonts w:ascii="Arial" w:hAnsi="Arial" w:cs="Arial"/>
        </w:rPr>
      </w:pPr>
      <w:r w:rsidRPr="0045206E">
        <w:rPr>
          <w:rFonts w:ascii="Arial" w:hAnsi="Arial" w:cs="Arial"/>
        </w:rPr>
        <w:t xml:space="preserve">ACME Corporation is a global technology company headquartered in London, UK, with a strong presence in Europe, North America, and Asia. Established in 1990, the company has experienced significant growth over the years and now has a workforce of 10,000 employees. ACME Corporation specialises in providing innovative technology solutions and services to businesses across various industries, including finance, healthcare, retail, and telecommunications. The company's product and service portfolio </w:t>
      </w:r>
      <w:proofErr w:type="gramStart"/>
      <w:r w:rsidRPr="0045206E">
        <w:rPr>
          <w:rFonts w:ascii="Arial" w:hAnsi="Arial" w:cs="Arial"/>
        </w:rPr>
        <w:t>includes</w:t>
      </w:r>
      <w:proofErr w:type="gramEnd"/>
      <w:r w:rsidRPr="0045206E">
        <w:rPr>
          <w:rFonts w:ascii="Arial" w:hAnsi="Arial" w:cs="Arial"/>
        </w:rPr>
        <w:t xml:space="preserve"> software development, IT consulting, data analytics, and cybersecurity.</w:t>
      </w:r>
    </w:p>
    <w:p w14:paraId="632505A1" w14:textId="77777777" w:rsidR="00A5323B" w:rsidRPr="0045206E" w:rsidRDefault="00A5323B" w:rsidP="00A5323B">
      <w:pPr>
        <w:rPr>
          <w:rFonts w:ascii="Arial" w:hAnsi="Arial" w:cs="Arial"/>
        </w:rPr>
      </w:pPr>
      <w:r w:rsidRPr="0045206E">
        <w:rPr>
          <w:rFonts w:ascii="Arial" w:hAnsi="Arial" w:cs="Arial"/>
        </w:rPr>
        <w:t>The organisation's workforce is diverse in terms of age, gender, and cultural background, which is reflective of its global presence and commitment to fostering an inclusive and supportive work environment. ACME Corporation recognises the importance of embracing diversity and inclusion, as it leads to better decision-making, increased creativity and innovation, and a more robust talent pool (Hunt et al., 2018). The company has implemented various initiatives to promote diversity and inclusion, such as unconscious bias training, employee resource groups, and flexible work arrangements.</w:t>
      </w:r>
    </w:p>
    <w:p w14:paraId="1E55E81A" w14:textId="40CFF032" w:rsidR="00A5323B" w:rsidRPr="0045206E" w:rsidRDefault="00B01A65" w:rsidP="00A5323B">
      <w:pPr>
        <w:rPr>
          <w:rFonts w:ascii="Arial" w:hAnsi="Arial" w:cs="Arial"/>
        </w:rPr>
      </w:pPr>
      <w:r w:rsidRPr="00B01A65">
        <w:rPr>
          <w:rFonts w:ascii="Arial" w:hAnsi="Arial" w:cs="Arial"/>
        </w:rPr>
        <w:t>With a committed HR staff and representation at the director level, the HRM function at ACME Company is well-established. The HR department is in charge of supervising different facets of human resource management, such as hiring and firing, training and development, performance management, and employee relations.</w:t>
      </w:r>
      <w:bookmarkStart w:id="3" w:name="_GoBack"/>
      <w:bookmarkEnd w:id="3"/>
      <w:r w:rsidR="00A5323B" w:rsidRPr="0045206E">
        <w:rPr>
          <w:rFonts w:ascii="Arial" w:hAnsi="Arial" w:cs="Arial"/>
        </w:rPr>
        <w:t>The HRM function plays a strategic role in the organisation by aligning HR policies and practices with the company's overall business objectives and ensuring a skilled, motivated, and engaged workforce.</w:t>
      </w:r>
    </w:p>
    <w:p w14:paraId="5111C342" w14:textId="597303E8" w:rsidR="00A5323B" w:rsidRPr="0045206E" w:rsidRDefault="00A5323B" w:rsidP="00A5323B">
      <w:pPr>
        <w:rPr>
          <w:rFonts w:ascii="Arial" w:hAnsi="Arial" w:cs="Arial"/>
          <w:lang w:val="en-US"/>
        </w:rPr>
      </w:pPr>
      <w:r w:rsidRPr="0045206E">
        <w:rPr>
          <w:rFonts w:ascii="Arial" w:hAnsi="Arial" w:cs="Arial"/>
        </w:rPr>
        <w:lastRenderedPageBreak/>
        <w:t>In recent years, ACME Corporation has faced challenges related to employee engagement, which has had implications for the company's performance and competitiveness. As the business landscape becomes increasingly complex and competitive, ACME Corporation recognises the need to prioritise employee engagement and invest in initiatives that foster a highly engaged and committed workforce. This report will critically evaluate the current state of employee engagement within ACME Corporation and offer recommendations for improvement, taking into account the organisation's unique context and challenges</w:t>
      </w:r>
      <w:r w:rsidR="0045206E" w:rsidRPr="0045206E">
        <w:rPr>
          <w:rFonts w:ascii="Arial" w:hAnsi="Arial" w:cs="Arial"/>
          <w:lang w:val="en-US"/>
        </w:rPr>
        <w:t xml:space="preserve"> (</w:t>
      </w:r>
      <w:r w:rsidR="0045206E" w:rsidRPr="0045206E">
        <w:rPr>
          <w:rFonts w:ascii="Arial" w:hAnsi="Arial" w:cs="Arial"/>
          <w:lang w:val="en-US"/>
        </w:rPr>
        <w:t xml:space="preserve">Van </w:t>
      </w:r>
      <w:proofErr w:type="spellStart"/>
      <w:r w:rsidR="0045206E" w:rsidRPr="0045206E">
        <w:rPr>
          <w:rFonts w:ascii="Arial" w:hAnsi="Arial" w:cs="Arial"/>
          <w:lang w:val="en-US"/>
        </w:rPr>
        <w:t>Wingerden</w:t>
      </w:r>
      <w:proofErr w:type="spellEnd"/>
      <w:r w:rsidR="0045206E" w:rsidRPr="0045206E">
        <w:rPr>
          <w:rFonts w:ascii="Arial" w:hAnsi="Arial" w:cs="Arial"/>
          <w:lang w:val="en-US"/>
        </w:rPr>
        <w:t xml:space="preserve">, J., &amp; </w:t>
      </w:r>
      <w:proofErr w:type="spellStart"/>
      <w:r w:rsidR="0045206E" w:rsidRPr="0045206E">
        <w:rPr>
          <w:rFonts w:ascii="Arial" w:hAnsi="Arial" w:cs="Arial"/>
          <w:lang w:val="en-US"/>
        </w:rPr>
        <w:t>Poell</w:t>
      </w:r>
      <w:proofErr w:type="spellEnd"/>
      <w:r w:rsidR="0045206E" w:rsidRPr="0045206E">
        <w:rPr>
          <w:rFonts w:ascii="Arial" w:hAnsi="Arial" w:cs="Arial"/>
          <w:lang w:val="en-US"/>
        </w:rPr>
        <w:t>, R. F.</w:t>
      </w:r>
      <w:r w:rsidR="0045206E" w:rsidRPr="0045206E">
        <w:rPr>
          <w:rFonts w:ascii="Arial" w:hAnsi="Arial" w:cs="Arial"/>
          <w:lang w:val="en-US"/>
        </w:rPr>
        <w:t xml:space="preserve">, </w:t>
      </w:r>
      <w:r w:rsidR="0045206E" w:rsidRPr="0045206E">
        <w:rPr>
          <w:rFonts w:ascii="Arial" w:hAnsi="Arial" w:cs="Arial"/>
          <w:lang w:val="en-US"/>
        </w:rPr>
        <w:t>2017)</w:t>
      </w:r>
      <w:r w:rsidR="0045206E" w:rsidRPr="0045206E">
        <w:rPr>
          <w:rFonts w:ascii="Arial" w:hAnsi="Arial" w:cs="Arial"/>
          <w:lang w:val="en-US"/>
        </w:rPr>
        <w:t>.</w:t>
      </w:r>
    </w:p>
    <w:p w14:paraId="748293A8" w14:textId="506786D2" w:rsidR="00A5323B" w:rsidRPr="0045206E" w:rsidRDefault="00A5323B" w:rsidP="00A5323B">
      <w:pPr>
        <w:rPr>
          <w:rFonts w:ascii="Arial" w:hAnsi="Arial" w:cs="Arial"/>
        </w:rPr>
      </w:pPr>
    </w:p>
    <w:p w14:paraId="3DC2F0BF" w14:textId="77777777" w:rsidR="00A5323B" w:rsidRPr="0045206E" w:rsidRDefault="00A5323B" w:rsidP="00A5323B">
      <w:pPr>
        <w:pStyle w:val="Heading1"/>
        <w:rPr>
          <w:rFonts w:ascii="Arial" w:hAnsi="Arial" w:cs="Arial"/>
          <w:b/>
          <w:i/>
          <w:sz w:val="22"/>
          <w:szCs w:val="22"/>
        </w:rPr>
      </w:pPr>
      <w:bookmarkStart w:id="4" w:name="_Toc130700863"/>
      <w:r w:rsidRPr="0045206E">
        <w:rPr>
          <w:rFonts w:ascii="Arial" w:hAnsi="Arial" w:cs="Arial"/>
          <w:b/>
          <w:i/>
          <w:sz w:val="22"/>
          <w:szCs w:val="22"/>
        </w:rPr>
        <w:t>3.0 Main Discussion</w:t>
      </w:r>
      <w:bookmarkEnd w:id="4"/>
    </w:p>
    <w:p w14:paraId="7A9A92E5" w14:textId="77777777" w:rsidR="00A5323B" w:rsidRPr="0045206E" w:rsidRDefault="00A5323B" w:rsidP="00A5323B">
      <w:pPr>
        <w:pStyle w:val="Heading2"/>
        <w:rPr>
          <w:rFonts w:ascii="Arial" w:hAnsi="Arial" w:cs="Arial"/>
          <w:b/>
          <w:i/>
          <w:sz w:val="22"/>
          <w:szCs w:val="22"/>
        </w:rPr>
      </w:pPr>
      <w:bookmarkStart w:id="5" w:name="_Toc130700864"/>
      <w:r w:rsidRPr="0045206E">
        <w:rPr>
          <w:rFonts w:ascii="Arial" w:hAnsi="Arial" w:cs="Arial"/>
          <w:b/>
          <w:i/>
          <w:sz w:val="22"/>
          <w:szCs w:val="22"/>
        </w:rPr>
        <w:t>3.1 Priority Area: Employee Engagement</w:t>
      </w:r>
      <w:bookmarkEnd w:id="5"/>
    </w:p>
    <w:p w14:paraId="17024E49" w14:textId="57A023DB" w:rsidR="00A5323B" w:rsidRDefault="00135A59" w:rsidP="00A5323B">
      <w:pPr>
        <w:rPr>
          <w:rFonts w:ascii="Arial" w:hAnsi="Arial" w:cs="Arial"/>
        </w:rPr>
      </w:pPr>
      <w:r w:rsidRPr="00135A59">
        <w:rPr>
          <w:rFonts w:ascii="Arial" w:hAnsi="Arial" w:cs="Arial"/>
          <w:lang w:val="en-US"/>
        </w:rPr>
        <w:t>Employee engagement is ACME Corporation's primary concern for improvement. Seeing as engaged employee are more likely to be efficient, creative, and devoted to their organizations, employee engagement is a crucial component of organizational success. Also, engaged workers are more likely to remain with their employers, which lowers turnover costs and contributes to a more seasoned and stable staff.</w:t>
      </w:r>
      <w:r w:rsidR="0045206E" w:rsidRPr="0045206E">
        <w:rPr>
          <w:rFonts w:ascii="Arial" w:hAnsi="Arial" w:cs="Arial"/>
          <w:lang w:val="en-US"/>
        </w:rPr>
        <w:t>.</w:t>
      </w:r>
      <w:r w:rsidR="00A5323B" w:rsidRPr="0045206E">
        <w:rPr>
          <w:rFonts w:ascii="Arial" w:hAnsi="Arial" w:cs="Arial"/>
        </w:rPr>
        <w:t xml:space="preserve"> </w:t>
      </w:r>
    </w:p>
    <w:p w14:paraId="2D116F93" w14:textId="0299BA77" w:rsidR="00D651B0" w:rsidRPr="0045206E" w:rsidRDefault="00D651B0" w:rsidP="00D651B0">
      <w:pPr>
        <w:jc w:val="center"/>
        <w:rPr>
          <w:rFonts w:ascii="Arial" w:hAnsi="Arial" w:cs="Arial"/>
        </w:rPr>
      </w:pPr>
      <w:r>
        <w:rPr>
          <w:rFonts w:ascii="Arial" w:hAnsi="Arial" w:cs="Arial"/>
          <w:noProof/>
        </w:rPr>
        <w:drawing>
          <wp:inline distT="0" distB="0" distL="0" distR="0" wp14:anchorId="6DD05EAF" wp14:editId="1CFECE5F">
            <wp:extent cx="3133725" cy="2296470"/>
            <wp:effectExtent l="0" t="0" r="0" b="8890"/>
            <wp:docPr id="2" name="Picture 2" descr="C:\Users\HP\AppData\Local\Microsoft\Windows\INetCache\Content.MSO\D5603C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Microsoft\Windows\INetCache\Content.MSO\D5603CE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8593" cy="2300037"/>
                    </a:xfrm>
                    <a:prstGeom prst="rect">
                      <a:avLst/>
                    </a:prstGeom>
                    <a:noFill/>
                    <a:ln>
                      <a:noFill/>
                    </a:ln>
                  </pic:spPr>
                </pic:pic>
              </a:graphicData>
            </a:graphic>
          </wp:inline>
        </w:drawing>
      </w:r>
    </w:p>
    <w:p w14:paraId="4E81F9FF" w14:textId="77777777" w:rsidR="00A5323B" w:rsidRPr="0045206E" w:rsidRDefault="00A5323B" w:rsidP="00A5323B">
      <w:pPr>
        <w:pStyle w:val="Heading2"/>
        <w:rPr>
          <w:rFonts w:ascii="Arial" w:hAnsi="Arial" w:cs="Arial"/>
          <w:b/>
          <w:i/>
          <w:sz w:val="22"/>
          <w:szCs w:val="22"/>
        </w:rPr>
      </w:pPr>
      <w:bookmarkStart w:id="6" w:name="_Toc130700865"/>
      <w:r w:rsidRPr="0045206E">
        <w:rPr>
          <w:rFonts w:ascii="Arial" w:hAnsi="Arial" w:cs="Arial"/>
          <w:b/>
          <w:i/>
          <w:sz w:val="22"/>
          <w:szCs w:val="22"/>
        </w:rPr>
        <w:t>3.2 Current Weaknesses in Employee Engagement at ACME Corporation</w:t>
      </w:r>
      <w:bookmarkEnd w:id="6"/>
    </w:p>
    <w:p w14:paraId="6B607D4E" w14:textId="77777777" w:rsidR="00A5323B" w:rsidRPr="0045206E" w:rsidRDefault="00A5323B" w:rsidP="00A5323B">
      <w:pPr>
        <w:rPr>
          <w:rFonts w:ascii="Arial" w:hAnsi="Arial" w:cs="Arial"/>
        </w:rPr>
      </w:pPr>
      <w:r w:rsidRPr="0045206E">
        <w:rPr>
          <w:rFonts w:ascii="Arial" w:hAnsi="Arial" w:cs="Arial"/>
        </w:rPr>
        <w:t>There are several weaknesses in employee engagement at ACME Corporation that need to be addressed. These include:</w:t>
      </w:r>
    </w:p>
    <w:p w14:paraId="6FB41916" w14:textId="6C037F3A" w:rsidR="00A5323B" w:rsidRPr="0045206E" w:rsidRDefault="00A5323B" w:rsidP="00A5323B">
      <w:pPr>
        <w:rPr>
          <w:rFonts w:ascii="Arial" w:hAnsi="Arial" w:cs="Arial"/>
        </w:rPr>
      </w:pPr>
      <w:r w:rsidRPr="0045206E">
        <w:rPr>
          <w:rFonts w:ascii="Arial" w:hAnsi="Arial" w:cs="Arial"/>
        </w:rPr>
        <w:t>1.</w:t>
      </w:r>
      <w:r w:rsidRPr="0045206E">
        <w:rPr>
          <w:rFonts w:ascii="Arial" w:hAnsi="Arial" w:cs="Arial"/>
          <w:lang w:val="en-US"/>
        </w:rPr>
        <w:t xml:space="preserve"> </w:t>
      </w:r>
      <w:r w:rsidRPr="0045206E">
        <w:rPr>
          <w:rFonts w:ascii="Arial" w:hAnsi="Arial" w:cs="Arial"/>
        </w:rPr>
        <w:t>Lack of effective communication: Employees at ACME Corporation often feel disconnected from the company's overall goals and objectives due to insufficient communication. This lack of communication can lead to misunderstandings, confusion, and frustration among employees, which in turn can negatively impact their engagement levels.</w:t>
      </w:r>
    </w:p>
    <w:p w14:paraId="6B3355A7" w14:textId="489D7D72" w:rsidR="00A5323B" w:rsidRPr="0045206E" w:rsidRDefault="00A5323B" w:rsidP="00A5323B">
      <w:pPr>
        <w:rPr>
          <w:rFonts w:ascii="Arial" w:hAnsi="Arial" w:cs="Arial"/>
          <w:lang w:val="en-US"/>
        </w:rPr>
      </w:pPr>
      <w:r w:rsidRPr="0045206E">
        <w:rPr>
          <w:rFonts w:ascii="Arial" w:hAnsi="Arial" w:cs="Arial"/>
        </w:rPr>
        <w:t>2.</w:t>
      </w:r>
      <w:r w:rsidRPr="0045206E">
        <w:rPr>
          <w:rFonts w:ascii="Arial" w:hAnsi="Arial" w:cs="Arial"/>
          <w:lang w:val="en-US"/>
        </w:rPr>
        <w:t xml:space="preserve"> </w:t>
      </w:r>
      <w:r w:rsidRPr="0045206E">
        <w:rPr>
          <w:rFonts w:ascii="Arial" w:hAnsi="Arial" w:cs="Arial"/>
        </w:rPr>
        <w:t xml:space="preserve">Inadequate recognition and rewards: Employees at ACME Corporation report feeling undervalued and unappreciated for their hard work and contributions. The current recognition and rewards system </w:t>
      </w:r>
      <w:proofErr w:type="gramStart"/>
      <w:r w:rsidRPr="0045206E">
        <w:rPr>
          <w:rFonts w:ascii="Arial" w:hAnsi="Arial" w:cs="Arial"/>
        </w:rPr>
        <w:t>does</w:t>
      </w:r>
      <w:proofErr w:type="gramEnd"/>
      <w:r w:rsidRPr="0045206E">
        <w:rPr>
          <w:rFonts w:ascii="Arial" w:hAnsi="Arial" w:cs="Arial"/>
        </w:rPr>
        <w:t xml:space="preserve"> not adequately acknowledge employees' efforts, leading to decreased motivation and commitment</w:t>
      </w:r>
      <w:r w:rsidR="0045206E" w:rsidRPr="0045206E">
        <w:rPr>
          <w:rFonts w:ascii="Arial" w:hAnsi="Arial" w:cs="Arial"/>
          <w:lang w:val="en-US"/>
        </w:rPr>
        <w:t xml:space="preserve"> (</w:t>
      </w:r>
      <w:r w:rsidR="0045206E" w:rsidRPr="0045206E">
        <w:rPr>
          <w:rFonts w:ascii="Arial" w:hAnsi="Arial" w:cs="Arial"/>
          <w:lang w:val="en-US"/>
        </w:rPr>
        <w:t>Tuckey, M. R., Bakker, A. B., &amp; Dollard, M. F.</w:t>
      </w:r>
      <w:r w:rsidR="0045206E" w:rsidRPr="0045206E">
        <w:rPr>
          <w:rFonts w:ascii="Arial" w:hAnsi="Arial" w:cs="Arial"/>
          <w:lang w:val="en-US"/>
        </w:rPr>
        <w:t xml:space="preserve">, </w:t>
      </w:r>
      <w:r w:rsidR="0045206E" w:rsidRPr="0045206E">
        <w:rPr>
          <w:rFonts w:ascii="Arial" w:hAnsi="Arial" w:cs="Arial"/>
          <w:lang w:val="en-US"/>
        </w:rPr>
        <w:t>2012).</w:t>
      </w:r>
    </w:p>
    <w:p w14:paraId="2B69E0D4" w14:textId="03E95D66" w:rsidR="00A5323B" w:rsidRPr="0045206E" w:rsidRDefault="00A5323B" w:rsidP="00A5323B">
      <w:pPr>
        <w:rPr>
          <w:rFonts w:ascii="Arial" w:hAnsi="Arial" w:cs="Arial"/>
        </w:rPr>
      </w:pPr>
      <w:r w:rsidRPr="0045206E">
        <w:rPr>
          <w:rFonts w:ascii="Arial" w:hAnsi="Arial" w:cs="Arial"/>
        </w:rPr>
        <w:t>3.</w:t>
      </w:r>
      <w:r w:rsidRPr="0045206E">
        <w:rPr>
          <w:rFonts w:ascii="Arial" w:hAnsi="Arial" w:cs="Arial"/>
          <w:lang w:val="en-US"/>
        </w:rPr>
        <w:t xml:space="preserve"> </w:t>
      </w:r>
      <w:r w:rsidRPr="0045206E">
        <w:rPr>
          <w:rFonts w:ascii="Arial" w:hAnsi="Arial" w:cs="Arial"/>
        </w:rPr>
        <w:t>Limited opportunities for growth and development: Many employees at ACME Corporation perceive a lack of opportunities for personal and professional growth within the company. This perception may lead to stagnation, reduced motivation, and decreased commitment to the organisation, as employees seek opportunities for growth and development elsewhere.</w:t>
      </w:r>
    </w:p>
    <w:p w14:paraId="17E2F3EB" w14:textId="58F03716" w:rsidR="00A5323B" w:rsidRPr="0045206E" w:rsidRDefault="00A5323B" w:rsidP="00A5323B">
      <w:pPr>
        <w:rPr>
          <w:rFonts w:ascii="Arial" w:hAnsi="Arial" w:cs="Arial"/>
        </w:rPr>
      </w:pPr>
      <w:r w:rsidRPr="0045206E">
        <w:rPr>
          <w:rFonts w:ascii="Arial" w:hAnsi="Arial" w:cs="Arial"/>
        </w:rPr>
        <w:lastRenderedPageBreak/>
        <w:t>4.</w:t>
      </w:r>
      <w:r w:rsidRPr="0045206E">
        <w:rPr>
          <w:rFonts w:ascii="Arial" w:hAnsi="Arial" w:cs="Arial"/>
          <w:lang w:val="en-US"/>
        </w:rPr>
        <w:t xml:space="preserve"> </w:t>
      </w:r>
      <w:r w:rsidRPr="0045206E">
        <w:rPr>
          <w:rFonts w:ascii="Arial" w:hAnsi="Arial" w:cs="Arial"/>
        </w:rPr>
        <w:t>Poor work-life balance: The demanding nature of work at ACME Corporation, combined with the expectation to be constantly connected and available, has led to an imbalance between employees' work and personal lives. This imbalance can result in increased stress, burnout, and disengagement among employees.</w:t>
      </w:r>
    </w:p>
    <w:p w14:paraId="78B43C1C" w14:textId="4948424E" w:rsidR="00A5323B" w:rsidRPr="0045206E" w:rsidRDefault="00A5323B" w:rsidP="00A5323B">
      <w:pPr>
        <w:rPr>
          <w:rFonts w:ascii="Arial" w:hAnsi="Arial" w:cs="Arial"/>
          <w:lang w:val="en-US"/>
        </w:rPr>
      </w:pPr>
      <w:r w:rsidRPr="0045206E">
        <w:rPr>
          <w:rFonts w:ascii="Arial" w:hAnsi="Arial" w:cs="Arial"/>
        </w:rPr>
        <w:t>These shortcomings in employee engagement at ACME Corporation have led to decreased employee motivation, increased turnover, and lower overall organisational performance. Addressing these weaknesses is essential for the company to maintain its competitive edge and ensure long-term success</w:t>
      </w:r>
      <w:r w:rsidR="0045206E" w:rsidRPr="0045206E">
        <w:rPr>
          <w:rFonts w:ascii="Arial" w:hAnsi="Arial" w:cs="Arial"/>
          <w:lang w:val="en-US"/>
        </w:rPr>
        <w:t xml:space="preserve"> (</w:t>
      </w:r>
      <w:r w:rsidR="0045206E" w:rsidRPr="0045206E">
        <w:rPr>
          <w:rFonts w:ascii="Arial" w:hAnsi="Arial" w:cs="Arial"/>
          <w:lang w:val="en-US"/>
        </w:rPr>
        <w:t>Leiter, M. P., &amp; Maslach, C.</w:t>
      </w:r>
      <w:r w:rsidR="0045206E" w:rsidRPr="0045206E">
        <w:rPr>
          <w:rFonts w:ascii="Arial" w:hAnsi="Arial" w:cs="Arial"/>
          <w:lang w:val="en-US"/>
        </w:rPr>
        <w:t xml:space="preserve">, </w:t>
      </w:r>
      <w:r w:rsidR="0045206E" w:rsidRPr="0045206E">
        <w:rPr>
          <w:rFonts w:ascii="Arial" w:hAnsi="Arial" w:cs="Arial"/>
          <w:lang w:val="en-US"/>
        </w:rPr>
        <w:t>2017)</w:t>
      </w:r>
      <w:r w:rsidR="0045206E" w:rsidRPr="0045206E">
        <w:rPr>
          <w:rFonts w:ascii="Arial" w:hAnsi="Arial" w:cs="Arial"/>
          <w:lang w:val="en-US"/>
        </w:rPr>
        <w:t>.</w:t>
      </w:r>
    </w:p>
    <w:p w14:paraId="3572F1CA" w14:textId="77777777" w:rsidR="00A5323B" w:rsidRPr="0045206E" w:rsidRDefault="00A5323B" w:rsidP="00A5323B">
      <w:pPr>
        <w:pStyle w:val="Heading2"/>
        <w:rPr>
          <w:rFonts w:ascii="Arial" w:hAnsi="Arial" w:cs="Arial"/>
          <w:b/>
          <w:i/>
          <w:sz w:val="22"/>
          <w:szCs w:val="22"/>
        </w:rPr>
      </w:pPr>
      <w:bookmarkStart w:id="7" w:name="_Toc130700866"/>
      <w:r w:rsidRPr="0045206E">
        <w:rPr>
          <w:rFonts w:ascii="Arial" w:hAnsi="Arial" w:cs="Arial"/>
          <w:b/>
          <w:i/>
          <w:sz w:val="22"/>
          <w:szCs w:val="22"/>
        </w:rPr>
        <w:t>3.3 Benefits of Improving Employee Engagement in ACME Corporation</w:t>
      </w:r>
      <w:bookmarkEnd w:id="7"/>
    </w:p>
    <w:p w14:paraId="08956156" w14:textId="13638E25" w:rsidR="00D651B0" w:rsidRPr="00D651B0" w:rsidRDefault="00A5323B" w:rsidP="00A5323B">
      <w:pPr>
        <w:rPr>
          <w:rFonts w:ascii="Arial" w:hAnsi="Arial" w:cs="Arial"/>
          <w:lang w:val="en-US"/>
        </w:rPr>
      </w:pPr>
      <w:r w:rsidRPr="0045206E">
        <w:rPr>
          <w:rFonts w:ascii="Arial" w:hAnsi="Arial" w:cs="Arial"/>
        </w:rPr>
        <w:t>There are numerous benefits to improving employee engagement in ACME Corporation, both for the organisation and its employees</w:t>
      </w:r>
      <w:r w:rsidR="00D651B0">
        <w:rPr>
          <w:rFonts w:ascii="Arial" w:hAnsi="Arial" w:cs="Arial"/>
          <w:lang w:val="en-US"/>
        </w:rPr>
        <w:t>.</w:t>
      </w:r>
    </w:p>
    <w:p w14:paraId="77B12AF4" w14:textId="77777777" w:rsidR="00D651B0" w:rsidRDefault="00D651B0" w:rsidP="00D651B0">
      <w:pPr>
        <w:jc w:val="center"/>
        <w:rPr>
          <w:rFonts w:ascii="Arial" w:hAnsi="Arial" w:cs="Arial"/>
        </w:rPr>
      </w:pPr>
      <w:r>
        <w:rPr>
          <w:noProof/>
        </w:rPr>
        <w:drawing>
          <wp:inline distT="0" distB="0" distL="0" distR="0" wp14:anchorId="1ECA03E7" wp14:editId="38DCA00A">
            <wp:extent cx="4418460" cy="2414831"/>
            <wp:effectExtent l="0" t="0" r="1270" b="5080"/>
            <wp:docPr id="3" name="Picture 3" descr="Employee Engagement Survey Provider | Employee Engagement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Engagement Survey Provider | Employee Engagement Surve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6763" cy="2430300"/>
                    </a:xfrm>
                    <a:prstGeom prst="rect">
                      <a:avLst/>
                    </a:prstGeom>
                    <a:noFill/>
                    <a:ln>
                      <a:noFill/>
                    </a:ln>
                  </pic:spPr>
                </pic:pic>
              </a:graphicData>
            </a:graphic>
          </wp:inline>
        </w:drawing>
      </w:r>
    </w:p>
    <w:p w14:paraId="73379650" w14:textId="77777777" w:rsidR="00D651B0" w:rsidRDefault="00D651B0" w:rsidP="00D651B0">
      <w:pPr>
        <w:rPr>
          <w:rFonts w:ascii="Arial" w:hAnsi="Arial" w:cs="Arial"/>
        </w:rPr>
      </w:pPr>
    </w:p>
    <w:p w14:paraId="15B2905A" w14:textId="62C9CFD9" w:rsidR="00A5323B" w:rsidRPr="0045206E" w:rsidRDefault="00A5323B" w:rsidP="00D651B0">
      <w:pPr>
        <w:rPr>
          <w:rFonts w:ascii="Arial" w:hAnsi="Arial" w:cs="Arial"/>
        </w:rPr>
      </w:pPr>
      <w:r w:rsidRPr="0045206E">
        <w:rPr>
          <w:rFonts w:ascii="Arial" w:hAnsi="Arial" w:cs="Arial"/>
        </w:rPr>
        <w:t>These benefits include:</w:t>
      </w:r>
    </w:p>
    <w:p w14:paraId="7E58887C" w14:textId="740DE43A" w:rsidR="00A5323B" w:rsidRPr="0045206E" w:rsidRDefault="00A5323B" w:rsidP="00A5323B">
      <w:pPr>
        <w:rPr>
          <w:rFonts w:ascii="Arial" w:hAnsi="Arial" w:cs="Arial"/>
        </w:rPr>
      </w:pPr>
      <w:r w:rsidRPr="0045206E">
        <w:rPr>
          <w:rFonts w:ascii="Arial" w:hAnsi="Arial" w:cs="Arial"/>
        </w:rPr>
        <w:t>1</w:t>
      </w:r>
      <w:r w:rsidRPr="0045206E">
        <w:rPr>
          <w:rFonts w:ascii="Arial" w:hAnsi="Arial" w:cs="Arial"/>
          <w:lang w:val="en-US"/>
        </w:rPr>
        <w:t>.  I</w:t>
      </w:r>
      <w:proofErr w:type="spellStart"/>
      <w:r w:rsidRPr="0045206E">
        <w:rPr>
          <w:rFonts w:ascii="Arial" w:hAnsi="Arial" w:cs="Arial"/>
        </w:rPr>
        <w:t>ncreased</w:t>
      </w:r>
      <w:proofErr w:type="spellEnd"/>
      <w:r w:rsidRPr="0045206E">
        <w:rPr>
          <w:rFonts w:ascii="Arial" w:hAnsi="Arial" w:cs="Arial"/>
        </w:rPr>
        <w:t xml:space="preserve"> productivity: Engaged employees are more focused, motivated, and committed to their work, leading to higher levels of productivity. This increased productivity can contribute to the overall growth and success of the organisation.</w:t>
      </w:r>
    </w:p>
    <w:p w14:paraId="2578FB4E" w14:textId="7857D117" w:rsidR="00A5323B" w:rsidRPr="0045206E" w:rsidRDefault="00A5323B" w:rsidP="00A5323B">
      <w:pPr>
        <w:rPr>
          <w:rFonts w:ascii="Arial" w:hAnsi="Arial" w:cs="Arial"/>
          <w:lang w:val="en-US"/>
        </w:rPr>
      </w:pPr>
      <w:r w:rsidRPr="0045206E">
        <w:rPr>
          <w:rFonts w:ascii="Arial" w:hAnsi="Arial" w:cs="Arial"/>
        </w:rPr>
        <w:t>2.</w:t>
      </w:r>
      <w:r w:rsidRPr="0045206E">
        <w:rPr>
          <w:rFonts w:ascii="Arial" w:hAnsi="Arial" w:cs="Arial"/>
          <w:lang w:val="en-US"/>
        </w:rPr>
        <w:t xml:space="preserve"> </w:t>
      </w:r>
      <w:r w:rsidRPr="0045206E">
        <w:rPr>
          <w:rFonts w:ascii="Arial" w:hAnsi="Arial" w:cs="Arial"/>
        </w:rPr>
        <w:t>Higher job satisfaction: When employees feel engaged, they are more likely to be satisfied with their jobs. Higher job satisfaction is linked to increased commitment to the organisation, reduced turnover, and improved overall job performance</w:t>
      </w:r>
      <w:r w:rsidR="0045206E" w:rsidRPr="0045206E">
        <w:rPr>
          <w:rFonts w:ascii="Arial" w:hAnsi="Arial" w:cs="Arial"/>
          <w:lang w:val="en-US"/>
        </w:rPr>
        <w:t xml:space="preserve"> (</w:t>
      </w:r>
      <w:r w:rsidR="0045206E" w:rsidRPr="0045206E">
        <w:rPr>
          <w:rFonts w:ascii="Arial" w:hAnsi="Arial" w:cs="Arial"/>
          <w:lang w:val="en-US"/>
        </w:rPr>
        <w:t>Khan, N., &amp; Du, J.</w:t>
      </w:r>
      <w:r w:rsidR="0045206E" w:rsidRPr="0045206E">
        <w:rPr>
          <w:rFonts w:ascii="Arial" w:hAnsi="Arial" w:cs="Arial"/>
          <w:lang w:val="en-US"/>
        </w:rPr>
        <w:t xml:space="preserve">, </w:t>
      </w:r>
      <w:r w:rsidR="0045206E" w:rsidRPr="0045206E">
        <w:rPr>
          <w:rFonts w:ascii="Arial" w:hAnsi="Arial" w:cs="Arial"/>
          <w:lang w:val="en-US"/>
        </w:rPr>
        <w:t>2021).</w:t>
      </w:r>
    </w:p>
    <w:p w14:paraId="2D4D955C" w14:textId="2241D0CE" w:rsidR="00A5323B" w:rsidRPr="0045206E" w:rsidRDefault="00A5323B" w:rsidP="00A5323B">
      <w:pPr>
        <w:rPr>
          <w:rFonts w:ascii="Arial" w:hAnsi="Arial" w:cs="Arial"/>
        </w:rPr>
      </w:pPr>
      <w:r w:rsidRPr="0045206E">
        <w:rPr>
          <w:rFonts w:ascii="Arial" w:hAnsi="Arial" w:cs="Arial"/>
        </w:rPr>
        <w:t>3.</w:t>
      </w:r>
      <w:r w:rsidRPr="0045206E">
        <w:rPr>
          <w:rFonts w:ascii="Arial" w:hAnsi="Arial" w:cs="Arial"/>
          <w:lang w:val="en-US"/>
        </w:rPr>
        <w:t xml:space="preserve"> </w:t>
      </w:r>
      <w:r w:rsidRPr="0045206E">
        <w:rPr>
          <w:rFonts w:ascii="Arial" w:hAnsi="Arial" w:cs="Arial"/>
        </w:rPr>
        <w:t>Enhanced retention: Engaged employees are more likely to stay with their organisations, reducing turnover costs and contributing to a more stable and experienced workforce. This stability can lead to improved organisational performance and a stronger competitive position in the market.</w:t>
      </w:r>
    </w:p>
    <w:p w14:paraId="1467C2D7" w14:textId="38ED0C87" w:rsidR="00A5323B" w:rsidRPr="0045206E" w:rsidRDefault="00A5323B" w:rsidP="00A5323B">
      <w:pPr>
        <w:rPr>
          <w:rFonts w:ascii="Arial" w:hAnsi="Arial" w:cs="Arial"/>
          <w:lang w:val="en-US"/>
        </w:rPr>
      </w:pPr>
      <w:r w:rsidRPr="0045206E">
        <w:rPr>
          <w:rFonts w:ascii="Arial" w:hAnsi="Arial" w:cs="Arial"/>
        </w:rPr>
        <w:t>4.</w:t>
      </w:r>
      <w:r w:rsidRPr="0045206E">
        <w:rPr>
          <w:rFonts w:ascii="Arial" w:hAnsi="Arial" w:cs="Arial"/>
          <w:lang w:val="en-US"/>
        </w:rPr>
        <w:t xml:space="preserve"> </w:t>
      </w:r>
      <w:r w:rsidRPr="0045206E">
        <w:rPr>
          <w:rFonts w:ascii="Arial" w:hAnsi="Arial" w:cs="Arial"/>
        </w:rPr>
        <w:t>Improved organisational performance: Engaged employees contribute to a positive work environment, fostering collaboration and innovation. This collaborative and innovative culture can lead to better decision-making, more effective problem-solving, and improved overall organisational performance</w:t>
      </w:r>
      <w:r w:rsidR="0045206E" w:rsidRPr="0045206E">
        <w:rPr>
          <w:rFonts w:ascii="Arial" w:hAnsi="Arial" w:cs="Arial"/>
          <w:lang w:val="en-US"/>
        </w:rPr>
        <w:t xml:space="preserve"> (</w:t>
      </w:r>
      <w:proofErr w:type="spellStart"/>
      <w:r w:rsidR="0045206E" w:rsidRPr="0045206E">
        <w:rPr>
          <w:rFonts w:ascii="Arial" w:hAnsi="Arial" w:cs="Arial"/>
          <w:lang w:val="en-US"/>
        </w:rPr>
        <w:t>Beriker</w:t>
      </w:r>
      <w:proofErr w:type="spellEnd"/>
      <w:r w:rsidR="0045206E" w:rsidRPr="0045206E">
        <w:rPr>
          <w:rFonts w:ascii="Arial" w:hAnsi="Arial" w:cs="Arial"/>
          <w:lang w:val="en-US"/>
        </w:rPr>
        <w:t xml:space="preserve">, G., &amp; </w:t>
      </w:r>
      <w:proofErr w:type="spellStart"/>
      <w:r w:rsidR="0045206E" w:rsidRPr="0045206E">
        <w:rPr>
          <w:rFonts w:ascii="Arial" w:hAnsi="Arial" w:cs="Arial"/>
          <w:lang w:val="en-US"/>
        </w:rPr>
        <w:t>Dedeoğlu</w:t>
      </w:r>
      <w:proofErr w:type="spellEnd"/>
      <w:r w:rsidR="0045206E" w:rsidRPr="0045206E">
        <w:rPr>
          <w:rFonts w:ascii="Arial" w:hAnsi="Arial" w:cs="Arial"/>
          <w:lang w:val="en-US"/>
        </w:rPr>
        <w:t>, S.</w:t>
      </w:r>
      <w:r w:rsidR="0045206E" w:rsidRPr="0045206E">
        <w:rPr>
          <w:rFonts w:ascii="Arial" w:hAnsi="Arial" w:cs="Arial"/>
          <w:lang w:val="en-US"/>
        </w:rPr>
        <w:t xml:space="preserve">, </w:t>
      </w:r>
      <w:r w:rsidR="0045206E" w:rsidRPr="0045206E">
        <w:rPr>
          <w:rFonts w:ascii="Arial" w:hAnsi="Arial" w:cs="Arial"/>
          <w:lang w:val="en-US"/>
        </w:rPr>
        <w:t>2020</w:t>
      </w:r>
      <w:r w:rsidR="0045206E" w:rsidRPr="0045206E">
        <w:rPr>
          <w:rFonts w:ascii="Arial" w:hAnsi="Arial" w:cs="Arial"/>
          <w:lang w:val="en-US"/>
        </w:rPr>
        <w:t>).</w:t>
      </w:r>
    </w:p>
    <w:p w14:paraId="6BAA7277" w14:textId="653E515B" w:rsidR="00A5323B" w:rsidRPr="0045206E" w:rsidRDefault="00A5323B" w:rsidP="00A5323B">
      <w:pPr>
        <w:rPr>
          <w:rFonts w:ascii="Arial" w:hAnsi="Arial" w:cs="Arial"/>
        </w:rPr>
      </w:pPr>
      <w:r w:rsidRPr="0045206E">
        <w:rPr>
          <w:rFonts w:ascii="Arial" w:hAnsi="Arial" w:cs="Arial"/>
        </w:rPr>
        <w:t>5.</w:t>
      </w:r>
      <w:r w:rsidRPr="0045206E">
        <w:rPr>
          <w:rFonts w:ascii="Arial" w:hAnsi="Arial" w:cs="Arial"/>
          <w:lang w:val="en-US"/>
        </w:rPr>
        <w:t xml:space="preserve"> </w:t>
      </w:r>
      <w:r w:rsidRPr="0045206E">
        <w:rPr>
          <w:rFonts w:ascii="Arial" w:hAnsi="Arial" w:cs="Arial"/>
        </w:rPr>
        <w:t>Positive work environment: Improving employee engagement can lead to a more positive work environment, where employees feel valued, supported, and connected to the organisation. This positive environment can, in turn, attract and retain top talent, further contributing to the organisation's success.</w:t>
      </w:r>
    </w:p>
    <w:p w14:paraId="2EAC0A9F" w14:textId="22C3F4EA" w:rsidR="00A5323B" w:rsidRPr="0045206E" w:rsidRDefault="00A5323B" w:rsidP="00A5323B">
      <w:pPr>
        <w:rPr>
          <w:rFonts w:ascii="Arial" w:hAnsi="Arial" w:cs="Arial"/>
        </w:rPr>
      </w:pPr>
      <w:r w:rsidRPr="0045206E">
        <w:rPr>
          <w:rFonts w:ascii="Arial" w:hAnsi="Arial" w:cs="Arial"/>
        </w:rPr>
        <w:lastRenderedPageBreak/>
        <w:t>By addressing the current weaknesses in employee engagement and focusing on creating a more engaged and committed workforce, ACME Corporation can expect to reap these benefits and ultimately improve its overall performance and competitiveness in the market.</w:t>
      </w:r>
    </w:p>
    <w:p w14:paraId="52977B37" w14:textId="185ECE64" w:rsidR="00A5323B" w:rsidRPr="0045206E" w:rsidRDefault="00A5323B" w:rsidP="00A5323B">
      <w:pPr>
        <w:rPr>
          <w:rFonts w:ascii="Arial" w:hAnsi="Arial" w:cs="Arial"/>
        </w:rPr>
      </w:pPr>
    </w:p>
    <w:p w14:paraId="16BFE62A" w14:textId="77777777" w:rsidR="00A5323B" w:rsidRPr="0045206E" w:rsidRDefault="00A5323B" w:rsidP="00A5323B">
      <w:pPr>
        <w:pStyle w:val="Heading1"/>
        <w:rPr>
          <w:rFonts w:ascii="Arial" w:hAnsi="Arial" w:cs="Arial"/>
          <w:b/>
          <w:i/>
          <w:sz w:val="22"/>
          <w:szCs w:val="22"/>
        </w:rPr>
      </w:pPr>
      <w:bookmarkStart w:id="8" w:name="_Toc130700867"/>
      <w:r w:rsidRPr="0045206E">
        <w:rPr>
          <w:rFonts w:ascii="Arial" w:hAnsi="Arial" w:cs="Arial"/>
          <w:b/>
          <w:i/>
          <w:sz w:val="22"/>
          <w:szCs w:val="22"/>
        </w:rPr>
        <w:t>4.0 Conclusions</w:t>
      </w:r>
      <w:bookmarkEnd w:id="8"/>
    </w:p>
    <w:p w14:paraId="5AED968C" w14:textId="77777777" w:rsidR="00A5323B" w:rsidRPr="0045206E" w:rsidRDefault="00A5323B" w:rsidP="00A5323B">
      <w:pPr>
        <w:rPr>
          <w:rFonts w:ascii="Arial" w:hAnsi="Arial" w:cs="Arial"/>
        </w:rPr>
      </w:pPr>
      <w:r w:rsidRPr="0045206E">
        <w:rPr>
          <w:rFonts w:ascii="Arial" w:hAnsi="Arial" w:cs="Arial"/>
        </w:rPr>
        <w:t>This report has highlighted the crucial need for ACME Corporation to address the current weaknesses in employee engagement to maintain its competitive edge and ensure long-term organisational success. The analysis conducted in this report indicates that there are several areas in which the company must focus its efforts to improve employee engagement, including effective communication, recognition and rewards, growth and development opportunities, and work-life balance. These aspects play a significant role in shaping the overall work experience of employees, directly impacting their level of engagement, commitment, and motivation.</w:t>
      </w:r>
    </w:p>
    <w:p w14:paraId="67B56906" w14:textId="77777777" w:rsidR="00A5323B" w:rsidRPr="0045206E" w:rsidRDefault="00A5323B" w:rsidP="00A5323B">
      <w:pPr>
        <w:rPr>
          <w:rFonts w:ascii="Arial" w:hAnsi="Arial" w:cs="Arial"/>
        </w:rPr>
      </w:pPr>
      <w:r w:rsidRPr="0045206E">
        <w:rPr>
          <w:rFonts w:ascii="Arial" w:hAnsi="Arial" w:cs="Arial"/>
        </w:rPr>
        <w:t>Improving communication within ACME Corporation is essential for ensuring that employees feel connected to the company's vision, goals, and objectives. Effective communication can help to prevent misunderstandings, reduce confusion, and promote a sense of unity and shared purpose among employees. By fostering an environment that encourages open, transparent, and two-way communication, ACME Corporation can enhance employee engagement and collaboration.</w:t>
      </w:r>
    </w:p>
    <w:p w14:paraId="358B0829" w14:textId="77777777" w:rsidR="00A5323B" w:rsidRPr="0045206E" w:rsidRDefault="00A5323B" w:rsidP="00A5323B">
      <w:pPr>
        <w:rPr>
          <w:rFonts w:ascii="Arial" w:hAnsi="Arial" w:cs="Arial"/>
        </w:rPr>
      </w:pPr>
      <w:r w:rsidRPr="0045206E">
        <w:rPr>
          <w:rFonts w:ascii="Arial" w:hAnsi="Arial" w:cs="Arial"/>
        </w:rPr>
        <w:t>Recognition and rewards are vital for employees to feel valued and appreciated for their efforts and contributions to the company. By developing a comprehensive and fair recognition and rewards system, ACME Corporation can increase employee motivation, commitment, and job satisfaction. A well-designed system should be flexible, inclusive, and aligned with the organisation's values and strategic objectives.</w:t>
      </w:r>
    </w:p>
    <w:p w14:paraId="31C4E5D6" w14:textId="77777777" w:rsidR="00A5323B" w:rsidRPr="0045206E" w:rsidRDefault="00A5323B" w:rsidP="00A5323B">
      <w:pPr>
        <w:rPr>
          <w:rFonts w:ascii="Arial" w:hAnsi="Arial" w:cs="Arial"/>
        </w:rPr>
      </w:pPr>
      <w:r w:rsidRPr="0045206E">
        <w:rPr>
          <w:rFonts w:ascii="Arial" w:hAnsi="Arial" w:cs="Arial"/>
        </w:rPr>
        <w:t>Providing employees with growth and development opportunities is crucial for ensuring that they remain engaged, motivated, and committed to ACME Corporation. By offering various learning and development initiatives, the company can help employees enhance their skills, broaden their knowledge, and advance their careers within the organisation. These opportunities should be tailored to the individual needs and aspirations of employees, promoting a culture of continuous learning and improvement.</w:t>
      </w:r>
    </w:p>
    <w:p w14:paraId="69B20D85" w14:textId="77777777" w:rsidR="00A5323B" w:rsidRPr="0045206E" w:rsidRDefault="00A5323B" w:rsidP="00A5323B">
      <w:pPr>
        <w:rPr>
          <w:rFonts w:ascii="Arial" w:hAnsi="Arial" w:cs="Arial"/>
        </w:rPr>
      </w:pPr>
      <w:r w:rsidRPr="0045206E">
        <w:rPr>
          <w:rFonts w:ascii="Arial" w:hAnsi="Arial" w:cs="Arial"/>
        </w:rPr>
        <w:t>Promoting work-life balance is another critical aspect that ACME Corporation needs to address to improve employee engagement. By offering flexible work arrangements, encouraging employees to take time off, and providing support for employees' personal and family needs, the company can create a more balanced work environment. A healthier work-life balance can lead to reduced stress, decreased burnout, and higher levels of employee satisfaction and engagement.</w:t>
      </w:r>
    </w:p>
    <w:p w14:paraId="08208AE7" w14:textId="2EE6AE29" w:rsidR="00A5323B" w:rsidRPr="0045206E" w:rsidRDefault="00A5323B" w:rsidP="00A5323B">
      <w:pPr>
        <w:rPr>
          <w:rFonts w:ascii="Arial" w:hAnsi="Arial" w:cs="Arial"/>
        </w:rPr>
      </w:pPr>
      <w:r w:rsidRPr="0045206E">
        <w:rPr>
          <w:rFonts w:ascii="Arial" w:hAnsi="Arial" w:cs="Arial"/>
        </w:rPr>
        <w:t>In conclusion, the findings of this report demonstrate that improving employee engagement is a critical priority for ACME Corporation. By addressing the identified weaknesses and focusing on creating a more engaged and committed workforce, the company can expect to reap numerous benefits, including increased productivity, higher job satisfaction, enhanced retention, improved organisational performance, and a more positive work environment. By prioritising and investing in employee engagement initiatives, ACME Corporation can maintain its position as a leading global technology company and ensure its long-term sustainability and success.</w:t>
      </w:r>
    </w:p>
    <w:p w14:paraId="62B42EBD" w14:textId="3571EC51" w:rsidR="00A5323B" w:rsidRPr="0045206E" w:rsidRDefault="00A5323B" w:rsidP="00A5323B">
      <w:pPr>
        <w:rPr>
          <w:rFonts w:ascii="Arial" w:hAnsi="Arial" w:cs="Arial"/>
        </w:rPr>
      </w:pPr>
    </w:p>
    <w:p w14:paraId="1ED7EE5D" w14:textId="77777777" w:rsidR="00A5323B" w:rsidRPr="0045206E" w:rsidRDefault="00A5323B" w:rsidP="00A5323B">
      <w:pPr>
        <w:pStyle w:val="Heading1"/>
        <w:rPr>
          <w:rFonts w:ascii="Arial" w:hAnsi="Arial" w:cs="Arial"/>
          <w:b/>
          <w:i/>
          <w:sz w:val="22"/>
          <w:szCs w:val="22"/>
        </w:rPr>
      </w:pPr>
      <w:bookmarkStart w:id="9" w:name="_Toc130700868"/>
      <w:r w:rsidRPr="0045206E">
        <w:rPr>
          <w:rFonts w:ascii="Arial" w:hAnsi="Arial" w:cs="Arial"/>
          <w:b/>
          <w:i/>
          <w:sz w:val="22"/>
          <w:szCs w:val="22"/>
        </w:rPr>
        <w:lastRenderedPageBreak/>
        <w:t>5.0 Recommendations</w:t>
      </w:r>
      <w:bookmarkEnd w:id="9"/>
    </w:p>
    <w:p w14:paraId="207A3FDF" w14:textId="0C966BA7" w:rsidR="00A5323B" w:rsidRPr="0045206E" w:rsidRDefault="00A5323B" w:rsidP="00A5323B">
      <w:pPr>
        <w:rPr>
          <w:rFonts w:ascii="Arial" w:hAnsi="Arial" w:cs="Arial"/>
          <w:lang w:val="en-US"/>
        </w:rPr>
      </w:pPr>
      <w:r w:rsidRPr="0045206E">
        <w:rPr>
          <w:rFonts w:ascii="Arial" w:hAnsi="Arial" w:cs="Arial"/>
        </w:rPr>
        <w:t>To enhance employee engagement at ACME Corporation, the HR function should consider the following recommendations. These recommendations are tailored to the organisation's specific context, ensuring feasibility and alignment with its resources, needs, and challenges. It is essential to consider the potential disadvantages, risks, and costs associated with these recommendations, as well as any ethical issues that may arise</w:t>
      </w:r>
      <w:r w:rsidR="0045206E" w:rsidRPr="0045206E">
        <w:rPr>
          <w:rFonts w:ascii="Arial" w:hAnsi="Arial" w:cs="Arial"/>
          <w:lang w:val="en-US"/>
        </w:rPr>
        <w:t xml:space="preserve"> (</w:t>
      </w:r>
      <w:r w:rsidR="0045206E" w:rsidRPr="0045206E">
        <w:rPr>
          <w:rFonts w:ascii="Arial" w:hAnsi="Arial" w:cs="Arial"/>
          <w:lang w:val="en-US"/>
        </w:rPr>
        <w:t xml:space="preserve">Reina, C. S., </w:t>
      </w:r>
      <w:proofErr w:type="spellStart"/>
      <w:r w:rsidR="0045206E" w:rsidRPr="0045206E">
        <w:rPr>
          <w:rFonts w:ascii="Arial" w:hAnsi="Arial" w:cs="Arial"/>
          <w:lang w:val="en-US"/>
        </w:rPr>
        <w:t>Kudesia</w:t>
      </w:r>
      <w:proofErr w:type="spellEnd"/>
      <w:r w:rsidR="0045206E" w:rsidRPr="0045206E">
        <w:rPr>
          <w:rFonts w:ascii="Arial" w:hAnsi="Arial" w:cs="Arial"/>
          <w:lang w:val="en-US"/>
        </w:rPr>
        <w:t>, R. S., &amp; White, R. E.</w:t>
      </w:r>
      <w:r w:rsidR="0045206E" w:rsidRPr="0045206E">
        <w:rPr>
          <w:rFonts w:ascii="Arial" w:hAnsi="Arial" w:cs="Arial"/>
          <w:lang w:val="en-US"/>
        </w:rPr>
        <w:t xml:space="preserve">, </w:t>
      </w:r>
      <w:r w:rsidR="0045206E" w:rsidRPr="0045206E">
        <w:rPr>
          <w:rFonts w:ascii="Arial" w:hAnsi="Arial" w:cs="Arial"/>
          <w:lang w:val="en-US"/>
        </w:rPr>
        <w:t>2021)</w:t>
      </w:r>
      <w:r w:rsidR="0045206E" w:rsidRPr="0045206E">
        <w:rPr>
          <w:rFonts w:ascii="Arial" w:hAnsi="Arial" w:cs="Arial"/>
          <w:lang w:val="en-US"/>
        </w:rPr>
        <w:t>.</w:t>
      </w:r>
    </w:p>
    <w:p w14:paraId="15CA1EF6" w14:textId="77777777" w:rsidR="00A5323B" w:rsidRPr="0045206E" w:rsidRDefault="00A5323B" w:rsidP="00A5323B">
      <w:pPr>
        <w:rPr>
          <w:rFonts w:ascii="Arial" w:hAnsi="Arial" w:cs="Arial"/>
        </w:rPr>
      </w:pPr>
      <w:r w:rsidRPr="0045206E">
        <w:rPr>
          <w:rFonts w:ascii="Arial" w:hAnsi="Arial" w:cs="Arial"/>
          <w:b/>
          <w:i/>
        </w:rPr>
        <w:t>Improve communication</w:t>
      </w:r>
      <w:r w:rsidRPr="0045206E">
        <w:rPr>
          <w:rFonts w:ascii="Arial" w:hAnsi="Arial" w:cs="Arial"/>
        </w:rPr>
        <w:t>: Implementing a transparent, two-way communication system is vital for ensuring employees feel connected to the company's vision, goals, and objectives. ACME Corporation should consider the following strategies to improve communication:</w:t>
      </w:r>
    </w:p>
    <w:p w14:paraId="11B5DC7C" w14:textId="77777777" w:rsidR="00A5323B" w:rsidRPr="0045206E" w:rsidRDefault="00A5323B" w:rsidP="00A5323B">
      <w:pPr>
        <w:rPr>
          <w:rFonts w:ascii="Arial" w:hAnsi="Arial" w:cs="Arial"/>
        </w:rPr>
      </w:pPr>
      <w:r w:rsidRPr="0045206E">
        <w:rPr>
          <w:rFonts w:ascii="Arial" w:hAnsi="Arial" w:cs="Arial"/>
          <w:b/>
          <w:i/>
        </w:rPr>
        <w:t>a. Regular town hall meetings</w:t>
      </w:r>
      <w:r w:rsidRPr="0045206E">
        <w:rPr>
          <w:rFonts w:ascii="Arial" w:hAnsi="Arial" w:cs="Arial"/>
        </w:rPr>
        <w:t>: Organise frequent town hall meetings where senior leaders share company updates, future plans, and address employee concerns. These meetings can help create an open and transparent culture that encourages dialogue and feedback.</w:t>
      </w:r>
    </w:p>
    <w:p w14:paraId="67E29BAE" w14:textId="77777777" w:rsidR="00A5323B" w:rsidRPr="0045206E" w:rsidRDefault="00A5323B" w:rsidP="00A5323B">
      <w:pPr>
        <w:rPr>
          <w:rFonts w:ascii="Arial" w:hAnsi="Arial" w:cs="Arial"/>
        </w:rPr>
      </w:pPr>
      <w:r w:rsidRPr="0045206E">
        <w:rPr>
          <w:rFonts w:ascii="Arial" w:hAnsi="Arial" w:cs="Arial"/>
          <w:b/>
          <w:i/>
        </w:rPr>
        <w:t>b. Internal communication channels</w:t>
      </w:r>
      <w:r w:rsidRPr="0045206E">
        <w:rPr>
          <w:rFonts w:ascii="Arial" w:hAnsi="Arial" w:cs="Arial"/>
        </w:rPr>
        <w:t>: Develop accessible internal communication platforms, such as an intranet or employee mobile app, where employees can access company news, updates, and resources. These platforms can also serve as a space for employees to share their ideas and feedback, fostering collaboration and innovation.</w:t>
      </w:r>
    </w:p>
    <w:p w14:paraId="43EEF70C" w14:textId="77777777" w:rsidR="00A5323B" w:rsidRPr="0045206E" w:rsidRDefault="00A5323B" w:rsidP="00A5323B">
      <w:pPr>
        <w:rPr>
          <w:rFonts w:ascii="Arial" w:hAnsi="Arial" w:cs="Arial"/>
        </w:rPr>
      </w:pPr>
      <w:r w:rsidRPr="0045206E">
        <w:rPr>
          <w:rFonts w:ascii="Arial" w:hAnsi="Arial" w:cs="Arial"/>
          <w:b/>
          <w:i/>
        </w:rPr>
        <w:t>c. Feedback mechanisms</w:t>
      </w:r>
      <w:r w:rsidRPr="0045206E">
        <w:rPr>
          <w:rFonts w:ascii="Arial" w:hAnsi="Arial" w:cs="Arial"/>
        </w:rPr>
        <w:t>: Establish formal and informal feedback mechanisms, such as employee surveys, suggestion boxes, or regular check-ins with managers. These mechanisms can help the organisation understand employee concerns and provide opportunities to address them promptly.</w:t>
      </w:r>
    </w:p>
    <w:p w14:paraId="27A9B757" w14:textId="77777777" w:rsidR="00A5323B" w:rsidRPr="0045206E" w:rsidRDefault="00A5323B" w:rsidP="00A5323B">
      <w:pPr>
        <w:rPr>
          <w:rFonts w:ascii="Arial" w:hAnsi="Arial" w:cs="Arial"/>
        </w:rPr>
      </w:pPr>
      <w:r w:rsidRPr="0045206E">
        <w:rPr>
          <w:rFonts w:ascii="Arial" w:hAnsi="Arial" w:cs="Arial"/>
          <w:b/>
          <w:i/>
        </w:rPr>
        <w:t>Enhance recognition and rewards</w:t>
      </w:r>
      <w:r w:rsidRPr="0045206E">
        <w:rPr>
          <w:rFonts w:ascii="Arial" w:hAnsi="Arial" w:cs="Arial"/>
        </w:rPr>
        <w:t>: Developing a comprehensive rewards and recognition program is crucial to acknowledge employees' achievements and efforts. ACME Corporation should consider the following strategies to enhance its recognition and rewards system:</w:t>
      </w:r>
    </w:p>
    <w:p w14:paraId="4145F31C" w14:textId="77777777" w:rsidR="00A5323B" w:rsidRPr="0045206E" w:rsidRDefault="00A5323B" w:rsidP="00A5323B">
      <w:pPr>
        <w:rPr>
          <w:rFonts w:ascii="Arial" w:hAnsi="Arial" w:cs="Arial"/>
        </w:rPr>
      </w:pPr>
      <w:r w:rsidRPr="0045206E">
        <w:rPr>
          <w:rFonts w:ascii="Arial" w:hAnsi="Arial" w:cs="Arial"/>
          <w:b/>
          <w:i/>
        </w:rPr>
        <w:t>a. Performance-based bonuses</w:t>
      </w:r>
      <w:r w:rsidRPr="0045206E">
        <w:rPr>
          <w:rFonts w:ascii="Arial" w:hAnsi="Arial" w:cs="Arial"/>
        </w:rPr>
        <w:t>: Implement a performance-based bonus system that rewards employees for meeting or exceeding their performance goals. This system can help motivate employees to achieve their best while recognising their hard work and dedication.</w:t>
      </w:r>
    </w:p>
    <w:p w14:paraId="26E10837" w14:textId="77777777" w:rsidR="00A5323B" w:rsidRPr="0045206E" w:rsidRDefault="00A5323B" w:rsidP="00A5323B">
      <w:pPr>
        <w:rPr>
          <w:rFonts w:ascii="Arial" w:hAnsi="Arial" w:cs="Arial"/>
        </w:rPr>
      </w:pPr>
      <w:r w:rsidRPr="0045206E">
        <w:rPr>
          <w:rFonts w:ascii="Arial" w:hAnsi="Arial" w:cs="Arial"/>
          <w:b/>
          <w:i/>
        </w:rPr>
        <w:t>b. Non-monetary recognition</w:t>
      </w:r>
      <w:r w:rsidRPr="0045206E">
        <w:rPr>
          <w:rFonts w:ascii="Arial" w:hAnsi="Arial" w:cs="Arial"/>
        </w:rPr>
        <w:t>: Introduce non-monetary recognition programs, such as employee-of-the-month awards or peer-to-peer recognition platforms, to acknowledge employees' contributions. These initiatives can foster a culture of appreciation and support within the organisation.</w:t>
      </w:r>
    </w:p>
    <w:p w14:paraId="2204F149" w14:textId="77777777" w:rsidR="00A5323B" w:rsidRPr="0045206E" w:rsidRDefault="00A5323B" w:rsidP="00A5323B">
      <w:pPr>
        <w:rPr>
          <w:rFonts w:ascii="Arial" w:hAnsi="Arial" w:cs="Arial"/>
        </w:rPr>
      </w:pPr>
    </w:p>
    <w:p w14:paraId="32A9460D" w14:textId="77777777" w:rsidR="00A5323B" w:rsidRPr="0045206E" w:rsidRDefault="00A5323B" w:rsidP="00A5323B">
      <w:pPr>
        <w:rPr>
          <w:rFonts w:ascii="Arial" w:hAnsi="Arial" w:cs="Arial"/>
        </w:rPr>
      </w:pPr>
      <w:r w:rsidRPr="0045206E">
        <w:rPr>
          <w:rFonts w:ascii="Arial" w:hAnsi="Arial" w:cs="Arial"/>
          <w:b/>
          <w:i/>
        </w:rPr>
        <w:t>c. Customised rewards</w:t>
      </w:r>
      <w:r w:rsidRPr="0045206E">
        <w:rPr>
          <w:rFonts w:ascii="Arial" w:hAnsi="Arial" w:cs="Arial"/>
        </w:rPr>
        <w:t>: Offer customised rewards that cater to employees' diverse preferences, such as additional paid time off, professional development opportunities, or wellness benefits. Personalised rewards can help employees feel valued and appreciated for their unique contributions.</w:t>
      </w:r>
    </w:p>
    <w:p w14:paraId="1A63835E" w14:textId="77777777" w:rsidR="00A5323B" w:rsidRPr="0045206E" w:rsidRDefault="00A5323B" w:rsidP="00A5323B">
      <w:pPr>
        <w:rPr>
          <w:rFonts w:ascii="Arial" w:hAnsi="Arial" w:cs="Arial"/>
        </w:rPr>
      </w:pPr>
      <w:r w:rsidRPr="0045206E">
        <w:rPr>
          <w:rFonts w:ascii="Arial" w:hAnsi="Arial" w:cs="Arial"/>
          <w:b/>
          <w:i/>
        </w:rPr>
        <w:t>Foster growth and development</w:t>
      </w:r>
      <w:r w:rsidRPr="0045206E">
        <w:rPr>
          <w:rFonts w:ascii="Arial" w:hAnsi="Arial" w:cs="Arial"/>
        </w:rPr>
        <w:t>: Providing employees with opportunities for personal and professional growth is essential for maintaining their engagement and commitment. ACME Corporation should consider the following strategies to foster growth and development:</w:t>
      </w:r>
    </w:p>
    <w:p w14:paraId="5D184E91" w14:textId="77777777" w:rsidR="00A5323B" w:rsidRPr="0045206E" w:rsidRDefault="00A5323B" w:rsidP="00A5323B">
      <w:pPr>
        <w:rPr>
          <w:rFonts w:ascii="Arial" w:hAnsi="Arial" w:cs="Arial"/>
        </w:rPr>
      </w:pPr>
      <w:r w:rsidRPr="0045206E">
        <w:rPr>
          <w:rFonts w:ascii="Arial" w:hAnsi="Arial" w:cs="Arial"/>
          <w:b/>
          <w:i/>
        </w:rPr>
        <w:t>a. Continuous learning opportunities</w:t>
      </w:r>
      <w:r w:rsidRPr="0045206E">
        <w:rPr>
          <w:rFonts w:ascii="Arial" w:hAnsi="Arial" w:cs="Arial"/>
        </w:rPr>
        <w:t>: Offer a variety of learning and development initiatives, such as online courses, workshops, or mentoring programs, to help employees enhance their skills and knowledge. These opportunities should be tailored to employees' individual needs and aspirations, promoting a culture of continuous learning and improvement.</w:t>
      </w:r>
    </w:p>
    <w:p w14:paraId="5869EC8D" w14:textId="77777777" w:rsidR="00A5323B" w:rsidRPr="0045206E" w:rsidRDefault="00A5323B" w:rsidP="00A5323B">
      <w:pPr>
        <w:rPr>
          <w:rFonts w:ascii="Arial" w:hAnsi="Arial" w:cs="Arial"/>
        </w:rPr>
      </w:pPr>
      <w:r w:rsidRPr="0045206E">
        <w:rPr>
          <w:rFonts w:ascii="Arial" w:hAnsi="Arial" w:cs="Arial"/>
          <w:b/>
          <w:i/>
        </w:rPr>
        <w:lastRenderedPageBreak/>
        <w:t>b. Career development plans:</w:t>
      </w:r>
      <w:r w:rsidRPr="0045206E">
        <w:rPr>
          <w:rFonts w:ascii="Arial" w:hAnsi="Arial" w:cs="Arial"/>
        </w:rPr>
        <w:t xml:space="preserve"> Work with employees to create individual career development plans that outline their goals, the required skills and competencies, and the steps needed to achieve them. Regularly review and update these plans to ensure they remain relevant and aligned with the organisation's objectives.</w:t>
      </w:r>
    </w:p>
    <w:p w14:paraId="3368F9FD" w14:textId="77777777" w:rsidR="00A5323B" w:rsidRPr="0045206E" w:rsidRDefault="00A5323B" w:rsidP="00A5323B">
      <w:pPr>
        <w:rPr>
          <w:rFonts w:ascii="Arial" w:hAnsi="Arial" w:cs="Arial"/>
        </w:rPr>
      </w:pPr>
      <w:r w:rsidRPr="0045206E">
        <w:rPr>
          <w:rFonts w:ascii="Arial" w:hAnsi="Arial" w:cs="Arial"/>
          <w:b/>
          <w:i/>
        </w:rPr>
        <w:t>c. Internal promotion and job rotation</w:t>
      </w:r>
      <w:r w:rsidRPr="0045206E">
        <w:rPr>
          <w:rFonts w:ascii="Arial" w:hAnsi="Arial" w:cs="Arial"/>
        </w:rPr>
        <w:t>: Encourage internal promotion and job rotation to provide employees with opportunities to gain diverse experiences within the organisation. This approach can help employees broaden their skillsets, increase their exposure to different business areas, and build a robust internal talent pipeline.</w:t>
      </w:r>
    </w:p>
    <w:p w14:paraId="254F2327" w14:textId="77777777" w:rsidR="00A5323B" w:rsidRPr="0045206E" w:rsidRDefault="00A5323B" w:rsidP="00A5323B">
      <w:pPr>
        <w:rPr>
          <w:rFonts w:ascii="Arial" w:hAnsi="Arial" w:cs="Arial"/>
        </w:rPr>
      </w:pPr>
      <w:r w:rsidRPr="0045206E">
        <w:rPr>
          <w:rFonts w:ascii="Arial" w:hAnsi="Arial" w:cs="Arial"/>
          <w:b/>
          <w:i/>
        </w:rPr>
        <w:t>Promote work-life balance:</w:t>
      </w:r>
      <w:r w:rsidRPr="0045206E">
        <w:rPr>
          <w:rFonts w:ascii="Arial" w:hAnsi="Arial" w:cs="Arial"/>
        </w:rPr>
        <w:t xml:space="preserve"> Implementing flexible working hours, remote work options, and other work-life balance initiatives is essential for ensuring employees remain engaged and committed. ACME Corporation should consider the following strategies to promote work-life balance:</w:t>
      </w:r>
    </w:p>
    <w:p w14:paraId="0BFE063F" w14:textId="77777777" w:rsidR="00A5323B" w:rsidRPr="0045206E" w:rsidRDefault="00A5323B" w:rsidP="00A5323B">
      <w:pPr>
        <w:rPr>
          <w:rFonts w:ascii="Arial" w:hAnsi="Arial" w:cs="Arial"/>
        </w:rPr>
      </w:pPr>
      <w:r w:rsidRPr="0045206E">
        <w:rPr>
          <w:rFonts w:ascii="Arial" w:hAnsi="Arial" w:cs="Arial"/>
          <w:b/>
          <w:i/>
        </w:rPr>
        <w:t>a. Flexible working arrangements</w:t>
      </w:r>
      <w:r w:rsidRPr="0045206E">
        <w:rPr>
          <w:rFonts w:ascii="Arial" w:hAnsi="Arial" w:cs="Arial"/>
        </w:rPr>
        <w:t>: Offer employees the option to work flexible hours, compressed workweeks, or part-time schedules, allowing them to balance their personal and professional responsibilities more effectively.</w:t>
      </w:r>
    </w:p>
    <w:p w14:paraId="7B72704D" w14:textId="7EDD4C9A" w:rsidR="00A5323B" w:rsidRPr="0045206E" w:rsidRDefault="00A5323B" w:rsidP="00A5323B">
      <w:pPr>
        <w:rPr>
          <w:rFonts w:ascii="Arial" w:hAnsi="Arial" w:cs="Arial"/>
        </w:rPr>
      </w:pPr>
      <w:r w:rsidRPr="0045206E">
        <w:rPr>
          <w:rFonts w:ascii="Arial" w:hAnsi="Arial" w:cs="Arial"/>
          <w:b/>
          <w:i/>
        </w:rPr>
        <w:t>b. Remote work options</w:t>
      </w:r>
      <w:r w:rsidRPr="0045206E">
        <w:rPr>
          <w:rFonts w:ascii="Arial" w:hAnsi="Arial" w:cs="Arial"/>
        </w:rPr>
        <w:t>: Provide employees with the necessary resources and tools to work</w:t>
      </w:r>
      <w:r w:rsidRPr="0045206E">
        <w:rPr>
          <w:rFonts w:ascii="Arial" w:hAnsi="Arial" w:cs="Arial"/>
          <w:lang w:val="en-US"/>
        </w:rPr>
        <w:t xml:space="preserve"> </w:t>
      </w:r>
      <w:r w:rsidRPr="0045206E">
        <w:rPr>
          <w:rFonts w:ascii="Arial" w:hAnsi="Arial" w:cs="Arial"/>
        </w:rPr>
        <w:t>remotely, enabling them to maintain productivity while reducing time spent commuting or adjusting their work schedules to better fit their personal needs.</w:t>
      </w:r>
    </w:p>
    <w:p w14:paraId="0E999DD4" w14:textId="77777777" w:rsidR="00A5323B" w:rsidRPr="0045206E" w:rsidRDefault="00A5323B" w:rsidP="00A5323B">
      <w:pPr>
        <w:rPr>
          <w:rFonts w:ascii="Arial" w:hAnsi="Arial" w:cs="Arial"/>
        </w:rPr>
      </w:pPr>
      <w:r w:rsidRPr="0045206E">
        <w:rPr>
          <w:rFonts w:ascii="Arial" w:hAnsi="Arial" w:cs="Arial"/>
          <w:b/>
          <w:i/>
        </w:rPr>
        <w:t>c. Employee assistance programs</w:t>
      </w:r>
      <w:r w:rsidRPr="0045206E">
        <w:rPr>
          <w:rFonts w:ascii="Arial" w:hAnsi="Arial" w:cs="Arial"/>
        </w:rPr>
        <w:t>: Implement employee assistance programs (</w:t>
      </w:r>
      <w:proofErr w:type="spellStart"/>
      <w:r w:rsidRPr="0045206E">
        <w:rPr>
          <w:rFonts w:ascii="Arial" w:hAnsi="Arial" w:cs="Arial"/>
        </w:rPr>
        <w:t>EAPs</w:t>
      </w:r>
      <w:proofErr w:type="spellEnd"/>
      <w:r w:rsidRPr="0045206E">
        <w:rPr>
          <w:rFonts w:ascii="Arial" w:hAnsi="Arial" w:cs="Arial"/>
        </w:rPr>
        <w:t xml:space="preserve">) that offer support for various personal and family issues, such as mental health, financial planning, and childcare. </w:t>
      </w:r>
      <w:proofErr w:type="spellStart"/>
      <w:r w:rsidRPr="0045206E">
        <w:rPr>
          <w:rFonts w:ascii="Arial" w:hAnsi="Arial" w:cs="Arial"/>
        </w:rPr>
        <w:t>EAPs</w:t>
      </w:r>
      <w:proofErr w:type="spellEnd"/>
      <w:r w:rsidRPr="0045206E">
        <w:rPr>
          <w:rFonts w:ascii="Arial" w:hAnsi="Arial" w:cs="Arial"/>
        </w:rPr>
        <w:t xml:space="preserve"> can help employees manage their personal lives more effectively, leading to reduced stress and increased satisfaction at work.</w:t>
      </w:r>
    </w:p>
    <w:p w14:paraId="171B0AC2" w14:textId="77777777" w:rsidR="00A5323B" w:rsidRPr="0045206E" w:rsidRDefault="00A5323B" w:rsidP="00A5323B">
      <w:pPr>
        <w:rPr>
          <w:rFonts w:ascii="Arial" w:hAnsi="Arial" w:cs="Arial"/>
        </w:rPr>
      </w:pPr>
      <w:r w:rsidRPr="0045206E">
        <w:rPr>
          <w:rFonts w:ascii="Arial" w:hAnsi="Arial" w:cs="Arial"/>
          <w:b/>
          <w:i/>
        </w:rPr>
        <w:t>d. Encourage time off:</w:t>
      </w:r>
      <w:r w:rsidRPr="0045206E">
        <w:rPr>
          <w:rFonts w:ascii="Arial" w:hAnsi="Arial" w:cs="Arial"/>
        </w:rPr>
        <w:t xml:space="preserve"> Encourage employees to take regular breaks, vacations, and personal days to rest and recharge. Managers should lead by example and create a culture that values the importance of taking time off to maintain a healthy work-life balance.</w:t>
      </w:r>
    </w:p>
    <w:p w14:paraId="6E83A93A" w14:textId="18F65229" w:rsidR="00A5323B" w:rsidRPr="0045206E" w:rsidRDefault="00A5323B" w:rsidP="00A5323B">
      <w:pPr>
        <w:rPr>
          <w:rFonts w:ascii="Arial" w:hAnsi="Arial" w:cs="Arial"/>
        </w:rPr>
      </w:pPr>
      <w:r w:rsidRPr="0045206E">
        <w:rPr>
          <w:rFonts w:ascii="Arial" w:hAnsi="Arial" w:cs="Arial"/>
          <w:b/>
          <w:i/>
        </w:rPr>
        <w:t>e. Health and wellness initiatives</w:t>
      </w:r>
      <w:r w:rsidRPr="0045206E">
        <w:rPr>
          <w:rFonts w:ascii="Arial" w:hAnsi="Arial" w:cs="Arial"/>
        </w:rPr>
        <w:t>: Introduce health and wellness initiatives, such as onsite fitness facilities, discounted gym memberships, or wellness challenges, to encourage employees to prioritize their physical and mental well-being. A healthy workforce is more likely to be engaged, productive, and satisfied with their work.</w:t>
      </w:r>
    </w:p>
    <w:p w14:paraId="3CBAA2BF" w14:textId="5F024789" w:rsidR="0045206E" w:rsidRPr="0045206E" w:rsidRDefault="0045206E" w:rsidP="00A5323B">
      <w:pPr>
        <w:rPr>
          <w:rFonts w:ascii="Arial" w:hAnsi="Arial" w:cs="Arial"/>
        </w:rPr>
      </w:pPr>
    </w:p>
    <w:p w14:paraId="757F3DEA" w14:textId="502D40B3" w:rsidR="0045206E" w:rsidRPr="0045206E" w:rsidRDefault="0045206E" w:rsidP="0045206E">
      <w:pPr>
        <w:pStyle w:val="Heading1"/>
        <w:rPr>
          <w:rFonts w:ascii="Arial" w:hAnsi="Arial" w:cs="Arial"/>
          <w:b/>
          <w:i/>
          <w:sz w:val="22"/>
          <w:szCs w:val="22"/>
          <w:lang w:val="en-US"/>
        </w:rPr>
      </w:pPr>
      <w:bookmarkStart w:id="10" w:name="_Toc130700869"/>
      <w:r w:rsidRPr="0045206E">
        <w:rPr>
          <w:rFonts w:ascii="Arial" w:hAnsi="Arial" w:cs="Arial"/>
          <w:b/>
          <w:i/>
          <w:sz w:val="22"/>
          <w:szCs w:val="22"/>
          <w:lang w:val="en-US"/>
        </w:rPr>
        <w:t>References</w:t>
      </w:r>
      <w:bookmarkEnd w:id="10"/>
      <w:r w:rsidRPr="0045206E">
        <w:rPr>
          <w:rFonts w:ascii="Arial" w:hAnsi="Arial" w:cs="Arial"/>
          <w:b/>
          <w:i/>
          <w:sz w:val="22"/>
          <w:szCs w:val="22"/>
          <w:lang w:val="en-US"/>
        </w:rPr>
        <w:t xml:space="preserve"> </w:t>
      </w:r>
    </w:p>
    <w:p w14:paraId="5D4D732A" w14:textId="77777777" w:rsidR="0045206E" w:rsidRPr="0045206E" w:rsidRDefault="0045206E" w:rsidP="0045206E">
      <w:pPr>
        <w:rPr>
          <w:rFonts w:ascii="Arial" w:hAnsi="Arial" w:cs="Arial"/>
          <w:lang w:val="en-US"/>
        </w:rPr>
      </w:pPr>
      <w:r w:rsidRPr="0045206E">
        <w:rPr>
          <w:rFonts w:ascii="Arial" w:hAnsi="Arial" w:cs="Arial"/>
          <w:lang w:val="en-US"/>
        </w:rPr>
        <w:t xml:space="preserve">Bailey, C., Madden, A., </w:t>
      </w:r>
      <w:proofErr w:type="spellStart"/>
      <w:r w:rsidRPr="0045206E">
        <w:rPr>
          <w:rFonts w:ascii="Arial" w:hAnsi="Arial" w:cs="Arial"/>
          <w:lang w:val="en-US"/>
        </w:rPr>
        <w:t>Alfes</w:t>
      </w:r>
      <w:proofErr w:type="spellEnd"/>
      <w:r w:rsidRPr="0045206E">
        <w:rPr>
          <w:rFonts w:ascii="Arial" w:hAnsi="Arial" w:cs="Arial"/>
          <w:lang w:val="en-US"/>
        </w:rPr>
        <w:t>, K., &amp; Fletcher, L. (2017). The meaning, antecedents and outcomes of employee engagement: A narrative synthesis. International Journal of Management Reviews, 19(1), 31-53.</w:t>
      </w:r>
    </w:p>
    <w:p w14:paraId="061982AC" w14:textId="77777777" w:rsidR="0045206E" w:rsidRPr="0045206E" w:rsidRDefault="0045206E" w:rsidP="0045206E">
      <w:pPr>
        <w:rPr>
          <w:rFonts w:ascii="Arial" w:hAnsi="Arial" w:cs="Arial"/>
          <w:lang w:val="en-US"/>
        </w:rPr>
      </w:pPr>
      <w:r w:rsidRPr="0045206E">
        <w:rPr>
          <w:rFonts w:ascii="Arial" w:hAnsi="Arial" w:cs="Arial"/>
          <w:lang w:val="en-US"/>
        </w:rPr>
        <w:t xml:space="preserve">Shuck, B., &amp; </w:t>
      </w:r>
      <w:proofErr w:type="spellStart"/>
      <w:r w:rsidRPr="0045206E">
        <w:rPr>
          <w:rFonts w:ascii="Arial" w:hAnsi="Arial" w:cs="Arial"/>
          <w:lang w:val="en-US"/>
        </w:rPr>
        <w:t>Reio</w:t>
      </w:r>
      <w:proofErr w:type="spellEnd"/>
      <w:r w:rsidRPr="0045206E">
        <w:rPr>
          <w:rFonts w:ascii="Arial" w:hAnsi="Arial" w:cs="Arial"/>
          <w:lang w:val="en-US"/>
        </w:rPr>
        <w:t xml:space="preserve"> Jr, T. G. (2014). Employee engagement and well-being: A moderation model and implications for practice. Journal of Leadership &amp; Organizational Studies, 21(1), 43-58.</w:t>
      </w:r>
    </w:p>
    <w:p w14:paraId="48E3CFE7" w14:textId="77777777" w:rsidR="0045206E" w:rsidRPr="0045206E" w:rsidRDefault="0045206E" w:rsidP="0045206E">
      <w:pPr>
        <w:rPr>
          <w:rFonts w:ascii="Arial" w:hAnsi="Arial" w:cs="Arial"/>
          <w:lang w:val="en-US"/>
        </w:rPr>
      </w:pPr>
      <w:proofErr w:type="spellStart"/>
      <w:r w:rsidRPr="0045206E">
        <w:rPr>
          <w:rFonts w:ascii="Arial" w:hAnsi="Arial" w:cs="Arial"/>
          <w:lang w:val="en-US"/>
        </w:rPr>
        <w:t>Gagné</w:t>
      </w:r>
      <w:proofErr w:type="spellEnd"/>
      <w:r w:rsidRPr="0045206E">
        <w:rPr>
          <w:rFonts w:ascii="Arial" w:hAnsi="Arial" w:cs="Arial"/>
          <w:lang w:val="en-US"/>
        </w:rPr>
        <w:t>, M., &amp; Deci, E. L. (2020). Intrinsic and extrinsic motivation. In Oxford Research Encyclopedia of Psychology.</w:t>
      </w:r>
    </w:p>
    <w:p w14:paraId="657A46D9" w14:textId="77777777" w:rsidR="0045206E" w:rsidRPr="0045206E" w:rsidRDefault="0045206E" w:rsidP="0045206E">
      <w:pPr>
        <w:rPr>
          <w:rFonts w:ascii="Arial" w:hAnsi="Arial" w:cs="Arial"/>
          <w:lang w:val="en-US"/>
        </w:rPr>
      </w:pPr>
      <w:proofErr w:type="spellStart"/>
      <w:r w:rsidRPr="0045206E">
        <w:rPr>
          <w:rFonts w:ascii="Arial" w:hAnsi="Arial" w:cs="Arial"/>
          <w:lang w:val="en-US"/>
        </w:rPr>
        <w:t>Breevaart</w:t>
      </w:r>
      <w:proofErr w:type="spellEnd"/>
      <w:r w:rsidRPr="0045206E">
        <w:rPr>
          <w:rFonts w:ascii="Arial" w:hAnsi="Arial" w:cs="Arial"/>
          <w:lang w:val="en-US"/>
        </w:rPr>
        <w:t xml:space="preserve">, K., Bakker, A., </w:t>
      </w:r>
      <w:proofErr w:type="spellStart"/>
      <w:r w:rsidRPr="0045206E">
        <w:rPr>
          <w:rFonts w:ascii="Arial" w:hAnsi="Arial" w:cs="Arial"/>
          <w:lang w:val="en-US"/>
        </w:rPr>
        <w:t>Demerouti</w:t>
      </w:r>
      <w:proofErr w:type="spellEnd"/>
      <w:r w:rsidRPr="0045206E">
        <w:rPr>
          <w:rFonts w:ascii="Arial" w:hAnsi="Arial" w:cs="Arial"/>
          <w:lang w:val="en-US"/>
        </w:rPr>
        <w:t>, E., &amp; Derks, D. (2016). Who takes the lead? A multi-source diary study on leadership, work engagement, and job performance. Journal of Organizational Behavior, 37(3), 309-325.</w:t>
      </w:r>
    </w:p>
    <w:p w14:paraId="68F8F275" w14:textId="77777777" w:rsidR="0045206E" w:rsidRPr="0045206E" w:rsidRDefault="0045206E" w:rsidP="0045206E">
      <w:pPr>
        <w:rPr>
          <w:rFonts w:ascii="Arial" w:hAnsi="Arial" w:cs="Arial"/>
          <w:lang w:val="en-US"/>
        </w:rPr>
      </w:pPr>
      <w:r w:rsidRPr="0045206E">
        <w:rPr>
          <w:rFonts w:ascii="Arial" w:hAnsi="Arial" w:cs="Arial"/>
          <w:lang w:val="en-US"/>
        </w:rPr>
        <w:lastRenderedPageBreak/>
        <w:t xml:space="preserve">Truss, C., Shantz, A., Soane, E., </w:t>
      </w:r>
      <w:proofErr w:type="spellStart"/>
      <w:r w:rsidRPr="0045206E">
        <w:rPr>
          <w:rFonts w:ascii="Arial" w:hAnsi="Arial" w:cs="Arial"/>
          <w:lang w:val="en-US"/>
        </w:rPr>
        <w:t>Alfes</w:t>
      </w:r>
      <w:proofErr w:type="spellEnd"/>
      <w:r w:rsidRPr="0045206E">
        <w:rPr>
          <w:rFonts w:ascii="Arial" w:hAnsi="Arial" w:cs="Arial"/>
          <w:lang w:val="en-US"/>
        </w:rPr>
        <w:t xml:space="preserve">, K., &amp; </w:t>
      </w:r>
      <w:proofErr w:type="spellStart"/>
      <w:r w:rsidRPr="0045206E">
        <w:rPr>
          <w:rFonts w:ascii="Arial" w:hAnsi="Arial" w:cs="Arial"/>
          <w:lang w:val="en-US"/>
        </w:rPr>
        <w:t>Delbridge</w:t>
      </w:r>
      <w:proofErr w:type="spellEnd"/>
      <w:r w:rsidRPr="0045206E">
        <w:rPr>
          <w:rFonts w:ascii="Arial" w:hAnsi="Arial" w:cs="Arial"/>
          <w:lang w:val="en-US"/>
        </w:rPr>
        <w:t xml:space="preserve">, R. (2013). Employee engagement, </w:t>
      </w:r>
      <w:proofErr w:type="spellStart"/>
      <w:r w:rsidRPr="0045206E">
        <w:rPr>
          <w:rFonts w:ascii="Arial" w:hAnsi="Arial" w:cs="Arial"/>
          <w:lang w:val="en-US"/>
        </w:rPr>
        <w:t>organisational</w:t>
      </w:r>
      <w:proofErr w:type="spellEnd"/>
      <w:r w:rsidRPr="0045206E">
        <w:rPr>
          <w:rFonts w:ascii="Arial" w:hAnsi="Arial" w:cs="Arial"/>
          <w:lang w:val="en-US"/>
        </w:rPr>
        <w:t xml:space="preserve"> performance and individual well-being: Exploring the evidence, developing the theory. The International Journal of Human Resource Management, 24(14), 2657-2669.</w:t>
      </w:r>
    </w:p>
    <w:p w14:paraId="3E36C1F7" w14:textId="77777777" w:rsidR="0045206E" w:rsidRPr="0045206E" w:rsidRDefault="0045206E" w:rsidP="0045206E">
      <w:pPr>
        <w:rPr>
          <w:rFonts w:ascii="Arial" w:hAnsi="Arial" w:cs="Arial"/>
          <w:lang w:val="en-US"/>
        </w:rPr>
      </w:pPr>
      <w:proofErr w:type="spellStart"/>
      <w:r w:rsidRPr="0045206E">
        <w:rPr>
          <w:rFonts w:ascii="Arial" w:hAnsi="Arial" w:cs="Arial"/>
          <w:lang w:val="en-US"/>
        </w:rPr>
        <w:t>Kurtessis</w:t>
      </w:r>
      <w:proofErr w:type="spellEnd"/>
      <w:r w:rsidRPr="0045206E">
        <w:rPr>
          <w:rFonts w:ascii="Arial" w:hAnsi="Arial" w:cs="Arial"/>
          <w:lang w:val="en-US"/>
        </w:rPr>
        <w:t xml:space="preserve">, J. N., Eisenberger, R., Ford, M. T., </w:t>
      </w:r>
      <w:proofErr w:type="spellStart"/>
      <w:r w:rsidRPr="0045206E">
        <w:rPr>
          <w:rFonts w:ascii="Arial" w:hAnsi="Arial" w:cs="Arial"/>
          <w:lang w:val="en-US"/>
        </w:rPr>
        <w:t>Buffardi</w:t>
      </w:r>
      <w:proofErr w:type="spellEnd"/>
      <w:r w:rsidRPr="0045206E">
        <w:rPr>
          <w:rFonts w:ascii="Arial" w:hAnsi="Arial" w:cs="Arial"/>
          <w:lang w:val="en-US"/>
        </w:rPr>
        <w:t xml:space="preserve">, L. C., Stewart, K. A., &amp; </w:t>
      </w:r>
      <w:proofErr w:type="spellStart"/>
      <w:r w:rsidRPr="0045206E">
        <w:rPr>
          <w:rFonts w:ascii="Arial" w:hAnsi="Arial" w:cs="Arial"/>
          <w:lang w:val="en-US"/>
        </w:rPr>
        <w:t>Adis</w:t>
      </w:r>
      <w:proofErr w:type="spellEnd"/>
      <w:r w:rsidRPr="0045206E">
        <w:rPr>
          <w:rFonts w:ascii="Arial" w:hAnsi="Arial" w:cs="Arial"/>
          <w:lang w:val="en-US"/>
        </w:rPr>
        <w:t>, C. S. (2017). Perceived organizational support: A meta-analytic evaluation of organizational support theory. Journal of Management, 43(6), 1854-1884.</w:t>
      </w:r>
    </w:p>
    <w:p w14:paraId="278884B6" w14:textId="77777777" w:rsidR="0045206E" w:rsidRPr="0045206E" w:rsidRDefault="0045206E" w:rsidP="0045206E">
      <w:pPr>
        <w:rPr>
          <w:rFonts w:ascii="Arial" w:hAnsi="Arial" w:cs="Arial"/>
          <w:lang w:val="en-US"/>
        </w:rPr>
      </w:pPr>
      <w:proofErr w:type="spellStart"/>
      <w:r w:rsidRPr="0045206E">
        <w:rPr>
          <w:rFonts w:ascii="Arial" w:hAnsi="Arial" w:cs="Arial"/>
          <w:lang w:val="en-US"/>
        </w:rPr>
        <w:t>Nijp</w:t>
      </w:r>
      <w:proofErr w:type="spellEnd"/>
      <w:r w:rsidRPr="0045206E">
        <w:rPr>
          <w:rFonts w:ascii="Arial" w:hAnsi="Arial" w:cs="Arial"/>
          <w:lang w:val="en-US"/>
        </w:rPr>
        <w:t xml:space="preserve">, H. H., </w:t>
      </w:r>
      <w:proofErr w:type="spellStart"/>
      <w:r w:rsidRPr="0045206E">
        <w:rPr>
          <w:rFonts w:ascii="Arial" w:hAnsi="Arial" w:cs="Arial"/>
          <w:lang w:val="en-US"/>
        </w:rPr>
        <w:t>Beckers</w:t>
      </w:r>
      <w:proofErr w:type="spellEnd"/>
      <w:r w:rsidRPr="0045206E">
        <w:rPr>
          <w:rFonts w:ascii="Arial" w:hAnsi="Arial" w:cs="Arial"/>
          <w:lang w:val="en-US"/>
        </w:rPr>
        <w:t xml:space="preserve">, D. G., </w:t>
      </w:r>
      <w:proofErr w:type="spellStart"/>
      <w:r w:rsidRPr="0045206E">
        <w:rPr>
          <w:rFonts w:ascii="Arial" w:hAnsi="Arial" w:cs="Arial"/>
          <w:lang w:val="en-US"/>
        </w:rPr>
        <w:t>Geurts</w:t>
      </w:r>
      <w:proofErr w:type="spellEnd"/>
      <w:r w:rsidRPr="0045206E">
        <w:rPr>
          <w:rFonts w:ascii="Arial" w:hAnsi="Arial" w:cs="Arial"/>
          <w:lang w:val="en-US"/>
        </w:rPr>
        <w:t xml:space="preserve">, S. A., Tucker, P., &amp; </w:t>
      </w:r>
      <w:proofErr w:type="spellStart"/>
      <w:r w:rsidRPr="0045206E">
        <w:rPr>
          <w:rFonts w:ascii="Arial" w:hAnsi="Arial" w:cs="Arial"/>
          <w:lang w:val="en-US"/>
        </w:rPr>
        <w:t>Kompier</w:t>
      </w:r>
      <w:proofErr w:type="spellEnd"/>
      <w:r w:rsidRPr="0045206E">
        <w:rPr>
          <w:rFonts w:ascii="Arial" w:hAnsi="Arial" w:cs="Arial"/>
          <w:lang w:val="en-US"/>
        </w:rPr>
        <w:t>, M. A. (2016). Systematic review on the association between employee worktime control and work-non-work balance, health and well-being, and job-related outcomes. Scandinavian Journal of Work, Environment &amp; Health, 42(4), 299-313.</w:t>
      </w:r>
    </w:p>
    <w:p w14:paraId="3CF13074" w14:textId="77777777" w:rsidR="0045206E" w:rsidRPr="0045206E" w:rsidRDefault="0045206E" w:rsidP="0045206E">
      <w:pPr>
        <w:rPr>
          <w:rFonts w:ascii="Arial" w:hAnsi="Arial" w:cs="Arial"/>
          <w:lang w:val="en-US"/>
        </w:rPr>
      </w:pPr>
      <w:proofErr w:type="spellStart"/>
      <w:r w:rsidRPr="0045206E">
        <w:rPr>
          <w:rFonts w:ascii="Arial" w:hAnsi="Arial" w:cs="Arial"/>
          <w:lang w:val="en-US"/>
        </w:rPr>
        <w:t>Vaziri</w:t>
      </w:r>
      <w:proofErr w:type="spellEnd"/>
      <w:r w:rsidRPr="0045206E">
        <w:rPr>
          <w:rFonts w:ascii="Arial" w:hAnsi="Arial" w:cs="Arial"/>
          <w:lang w:val="en-US"/>
        </w:rPr>
        <w:t>, H., Casper, W. J., Wayne, J. H., &amp; Matthews, R. A. (2020). Changes to the work–family interface during the COVID-19 pandemic: Examining predictors and implications using latent transition analysis. Journal of Applied Psychology, 105(10), 1073-1087.</w:t>
      </w:r>
    </w:p>
    <w:p w14:paraId="29A2262C" w14:textId="77777777" w:rsidR="0045206E" w:rsidRPr="0045206E" w:rsidRDefault="0045206E" w:rsidP="0045206E">
      <w:pPr>
        <w:rPr>
          <w:rFonts w:ascii="Arial" w:hAnsi="Arial" w:cs="Arial"/>
          <w:lang w:val="en-US"/>
        </w:rPr>
      </w:pPr>
      <w:r w:rsidRPr="0045206E">
        <w:rPr>
          <w:rFonts w:ascii="Arial" w:hAnsi="Arial" w:cs="Arial"/>
          <w:lang w:val="en-US"/>
        </w:rPr>
        <w:t xml:space="preserve">Van </w:t>
      </w:r>
      <w:proofErr w:type="spellStart"/>
      <w:r w:rsidRPr="0045206E">
        <w:rPr>
          <w:rFonts w:ascii="Arial" w:hAnsi="Arial" w:cs="Arial"/>
          <w:lang w:val="en-US"/>
        </w:rPr>
        <w:t>Wingerden</w:t>
      </w:r>
      <w:proofErr w:type="spellEnd"/>
      <w:r w:rsidRPr="0045206E">
        <w:rPr>
          <w:rFonts w:ascii="Arial" w:hAnsi="Arial" w:cs="Arial"/>
          <w:lang w:val="en-US"/>
        </w:rPr>
        <w:t xml:space="preserve">, J., &amp; </w:t>
      </w:r>
      <w:proofErr w:type="spellStart"/>
      <w:r w:rsidRPr="0045206E">
        <w:rPr>
          <w:rFonts w:ascii="Arial" w:hAnsi="Arial" w:cs="Arial"/>
          <w:lang w:val="en-US"/>
        </w:rPr>
        <w:t>Poell</w:t>
      </w:r>
      <w:proofErr w:type="spellEnd"/>
      <w:r w:rsidRPr="0045206E">
        <w:rPr>
          <w:rFonts w:ascii="Arial" w:hAnsi="Arial" w:cs="Arial"/>
          <w:lang w:val="en-US"/>
        </w:rPr>
        <w:t>, R. F. (2017). Employees' perceived opportunities to craft and in-role performance: The mediating role of job crafting and work engagement. Frontiers in Psychology, 8, 1876.</w:t>
      </w:r>
    </w:p>
    <w:p w14:paraId="0FAEC963" w14:textId="77777777" w:rsidR="0045206E" w:rsidRPr="0045206E" w:rsidRDefault="0045206E" w:rsidP="0045206E">
      <w:pPr>
        <w:rPr>
          <w:rFonts w:ascii="Arial" w:hAnsi="Arial" w:cs="Arial"/>
          <w:lang w:val="en-US"/>
        </w:rPr>
      </w:pPr>
      <w:r w:rsidRPr="0045206E">
        <w:rPr>
          <w:rFonts w:ascii="Arial" w:hAnsi="Arial" w:cs="Arial"/>
          <w:lang w:val="en-US"/>
        </w:rPr>
        <w:t>Leiter, M. P., &amp; Maslach, C. (2017). Burnout and engagement: Contributions to a new vision. Burnout Research, 5, 55-57.</w:t>
      </w:r>
    </w:p>
    <w:p w14:paraId="5B745DF7" w14:textId="77777777" w:rsidR="0045206E" w:rsidRPr="0045206E" w:rsidRDefault="0045206E" w:rsidP="0045206E">
      <w:pPr>
        <w:rPr>
          <w:rFonts w:ascii="Arial" w:hAnsi="Arial" w:cs="Arial"/>
          <w:lang w:val="en-US"/>
        </w:rPr>
      </w:pPr>
      <w:r w:rsidRPr="0045206E">
        <w:rPr>
          <w:rFonts w:ascii="Arial" w:hAnsi="Arial" w:cs="Arial"/>
          <w:lang w:val="en-US"/>
        </w:rPr>
        <w:t xml:space="preserve">Hallberg, U. E., &amp; Schaufeli, W. B. (2006). "Same </w:t>
      </w:r>
      <w:proofErr w:type="spellStart"/>
      <w:r w:rsidRPr="0045206E">
        <w:rPr>
          <w:rFonts w:ascii="Arial" w:hAnsi="Arial" w:cs="Arial"/>
          <w:lang w:val="en-US"/>
        </w:rPr>
        <w:t>same</w:t>
      </w:r>
      <w:proofErr w:type="spellEnd"/>
      <w:r w:rsidRPr="0045206E">
        <w:rPr>
          <w:rFonts w:ascii="Arial" w:hAnsi="Arial" w:cs="Arial"/>
          <w:lang w:val="en-US"/>
        </w:rPr>
        <w:t>" but different? Can work engagement be discriminated from job involvement and organizational commitment? European Psychologist, 11(2), 119-127.</w:t>
      </w:r>
    </w:p>
    <w:p w14:paraId="7D19C073" w14:textId="77777777" w:rsidR="0045206E" w:rsidRPr="0045206E" w:rsidRDefault="0045206E" w:rsidP="0045206E">
      <w:pPr>
        <w:rPr>
          <w:rFonts w:ascii="Arial" w:hAnsi="Arial" w:cs="Arial"/>
          <w:lang w:val="en-US"/>
        </w:rPr>
      </w:pPr>
      <w:r w:rsidRPr="0045206E">
        <w:rPr>
          <w:rFonts w:ascii="Arial" w:hAnsi="Arial" w:cs="Arial"/>
          <w:lang w:val="en-US"/>
        </w:rPr>
        <w:t>Tuckey, M. R., Bakker, A. B., &amp; Dollard, M. F. (2012). Empowering leaders optimize working conditions for engagement: A multilevel study. Journal of Occupational Health Psychology, 17(1), 15-27.</w:t>
      </w:r>
    </w:p>
    <w:p w14:paraId="7317E05A" w14:textId="1E795206" w:rsidR="0045206E" w:rsidRPr="0045206E" w:rsidRDefault="0045206E" w:rsidP="0045206E">
      <w:pPr>
        <w:rPr>
          <w:rFonts w:ascii="Arial" w:hAnsi="Arial" w:cs="Arial"/>
          <w:lang w:val="en-US"/>
        </w:rPr>
      </w:pPr>
      <w:r w:rsidRPr="0045206E">
        <w:rPr>
          <w:rFonts w:ascii="Arial" w:hAnsi="Arial" w:cs="Arial"/>
          <w:lang w:val="en-US"/>
        </w:rPr>
        <w:t xml:space="preserve">Reina, C. S., </w:t>
      </w:r>
      <w:proofErr w:type="spellStart"/>
      <w:r w:rsidRPr="0045206E">
        <w:rPr>
          <w:rFonts w:ascii="Arial" w:hAnsi="Arial" w:cs="Arial"/>
          <w:lang w:val="en-US"/>
        </w:rPr>
        <w:t>Kudesia</w:t>
      </w:r>
      <w:proofErr w:type="spellEnd"/>
      <w:r w:rsidRPr="0045206E">
        <w:rPr>
          <w:rFonts w:ascii="Arial" w:hAnsi="Arial" w:cs="Arial"/>
          <w:lang w:val="en-US"/>
        </w:rPr>
        <w:t>, R. S., &amp; White, R. E. (2021). Workplace mindfulness and employee engagement</w:t>
      </w:r>
      <w:r w:rsidRPr="0045206E">
        <w:rPr>
          <w:rFonts w:ascii="Arial" w:hAnsi="Arial" w:cs="Arial"/>
          <w:lang w:val="en-US"/>
        </w:rPr>
        <w:t>.</w:t>
      </w:r>
    </w:p>
    <w:p w14:paraId="0E88285A" w14:textId="77777777" w:rsidR="0045206E" w:rsidRPr="0045206E" w:rsidRDefault="0045206E" w:rsidP="0045206E">
      <w:pPr>
        <w:rPr>
          <w:rFonts w:ascii="Arial" w:hAnsi="Arial" w:cs="Arial"/>
          <w:lang w:val="en-US"/>
        </w:rPr>
      </w:pPr>
      <w:r w:rsidRPr="0045206E">
        <w:rPr>
          <w:rFonts w:ascii="Arial" w:hAnsi="Arial" w:cs="Arial"/>
          <w:lang w:val="en-US"/>
        </w:rPr>
        <w:t xml:space="preserve">Schaufeli, W. B., &amp; </w:t>
      </w:r>
      <w:proofErr w:type="spellStart"/>
      <w:r w:rsidRPr="0045206E">
        <w:rPr>
          <w:rFonts w:ascii="Arial" w:hAnsi="Arial" w:cs="Arial"/>
          <w:lang w:val="en-US"/>
        </w:rPr>
        <w:t>Salanova</w:t>
      </w:r>
      <w:proofErr w:type="spellEnd"/>
      <w:r w:rsidRPr="0045206E">
        <w:rPr>
          <w:rFonts w:ascii="Arial" w:hAnsi="Arial" w:cs="Arial"/>
          <w:lang w:val="en-US"/>
        </w:rPr>
        <w:t>, M. (2021). Burnout, boredom and engagement in the workplace: An integrative model. International Journal of Environmental Research and Public Health, 18(9), 4453.</w:t>
      </w:r>
    </w:p>
    <w:p w14:paraId="1880CD27" w14:textId="77777777" w:rsidR="0045206E" w:rsidRPr="0045206E" w:rsidRDefault="0045206E" w:rsidP="0045206E">
      <w:pPr>
        <w:rPr>
          <w:rFonts w:ascii="Arial" w:hAnsi="Arial" w:cs="Arial"/>
          <w:lang w:val="en-US"/>
        </w:rPr>
      </w:pPr>
    </w:p>
    <w:p w14:paraId="204B1D72" w14:textId="77777777" w:rsidR="0045206E" w:rsidRPr="0045206E" w:rsidRDefault="0045206E" w:rsidP="0045206E">
      <w:pPr>
        <w:rPr>
          <w:rFonts w:ascii="Arial" w:hAnsi="Arial" w:cs="Arial"/>
          <w:lang w:val="en-US"/>
        </w:rPr>
      </w:pPr>
      <w:proofErr w:type="spellStart"/>
      <w:r w:rsidRPr="0045206E">
        <w:rPr>
          <w:rFonts w:ascii="Arial" w:hAnsi="Arial" w:cs="Arial"/>
          <w:lang w:val="en-US"/>
        </w:rPr>
        <w:t>Beriker</w:t>
      </w:r>
      <w:proofErr w:type="spellEnd"/>
      <w:r w:rsidRPr="0045206E">
        <w:rPr>
          <w:rFonts w:ascii="Arial" w:hAnsi="Arial" w:cs="Arial"/>
          <w:lang w:val="en-US"/>
        </w:rPr>
        <w:t xml:space="preserve">, G., &amp; </w:t>
      </w:r>
      <w:proofErr w:type="spellStart"/>
      <w:r w:rsidRPr="0045206E">
        <w:rPr>
          <w:rFonts w:ascii="Arial" w:hAnsi="Arial" w:cs="Arial"/>
          <w:lang w:val="en-US"/>
        </w:rPr>
        <w:t>Dedeoğlu</w:t>
      </w:r>
      <w:proofErr w:type="spellEnd"/>
      <w:r w:rsidRPr="0045206E">
        <w:rPr>
          <w:rFonts w:ascii="Arial" w:hAnsi="Arial" w:cs="Arial"/>
          <w:lang w:val="en-US"/>
        </w:rPr>
        <w:t>, S. (2020). The impact of authentic leadership on employees' creativity: The mediating role of work engagement. International Journal of Organizational Leadership, 9(1), 15-26.</w:t>
      </w:r>
    </w:p>
    <w:p w14:paraId="2F4C7CD5" w14:textId="6E089B6C" w:rsidR="0045206E" w:rsidRPr="0045206E" w:rsidRDefault="0045206E" w:rsidP="0045206E">
      <w:pPr>
        <w:rPr>
          <w:rFonts w:ascii="Arial" w:hAnsi="Arial" w:cs="Arial"/>
          <w:lang w:val="en-US"/>
        </w:rPr>
      </w:pPr>
      <w:r w:rsidRPr="0045206E">
        <w:rPr>
          <w:rFonts w:ascii="Arial" w:hAnsi="Arial" w:cs="Arial"/>
          <w:lang w:val="en-US"/>
        </w:rPr>
        <w:t>Khan, N., &amp; Du, J. (2021). How does high-performance work system associate with employee engagement? A multilevel study of the mediating role of psychological empowerment. Journal of Management &amp; Organization, 27(1), 61-77.</w:t>
      </w:r>
    </w:p>
    <w:p w14:paraId="5B3F7A2A" w14:textId="52EFAEC9" w:rsidR="0045206E" w:rsidRPr="0045206E" w:rsidRDefault="0045206E" w:rsidP="0045206E">
      <w:pPr>
        <w:rPr>
          <w:rFonts w:ascii="Arial" w:hAnsi="Arial" w:cs="Arial"/>
          <w:lang w:val="en-US"/>
        </w:rPr>
      </w:pPr>
      <w:proofErr w:type="spellStart"/>
      <w:r w:rsidRPr="0045206E">
        <w:rPr>
          <w:rFonts w:ascii="Arial" w:hAnsi="Arial" w:cs="Arial"/>
          <w:lang w:val="en-US"/>
        </w:rPr>
        <w:t>Mone</w:t>
      </w:r>
      <w:proofErr w:type="spellEnd"/>
      <w:r w:rsidRPr="0045206E">
        <w:rPr>
          <w:rFonts w:ascii="Arial" w:hAnsi="Arial" w:cs="Arial"/>
          <w:lang w:val="en-US"/>
        </w:rPr>
        <w:t>, E. M., &amp; London, M. (2018). Employee engagement through effective performance management: A practical guide for managers. Routledge.</w:t>
      </w:r>
    </w:p>
    <w:sectPr w:rsidR="0045206E" w:rsidRPr="0045206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B3A74" w14:textId="77777777" w:rsidR="0029451F" w:rsidRDefault="0029451F" w:rsidP="00A5323B">
      <w:pPr>
        <w:spacing w:after="0" w:line="240" w:lineRule="auto"/>
      </w:pPr>
      <w:r>
        <w:separator/>
      </w:r>
    </w:p>
  </w:endnote>
  <w:endnote w:type="continuationSeparator" w:id="0">
    <w:p w14:paraId="65CA65BA" w14:textId="77777777" w:rsidR="0029451F" w:rsidRDefault="0029451F" w:rsidP="00A53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741335"/>
      <w:docPartObj>
        <w:docPartGallery w:val="Page Numbers (Bottom of Page)"/>
        <w:docPartUnique/>
      </w:docPartObj>
    </w:sdtPr>
    <w:sdtEndPr>
      <w:rPr>
        <w:noProof/>
      </w:rPr>
    </w:sdtEndPr>
    <w:sdtContent>
      <w:p w14:paraId="0A40977E" w14:textId="0BA57000" w:rsidR="00A5323B" w:rsidRDefault="00A532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333260" w14:textId="77777777" w:rsidR="00A5323B" w:rsidRDefault="00A53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6E4A5" w14:textId="77777777" w:rsidR="0029451F" w:rsidRDefault="0029451F" w:rsidP="00A5323B">
      <w:pPr>
        <w:spacing w:after="0" w:line="240" w:lineRule="auto"/>
      </w:pPr>
      <w:r>
        <w:separator/>
      </w:r>
    </w:p>
  </w:footnote>
  <w:footnote w:type="continuationSeparator" w:id="0">
    <w:p w14:paraId="10267BDB" w14:textId="77777777" w:rsidR="0029451F" w:rsidRDefault="0029451F" w:rsidP="00A532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23B"/>
    <w:rsid w:val="00135A59"/>
    <w:rsid w:val="0029451F"/>
    <w:rsid w:val="0045206E"/>
    <w:rsid w:val="00A5323B"/>
    <w:rsid w:val="00B01A65"/>
    <w:rsid w:val="00C764E7"/>
    <w:rsid w:val="00D651B0"/>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2618F"/>
  <w15:chartTrackingRefBased/>
  <w15:docId w15:val="{0C0664F7-58B2-4F17-9499-47D12C03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2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32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2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323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53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23B"/>
  </w:style>
  <w:style w:type="paragraph" w:styleId="Footer">
    <w:name w:val="footer"/>
    <w:basedOn w:val="Normal"/>
    <w:link w:val="FooterChar"/>
    <w:uiPriority w:val="99"/>
    <w:unhideWhenUsed/>
    <w:rsid w:val="00A53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23B"/>
  </w:style>
  <w:style w:type="paragraph" w:styleId="TOCHeading">
    <w:name w:val="TOC Heading"/>
    <w:basedOn w:val="Heading1"/>
    <w:next w:val="Normal"/>
    <w:uiPriority w:val="39"/>
    <w:unhideWhenUsed/>
    <w:qFormat/>
    <w:rsid w:val="0045206E"/>
    <w:pPr>
      <w:outlineLvl w:val="9"/>
    </w:pPr>
    <w:rPr>
      <w:lang w:val="en-US"/>
    </w:rPr>
  </w:style>
  <w:style w:type="paragraph" w:styleId="TOC1">
    <w:name w:val="toc 1"/>
    <w:basedOn w:val="Normal"/>
    <w:next w:val="Normal"/>
    <w:autoRedefine/>
    <w:uiPriority w:val="39"/>
    <w:unhideWhenUsed/>
    <w:rsid w:val="0045206E"/>
    <w:pPr>
      <w:spacing w:after="100"/>
    </w:pPr>
  </w:style>
  <w:style w:type="paragraph" w:styleId="TOC2">
    <w:name w:val="toc 2"/>
    <w:basedOn w:val="Normal"/>
    <w:next w:val="Normal"/>
    <w:autoRedefine/>
    <w:uiPriority w:val="39"/>
    <w:unhideWhenUsed/>
    <w:rsid w:val="0045206E"/>
    <w:pPr>
      <w:spacing w:after="100"/>
      <w:ind w:left="220"/>
    </w:pPr>
  </w:style>
  <w:style w:type="character" w:styleId="Hyperlink">
    <w:name w:val="Hyperlink"/>
    <w:basedOn w:val="DefaultParagraphFont"/>
    <w:uiPriority w:val="99"/>
    <w:unhideWhenUsed/>
    <w:rsid w:val="004520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3E4161-92AE-47DA-B476-AECE32E52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3637</Words>
  <Characters>20733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2023-03-26T12:43:00Z</dcterms:created>
  <dcterms:modified xsi:type="dcterms:W3CDTF">2023-03-26T12:43:00Z</dcterms:modified>
</cp:coreProperties>
</file>