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167" w:rsidRPr="00A17A2E" w:rsidRDefault="00112167" w:rsidP="00112167">
      <w:pPr>
        <w:spacing w:after="0"/>
        <w:jc w:val="both"/>
        <w:rPr>
          <w:rFonts w:ascii="Palatino Linotype" w:hAnsi="Palatino Linotype"/>
          <w:b/>
          <w:sz w:val="28"/>
        </w:rPr>
      </w:pPr>
      <w:r w:rsidRPr="00A17A2E">
        <w:rPr>
          <w:rFonts w:ascii="Palatino Linotype" w:hAnsi="Palatino Linotype"/>
          <w:b/>
          <w:sz w:val="28"/>
        </w:rPr>
        <w:t xml:space="preserve">CSEN7038: Research Methods </w:t>
      </w:r>
    </w:p>
    <w:p w:rsidR="00112167" w:rsidRDefault="00112167" w:rsidP="00112167">
      <w:pPr>
        <w:spacing w:after="0"/>
        <w:jc w:val="both"/>
        <w:rPr>
          <w:rFonts w:ascii="Palatino Linotype" w:hAnsi="Palatino Linotype"/>
          <w:b/>
          <w:sz w:val="21"/>
          <w:szCs w:val="21"/>
        </w:rPr>
      </w:pPr>
      <w:r w:rsidRPr="00A17A2E">
        <w:rPr>
          <w:rFonts w:ascii="Palatino Linotype" w:hAnsi="Palatino Linotype"/>
          <w:b/>
          <w:sz w:val="21"/>
          <w:szCs w:val="21"/>
        </w:rPr>
        <w:t>Introduction, Assessment, and Outline of Topics</w:t>
      </w:r>
    </w:p>
    <w:p w:rsidR="00112167" w:rsidRPr="00A17A2E" w:rsidRDefault="00112167" w:rsidP="00112167">
      <w:pPr>
        <w:spacing w:after="0"/>
        <w:jc w:val="both"/>
        <w:rPr>
          <w:rFonts w:ascii="Palatino Linotype" w:hAnsi="Palatino Linotype"/>
          <w:b/>
          <w:sz w:val="21"/>
          <w:szCs w:val="21"/>
        </w:rPr>
      </w:pPr>
    </w:p>
    <w:p w:rsidR="00112167" w:rsidRDefault="00112167" w:rsidP="00112167">
      <w:pPr>
        <w:spacing w:after="120"/>
        <w:jc w:val="both"/>
        <w:rPr>
          <w:rFonts w:ascii="Palatino Linotype" w:hAnsi="Palatino Linotype"/>
        </w:rPr>
      </w:pPr>
      <w:r w:rsidRPr="00B32C1A">
        <w:rPr>
          <w:rFonts w:ascii="Palatino Linotype" w:hAnsi="Palatino Linotype"/>
        </w:rPr>
        <w:t xml:space="preserve">The module offers guidance and instruction in most aspects of the process of research, from the consultation of printed and electronic resources in libraries or elsewhere to the presentation of a piece of scholarly work. In various ways the module incorporates skills training for research students as required by the research councils, including the Arts and Humanities Research Council (AHRC). Although this training as outlined by the research councils is primarily aimed at those registered for research degrees such as MPhil and PhD, it is also of direct benefit to MA students who are expected to conduct research and are required to write a dissertation as part of their assessed work. </w:t>
      </w:r>
    </w:p>
    <w:p w:rsidR="00112167" w:rsidRDefault="00112167" w:rsidP="00112167">
      <w:pPr>
        <w:spacing w:after="120"/>
        <w:jc w:val="both"/>
        <w:rPr>
          <w:rFonts w:ascii="Palatino Linotype" w:hAnsi="Palatino Linotype"/>
        </w:rPr>
      </w:pPr>
      <w:r w:rsidRPr="00B32C1A">
        <w:rPr>
          <w:rFonts w:ascii="Palatino Linotype" w:hAnsi="Palatino Linotype"/>
        </w:rPr>
        <w:t xml:space="preserve">The module contains some instruction in techniques in the use of libraries, of works of reference, printed and electronic bibliographical and other resources, and of electronic databases, gateways, and searches, for the purpose of accessing information about chosen topics of research. It aims to render more effective and directed your consultation and use of these resources, and your use of libraries, and liaising with librarians and other library staff. It aims to instil in you more confidence in undertaking such activities. And it aims also to help build your understanding of the development of these resources in history and through scholarship. You will be able to develop a broad understanding of the historical development of the classification and organization of knowledge and of the relationship between disciplines in academia and in library classification. You will also be given advice on becoming more aware of developments within your field and related, cognate areas of scholarship. </w:t>
      </w:r>
    </w:p>
    <w:p w:rsidR="00112167" w:rsidRDefault="00112167" w:rsidP="00112167">
      <w:pPr>
        <w:spacing w:after="120"/>
        <w:jc w:val="both"/>
        <w:rPr>
          <w:rFonts w:ascii="Palatino Linotype" w:hAnsi="Palatino Linotype"/>
        </w:rPr>
      </w:pPr>
      <w:r w:rsidRPr="00B32C1A">
        <w:rPr>
          <w:rFonts w:ascii="Palatino Linotype" w:hAnsi="Palatino Linotype"/>
        </w:rPr>
        <w:t>In specific relation to the annotated bibliography project, which you will undertake as the major part of the assessed work for this module, you will be encouraged to reflect on and justify the use of relevant methodologies and research methods and techniques. In this way you will be required to put into practice ways you have learned of becoming more aware of developments within your field and in related areas, and of relevant theoretical and methodological issues. The module aims also to encourage the development of your skills of research project management and information management for research, which includes the ability to acquire, collate, retain, and retrieve information through the effective use of appropriate resources and techniques.</w:t>
      </w:r>
    </w:p>
    <w:p w:rsidR="00112167" w:rsidRDefault="00112167" w:rsidP="00112167">
      <w:pPr>
        <w:spacing w:after="120"/>
        <w:jc w:val="both"/>
        <w:rPr>
          <w:rFonts w:ascii="Palatino Linotype" w:hAnsi="Palatino Linotype"/>
        </w:rPr>
      </w:pPr>
      <w:r w:rsidRPr="00B32C1A">
        <w:rPr>
          <w:rFonts w:ascii="Palatino Linotype" w:hAnsi="Palatino Linotype"/>
        </w:rPr>
        <w:t xml:space="preserve">The module also contains information about the production and transmission of texts. By thus building your understanding of the condition of the literary text and what we call textual history, you will be better able to appreciate editorial problems, and better equipped to make judgements about the roles and decisions of editors, in making accessible to a wider readership, scholarly editions of literary texts. You will also be encouraged to think about historical and linguistic issues in literary research. Such issues as these may influence your ways of assessing literary evidence. </w:t>
      </w:r>
    </w:p>
    <w:p w:rsidR="00112167" w:rsidRDefault="00112167" w:rsidP="00112167">
      <w:pPr>
        <w:spacing w:after="120"/>
        <w:jc w:val="both"/>
        <w:rPr>
          <w:rFonts w:ascii="Palatino Linotype" w:hAnsi="Palatino Linotype"/>
        </w:rPr>
      </w:pPr>
      <w:r w:rsidRPr="00B32C1A">
        <w:rPr>
          <w:rFonts w:ascii="Palatino Linotype" w:hAnsi="Palatino Linotype"/>
        </w:rPr>
        <w:t xml:space="preserve">Some direction on academic writing, the use of style sheets and manuals, and the methods of preparing, presenting, and publishing fully documented and referenced scholarly work will also be provided. And the module aims to build understanding of research and the </w:t>
      </w:r>
      <w:r w:rsidRPr="00B32C1A">
        <w:rPr>
          <w:rFonts w:ascii="Palatino Linotype" w:hAnsi="Palatino Linotype"/>
        </w:rPr>
        <w:lastRenderedPageBreak/>
        <w:t>ways in which it is defined, and of the institutional, evaluative, and financial contexts, at the national and international level, in which research is currently undertaken.</w:t>
      </w:r>
    </w:p>
    <w:p w:rsidR="00112167" w:rsidRPr="00E54016" w:rsidRDefault="00112167" w:rsidP="00112167">
      <w:pPr>
        <w:spacing w:after="0"/>
        <w:jc w:val="both"/>
        <w:rPr>
          <w:rFonts w:ascii="Palatino Linotype" w:hAnsi="Palatino Linotype"/>
          <w:sz w:val="20"/>
        </w:rPr>
      </w:pPr>
    </w:p>
    <w:p w:rsidR="00112167" w:rsidRDefault="00112167" w:rsidP="00112167">
      <w:pPr>
        <w:spacing w:after="0"/>
        <w:jc w:val="both"/>
        <w:rPr>
          <w:rFonts w:ascii="Palatino Linotype" w:hAnsi="Palatino Linotype"/>
          <w:b/>
        </w:rPr>
      </w:pPr>
      <w:r w:rsidRPr="00A17A2E">
        <w:rPr>
          <w:rFonts w:ascii="Palatino Linotype" w:hAnsi="Palatino Linotype"/>
          <w:b/>
        </w:rPr>
        <w:t>1. The Consultation of Resources and Works of Reference</w:t>
      </w:r>
    </w:p>
    <w:p w:rsidR="00112167" w:rsidRPr="00B32C1A" w:rsidRDefault="00112167" w:rsidP="00112167">
      <w:pPr>
        <w:spacing w:after="0"/>
        <w:jc w:val="both"/>
        <w:rPr>
          <w:rFonts w:ascii="Palatino Linotype" w:hAnsi="Palatino Linotype"/>
        </w:rPr>
      </w:pPr>
      <w:r w:rsidRPr="00B32C1A">
        <w:rPr>
          <w:rFonts w:ascii="Palatino Linotype" w:hAnsi="Palatino Linotype"/>
        </w:rPr>
        <w:t xml:space="preserve">In </w:t>
      </w:r>
      <w:r w:rsidRPr="00A17A2E">
        <w:rPr>
          <w:rFonts w:ascii="Palatino Linotype" w:hAnsi="Palatino Linotype"/>
          <w:b/>
        </w:rPr>
        <w:t>Unit One of the module</w:t>
      </w:r>
      <w:r w:rsidRPr="00B32C1A">
        <w:rPr>
          <w:rFonts w:ascii="Palatino Linotype" w:hAnsi="Palatino Linotype"/>
        </w:rPr>
        <w:t xml:space="preserve">, which is comprised of two parts (a and b), students will be given opportunity to develop the skills necessary to identify, access, and intelligently use for research and study various kinds of archive and library, as well as a range of works of reference and bibliographical and other resources, including catalogues, hand-lists, source-lists, concordances, variorum editions, dictionaries, </w:t>
      </w:r>
      <w:proofErr w:type="spellStart"/>
      <w:r w:rsidRPr="00B32C1A">
        <w:rPr>
          <w:rFonts w:ascii="Palatino Linotype" w:hAnsi="Palatino Linotype"/>
        </w:rPr>
        <w:t>encyclopedias</w:t>
      </w:r>
      <w:proofErr w:type="spellEnd"/>
      <w:r w:rsidRPr="00B32C1A">
        <w:rPr>
          <w:rFonts w:ascii="Palatino Linotype" w:hAnsi="Palatino Linotype"/>
        </w:rPr>
        <w:t xml:space="preserve">, companions, guides, subject and author indexes, and appropriate forms of information technology and electronic learning resources, such as online bibliographic databases and full-text e-journal articles and e-books. In this context students will study the development of the classification or organization of knowledge, including library classification, and its implications for research, and, related to this, the development of the </w:t>
      </w:r>
      <w:proofErr w:type="spellStart"/>
      <w:r w:rsidRPr="00B32C1A">
        <w:rPr>
          <w:rFonts w:ascii="Palatino Linotype" w:hAnsi="Palatino Linotype"/>
        </w:rPr>
        <w:t>encyclopedia</w:t>
      </w:r>
      <w:proofErr w:type="spellEnd"/>
      <w:r w:rsidRPr="00B32C1A">
        <w:rPr>
          <w:rFonts w:ascii="Palatino Linotype" w:hAnsi="Palatino Linotype"/>
        </w:rPr>
        <w:t>. The consultation of works of reference, including bibliographical resources, leads to consideration of ways of collating and storing information that make its effective retrieval a part of research.</w:t>
      </w:r>
    </w:p>
    <w:p w:rsidR="00112167" w:rsidRPr="00A17A2E" w:rsidRDefault="00112167" w:rsidP="00112167">
      <w:pPr>
        <w:spacing w:after="0"/>
        <w:ind w:left="720"/>
        <w:jc w:val="both"/>
        <w:rPr>
          <w:rFonts w:ascii="Palatino Linotype" w:hAnsi="Palatino Linotype"/>
          <w:sz w:val="20"/>
          <w:szCs w:val="21"/>
        </w:rPr>
      </w:pPr>
      <w:proofErr w:type="gramStart"/>
      <w:r w:rsidRPr="00A17A2E">
        <w:rPr>
          <w:rFonts w:ascii="Palatino Linotype" w:hAnsi="Palatino Linotype"/>
          <w:sz w:val="20"/>
          <w:szCs w:val="21"/>
        </w:rPr>
        <w:t>1.a</w:t>
      </w:r>
      <w:proofErr w:type="gramEnd"/>
      <w:r w:rsidRPr="00A17A2E">
        <w:rPr>
          <w:rFonts w:ascii="Palatino Linotype" w:hAnsi="Palatino Linotype"/>
          <w:sz w:val="20"/>
          <w:szCs w:val="21"/>
        </w:rPr>
        <w:t>. Bibliographical Resources</w:t>
      </w:r>
    </w:p>
    <w:p w:rsidR="00112167" w:rsidRPr="00A17A2E" w:rsidRDefault="00112167" w:rsidP="00112167">
      <w:pPr>
        <w:spacing w:after="0"/>
        <w:ind w:left="720"/>
        <w:jc w:val="both"/>
        <w:rPr>
          <w:rFonts w:ascii="Palatino Linotype" w:hAnsi="Palatino Linotype"/>
          <w:sz w:val="20"/>
          <w:szCs w:val="21"/>
        </w:rPr>
      </w:pPr>
      <w:proofErr w:type="gramStart"/>
      <w:r w:rsidRPr="00A17A2E">
        <w:rPr>
          <w:rFonts w:ascii="Palatino Linotype" w:hAnsi="Palatino Linotype"/>
          <w:sz w:val="20"/>
          <w:szCs w:val="21"/>
        </w:rPr>
        <w:t>1.b</w:t>
      </w:r>
      <w:proofErr w:type="gramEnd"/>
      <w:r w:rsidRPr="00A17A2E">
        <w:rPr>
          <w:rFonts w:ascii="Palatino Linotype" w:hAnsi="Palatino Linotype"/>
          <w:sz w:val="20"/>
          <w:szCs w:val="21"/>
        </w:rPr>
        <w:t>. Classification, Encyclopaedias, and Libraries</w:t>
      </w:r>
    </w:p>
    <w:p w:rsidR="00112167" w:rsidRPr="00A17A2E" w:rsidRDefault="00112167" w:rsidP="00112167">
      <w:pPr>
        <w:spacing w:after="0"/>
        <w:ind w:left="720"/>
        <w:jc w:val="both"/>
        <w:rPr>
          <w:rFonts w:ascii="Palatino Linotype" w:hAnsi="Palatino Linotype"/>
          <w:sz w:val="20"/>
        </w:rPr>
      </w:pPr>
    </w:p>
    <w:p w:rsidR="00112167" w:rsidRPr="00A17A2E" w:rsidRDefault="00112167" w:rsidP="00112167">
      <w:pPr>
        <w:spacing w:after="0"/>
        <w:jc w:val="both"/>
        <w:rPr>
          <w:rFonts w:ascii="Palatino Linotype" w:hAnsi="Palatino Linotype"/>
          <w:b/>
        </w:rPr>
      </w:pPr>
      <w:r w:rsidRPr="00A17A2E">
        <w:rPr>
          <w:rFonts w:ascii="Palatino Linotype" w:hAnsi="Palatino Linotype"/>
          <w:b/>
        </w:rPr>
        <w:t>2. Bibliographical Research and Documentation</w:t>
      </w:r>
    </w:p>
    <w:p w:rsidR="00112167" w:rsidRPr="00B32C1A" w:rsidRDefault="00112167" w:rsidP="00112167">
      <w:pPr>
        <w:spacing w:after="0"/>
        <w:jc w:val="both"/>
        <w:rPr>
          <w:rFonts w:ascii="Palatino Linotype" w:hAnsi="Palatino Linotype"/>
        </w:rPr>
      </w:pPr>
      <w:r w:rsidRPr="00A17A2E">
        <w:rPr>
          <w:rFonts w:ascii="Palatino Linotype" w:hAnsi="Palatino Linotype"/>
          <w:b/>
        </w:rPr>
        <w:t>The second unit of the module</w:t>
      </w:r>
      <w:r w:rsidRPr="00B32C1A">
        <w:rPr>
          <w:rFonts w:ascii="Palatino Linotype" w:hAnsi="Palatino Linotype"/>
        </w:rPr>
        <w:t>, which similarly comprises of two parts, is concerned with bibliographical research and documentation. Students will examine the variety of kinds of enumerative bibliography, thereby building on knowledge developed in the first unit on kinds of bibliographical resource that exist. They will also explore bibliography historically as a division of English studies and its development as a discipline with various branches - analytical, critical, descriptive, textual, and historical. The second of this pair of units will be devoted specifically to instruction and guidance on the annotated bibliography project, the major part of the assessment for this module. In this context students will develop ways to evaluate critically and judiciously the relevance and usefulness of printed and electronic resources for the purposes of this project and, in future, the MA dissertation. In planning research projects it is necessary to appraise problems arising from the location and accessibility of relevant research materials and guidance will be given in the formulation of research proposals and the management of such projects.</w:t>
      </w:r>
    </w:p>
    <w:p w:rsidR="00112167" w:rsidRPr="00A17A2E" w:rsidRDefault="00112167" w:rsidP="00112167">
      <w:pPr>
        <w:spacing w:after="0"/>
        <w:ind w:left="720"/>
        <w:jc w:val="both"/>
        <w:rPr>
          <w:rFonts w:ascii="Palatino Linotype" w:hAnsi="Palatino Linotype"/>
          <w:sz w:val="20"/>
          <w:szCs w:val="21"/>
        </w:rPr>
      </w:pPr>
      <w:proofErr w:type="gramStart"/>
      <w:r w:rsidRPr="00A17A2E">
        <w:rPr>
          <w:rFonts w:ascii="Palatino Linotype" w:hAnsi="Palatino Linotype"/>
          <w:sz w:val="21"/>
          <w:szCs w:val="21"/>
        </w:rPr>
        <w:t>2</w:t>
      </w:r>
      <w:r w:rsidRPr="00A17A2E">
        <w:rPr>
          <w:rFonts w:ascii="Palatino Linotype" w:hAnsi="Palatino Linotype"/>
          <w:sz w:val="20"/>
          <w:szCs w:val="21"/>
        </w:rPr>
        <w:t>.a</w:t>
      </w:r>
      <w:proofErr w:type="gramEnd"/>
      <w:r w:rsidRPr="00A17A2E">
        <w:rPr>
          <w:rFonts w:ascii="Palatino Linotype" w:hAnsi="Palatino Linotype"/>
          <w:sz w:val="20"/>
          <w:szCs w:val="21"/>
        </w:rPr>
        <w:t>. The Discipline of Bibliography</w:t>
      </w:r>
    </w:p>
    <w:p w:rsidR="00112167" w:rsidRPr="00A17A2E" w:rsidRDefault="00112167" w:rsidP="00112167">
      <w:pPr>
        <w:spacing w:after="0"/>
        <w:ind w:left="720"/>
        <w:jc w:val="both"/>
        <w:rPr>
          <w:rFonts w:ascii="Palatino Linotype" w:hAnsi="Palatino Linotype"/>
          <w:sz w:val="20"/>
          <w:szCs w:val="21"/>
        </w:rPr>
      </w:pPr>
      <w:proofErr w:type="gramStart"/>
      <w:r w:rsidRPr="00A17A2E">
        <w:rPr>
          <w:rFonts w:ascii="Palatino Linotype" w:hAnsi="Palatino Linotype"/>
          <w:sz w:val="20"/>
          <w:szCs w:val="21"/>
        </w:rPr>
        <w:t>2.b</w:t>
      </w:r>
      <w:proofErr w:type="gramEnd"/>
      <w:r w:rsidRPr="00A17A2E">
        <w:rPr>
          <w:rFonts w:ascii="Palatino Linotype" w:hAnsi="Palatino Linotype"/>
          <w:sz w:val="20"/>
          <w:szCs w:val="21"/>
        </w:rPr>
        <w:t>. The Annotated Bibliography Project and Research Management</w:t>
      </w:r>
    </w:p>
    <w:p w:rsidR="00112167" w:rsidRPr="00E54016" w:rsidRDefault="00112167" w:rsidP="00112167">
      <w:pPr>
        <w:spacing w:after="0"/>
        <w:jc w:val="both"/>
        <w:rPr>
          <w:rFonts w:ascii="Palatino Linotype" w:hAnsi="Palatino Linotype"/>
          <w:sz w:val="16"/>
          <w:szCs w:val="21"/>
        </w:rPr>
      </w:pPr>
    </w:p>
    <w:p w:rsidR="00112167" w:rsidRPr="00A17A2E" w:rsidRDefault="00112167" w:rsidP="00112167">
      <w:pPr>
        <w:spacing w:after="0"/>
        <w:jc w:val="both"/>
        <w:rPr>
          <w:rFonts w:ascii="Palatino Linotype" w:hAnsi="Palatino Linotype"/>
          <w:b/>
        </w:rPr>
      </w:pPr>
      <w:r w:rsidRPr="00A17A2E">
        <w:rPr>
          <w:rFonts w:ascii="Palatino Linotype" w:hAnsi="Palatino Linotype"/>
          <w:b/>
        </w:rPr>
        <w:t>Introduction, Assessment, and Outline of Topics</w:t>
      </w:r>
    </w:p>
    <w:p w:rsidR="00112167" w:rsidRPr="00A17A2E" w:rsidRDefault="00112167" w:rsidP="00112167">
      <w:pPr>
        <w:spacing w:after="0"/>
        <w:jc w:val="both"/>
        <w:rPr>
          <w:rFonts w:ascii="Palatino Linotype" w:hAnsi="Palatino Linotype"/>
          <w:sz w:val="20"/>
          <w:szCs w:val="20"/>
        </w:rPr>
      </w:pPr>
      <w:r w:rsidRPr="00B32C1A">
        <w:rPr>
          <w:rFonts w:ascii="Palatino Linotype" w:hAnsi="Palatino Linotype"/>
        </w:rPr>
        <w:t>1</w:t>
      </w:r>
      <w:r w:rsidRPr="00A17A2E">
        <w:rPr>
          <w:rFonts w:ascii="Palatino Linotype" w:hAnsi="Palatino Linotype"/>
          <w:sz w:val="20"/>
          <w:szCs w:val="20"/>
        </w:rPr>
        <w:t>. The Consultation of Resources and Works of Reference.</w:t>
      </w:r>
    </w:p>
    <w:p w:rsidR="00112167" w:rsidRPr="00A17A2E" w:rsidRDefault="00112167" w:rsidP="00112167">
      <w:pPr>
        <w:spacing w:after="0"/>
        <w:ind w:left="720"/>
        <w:jc w:val="both"/>
        <w:rPr>
          <w:rFonts w:ascii="Palatino Linotype" w:hAnsi="Palatino Linotype"/>
          <w:sz w:val="20"/>
          <w:szCs w:val="20"/>
        </w:rPr>
      </w:pPr>
      <w:proofErr w:type="gramStart"/>
      <w:r w:rsidRPr="00A17A2E">
        <w:rPr>
          <w:rFonts w:ascii="Palatino Linotype" w:hAnsi="Palatino Linotype"/>
          <w:sz w:val="20"/>
          <w:szCs w:val="20"/>
        </w:rPr>
        <w:t>1.a</w:t>
      </w:r>
      <w:proofErr w:type="gramEnd"/>
      <w:r w:rsidRPr="00A17A2E">
        <w:rPr>
          <w:rFonts w:ascii="Palatino Linotype" w:hAnsi="Palatino Linotype"/>
          <w:sz w:val="20"/>
          <w:szCs w:val="20"/>
        </w:rPr>
        <w:t>. Bibliographical Resources</w:t>
      </w:r>
    </w:p>
    <w:p w:rsidR="00112167" w:rsidRPr="00A17A2E" w:rsidRDefault="00112167" w:rsidP="00112167">
      <w:pPr>
        <w:spacing w:after="0"/>
        <w:ind w:left="720"/>
        <w:jc w:val="both"/>
        <w:rPr>
          <w:rFonts w:ascii="Palatino Linotype" w:hAnsi="Palatino Linotype"/>
          <w:sz w:val="20"/>
          <w:szCs w:val="20"/>
        </w:rPr>
      </w:pPr>
      <w:proofErr w:type="gramStart"/>
      <w:r w:rsidRPr="00A17A2E">
        <w:rPr>
          <w:rFonts w:ascii="Palatino Linotype" w:hAnsi="Palatino Linotype"/>
          <w:sz w:val="20"/>
          <w:szCs w:val="20"/>
        </w:rPr>
        <w:t>1.b</w:t>
      </w:r>
      <w:proofErr w:type="gramEnd"/>
      <w:r w:rsidRPr="00A17A2E">
        <w:rPr>
          <w:rFonts w:ascii="Palatino Linotype" w:hAnsi="Palatino Linotype"/>
          <w:sz w:val="20"/>
          <w:szCs w:val="20"/>
        </w:rPr>
        <w:t>. Classification, Encyclopaedias, and Libraries</w:t>
      </w:r>
    </w:p>
    <w:p w:rsidR="00112167" w:rsidRPr="00A17A2E" w:rsidRDefault="00112167" w:rsidP="00112167">
      <w:pPr>
        <w:spacing w:after="0"/>
        <w:jc w:val="both"/>
        <w:rPr>
          <w:rFonts w:ascii="Palatino Linotype" w:hAnsi="Palatino Linotype"/>
          <w:sz w:val="20"/>
          <w:szCs w:val="20"/>
        </w:rPr>
      </w:pPr>
      <w:r w:rsidRPr="00A17A2E">
        <w:rPr>
          <w:rFonts w:ascii="Palatino Linotype" w:hAnsi="Palatino Linotype"/>
          <w:sz w:val="20"/>
          <w:szCs w:val="20"/>
        </w:rPr>
        <w:t>2. Bibliographical Research and Documentation</w:t>
      </w:r>
    </w:p>
    <w:p w:rsidR="00112167" w:rsidRPr="00A17A2E" w:rsidRDefault="00112167" w:rsidP="00112167">
      <w:pPr>
        <w:spacing w:after="0"/>
        <w:ind w:left="720"/>
        <w:jc w:val="both"/>
        <w:rPr>
          <w:rFonts w:ascii="Palatino Linotype" w:hAnsi="Palatino Linotype"/>
          <w:sz w:val="20"/>
          <w:szCs w:val="20"/>
        </w:rPr>
      </w:pPr>
      <w:proofErr w:type="gramStart"/>
      <w:r w:rsidRPr="00A17A2E">
        <w:rPr>
          <w:rFonts w:ascii="Palatino Linotype" w:hAnsi="Palatino Linotype"/>
          <w:sz w:val="20"/>
          <w:szCs w:val="20"/>
        </w:rPr>
        <w:t>2.a</w:t>
      </w:r>
      <w:proofErr w:type="gramEnd"/>
      <w:r w:rsidRPr="00A17A2E">
        <w:rPr>
          <w:rFonts w:ascii="Palatino Linotype" w:hAnsi="Palatino Linotype"/>
          <w:sz w:val="20"/>
          <w:szCs w:val="20"/>
        </w:rPr>
        <w:t>. The Discipline of Bibliography</w:t>
      </w:r>
    </w:p>
    <w:p w:rsidR="00112167" w:rsidRPr="00A17A2E" w:rsidRDefault="00112167" w:rsidP="00112167">
      <w:pPr>
        <w:spacing w:after="0"/>
        <w:ind w:left="720"/>
        <w:jc w:val="both"/>
        <w:rPr>
          <w:rFonts w:ascii="Palatino Linotype" w:hAnsi="Palatino Linotype"/>
          <w:sz w:val="20"/>
          <w:szCs w:val="20"/>
        </w:rPr>
      </w:pPr>
      <w:proofErr w:type="gramStart"/>
      <w:r w:rsidRPr="00A17A2E">
        <w:rPr>
          <w:rFonts w:ascii="Palatino Linotype" w:hAnsi="Palatino Linotype"/>
          <w:sz w:val="20"/>
          <w:szCs w:val="20"/>
        </w:rPr>
        <w:t>2.b</w:t>
      </w:r>
      <w:proofErr w:type="gramEnd"/>
      <w:r w:rsidRPr="00A17A2E">
        <w:rPr>
          <w:rFonts w:ascii="Palatino Linotype" w:hAnsi="Palatino Linotype"/>
          <w:sz w:val="20"/>
          <w:szCs w:val="20"/>
        </w:rPr>
        <w:t xml:space="preserve">. The Annotated Bibliography Project and </w:t>
      </w:r>
      <w:proofErr w:type="spellStart"/>
      <w:r w:rsidRPr="00A17A2E">
        <w:rPr>
          <w:rFonts w:ascii="Palatino Linotype" w:hAnsi="Palatino Linotype"/>
          <w:sz w:val="20"/>
          <w:szCs w:val="20"/>
        </w:rPr>
        <w:t>Resea</w:t>
      </w:r>
      <w:proofErr w:type="spellEnd"/>
      <w:r w:rsidRPr="00A17A2E">
        <w:rPr>
          <w:rFonts w:ascii="Palatino Linotype" w:hAnsi="Palatino Linotype"/>
          <w:sz w:val="20"/>
          <w:szCs w:val="20"/>
        </w:rPr>
        <w:t>...</w:t>
      </w:r>
    </w:p>
    <w:p w:rsidR="00FA0632" w:rsidRDefault="00112167" w:rsidP="00112167">
      <w:pPr>
        <w:spacing w:after="0"/>
        <w:jc w:val="both"/>
      </w:pPr>
      <w:r>
        <w:rPr>
          <w:rFonts w:ascii="Palatino Linotype" w:hAnsi="Palatino Linotype"/>
          <w:sz w:val="20"/>
          <w:szCs w:val="20"/>
        </w:rPr>
        <w:t xml:space="preserve">4. </w:t>
      </w:r>
      <w:r w:rsidRPr="00A17A2E">
        <w:rPr>
          <w:rFonts w:ascii="Palatino Linotype" w:hAnsi="Palatino Linotype"/>
          <w:sz w:val="20"/>
          <w:szCs w:val="20"/>
        </w:rPr>
        <w:t>The Textual Condition</w:t>
      </w:r>
      <w:r>
        <w:rPr>
          <w:rFonts w:ascii="Palatino Linotype" w:hAnsi="Palatino Linotype"/>
          <w:sz w:val="20"/>
          <w:szCs w:val="20"/>
        </w:rPr>
        <w:t xml:space="preserve">   (</w:t>
      </w:r>
      <w:proofErr w:type="spellStart"/>
      <w:r>
        <w:rPr>
          <w:rFonts w:ascii="Palatino Linotype" w:hAnsi="Palatino Linotype"/>
          <w:sz w:val="20"/>
          <w:szCs w:val="20"/>
        </w:rPr>
        <w:t>etc</w:t>
      </w:r>
      <w:proofErr w:type="spellEnd"/>
      <w:r>
        <w:rPr>
          <w:rFonts w:ascii="Palatino Linotype" w:hAnsi="Palatino Linotype"/>
          <w:sz w:val="20"/>
          <w:szCs w:val="20"/>
        </w:rPr>
        <w:t>)</w:t>
      </w:r>
      <w:bookmarkStart w:id="0" w:name="_GoBack"/>
      <w:bookmarkEnd w:id="0"/>
    </w:p>
    <w:sectPr w:rsidR="00FA0632" w:rsidSect="00E54016">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167"/>
    <w:rsid w:val="00001899"/>
    <w:rsid w:val="00012FAC"/>
    <w:rsid w:val="000132CE"/>
    <w:rsid w:val="000168E9"/>
    <w:rsid w:val="00050B7B"/>
    <w:rsid w:val="00065FF7"/>
    <w:rsid w:val="00080035"/>
    <w:rsid w:val="000A0F0F"/>
    <w:rsid w:val="000A1CA6"/>
    <w:rsid w:val="000B238D"/>
    <w:rsid w:val="000C15EE"/>
    <w:rsid w:val="000F62CA"/>
    <w:rsid w:val="00100DB8"/>
    <w:rsid w:val="0010297A"/>
    <w:rsid w:val="00107957"/>
    <w:rsid w:val="00112167"/>
    <w:rsid w:val="00144C60"/>
    <w:rsid w:val="0016341E"/>
    <w:rsid w:val="001660F3"/>
    <w:rsid w:val="001666A7"/>
    <w:rsid w:val="00171459"/>
    <w:rsid w:val="00172CE9"/>
    <w:rsid w:val="00174CCA"/>
    <w:rsid w:val="00175192"/>
    <w:rsid w:val="00175CA2"/>
    <w:rsid w:val="001834F8"/>
    <w:rsid w:val="00193739"/>
    <w:rsid w:val="00196801"/>
    <w:rsid w:val="001A4BD6"/>
    <w:rsid w:val="001B344B"/>
    <w:rsid w:val="001C62D4"/>
    <w:rsid w:val="001C6829"/>
    <w:rsid w:val="001D5334"/>
    <w:rsid w:val="001E008E"/>
    <w:rsid w:val="001E106C"/>
    <w:rsid w:val="001E3DA1"/>
    <w:rsid w:val="001E3E73"/>
    <w:rsid w:val="001E456E"/>
    <w:rsid w:val="001F3B41"/>
    <w:rsid w:val="00211751"/>
    <w:rsid w:val="002218CA"/>
    <w:rsid w:val="002275A6"/>
    <w:rsid w:val="002326CE"/>
    <w:rsid w:val="00237698"/>
    <w:rsid w:val="00254CFA"/>
    <w:rsid w:val="00266C55"/>
    <w:rsid w:val="002875FA"/>
    <w:rsid w:val="00295C8A"/>
    <w:rsid w:val="002A3CA5"/>
    <w:rsid w:val="002A4080"/>
    <w:rsid w:val="002B485C"/>
    <w:rsid w:val="002C7012"/>
    <w:rsid w:val="002D1209"/>
    <w:rsid w:val="002D3C2D"/>
    <w:rsid w:val="002D5859"/>
    <w:rsid w:val="002D5FF9"/>
    <w:rsid w:val="002E396A"/>
    <w:rsid w:val="0031498B"/>
    <w:rsid w:val="00314CB0"/>
    <w:rsid w:val="0033331A"/>
    <w:rsid w:val="0033402E"/>
    <w:rsid w:val="00340494"/>
    <w:rsid w:val="003528FE"/>
    <w:rsid w:val="00362839"/>
    <w:rsid w:val="00371334"/>
    <w:rsid w:val="00383AC9"/>
    <w:rsid w:val="00393A3A"/>
    <w:rsid w:val="003A50DF"/>
    <w:rsid w:val="003D0DEA"/>
    <w:rsid w:val="003D57CF"/>
    <w:rsid w:val="00400B1C"/>
    <w:rsid w:val="004030B1"/>
    <w:rsid w:val="00403DC6"/>
    <w:rsid w:val="00405C39"/>
    <w:rsid w:val="0041254A"/>
    <w:rsid w:val="00421948"/>
    <w:rsid w:val="0042295B"/>
    <w:rsid w:val="00424992"/>
    <w:rsid w:val="00431DF5"/>
    <w:rsid w:val="0043221A"/>
    <w:rsid w:val="004365D2"/>
    <w:rsid w:val="00437B0C"/>
    <w:rsid w:val="00454722"/>
    <w:rsid w:val="0045526E"/>
    <w:rsid w:val="00463CD5"/>
    <w:rsid w:val="00471472"/>
    <w:rsid w:val="00476311"/>
    <w:rsid w:val="004842A2"/>
    <w:rsid w:val="00485290"/>
    <w:rsid w:val="00495112"/>
    <w:rsid w:val="004A47AA"/>
    <w:rsid w:val="004C1624"/>
    <w:rsid w:val="0050216C"/>
    <w:rsid w:val="00503230"/>
    <w:rsid w:val="005045C4"/>
    <w:rsid w:val="0051588F"/>
    <w:rsid w:val="005405DF"/>
    <w:rsid w:val="0054132B"/>
    <w:rsid w:val="00544F51"/>
    <w:rsid w:val="00547E7A"/>
    <w:rsid w:val="0055048C"/>
    <w:rsid w:val="005510B0"/>
    <w:rsid w:val="00555C09"/>
    <w:rsid w:val="005577CE"/>
    <w:rsid w:val="005605BB"/>
    <w:rsid w:val="00560A87"/>
    <w:rsid w:val="005724EF"/>
    <w:rsid w:val="00577245"/>
    <w:rsid w:val="00583196"/>
    <w:rsid w:val="005B3EAB"/>
    <w:rsid w:val="005C1F18"/>
    <w:rsid w:val="005C49B1"/>
    <w:rsid w:val="005C6A8C"/>
    <w:rsid w:val="005D4F73"/>
    <w:rsid w:val="005F0642"/>
    <w:rsid w:val="005F615F"/>
    <w:rsid w:val="00603087"/>
    <w:rsid w:val="00605FFE"/>
    <w:rsid w:val="00607E13"/>
    <w:rsid w:val="00614491"/>
    <w:rsid w:val="00621D79"/>
    <w:rsid w:val="00633038"/>
    <w:rsid w:val="00644475"/>
    <w:rsid w:val="00647F85"/>
    <w:rsid w:val="00655B6E"/>
    <w:rsid w:val="00660D99"/>
    <w:rsid w:val="00663646"/>
    <w:rsid w:val="006665DE"/>
    <w:rsid w:val="006677E6"/>
    <w:rsid w:val="006751F7"/>
    <w:rsid w:val="0067600F"/>
    <w:rsid w:val="006A13C1"/>
    <w:rsid w:val="006A6567"/>
    <w:rsid w:val="006A7102"/>
    <w:rsid w:val="006C2B8C"/>
    <w:rsid w:val="006D170D"/>
    <w:rsid w:val="0072195B"/>
    <w:rsid w:val="007469DA"/>
    <w:rsid w:val="0075478F"/>
    <w:rsid w:val="00762DC7"/>
    <w:rsid w:val="00767E7E"/>
    <w:rsid w:val="00771079"/>
    <w:rsid w:val="00773E1F"/>
    <w:rsid w:val="00777374"/>
    <w:rsid w:val="00787110"/>
    <w:rsid w:val="007908A1"/>
    <w:rsid w:val="007B097D"/>
    <w:rsid w:val="007C74A5"/>
    <w:rsid w:val="007D0D89"/>
    <w:rsid w:val="007D2873"/>
    <w:rsid w:val="007D4C20"/>
    <w:rsid w:val="007F0880"/>
    <w:rsid w:val="007F08A0"/>
    <w:rsid w:val="0080272A"/>
    <w:rsid w:val="00806AE8"/>
    <w:rsid w:val="0081023E"/>
    <w:rsid w:val="00832546"/>
    <w:rsid w:val="00862FA7"/>
    <w:rsid w:val="008732D6"/>
    <w:rsid w:val="00875D7C"/>
    <w:rsid w:val="008953EE"/>
    <w:rsid w:val="008B6E19"/>
    <w:rsid w:val="008E74F4"/>
    <w:rsid w:val="008F608D"/>
    <w:rsid w:val="00927A76"/>
    <w:rsid w:val="00952103"/>
    <w:rsid w:val="0095460A"/>
    <w:rsid w:val="009800DF"/>
    <w:rsid w:val="00984D57"/>
    <w:rsid w:val="00984F20"/>
    <w:rsid w:val="00995E23"/>
    <w:rsid w:val="009B2C1E"/>
    <w:rsid w:val="009D25AC"/>
    <w:rsid w:val="009D2730"/>
    <w:rsid w:val="009E0B2A"/>
    <w:rsid w:val="009E25AE"/>
    <w:rsid w:val="009E482A"/>
    <w:rsid w:val="009F24FD"/>
    <w:rsid w:val="00A10C5B"/>
    <w:rsid w:val="00A20A61"/>
    <w:rsid w:val="00A2314C"/>
    <w:rsid w:val="00A2390D"/>
    <w:rsid w:val="00A43D15"/>
    <w:rsid w:val="00A46734"/>
    <w:rsid w:val="00A50940"/>
    <w:rsid w:val="00A52E21"/>
    <w:rsid w:val="00A54F1D"/>
    <w:rsid w:val="00A679CF"/>
    <w:rsid w:val="00A8787A"/>
    <w:rsid w:val="00AA1CF1"/>
    <w:rsid w:val="00AB3603"/>
    <w:rsid w:val="00AC1582"/>
    <w:rsid w:val="00AD5C78"/>
    <w:rsid w:val="00AD7F81"/>
    <w:rsid w:val="00AE1E62"/>
    <w:rsid w:val="00AE7124"/>
    <w:rsid w:val="00B064B6"/>
    <w:rsid w:val="00B12551"/>
    <w:rsid w:val="00B13C42"/>
    <w:rsid w:val="00B160A4"/>
    <w:rsid w:val="00B315CF"/>
    <w:rsid w:val="00B35C88"/>
    <w:rsid w:val="00B4145A"/>
    <w:rsid w:val="00B51939"/>
    <w:rsid w:val="00B623A5"/>
    <w:rsid w:val="00B8038A"/>
    <w:rsid w:val="00B863CE"/>
    <w:rsid w:val="00BA4DD3"/>
    <w:rsid w:val="00BB1DFF"/>
    <w:rsid w:val="00BC3EAA"/>
    <w:rsid w:val="00BC6115"/>
    <w:rsid w:val="00BD1EBF"/>
    <w:rsid w:val="00BD58C6"/>
    <w:rsid w:val="00C033CE"/>
    <w:rsid w:val="00C13967"/>
    <w:rsid w:val="00C2143E"/>
    <w:rsid w:val="00C43411"/>
    <w:rsid w:val="00C47F89"/>
    <w:rsid w:val="00C5263D"/>
    <w:rsid w:val="00C61AF3"/>
    <w:rsid w:val="00C64923"/>
    <w:rsid w:val="00C651CA"/>
    <w:rsid w:val="00C81679"/>
    <w:rsid w:val="00C9284D"/>
    <w:rsid w:val="00C9526E"/>
    <w:rsid w:val="00C97BBF"/>
    <w:rsid w:val="00CC0F4E"/>
    <w:rsid w:val="00CE2F68"/>
    <w:rsid w:val="00CF38B7"/>
    <w:rsid w:val="00CF7CA4"/>
    <w:rsid w:val="00D1122A"/>
    <w:rsid w:val="00D22AAD"/>
    <w:rsid w:val="00D256C3"/>
    <w:rsid w:val="00D26002"/>
    <w:rsid w:val="00D30135"/>
    <w:rsid w:val="00D473C2"/>
    <w:rsid w:val="00D81F1D"/>
    <w:rsid w:val="00D86A8F"/>
    <w:rsid w:val="00D90628"/>
    <w:rsid w:val="00D97041"/>
    <w:rsid w:val="00DA6D64"/>
    <w:rsid w:val="00DB52BE"/>
    <w:rsid w:val="00DF0540"/>
    <w:rsid w:val="00DF25D9"/>
    <w:rsid w:val="00DF5AC0"/>
    <w:rsid w:val="00E02C92"/>
    <w:rsid w:val="00E13302"/>
    <w:rsid w:val="00E5710E"/>
    <w:rsid w:val="00E64C34"/>
    <w:rsid w:val="00E829DD"/>
    <w:rsid w:val="00E8319B"/>
    <w:rsid w:val="00E9529C"/>
    <w:rsid w:val="00EC57AA"/>
    <w:rsid w:val="00ED1476"/>
    <w:rsid w:val="00ED2B97"/>
    <w:rsid w:val="00EF3047"/>
    <w:rsid w:val="00F02360"/>
    <w:rsid w:val="00F05852"/>
    <w:rsid w:val="00F15D61"/>
    <w:rsid w:val="00F21744"/>
    <w:rsid w:val="00F36549"/>
    <w:rsid w:val="00F73DAE"/>
    <w:rsid w:val="00F808A6"/>
    <w:rsid w:val="00F905D5"/>
    <w:rsid w:val="00FA0632"/>
    <w:rsid w:val="00FA2DD7"/>
    <w:rsid w:val="00FB3FA7"/>
    <w:rsid w:val="00FE5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1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1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961</Words>
  <Characters>5479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2016-09-30T09:52:00Z</dcterms:created>
  <dcterms:modified xsi:type="dcterms:W3CDTF">2016-09-30T09:53:00Z</dcterms:modified>
</cp:coreProperties>
</file>