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6920" w:rsidP="00D46920" w:rsidRDefault="00D46920" w14:paraId="161E19F8" w14:textId="77777777">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D46920" w:rsidP="00D46920" w:rsidRDefault="00D46920" w14:paraId="20C87557" w14:textId="77777777">
      <w:pPr>
        <w:spacing w:line="360" w:lineRule="auto"/>
        <w:rPr>
          <w:rStyle w:val="Strong"/>
          <w:rFonts w:ascii="Arial" w:hAnsi="Arial" w:cs="Arial"/>
          <w:color w:val="1D2125"/>
          <w:sz w:val="36"/>
          <w:szCs w:val="36"/>
        </w:rPr>
      </w:pPr>
    </w:p>
    <w:p w:rsidR="00D46920" w:rsidP="633035F3" w:rsidRDefault="00D46920" w14:paraId="454A5F46" w14:textId="77777777">
      <w:pPr>
        <w:spacing w:line="360" w:lineRule="auto"/>
        <w:jc w:val="center"/>
        <w:rPr>
          <w:rStyle w:val="Strong"/>
          <w:rFonts w:ascii="Arial Nova" w:hAnsi="Arial Nova" w:eastAsia="Arial Nova" w:cs="Arial Nova"/>
          <w:color w:val="1D2125"/>
          <w:sz w:val="40"/>
          <w:szCs w:val="40"/>
        </w:rPr>
      </w:pPr>
      <w:r w:rsidRPr="633035F3" w:rsidR="28F1B9CE">
        <w:rPr>
          <w:rStyle w:val="Strong"/>
          <w:rFonts w:ascii="Arial Nova" w:hAnsi="Arial Nova" w:eastAsia="Arial Nova" w:cs="Arial Nova"/>
          <w:color w:val="1D2125"/>
          <w:sz w:val="40"/>
          <w:szCs w:val="40"/>
          <w:shd w:val="clear" w:color="auto" w:fill="FFFFFF"/>
        </w:rPr>
        <w:t>Changemakers: Creativity and Value Creation</w:t>
      </w:r>
    </w:p>
    <w:p w:rsidR="00D46920" w:rsidP="633035F3" w:rsidRDefault="00D46920" w14:paraId="5135E402" w14:textId="00B6B863">
      <w:pPr>
        <w:spacing w:line="360" w:lineRule="auto"/>
        <w:jc w:val="center"/>
        <w:rPr>
          <w:rStyle w:val="Strong"/>
          <w:rFonts w:ascii="Arial Nova" w:hAnsi="Arial Nova" w:eastAsia="Arial Nova" w:cs="Arial Nova"/>
          <w:color w:val="1D2125"/>
          <w:sz w:val="40"/>
          <w:szCs w:val="40"/>
        </w:rPr>
      </w:pPr>
      <w:r w:rsidRPr="633035F3" w:rsidR="28F1B9CE">
        <w:rPr>
          <w:rStyle w:val="Strong"/>
          <w:rFonts w:ascii="Arial Nova" w:hAnsi="Arial Nova" w:eastAsia="Arial Nova" w:cs="Arial Nova"/>
          <w:color w:val="1D2125"/>
          <w:sz w:val="40"/>
          <w:szCs w:val="40"/>
        </w:rPr>
        <w:t>(BMHP</w:t>
      </w:r>
      <w:r w:rsidRPr="633035F3" w:rsidR="28F1B9CE">
        <w:rPr>
          <w:rStyle w:val="Strong"/>
          <w:rFonts w:ascii="Arial Nova" w:hAnsi="Arial Nova" w:eastAsia="Arial Nova" w:cs="Arial Nova"/>
          <w:color w:val="1D2125"/>
          <w:sz w:val="40"/>
          <w:szCs w:val="40"/>
        </w:rPr>
        <w:t>5014)</w:t>
      </w:r>
    </w:p>
    <w:p w:rsidR="00D46920" w:rsidP="633035F3" w:rsidRDefault="00D46920" w14:paraId="1B7909EE" w14:textId="77777777">
      <w:pPr>
        <w:spacing w:line="360" w:lineRule="auto"/>
        <w:jc w:val="center"/>
        <w:rPr>
          <w:rStyle w:val="Strong"/>
          <w:rFonts w:ascii="Arial Nova" w:hAnsi="Arial Nova" w:eastAsia="Arial Nova" w:cs="Arial Nova"/>
          <w:color w:val="1D2125"/>
          <w:sz w:val="40"/>
          <w:szCs w:val="40"/>
        </w:rPr>
      </w:pPr>
    </w:p>
    <w:p w:rsidR="00D46920" w:rsidP="633035F3" w:rsidRDefault="00D46920" w14:paraId="0D7EA3D7" w14:textId="77777777">
      <w:pPr>
        <w:spacing w:line="360" w:lineRule="auto"/>
        <w:jc w:val="center"/>
        <w:rPr>
          <w:rStyle w:val="Strong"/>
          <w:rFonts w:ascii="Arial Nova" w:hAnsi="Arial Nova" w:eastAsia="Arial Nova" w:cs="Arial Nova"/>
          <w:color w:val="1D2125"/>
          <w:sz w:val="40"/>
          <w:szCs w:val="40"/>
        </w:rPr>
      </w:pPr>
    </w:p>
    <w:p w:rsidR="00D46920" w:rsidP="633035F3" w:rsidRDefault="00D46920" w14:paraId="4E60214F" w14:textId="77777777">
      <w:pPr>
        <w:spacing w:line="360" w:lineRule="auto"/>
        <w:rPr>
          <w:rStyle w:val="Strong"/>
          <w:rFonts w:ascii="Arial Nova" w:hAnsi="Arial Nova" w:eastAsia="Arial Nova" w:cs="Arial Nova"/>
          <w:b w:val="0"/>
          <w:bCs w:val="0"/>
          <w:color w:val="1D2125"/>
          <w:sz w:val="40"/>
          <w:szCs w:val="40"/>
        </w:rPr>
      </w:pPr>
      <w:r w:rsidRPr="633035F3" w:rsidR="28F1B9CE">
        <w:rPr>
          <w:rFonts w:ascii="Arial Nova" w:hAnsi="Arial Nova" w:eastAsia="Arial Nova" w:cs="Arial Nova"/>
          <w:b w:val="1"/>
          <w:bCs w:val="1"/>
          <w:color w:val="000000" w:themeColor="text1" w:themeTint="FF" w:themeShade="FF"/>
          <w:sz w:val="40"/>
          <w:szCs w:val="40"/>
        </w:rPr>
        <w:t>Component 1:</w:t>
      </w:r>
      <w:r w:rsidRPr="633035F3" w:rsidR="28F1B9CE">
        <w:rPr>
          <w:rFonts w:ascii="Arial Nova" w:hAnsi="Arial Nova" w:eastAsia="Arial Nova" w:cs="Arial Nova"/>
          <w:sz w:val="40"/>
          <w:szCs w:val="40"/>
        </w:rPr>
        <w:t xml:space="preserve"> </w:t>
      </w:r>
      <w:r w:rsidRPr="633035F3" w:rsidR="28F1B9CE">
        <w:rPr>
          <w:rFonts w:ascii="Arial Nova" w:hAnsi="Arial Nova" w:eastAsia="Arial Nova" w:cs="Arial Nova"/>
          <w:b w:val="1"/>
          <w:bCs w:val="1"/>
          <w:color w:val="000000" w:themeColor="text1" w:themeTint="FF" w:themeShade="FF"/>
          <w:sz w:val="40"/>
          <w:szCs w:val="40"/>
        </w:rPr>
        <w:t>Online portfolio of set exercises</w:t>
      </w:r>
    </w:p>
    <w:p w:rsidR="00D46920" w:rsidP="633035F3" w:rsidRDefault="00D46920" w14:paraId="58EAA200" w14:textId="77777777">
      <w:pPr>
        <w:spacing w:line="360" w:lineRule="auto"/>
        <w:rPr>
          <w:rStyle w:val="Strong"/>
          <w:rFonts w:ascii="Arial Nova" w:hAnsi="Arial Nova" w:eastAsia="Arial Nova" w:cs="Arial Nova"/>
          <w:color w:val="1D2125"/>
          <w:sz w:val="40"/>
          <w:szCs w:val="40"/>
        </w:rPr>
      </w:pPr>
    </w:p>
    <w:p w:rsidR="00D46920" w:rsidP="633035F3" w:rsidRDefault="00D46920" w14:paraId="3C55ACB9" w14:textId="0735FB3C">
      <w:pPr>
        <w:spacing w:line="360" w:lineRule="auto"/>
        <w:rPr>
          <w:rStyle w:val="Strong"/>
          <w:rFonts w:ascii="Arial Nova" w:hAnsi="Arial Nova" w:eastAsia="Arial Nova" w:cs="Arial Nova"/>
          <w:color w:val="1D2125"/>
          <w:sz w:val="40"/>
          <w:szCs w:val="40"/>
        </w:rPr>
      </w:pPr>
      <w:r w:rsidRPr="633035F3" w:rsidR="28F1B9CE">
        <w:rPr>
          <w:rStyle w:val="Strong"/>
          <w:rFonts w:ascii="Arial Nova" w:hAnsi="Arial Nova" w:eastAsia="Arial Nova" w:cs="Arial Nova"/>
          <w:color w:val="1D2125"/>
          <w:sz w:val="40"/>
          <w:szCs w:val="40"/>
        </w:rPr>
        <w:t>Student name:</w:t>
      </w:r>
      <w:r w:rsidRPr="633035F3" w:rsidR="2987D40F">
        <w:rPr>
          <w:rStyle w:val="Strong"/>
          <w:rFonts w:ascii="Arial Nova" w:hAnsi="Arial Nova" w:eastAsia="Arial Nova" w:cs="Arial Nova"/>
          <w:color w:val="1D2125"/>
          <w:sz w:val="40"/>
          <w:szCs w:val="40"/>
        </w:rPr>
        <w:t xml:space="preserve"> Alexandra Elena Chiran</w:t>
      </w:r>
    </w:p>
    <w:p w:rsidR="00D46920" w:rsidP="633035F3" w:rsidRDefault="00D46920" w14:paraId="3DCFFD10" w14:textId="0575C415">
      <w:pPr>
        <w:spacing w:line="360" w:lineRule="auto"/>
        <w:rPr>
          <w:rStyle w:val="Strong"/>
          <w:rFonts w:ascii="Arial Nova" w:hAnsi="Arial Nova" w:eastAsia="Arial Nova" w:cs="Arial Nova"/>
          <w:color w:val="1D2125"/>
          <w:sz w:val="40"/>
          <w:szCs w:val="40"/>
        </w:rPr>
      </w:pPr>
      <w:r w:rsidRPr="633035F3" w:rsidR="28F1B9CE">
        <w:rPr>
          <w:rStyle w:val="Strong"/>
          <w:rFonts w:ascii="Arial Nova" w:hAnsi="Arial Nova" w:eastAsia="Arial Nova" w:cs="Arial Nova"/>
          <w:color w:val="1D2125"/>
          <w:sz w:val="40"/>
          <w:szCs w:val="40"/>
        </w:rPr>
        <w:t>Student number:</w:t>
      </w:r>
      <w:r w:rsidRPr="633035F3" w:rsidR="35A0D68D">
        <w:rPr>
          <w:rStyle w:val="Strong"/>
          <w:rFonts w:ascii="Arial Nova" w:hAnsi="Arial Nova" w:eastAsia="Arial Nova" w:cs="Arial Nova"/>
          <w:color w:val="1D2125"/>
          <w:sz w:val="40"/>
          <w:szCs w:val="40"/>
        </w:rPr>
        <w:t xml:space="preserve"> 2410882 </w:t>
      </w:r>
    </w:p>
    <w:p w:rsidR="00D46920" w:rsidP="633035F3" w:rsidRDefault="00D46920" w14:paraId="6F2C3011" w14:textId="53937865">
      <w:pPr>
        <w:spacing w:line="360" w:lineRule="auto"/>
        <w:rPr>
          <w:rStyle w:val="Strong"/>
          <w:rFonts w:ascii="Arial Nova" w:hAnsi="Arial Nova" w:eastAsia="Arial Nova" w:cs="Arial Nova"/>
          <w:color w:val="1D2125"/>
          <w:sz w:val="40"/>
          <w:szCs w:val="40"/>
        </w:rPr>
      </w:pPr>
      <w:r w:rsidRPr="633035F3" w:rsidR="28F1B9CE">
        <w:rPr>
          <w:rStyle w:val="Strong"/>
          <w:rFonts w:ascii="Arial Nova" w:hAnsi="Arial Nova" w:eastAsia="Arial Nova" w:cs="Arial Nova"/>
          <w:color w:val="1D2125"/>
          <w:sz w:val="40"/>
          <w:szCs w:val="40"/>
        </w:rPr>
        <w:t>Lecturer’s name:</w:t>
      </w:r>
      <w:r w:rsidRPr="633035F3" w:rsidR="5D90C635">
        <w:rPr>
          <w:rStyle w:val="Strong"/>
          <w:rFonts w:ascii="Arial Nova" w:hAnsi="Arial Nova" w:eastAsia="Arial Nova" w:cs="Arial Nova"/>
          <w:color w:val="1D2125"/>
          <w:sz w:val="40"/>
          <w:szCs w:val="40"/>
        </w:rPr>
        <w:t xml:space="preserve"> </w:t>
      </w:r>
      <w:r w:rsidRPr="633035F3" w:rsidR="6D8CA0E9">
        <w:rPr>
          <w:rStyle w:val="Strong"/>
          <w:rFonts w:ascii="Arial Nova" w:hAnsi="Arial Nova" w:eastAsia="Arial Nova" w:cs="Arial Nova"/>
          <w:color w:val="1D2125"/>
          <w:sz w:val="40"/>
          <w:szCs w:val="40"/>
        </w:rPr>
        <w:t>Soban Sadiq</w:t>
      </w:r>
    </w:p>
    <w:p w:rsidR="00D46920" w:rsidP="00D46920" w:rsidRDefault="00D46920" w14:paraId="0D3CF38A" w14:textId="77777777">
      <w:pPr>
        <w:spacing w:line="360" w:lineRule="auto"/>
        <w:rPr>
          <w:sz w:val="36"/>
          <w:szCs w:val="36"/>
        </w:rPr>
      </w:pPr>
    </w:p>
    <w:p w:rsidR="00D46920" w:rsidP="00D46920" w:rsidRDefault="00D46920" w14:paraId="7657B63E" w14:textId="77777777">
      <w:pPr>
        <w:spacing w:line="360" w:lineRule="auto"/>
        <w:rPr>
          <w:rFonts w:ascii="Arial" w:hAnsi="Arial" w:cs="Arial"/>
          <w:sz w:val="36"/>
          <w:szCs w:val="36"/>
        </w:rPr>
      </w:pPr>
    </w:p>
    <w:p w:rsidR="00D46920" w:rsidP="00D46920" w:rsidRDefault="00D46920" w14:paraId="1DF762CF" w14:textId="77777777">
      <w:pPr>
        <w:spacing w:line="360" w:lineRule="auto"/>
        <w:rPr>
          <w:rFonts w:ascii="Arial" w:hAnsi="Arial" w:cs="Arial"/>
          <w:sz w:val="36"/>
          <w:szCs w:val="36"/>
        </w:rPr>
      </w:pPr>
    </w:p>
    <w:p w:rsidR="00D46920" w:rsidP="00D46920" w:rsidRDefault="00D46920" w14:paraId="36966376" w14:textId="77777777">
      <w:pPr>
        <w:spacing w:line="360" w:lineRule="auto"/>
        <w:rPr>
          <w:rFonts w:ascii="Arial" w:hAnsi="Arial" w:cs="Arial"/>
          <w:sz w:val="36"/>
          <w:szCs w:val="36"/>
        </w:rPr>
      </w:pPr>
    </w:p>
    <w:p w:rsidRPr="008375B5" w:rsidR="00D46920" w:rsidP="633035F3" w:rsidRDefault="00D46920" w14:paraId="42726B8D" w14:textId="77777777">
      <w:pPr>
        <w:pStyle w:val="NormalWeb"/>
        <w:spacing w:line="360" w:lineRule="auto"/>
        <w:rPr>
          <w:rFonts w:ascii="Arial Nova" w:hAnsi="Arial Nova" w:eastAsia="Arial Nova" w:cs="Arial Nova"/>
          <w:b w:val="1"/>
          <w:bCs w:val="1"/>
          <w:color w:val="000000"/>
          <w:sz w:val="28"/>
          <w:szCs w:val="28"/>
        </w:rPr>
      </w:pPr>
      <w:r w:rsidRPr="633035F3" w:rsidR="28F1B9CE">
        <w:rPr>
          <w:rFonts w:ascii="Arial Nova" w:hAnsi="Arial Nova" w:eastAsia="Arial Nova" w:cs="Arial Nova"/>
          <w:b w:val="1"/>
          <w:bCs w:val="1"/>
          <w:color w:val="000000" w:themeColor="text1" w:themeTint="FF" w:themeShade="FF"/>
          <w:sz w:val="28"/>
          <w:szCs w:val="28"/>
        </w:rPr>
        <w:t>Table of contents</w:t>
      </w:r>
    </w:p>
    <w:p w:rsidR="7CA24B30" w:rsidP="633035F3" w:rsidRDefault="7CA24B30" w14:paraId="4AC93B9A" w14:textId="71B1140E">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Introduction....................................................</w:t>
      </w:r>
      <w:r w:rsidRPr="1EB49B2D" w:rsidR="325ABCBC">
        <w:rPr>
          <w:rFonts w:ascii="Arial Nova" w:hAnsi="Arial Nova" w:eastAsia="Arial Nova" w:cs="Arial Nova"/>
          <w:b w:val="1"/>
          <w:bCs w:val="1"/>
          <w:color w:val="000000" w:themeColor="text1" w:themeTint="FF" w:themeShade="FF"/>
          <w:sz w:val="28"/>
          <w:szCs w:val="28"/>
        </w:rPr>
        <w:t>3</w:t>
      </w:r>
    </w:p>
    <w:p w:rsidR="7CA24B30" w:rsidP="633035F3" w:rsidRDefault="7CA24B30" w14:paraId="1FEB3677" w14:textId="36CBE107">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1..............................................................</w:t>
      </w:r>
      <w:r w:rsidRPr="1EB49B2D" w:rsidR="030FEA4F">
        <w:rPr>
          <w:rFonts w:ascii="Arial Nova" w:hAnsi="Arial Nova" w:eastAsia="Arial Nova" w:cs="Arial Nova"/>
          <w:b w:val="1"/>
          <w:bCs w:val="1"/>
          <w:color w:val="000000" w:themeColor="text1" w:themeTint="FF" w:themeShade="FF"/>
          <w:sz w:val="28"/>
          <w:szCs w:val="28"/>
        </w:rPr>
        <w:t>3</w:t>
      </w:r>
    </w:p>
    <w:p w:rsidR="7CA24B30" w:rsidP="633035F3" w:rsidRDefault="7CA24B30" w14:paraId="123705E5" w14:textId="519D3752">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2..............................................................</w:t>
      </w:r>
      <w:r w:rsidRPr="1EB49B2D" w:rsidR="196C78C7">
        <w:rPr>
          <w:rFonts w:ascii="Arial Nova" w:hAnsi="Arial Nova" w:eastAsia="Arial Nova" w:cs="Arial Nova"/>
          <w:b w:val="1"/>
          <w:bCs w:val="1"/>
          <w:color w:val="000000" w:themeColor="text1" w:themeTint="FF" w:themeShade="FF"/>
          <w:sz w:val="28"/>
          <w:szCs w:val="28"/>
        </w:rPr>
        <w:t>4</w:t>
      </w:r>
    </w:p>
    <w:p w:rsidR="7CA24B30" w:rsidP="633035F3" w:rsidRDefault="7CA24B30" w14:paraId="1A836FDC" w14:textId="7677D4C5">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3...............................................................</w:t>
      </w:r>
      <w:r w:rsidRPr="1EB49B2D" w:rsidR="4A307061">
        <w:rPr>
          <w:rFonts w:ascii="Arial Nova" w:hAnsi="Arial Nova" w:eastAsia="Arial Nova" w:cs="Arial Nova"/>
          <w:b w:val="1"/>
          <w:bCs w:val="1"/>
          <w:color w:val="000000" w:themeColor="text1" w:themeTint="FF" w:themeShade="FF"/>
          <w:sz w:val="28"/>
          <w:szCs w:val="28"/>
        </w:rPr>
        <w:t>5</w:t>
      </w:r>
    </w:p>
    <w:p w:rsidR="7CA24B30" w:rsidP="633035F3" w:rsidRDefault="7CA24B30" w14:paraId="0A87D519" w14:textId="57212454">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4.............................................................</w:t>
      </w:r>
      <w:r w:rsidRPr="1EB49B2D" w:rsidR="49C56D07">
        <w:rPr>
          <w:rFonts w:ascii="Arial Nova" w:hAnsi="Arial Nova" w:eastAsia="Arial Nova" w:cs="Arial Nova"/>
          <w:b w:val="1"/>
          <w:bCs w:val="1"/>
          <w:color w:val="000000" w:themeColor="text1" w:themeTint="FF" w:themeShade="FF"/>
          <w:sz w:val="28"/>
          <w:szCs w:val="28"/>
        </w:rPr>
        <w:t>6</w:t>
      </w:r>
    </w:p>
    <w:p w:rsidR="7CA24B30" w:rsidP="633035F3" w:rsidRDefault="7CA24B30" w14:paraId="3A49E3EE" w14:textId="76789B21">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 xml:space="preserve">Task </w:t>
      </w:r>
      <w:r w:rsidRPr="1EB49B2D" w:rsidR="717A1675">
        <w:rPr>
          <w:rFonts w:ascii="Arial Nova" w:hAnsi="Arial Nova" w:eastAsia="Arial Nova" w:cs="Arial Nova"/>
          <w:b w:val="1"/>
          <w:bCs w:val="1"/>
          <w:color w:val="000000" w:themeColor="text1" w:themeTint="FF" w:themeShade="FF"/>
          <w:sz w:val="28"/>
          <w:szCs w:val="28"/>
        </w:rPr>
        <w:t>5.............................................................</w:t>
      </w:r>
      <w:r w:rsidRPr="1EB49B2D" w:rsidR="49C56D07">
        <w:rPr>
          <w:rFonts w:ascii="Arial Nova" w:hAnsi="Arial Nova" w:eastAsia="Arial Nova" w:cs="Arial Nova"/>
          <w:b w:val="1"/>
          <w:bCs w:val="1"/>
          <w:color w:val="000000" w:themeColor="text1" w:themeTint="FF" w:themeShade="FF"/>
          <w:sz w:val="28"/>
          <w:szCs w:val="28"/>
        </w:rPr>
        <w:t>6</w:t>
      </w:r>
    </w:p>
    <w:p w:rsidR="7CA24B30" w:rsidP="633035F3" w:rsidRDefault="7CA24B30" w14:paraId="305D1662" w14:textId="6169CA64">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6.............................................................</w:t>
      </w:r>
      <w:r w:rsidRPr="1EB49B2D" w:rsidR="21C549BB">
        <w:rPr>
          <w:rFonts w:ascii="Arial Nova" w:hAnsi="Arial Nova" w:eastAsia="Arial Nova" w:cs="Arial Nova"/>
          <w:b w:val="1"/>
          <w:bCs w:val="1"/>
          <w:color w:val="000000" w:themeColor="text1" w:themeTint="FF" w:themeShade="FF"/>
          <w:sz w:val="28"/>
          <w:szCs w:val="28"/>
        </w:rPr>
        <w:t>7</w:t>
      </w:r>
    </w:p>
    <w:p w:rsidR="7CA24B30" w:rsidP="633035F3" w:rsidRDefault="7CA24B30" w14:paraId="6F03797C" w14:textId="7A6B67F1">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717A1675">
        <w:rPr>
          <w:rFonts w:ascii="Arial Nova" w:hAnsi="Arial Nova" w:eastAsia="Arial Nova" w:cs="Arial Nova"/>
          <w:b w:val="1"/>
          <w:bCs w:val="1"/>
          <w:color w:val="000000" w:themeColor="text1" w:themeTint="FF" w:themeShade="FF"/>
          <w:sz w:val="28"/>
          <w:szCs w:val="28"/>
        </w:rPr>
        <w:t>Task 7.............................................................</w:t>
      </w:r>
      <w:r w:rsidRPr="1EB49B2D" w:rsidR="10AD5760">
        <w:rPr>
          <w:rFonts w:ascii="Arial Nova" w:hAnsi="Arial Nova" w:eastAsia="Arial Nova" w:cs="Arial Nova"/>
          <w:b w:val="1"/>
          <w:bCs w:val="1"/>
          <w:color w:val="000000" w:themeColor="text1" w:themeTint="FF" w:themeShade="FF"/>
          <w:sz w:val="28"/>
          <w:szCs w:val="28"/>
        </w:rPr>
        <w:t>8</w:t>
      </w:r>
    </w:p>
    <w:p w:rsidR="7CA24B30" w:rsidP="633035F3" w:rsidRDefault="7CA24B30" w14:paraId="2B269C20" w14:textId="306F19F0">
      <w:pPr>
        <w:pStyle w:val="NormalWeb"/>
        <w:spacing w:line="360" w:lineRule="auto"/>
      </w:pPr>
      <w:r w:rsidRPr="1EB49B2D" w:rsidR="717A1675">
        <w:rPr>
          <w:rFonts w:ascii="Arial Nova" w:hAnsi="Arial Nova" w:eastAsia="Arial Nova" w:cs="Arial Nova"/>
          <w:b w:val="1"/>
          <w:bCs w:val="1"/>
          <w:color w:val="000000" w:themeColor="text1" w:themeTint="FF" w:themeShade="FF"/>
          <w:sz w:val="28"/>
          <w:szCs w:val="28"/>
        </w:rPr>
        <w:t>Task 8.............................................................</w:t>
      </w:r>
      <w:r w:rsidRPr="1EB49B2D" w:rsidR="24082D48">
        <w:rPr>
          <w:rFonts w:ascii="Arial Nova" w:hAnsi="Arial Nova" w:eastAsia="Arial Nova" w:cs="Arial Nova"/>
          <w:b w:val="1"/>
          <w:bCs w:val="1"/>
          <w:color w:val="000000" w:themeColor="text1" w:themeTint="FF" w:themeShade="FF"/>
          <w:sz w:val="28"/>
          <w:szCs w:val="28"/>
        </w:rPr>
        <w:t>9</w:t>
      </w:r>
    </w:p>
    <w:p w:rsidR="55719EBA" w:rsidP="1EB49B2D" w:rsidRDefault="55719EBA" w14:paraId="7A517661" w14:textId="30B8BA58">
      <w:pPr>
        <w:pStyle w:val="NormalWeb"/>
        <w:spacing w:line="360" w:lineRule="auto"/>
        <w:rPr>
          <w:rFonts w:ascii="Arial Nova" w:hAnsi="Arial Nova" w:eastAsia="Arial Nova" w:cs="Arial Nova"/>
          <w:b w:val="1"/>
          <w:bCs w:val="1"/>
          <w:color w:val="000000" w:themeColor="text1" w:themeTint="FF" w:themeShade="FF"/>
          <w:sz w:val="28"/>
          <w:szCs w:val="28"/>
        </w:rPr>
      </w:pPr>
      <w:r w:rsidRPr="1EB49B2D" w:rsidR="55719EBA">
        <w:rPr>
          <w:rFonts w:ascii="Arial Nova" w:hAnsi="Arial Nova" w:eastAsia="Arial Nova" w:cs="Arial Nova"/>
          <w:b w:val="1"/>
          <w:bCs w:val="1"/>
          <w:color w:val="000000" w:themeColor="text1" w:themeTint="FF" w:themeShade="FF"/>
          <w:sz w:val="28"/>
          <w:szCs w:val="28"/>
        </w:rPr>
        <w:t>Reference list................................................</w:t>
      </w:r>
      <w:r w:rsidRPr="1EB49B2D" w:rsidR="229E6FFA">
        <w:rPr>
          <w:rFonts w:ascii="Arial Nova" w:hAnsi="Arial Nova" w:eastAsia="Arial Nova" w:cs="Arial Nova"/>
          <w:b w:val="1"/>
          <w:bCs w:val="1"/>
          <w:color w:val="000000" w:themeColor="text1" w:themeTint="FF" w:themeShade="FF"/>
          <w:sz w:val="28"/>
          <w:szCs w:val="28"/>
        </w:rPr>
        <w:t>10</w:t>
      </w:r>
    </w:p>
    <w:p w:rsidR="7CA24B30" w:rsidP="633035F3" w:rsidRDefault="7CA24B30" w14:paraId="69E032F6" w14:textId="716961CD">
      <w:pPr>
        <w:pStyle w:val="NormalWeb"/>
        <w:spacing w:line="360" w:lineRule="auto"/>
        <w:rPr>
          <w:rFonts w:ascii="Arial Nova" w:hAnsi="Arial Nova" w:eastAsia="Arial Nova" w:cs="Arial Nova"/>
          <w:b w:val="1"/>
          <w:bCs w:val="1"/>
          <w:color w:val="000000" w:themeColor="text1" w:themeTint="FF" w:themeShade="FF"/>
          <w:sz w:val="28"/>
          <w:szCs w:val="28"/>
        </w:rPr>
      </w:pPr>
      <w:r w:rsidRPr="633035F3" w:rsidR="7CA24B30">
        <w:rPr>
          <w:rFonts w:ascii="Arial Nova" w:hAnsi="Arial Nova" w:eastAsia="Arial Nova" w:cs="Arial Nova"/>
          <w:b w:val="1"/>
          <w:bCs w:val="1"/>
          <w:color w:val="000000" w:themeColor="text1" w:themeTint="FF" w:themeShade="FF"/>
          <w:sz w:val="28"/>
          <w:szCs w:val="28"/>
        </w:rPr>
        <w:t xml:space="preserve"> </w:t>
      </w:r>
    </w:p>
    <w:p w:rsidR="00D46920" w:rsidP="633035F3" w:rsidRDefault="00D46920" w14:paraId="3A94D737" w14:textId="77777777">
      <w:pPr>
        <w:pStyle w:val="NormalWeb"/>
        <w:spacing w:line="360" w:lineRule="auto"/>
        <w:rPr>
          <w:rFonts w:ascii="Arial Nova" w:hAnsi="Arial Nova" w:eastAsia="Arial Nova" w:cs="Arial Nova"/>
          <w:b w:val="1"/>
          <w:bCs w:val="1"/>
          <w:color w:val="000000"/>
          <w:sz w:val="28"/>
          <w:szCs w:val="28"/>
        </w:rPr>
      </w:pPr>
    </w:p>
    <w:p w:rsidR="00D46920" w:rsidP="633035F3" w:rsidRDefault="00D46920" w14:paraId="23E97EEA" w14:textId="77777777">
      <w:pPr>
        <w:spacing w:line="360" w:lineRule="auto"/>
        <w:rPr>
          <w:rFonts w:ascii="Arial Nova" w:hAnsi="Arial Nova" w:eastAsia="Arial Nova" w:cs="Arial Nova"/>
          <w:b w:val="1"/>
          <w:bCs w:val="1"/>
          <w:sz w:val="28"/>
          <w:szCs w:val="28"/>
        </w:rPr>
      </w:pPr>
    </w:p>
    <w:p w:rsidR="00D46920" w:rsidP="633035F3" w:rsidRDefault="00D46920" w14:paraId="2BB188C7" w14:textId="77777777">
      <w:pPr>
        <w:spacing w:line="360" w:lineRule="auto"/>
        <w:rPr>
          <w:rFonts w:ascii="Arial Nova" w:hAnsi="Arial Nova" w:eastAsia="Arial Nova" w:cs="Arial Nova"/>
          <w:b w:val="1"/>
          <w:bCs w:val="1"/>
          <w:sz w:val="28"/>
          <w:szCs w:val="28"/>
        </w:rPr>
      </w:pPr>
    </w:p>
    <w:p w:rsidR="00D46920" w:rsidP="633035F3" w:rsidRDefault="00D46920" w14:paraId="23C4321B" w14:textId="77777777">
      <w:pPr>
        <w:spacing w:line="360" w:lineRule="auto"/>
        <w:rPr>
          <w:rFonts w:ascii="Arial Nova" w:hAnsi="Arial Nova" w:eastAsia="Arial Nova" w:cs="Arial Nova"/>
          <w:b w:val="1"/>
          <w:bCs w:val="1"/>
          <w:sz w:val="28"/>
          <w:szCs w:val="28"/>
        </w:rPr>
      </w:pPr>
    </w:p>
    <w:p w:rsidR="00D46920" w:rsidP="633035F3" w:rsidRDefault="00D46920" w14:paraId="2DFFC7B2" w14:textId="77777777">
      <w:pPr>
        <w:spacing w:line="360" w:lineRule="auto"/>
        <w:rPr>
          <w:rFonts w:ascii="Arial Nova" w:hAnsi="Arial Nova" w:eastAsia="Arial Nova" w:cs="Arial Nova"/>
          <w:b w:val="1"/>
          <w:bCs w:val="1"/>
          <w:sz w:val="28"/>
          <w:szCs w:val="28"/>
        </w:rPr>
      </w:pPr>
    </w:p>
    <w:p w:rsidR="00D46920" w:rsidP="633035F3" w:rsidRDefault="00D46920" w14:paraId="3EC5A596" w14:textId="77777777">
      <w:pPr>
        <w:spacing w:line="360" w:lineRule="auto"/>
        <w:rPr>
          <w:rFonts w:ascii="Arial Nova" w:hAnsi="Arial Nova" w:eastAsia="Arial Nova" w:cs="Arial Nova"/>
          <w:b w:val="1"/>
          <w:bCs w:val="1"/>
          <w:sz w:val="28"/>
          <w:szCs w:val="28"/>
        </w:rPr>
      </w:pPr>
    </w:p>
    <w:p w:rsidR="00D46920" w:rsidP="005C28E8" w:rsidRDefault="00D46920" w14:paraId="26ACDFA7" w14:textId="282994E2">
      <w:pPr>
        <w:spacing w:line="360" w:lineRule="auto"/>
      </w:pPr>
      <w:r>
        <w:br/>
      </w:r>
    </w:p>
    <w:p w:rsidR="00D46920" w:rsidP="005C28E8" w:rsidRDefault="00D46920" w14:paraId="27B40D1D" w14:textId="7C8A1103">
      <w:pPr>
        <w:spacing w:line="360" w:lineRule="auto"/>
      </w:pPr>
      <w:r w:rsidRPr="1EB49B2D" w:rsidR="1E39E405">
        <w:rPr>
          <w:rFonts w:ascii="Arial" w:hAnsi="Arial" w:eastAsia="Arial" w:cs="Arial"/>
          <w:b w:val="1"/>
          <w:bCs w:val="1"/>
          <w:sz w:val="32"/>
          <w:szCs w:val="32"/>
        </w:rPr>
        <w:t xml:space="preserve">Introduction </w:t>
      </w:r>
    </w:p>
    <w:p w:rsidR="3CF76A6F" w:rsidP="633035F3" w:rsidRDefault="3CF76A6F" w14:paraId="38DDED27" w14:textId="639FC817">
      <w:pPr>
        <w:spacing w:before="0" w:beforeAutospacing="off" w:after="160" w:afterAutospacing="off" w:line="360" w:lineRule="auto"/>
      </w:pPr>
      <w:r w:rsidRPr="633035F3" w:rsidR="3CF76A6F">
        <w:rPr>
          <w:rFonts w:ascii="Arial" w:hAnsi="Arial" w:eastAsia="Arial" w:cs="Arial"/>
          <w:b w:val="0"/>
          <w:bCs w:val="0"/>
          <w:i w:val="0"/>
          <w:iCs w:val="0"/>
          <w:strike w:val="0"/>
          <w:dstrike w:val="0"/>
          <w:noProof w:val="0"/>
          <w:color w:val="000000" w:themeColor="text1" w:themeTint="FF" w:themeShade="FF"/>
          <w:sz w:val="22"/>
          <w:szCs w:val="22"/>
          <w:u w:val="none"/>
          <w:lang w:val="en-GB"/>
        </w:rPr>
        <w:t>This portfolio demonstrates my active engagement with the module on Creativity, Leadership, Value Creation, and Contemporary Technology in Health and Social Care. It integrates theoretical frameworks and practical tools presented in lectures, and provides evidence of my application of creative problem-solving, leadership strategies, and technology-enabled solutions to address real-world challenges in health and social care.</w:t>
      </w:r>
    </w:p>
    <w:p w:rsidR="3CF76A6F" w:rsidP="633035F3" w:rsidRDefault="3CF76A6F" w14:paraId="0790BBCD" w14:textId="4A26ABEE">
      <w:pPr>
        <w:spacing w:before="120" w:beforeAutospacing="off" w:after="120" w:afterAutospacing="off" w:line="360" w:lineRule="auto"/>
      </w:pPr>
      <w:r w:rsidRPr="633035F3" w:rsidR="3CF76A6F">
        <w:rPr>
          <w:rFonts w:ascii="Arial" w:hAnsi="Arial" w:eastAsia="Arial" w:cs="Arial"/>
          <w:b w:val="0"/>
          <w:bCs w:val="0"/>
          <w:i w:val="0"/>
          <w:iCs w:val="0"/>
          <w:strike w:val="0"/>
          <w:dstrike w:val="0"/>
          <w:noProof w:val="0"/>
          <w:color w:val="000000" w:themeColor="text1" w:themeTint="FF" w:themeShade="FF"/>
          <w:sz w:val="22"/>
          <w:szCs w:val="22"/>
          <w:u w:val="none"/>
          <w:lang w:val="en-GB"/>
        </w:rPr>
        <w:t>Through concise reflections, case studies and outcome data, I illustrate how each intervention generated value—for individuals, teams and services—and how I’ve critically linked practice to existing research and ethical standards. The evidence gathered here highlights my proactive, reflective approach to learning and continuous professional development.</w:t>
      </w:r>
    </w:p>
    <w:p w:rsidR="633035F3" w:rsidRDefault="633035F3" w14:paraId="7695830E" w14:textId="228EF148"/>
    <w:p w:rsidR="633035F3" w:rsidRDefault="633035F3" w14:paraId="62A835D4" w14:textId="1830C686"/>
    <w:p w:rsidR="3CF76A6F" w:rsidRDefault="3CF76A6F" w14:paraId="213BC9E4" w14:textId="0B9904B9">
      <w:r w:rsidRPr="633035F3" w:rsidR="3CF76A6F">
        <w:rPr>
          <w:rFonts w:ascii="Arial" w:hAnsi="Arial" w:eastAsia="Arial" w:cs="Arial"/>
          <w:b w:val="1"/>
          <w:bCs w:val="1"/>
          <w:sz w:val="32"/>
          <w:szCs w:val="32"/>
        </w:rPr>
        <w:t>Task 1</w:t>
      </w:r>
    </w:p>
    <w:p w:rsidR="3CF76A6F" w:rsidP="1EB49B2D" w:rsidRDefault="3CF76A6F" w14:paraId="26174CE9" w14:textId="3244103D">
      <w:pPr>
        <w:spacing w:line="360" w:lineRule="auto"/>
      </w:pPr>
      <w:r w:rsidRPr="1EB49B2D" w:rsidR="1E39E405">
        <w:rPr>
          <w:rFonts w:ascii="Arial" w:hAnsi="Arial" w:eastAsia="Arial" w:cs="Arial"/>
          <w:b w:val="0"/>
          <w:bCs w:val="0"/>
          <w:sz w:val="22"/>
          <w:szCs w:val="22"/>
        </w:rPr>
        <w:t xml:space="preserve">Innovation </w:t>
      </w:r>
    </w:p>
    <w:p w:rsidR="3CF76A6F" w:rsidP="1EB49B2D" w:rsidRDefault="3CF76A6F" w14:paraId="54498433" w14:textId="42F46F99">
      <w:pPr>
        <w:spacing w:before="0" w:beforeAutospacing="off" w:after="160" w:afterAutospacing="off"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Innovation is the intentional introduction and adoption of new or significantly improved products, processes,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services</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organisational methods that create measurable benefit (Rogers, 2003)</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health and social care, innovation addresses system pressures (capacity, cost, safety) by enabling new ways to deliver care that can improve outcomes and efficiency</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Example: Virtual wards that combine remote monitoring and community teams to provide </w:t>
      </w:r>
      <w:r w:rsidRPr="1EB49B2D" w:rsidR="575F884B">
        <w:rPr>
          <w:rFonts w:ascii="Arial" w:hAnsi="Arial" w:eastAsia="Arial" w:cs="Arial"/>
          <w:b w:val="0"/>
          <w:bCs w:val="0"/>
          <w:i w:val="0"/>
          <w:iCs w:val="0"/>
          <w:strike w:val="0"/>
          <w:dstrike w:val="0"/>
          <w:noProof w:val="0"/>
          <w:color w:val="000000" w:themeColor="text1" w:themeTint="FF" w:themeShade="FF"/>
          <w:sz w:val="22"/>
          <w:szCs w:val="22"/>
          <w:u w:val="none"/>
          <w:lang w:val="en-GB"/>
        </w:rPr>
        <w:t>hospital level</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care at home, reducing admissions and improving patient experience</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Model: Rogers’ Diffusion of Innovation (explains how innovations spread and are adopted)</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3CF76A6F" w:rsidP="1EB49B2D" w:rsidRDefault="3CF76A6F" w14:paraId="2958F2F8" w14:textId="47181CF0">
      <w:pPr>
        <w:pStyle w:val="Normal"/>
        <w:spacing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Creativity  </w:t>
      </w:r>
    </w:p>
    <w:p w:rsidR="3CF76A6F" w:rsidP="1EB49B2D" w:rsidRDefault="3CF76A6F" w14:paraId="48713BDF" w14:textId="67A15906">
      <w:pPr>
        <w:spacing w:before="0" w:beforeAutospacing="off" w:after="160" w:afterAutospacing="off"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Creativity is the production of novel and useful ideas or approaches by combining knowledge,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skills</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intrinsic motivation (Amabile, 1996)</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Creativity generates alternative solutions to entrenched problems (e.g., redesigning pathways, workforce roles) and underpins the design of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context</w:t>
      </w:r>
      <w:r>
        <w:noBreakHyphen/>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sensitive</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481E52D1">
        <w:rPr>
          <w:rFonts w:ascii="Arial" w:hAnsi="Arial" w:eastAsia="Arial" w:cs="Arial"/>
          <w:b w:val="0"/>
          <w:bCs w:val="0"/>
          <w:i w:val="0"/>
          <w:iCs w:val="0"/>
          <w:strike w:val="0"/>
          <w:dstrike w:val="0"/>
          <w:noProof w:val="0"/>
          <w:color w:val="000000" w:themeColor="text1" w:themeTint="FF" w:themeShade="FF"/>
          <w:sz w:val="22"/>
          <w:szCs w:val="22"/>
          <w:u w:val="none"/>
          <w:lang w:val="en-GB"/>
        </w:rPr>
        <w:t>user centred</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interventions. Example: A multidisciplinary team using design thinking to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co</w:t>
      </w:r>
      <w:r>
        <w:noBreakHyphen/>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create</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simplified discharge checklist that reduces readmission risk</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3CF76A6F" w:rsidP="1EB49B2D" w:rsidRDefault="3CF76A6F" w14:paraId="3AE3D56D" w14:textId="3866057C">
      <w:pPr>
        <w:pStyle w:val="Normal"/>
        <w:spacing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Value creation  </w:t>
      </w:r>
    </w:p>
    <w:p w:rsidR="3CF76A6F" w:rsidP="1EB49B2D" w:rsidRDefault="3CF76A6F" w14:paraId="7E7C9C1F" w14:textId="29AF2C98">
      <w:pPr>
        <w:spacing w:before="0" w:beforeAutospacing="off" w:after="160" w:afterAutospacing="off"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Value creation in healthcare means improving outcomes that matter to patients relative to the cost of delivering those outcomes — maximising value rather than volume (Porter, 2010).  Focusing on value aligns services with patient priorities, supports resource allocation decisions, and provides a framework for evaluating the benefit of innovations.  Example: A diabetes programme that reduces HbA1c and complications while lowering total care costs through prevention and remote monitoring.  </w:t>
      </w:r>
    </w:p>
    <w:p w:rsidR="3CF76A6F" w:rsidP="1EB49B2D" w:rsidRDefault="3CF76A6F" w14:paraId="5E6919CD" w14:textId="0AA49740">
      <w:pPr>
        <w:pStyle w:val="Normal"/>
        <w:spacing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Change  </w:t>
      </w:r>
    </w:p>
    <w:p w:rsidR="3CF76A6F" w:rsidP="1EB49B2D" w:rsidRDefault="3CF76A6F" w14:paraId="3DCA9576" w14:textId="12B75D83">
      <w:pPr>
        <w:pStyle w:val="Normal"/>
        <w:spacing w:before="0" w:beforeAutospacing="off" w:after="160" w:afterAutospacing="off" w:line="360" w:lineRule="auto"/>
      </w:pP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Change is the process of moving from current practices to a desired future state through planned or emergent actions that alter behaviours,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structures</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processes (Burnes, 2017)</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Effective change management is essential to implement innovations and sustain improvements without compromising safety or staff wellbeing</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Example: Staged </w:t>
      </w:r>
      <w:r w:rsidRPr="1EB49B2D" w:rsidR="65EA70C9">
        <w:rPr>
          <w:rFonts w:ascii="Arial" w:hAnsi="Arial" w:eastAsia="Arial" w:cs="Arial"/>
          <w:b w:val="0"/>
          <w:bCs w:val="0"/>
          <w:i w:val="0"/>
          <w:iCs w:val="0"/>
          <w:strike w:val="0"/>
          <w:dstrike w:val="0"/>
          <w:noProof w:val="0"/>
          <w:color w:val="000000" w:themeColor="text1" w:themeTint="FF" w:themeShade="FF"/>
          <w:sz w:val="22"/>
          <w:szCs w:val="22"/>
          <w:u w:val="none"/>
          <w:lang w:val="en-GB"/>
        </w:rPr>
        <w:t>rollout</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an electronic triage system using pilots, staff </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training</w:t>
      </w:r>
      <w:r w:rsidRPr="1EB49B2D" w:rsidR="1E39E4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feedback cycles to ensure safe adoption. </w:t>
      </w:r>
    </w:p>
    <w:p w:rsidR="3CF76A6F" w:rsidP="1EB49B2D" w:rsidRDefault="3CF76A6F" w14:paraId="72B2A9A0" w14:textId="182B9256">
      <w:pPr>
        <w:pStyle w:val="Normal"/>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32"/>
          <w:szCs w:val="32"/>
          <w:u w:val="none"/>
          <w:lang w:val="en-GB"/>
        </w:rPr>
      </w:pPr>
    </w:p>
    <w:p w:rsidR="3CF76A6F" w:rsidP="633035F3" w:rsidRDefault="3CF76A6F" w14:paraId="59FE2A48" w14:textId="27CF5752">
      <w:pPr>
        <w:pStyle w:val="Normal"/>
        <w:spacing w:before="0" w:beforeAutospacing="off" w:after="160" w:afterAutospacing="off"/>
      </w:pPr>
      <w:r w:rsidRPr="1EB49B2D" w:rsidR="1E39E405">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Task 2 </w:t>
      </w:r>
    </w:p>
    <w:p w:rsidR="633035F3" w:rsidP="1EB49B2D" w:rsidRDefault="633035F3" w14:paraId="7B0D08D5" w14:textId="52A24391">
      <w:pPr>
        <w:pStyle w:val="Normal"/>
        <w:spacing w:before="240" w:beforeAutospacing="off" w:after="240" w:afterAutospacing="off" w:line="360" w:lineRule="auto"/>
      </w:pPr>
      <w:r w:rsidRPr="1EB49B2D" w:rsidR="1AF7BDC1">
        <w:rPr>
          <w:rFonts w:ascii="Arial" w:hAnsi="Arial" w:eastAsia="Arial" w:cs="Arial"/>
          <w:noProof w:val="0"/>
          <w:sz w:val="22"/>
          <w:szCs w:val="22"/>
          <w:lang w:val="en-GB"/>
        </w:rPr>
        <w:t>Long wait times in health and social care represent a complex, system-wide challenge that not only delays diagnosis and treatment but also erodes patient trust and fuels staff burnout. By applying a systems thinking lens (Meadows, 2008), I created a mind map</w:t>
      </w:r>
      <w:r w:rsidRPr="1EB49B2D" w:rsidR="0136E0F5">
        <w:rPr>
          <w:rFonts w:ascii="Arial" w:hAnsi="Arial" w:eastAsia="Arial" w:cs="Arial"/>
          <w:noProof w:val="0"/>
          <w:sz w:val="22"/>
          <w:szCs w:val="22"/>
          <w:lang w:val="en-GB"/>
        </w:rPr>
        <w:t xml:space="preserve"> </w:t>
      </w:r>
      <w:r w:rsidRPr="1EB49B2D" w:rsidR="0136E0F5">
        <w:rPr>
          <w:rFonts w:ascii="Arial" w:hAnsi="Arial" w:eastAsia="Arial" w:cs="Arial"/>
          <w:noProof w:val="0"/>
          <w:sz w:val="22"/>
          <w:szCs w:val="22"/>
          <w:lang w:val="en-GB"/>
        </w:rPr>
        <w:t>(see</w:t>
      </w:r>
      <w:r w:rsidRPr="1EB49B2D" w:rsidR="0136E0F5">
        <w:rPr>
          <w:rFonts w:ascii="Arial" w:hAnsi="Arial" w:eastAsia="Arial" w:cs="Arial"/>
          <w:noProof w:val="0"/>
          <w:sz w:val="22"/>
          <w:szCs w:val="22"/>
          <w:lang w:val="en-GB"/>
        </w:rPr>
        <w:t xml:space="preserve"> Fig.1)</w:t>
      </w:r>
      <w:r w:rsidRPr="1EB49B2D" w:rsidR="1AF7BDC1">
        <w:rPr>
          <w:rFonts w:ascii="Arial" w:hAnsi="Arial" w:eastAsia="Arial" w:cs="Arial"/>
          <w:noProof w:val="0"/>
          <w:sz w:val="22"/>
          <w:szCs w:val="22"/>
          <w:lang w:val="en-GB"/>
        </w:rPr>
        <w:t xml:space="preserve"> </w:t>
      </w:r>
      <w:r w:rsidRPr="1EB49B2D" w:rsidR="1AF7BDC1">
        <w:rPr>
          <w:rFonts w:ascii="Arial" w:hAnsi="Arial" w:eastAsia="Arial" w:cs="Arial"/>
          <w:noProof w:val="0"/>
          <w:sz w:val="22"/>
          <w:szCs w:val="22"/>
          <w:lang w:val="en-GB"/>
        </w:rPr>
        <w:t>that unpacks how interrelated factors—contribute to prolonged waits. It then connects coordinated solutions</w:t>
      </w:r>
      <w:r w:rsidRPr="1EB49B2D" w:rsidR="3A05CA4C">
        <w:rPr>
          <w:rFonts w:ascii="Arial" w:hAnsi="Arial" w:eastAsia="Arial" w:cs="Arial"/>
          <w:noProof w:val="0"/>
          <w:sz w:val="22"/>
          <w:szCs w:val="22"/>
          <w:lang w:val="en-GB"/>
        </w:rPr>
        <w:t xml:space="preserve"> </w:t>
      </w:r>
      <w:r w:rsidRPr="1EB49B2D" w:rsidR="1AF7BDC1">
        <w:rPr>
          <w:rFonts w:ascii="Arial" w:hAnsi="Arial" w:eastAsia="Arial" w:cs="Arial"/>
          <w:noProof w:val="0"/>
          <w:sz w:val="22"/>
          <w:szCs w:val="22"/>
          <w:lang w:val="en-GB"/>
        </w:rPr>
        <w:t xml:space="preserve">to each root cause, illustrating that only an integrated, whole-system response can restore </w:t>
      </w:r>
      <w:r w:rsidRPr="1EB49B2D" w:rsidR="1AF7BDC1">
        <w:rPr>
          <w:rFonts w:ascii="Arial" w:hAnsi="Arial" w:eastAsia="Arial" w:cs="Arial"/>
          <w:noProof w:val="0"/>
          <w:sz w:val="22"/>
          <w:szCs w:val="22"/>
          <w:lang w:val="en-GB"/>
        </w:rPr>
        <w:t>timely</w:t>
      </w:r>
      <w:r w:rsidRPr="1EB49B2D" w:rsidR="1AF7BDC1">
        <w:rPr>
          <w:rFonts w:ascii="Arial" w:hAnsi="Arial" w:eastAsia="Arial" w:cs="Arial"/>
          <w:noProof w:val="0"/>
          <w:sz w:val="22"/>
          <w:szCs w:val="22"/>
          <w:lang w:val="en-GB"/>
        </w:rPr>
        <w:t xml:space="preserve"> access and sustainable care delivery.</w:t>
      </w:r>
    </w:p>
    <w:p w:rsidR="633035F3" w:rsidP="1EB49B2D" w:rsidRDefault="633035F3" w14:paraId="1A34F133" w14:textId="15ABFF07">
      <w:pPr>
        <w:spacing w:before="240" w:beforeAutospacing="off" w:after="240" w:afterAutospacing="off" w:line="360" w:lineRule="auto"/>
      </w:pPr>
      <w:r w:rsidRPr="1EB49B2D" w:rsidR="2640DC43">
        <w:rPr>
          <w:rFonts w:ascii="Arial" w:hAnsi="Arial" w:eastAsia="Arial" w:cs="Arial"/>
          <w:noProof w:val="0"/>
          <w:sz w:val="22"/>
          <w:szCs w:val="22"/>
          <w:lang w:val="en-GB"/>
        </w:rPr>
        <w:t xml:space="preserve">Long wait times in health and social care critically delay diagnoses and treatments, worsening outcomes for elderly and chronically ill patients (Health Foundation, 2020). Applying a </w:t>
      </w:r>
      <w:r w:rsidRPr="1EB49B2D" w:rsidR="2640DC43">
        <w:rPr>
          <w:rFonts w:ascii="Arial" w:hAnsi="Arial" w:eastAsia="Arial" w:cs="Arial"/>
          <w:b w:val="1"/>
          <w:bCs w:val="1"/>
          <w:noProof w:val="0"/>
          <w:sz w:val="22"/>
          <w:szCs w:val="22"/>
          <w:lang w:val="en-GB"/>
        </w:rPr>
        <w:t>Systems Thinking</w:t>
      </w:r>
      <w:r w:rsidRPr="1EB49B2D" w:rsidR="2640DC43">
        <w:rPr>
          <w:rFonts w:ascii="Arial" w:hAnsi="Arial" w:eastAsia="Arial" w:cs="Arial"/>
          <w:noProof w:val="0"/>
          <w:sz w:val="22"/>
          <w:szCs w:val="22"/>
          <w:lang w:val="en-GB"/>
        </w:rPr>
        <w:t xml:space="preserve"> framework (Meadows, 2008), the mind map links interdependent causes—staff shortages, surging </w:t>
      </w:r>
      <w:r w:rsidRPr="1EB49B2D" w:rsidR="2640DC43">
        <w:rPr>
          <w:rFonts w:ascii="Arial" w:hAnsi="Arial" w:eastAsia="Arial" w:cs="Arial"/>
          <w:noProof w:val="0"/>
          <w:sz w:val="22"/>
          <w:szCs w:val="22"/>
          <w:lang w:val="en-GB"/>
        </w:rPr>
        <w:t>demand</w:t>
      </w:r>
      <w:r w:rsidRPr="1EB49B2D" w:rsidR="2640DC43">
        <w:rPr>
          <w:rFonts w:ascii="Arial" w:hAnsi="Arial" w:eastAsia="Arial" w:cs="Arial"/>
          <w:noProof w:val="0"/>
          <w:sz w:val="22"/>
          <w:szCs w:val="22"/>
          <w:lang w:val="en-GB"/>
        </w:rPr>
        <w:t xml:space="preserve"> and inefficient processes—to cascading impacts: patient harm, staff </w:t>
      </w:r>
      <w:r w:rsidRPr="1EB49B2D" w:rsidR="2640DC43">
        <w:rPr>
          <w:rFonts w:ascii="Arial" w:hAnsi="Arial" w:eastAsia="Arial" w:cs="Arial"/>
          <w:noProof w:val="0"/>
          <w:sz w:val="22"/>
          <w:szCs w:val="22"/>
          <w:lang w:val="en-GB"/>
        </w:rPr>
        <w:t>burnout</w:t>
      </w:r>
      <w:r w:rsidRPr="1EB49B2D" w:rsidR="2640DC43">
        <w:rPr>
          <w:rFonts w:ascii="Arial" w:hAnsi="Arial" w:eastAsia="Arial" w:cs="Arial"/>
          <w:noProof w:val="0"/>
          <w:sz w:val="22"/>
          <w:szCs w:val="22"/>
          <w:lang w:val="en-GB"/>
        </w:rPr>
        <w:t xml:space="preserve"> and system strain. For instance, manual scheduling overloads staff, driving moral distress and compromising care quality. Solutions must therefore be coordinated: expanding the workforce, redesigning workflows with digital booking and lean methods, and managing demand via telehealth and community prevention. Grounded in practice, this approach shows that isolated fixes merely shift bottlenecks; only a system-wide strategy can prevent further backlog growth and health inequities, ensuring </w:t>
      </w:r>
      <w:r w:rsidRPr="1EB49B2D" w:rsidR="2640DC43">
        <w:rPr>
          <w:rFonts w:ascii="Arial" w:hAnsi="Arial" w:eastAsia="Arial" w:cs="Arial"/>
          <w:noProof w:val="0"/>
          <w:sz w:val="22"/>
          <w:szCs w:val="22"/>
          <w:lang w:val="en-GB"/>
        </w:rPr>
        <w:t>timely</w:t>
      </w:r>
      <w:r w:rsidRPr="1EB49B2D" w:rsidR="2640DC43">
        <w:rPr>
          <w:rFonts w:ascii="Arial" w:hAnsi="Arial" w:eastAsia="Arial" w:cs="Arial"/>
          <w:noProof w:val="0"/>
          <w:sz w:val="22"/>
          <w:szCs w:val="22"/>
          <w:lang w:val="en-GB"/>
        </w:rPr>
        <w:t xml:space="preserve"> access and sustainable workforce wellbeing.</w:t>
      </w:r>
    </w:p>
    <w:p w:rsidR="633035F3" w:rsidP="633035F3" w:rsidRDefault="633035F3" w14:paraId="0C53EF8E" w14:textId="15FF70C1">
      <w:pPr>
        <w:pStyle w:val="Normal"/>
        <w:spacing w:before="0" w:beforeAutospacing="off" w:after="160" w:afterAutospacing="off"/>
      </w:pPr>
      <w:r w:rsidR="18B0FE53">
        <w:drawing>
          <wp:inline wp14:editId="3D6BA696" wp14:anchorId="62A592AB">
            <wp:extent cx="6257925" cy="4600575"/>
            <wp:effectExtent l="0" t="0" r="0" b="0"/>
            <wp:docPr id="1946832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6832233" name="Picture 1946832233"/>
                    <pic:cNvPicPr/>
                  </pic:nvPicPr>
                  <pic:blipFill>
                    <a:blip xmlns:r="http://schemas.openxmlformats.org/officeDocument/2006/relationships" r:embed="rId1812628698">
                      <a:extLst>
                        <a:ext uri="{28A0092B-C50C-407E-A947-70E740481C1C}">
                          <a14:useLocalDpi xmlns:a14="http://schemas.microsoft.com/office/drawing/2010/main"/>
                        </a:ext>
                      </a:extLst>
                    </a:blip>
                    <a:stretch>
                      <a:fillRect/>
                    </a:stretch>
                  </pic:blipFill>
                  <pic:spPr>
                    <a:xfrm rot="0">
                      <a:off x="0" y="0"/>
                      <a:ext cx="6257925" cy="4600575"/>
                    </a:xfrm>
                    <a:prstGeom prst="rect">
                      <a:avLst/>
                    </a:prstGeom>
                  </pic:spPr>
                </pic:pic>
              </a:graphicData>
            </a:graphic>
          </wp:inline>
        </w:drawing>
      </w:r>
    </w:p>
    <w:p w:rsidR="633035F3" w:rsidP="1EB49B2D" w:rsidRDefault="633035F3" w14:paraId="7549CDDC" w14:textId="0DCA9811">
      <w:pPr>
        <w:pStyle w:val="Normal"/>
        <w:spacing w:before="0" w:beforeAutospacing="off" w:after="160" w:afterAutospacing="off"/>
        <w:rPr>
          <w:rFonts w:ascii="Arial" w:hAnsi="Arial" w:eastAsia="Arial" w:cs="Arial"/>
          <w:b w:val="1"/>
          <w:bCs w:val="1"/>
          <w:noProof w:val="0"/>
          <w:sz w:val="22"/>
          <w:szCs w:val="22"/>
          <w:lang w:val="en-GB"/>
        </w:rPr>
      </w:pPr>
      <w:r w:rsidRPr="1EB49B2D" w:rsidR="5542A9D9">
        <w:rPr>
          <w:rFonts w:ascii="Arial" w:hAnsi="Arial" w:eastAsia="Arial" w:cs="Arial"/>
          <w:sz w:val="16"/>
          <w:szCs w:val="16"/>
        </w:rPr>
        <w:t xml:space="preserve">Image created with the help of Copilot </w:t>
      </w:r>
      <w:r w:rsidRPr="1EB49B2D" w:rsidR="2C03DCEF">
        <w:rPr>
          <w:rFonts w:ascii="Arial" w:hAnsi="Arial" w:eastAsia="Arial" w:cs="Arial"/>
          <w:sz w:val="16"/>
          <w:szCs w:val="16"/>
        </w:rPr>
        <w:t xml:space="preserve">  </w:t>
      </w:r>
      <w:r w:rsidRPr="1EB49B2D" w:rsidR="2C03DCEF">
        <w:rPr>
          <w:rFonts w:ascii="Arial" w:hAnsi="Arial" w:eastAsia="Arial" w:cs="Arial"/>
          <w:sz w:val="18"/>
          <w:szCs w:val="18"/>
        </w:rPr>
        <w:t xml:space="preserve">                                                                                                                          </w:t>
      </w:r>
      <w:r w:rsidRPr="1EB49B2D" w:rsidR="2C03DCEF">
        <w:rPr>
          <w:rFonts w:ascii="Arial" w:hAnsi="Arial" w:eastAsia="Arial" w:cs="Arial"/>
          <w:b w:val="1"/>
          <w:bCs w:val="1"/>
          <w:sz w:val="22"/>
          <w:szCs w:val="22"/>
        </w:rPr>
        <w:t xml:space="preserve"> Fig.1</w:t>
      </w:r>
    </w:p>
    <w:p w:rsidR="00D46920" w:rsidP="1EB49B2D" w:rsidRDefault="00D46920" w14:paraId="73DB7293" w14:textId="2BB1F4D8">
      <w:pPr>
        <w:pStyle w:val="Normal"/>
        <w:spacing w:line="360" w:lineRule="auto"/>
        <w:rPr>
          <w:rFonts w:ascii="Arial" w:hAnsi="Arial" w:eastAsia="Arial" w:cs="Arial"/>
          <w:b w:val="1"/>
          <w:bCs w:val="1"/>
          <w:sz w:val="32"/>
          <w:szCs w:val="32"/>
        </w:rPr>
      </w:pPr>
    </w:p>
    <w:p w:rsidR="00D46920" w:rsidP="1EB49B2D" w:rsidRDefault="00D46920" w14:paraId="3BEE57A6" w14:textId="08C1D3EF">
      <w:pPr>
        <w:pStyle w:val="Normal"/>
        <w:spacing w:line="360" w:lineRule="auto"/>
      </w:pPr>
      <w:r w:rsidRPr="1EB49B2D" w:rsidR="57C47085">
        <w:rPr>
          <w:rFonts w:ascii="Arial" w:hAnsi="Arial" w:eastAsia="Arial" w:cs="Arial"/>
          <w:b w:val="1"/>
          <w:bCs w:val="1"/>
          <w:sz w:val="32"/>
          <w:szCs w:val="32"/>
        </w:rPr>
        <w:t xml:space="preserve">Task 3 </w:t>
      </w:r>
    </w:p>
    <w:p w:rsidR="1A485B7A" w:rsidP="633035F3" w:rsidRDefault="1A485B7A" w14:paraId="15DE75A3" w14:textId="6FC13976">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33035F3" w:rsidR="1A485B7A">
        <w:rPr>
          <w:rFonts w:ascii="Arial" w:hAnsi="Arial" w:eastAsia="Arial" w:cs="Arial"/>
          <w:b w:val="0"/>
          <w:bCs w:val="0"/>
          <w:i w:val="0"/>
          <w:iCs w:val="0"/>
          <w:strike w:val="0"/>
          <w:dstrike w:val="0"/>
          <w:noProof w:val="0"/>
          <w:color w:val="000000" w:themeColor="text1" w:themeTint="FF" w:themeShade="FF"/>
          <w:sz w:val="22"/>
          <w:szCs w:val="22"/>
          <w:u w:val="none"/>
          <w:lang w:val="en-GB"/>
        </w:rPr>
        <w:t>Reflective model: Gibbs’ Reflective Cycle (1988).</w:t>
      </w:r>
    </w:p>
    <w:p w:rsidR="1A485B7A" w:rsidP="1EB49B2D" w:rsidRDefault="1A485B7A" w14:paraId="2B3E0DC4" w14:textId="0D1139D7">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class activity we first used divergent thinking to generate many ideas for reducing outpatient wait times, then switched to convergent thinking to evaluate and select the best options. I felt energised during the divergent phase but anxious when the group needed to narrow choices quickly. Divergent thinking produced creative options (e.g., community triage hubs, extended-hours clinics). Convergent thinking then tested ideas against feasibility,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equity</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safety criteria; this focused discussion revealed practical limits to some promising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ideas. Divergent thinking (open, associative) differs from convergent thinking (analytical, evaluative) and both are necessary for strong solutions (Guilford, 1950;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Nijstad</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&amp; Stroebe, 2006). I noticed I favour convergent tasks — I quickly assessed feasibility and pushed for </w:t>
      </w:r>
      <w:r w:rsidRPr="1EB49B2D" w:rsidR="368F276A">
        <w:rPr>
          <w:rFonts w:ascii="Arial" w:hAnsi="Arial" w:eastAsia="Arial" w:cs="Arial"/>
          <w:b w:val="0"/>
          <w:bCs w:val="0"/>
          <w:i w:val="0"/>
          <w:iCs w:val="0"/>
          <w:strike w:val="0"/>
          <w:dstrike w:val="0"/>
          <w:noProof w:val="0"/>
          <w:color w:val="000000" w:themeColor="text1" w:themeTint="FF" w:themeShade="FF"/>
          <w:sz w:val="22"/>
          <w:szCs w:val="22"/>
          <w:u w:val="none"/>
          <w:lang w:val="en-GB"/>
        </w:rPr>
        <w:t>criteria based</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ranking. This helped make progress but sometimes curtailed exploration. A real moment: when opinions clashed about feasibility, I suggested a simple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pros</w:t>
      </w:r>
      <w:r w:rsidRPr="1EB49B2D" w:rsidR="57DA297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1EB49B2D" w:rsidR="71F3C52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cons</w:t>
      </w:r>
      <w:r w:rsidRPr="1EB49B2D" w:rsidR="57C470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matrix which refocused the group and led to consensus.</w:t>
      </w:r>
    </w:p>
    <w:p w:rsidR="1A485B7A" w:rsidP="633035F3" w:rsidRDefault="1A485B7A" w14:paraId="0548604B" w14:textId="71A2FEDB">
      <w:pPr>
        <w:spacing w:before="0" w:beforeAutospacing="off" w:after="160" w:afterAutospacing="off" w:line="360" w:lineRule="auto"/>
      </w:pPr>
      <w:r w:rsidRPr="633035F3" w:rsidR="1A485B7A">
        <w:rPr>
          <w:rFonts w:ascii="Arial" w:hAnsi="Arial" w:eastAsia="Arial" w:cs="Arial"/>
          <w:b w:val="0"/>
          <w:bCs w:val="0"/>
          <w:i w:val="0"/>
          <w:iCs w:val="0"/>
          <w:strike w:val="0"/>
          <w:dstrike w:val="0"/>
          <w:noProof w:val="0"/>
          <w:color w:val="000000" w:themeColor="text1" w:themeTint="FF" w:themeShade="FF"/>
          <w:sz w:val="22"/>
          <w:szCs w:val="22"/>
          <w:u w:val="none"/>
          <w:lang w:val="en-GB"/>
        </w:rPr>
        <w:t>I learned that I should deliberately slow down during idea generation to encourage riskier options and use structured tools (e.g., timed divergent rounds) to ensure fuller exploration. Next time I will invite quieter members to lead a divergent round and allocate more time before evaluation (Gibbs, 1988; Moon, 2013).</w:t>
      </w:r>
    </w:p>
    <w:p w:rsidR="2C494F5C" w:rsidP="633035F3" w:rsidRDefault="2C494F5C" w14:paraId="6EB64C17" w14:textId="7482A2FE">
      <w:pPr>
        <w:spacing w:before="0" w:beforeAutospacing="off" w:after="160" w:afterAutospacing="off" w:line="360" w:lineRule="auto"/>
      </w:pPr>
      <w:r w:rsidRPr="1EB49B2D" w:rsidR="0A812D0F">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w:t>
      </w:r>
    </w:p>
    <w:p w:rsidR="2C494F5C" w:rsidP="1EB49B2D" w:rsidRDefault="2C494F5C" w14:paraId="0581CD5F" w14:textId="5CA0E58A">
      <w:pPr>
        <w:pStyle w:val="Normal"/>
        <w:spacing w:before="0" w:beforeAutospacing="off" w:after="160" w:afterAutospacing="off" w:line="360" w:lineRule="auto"/>
      </w:pPr>
      <w:r w:rsidRPr="1EB49B2D" w:rsidR="0A812D0F">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Task 4 </w:t>
      </w:r>
    </w:p>
    <w:p w:rsidR="2C494F5C" w:rsidP="1EB49B2D" w:rsidRDefault="2C494F5C" w14:paraId="4DCA736F" w14:textId="66465902">
      <w:pPr>
        <w:spacing w:before="0" w:beforeAutospacing="off" w:after="160" w:afterAutospacing="off" w:line="360" w:lineRule="auto"/>
      </w:pPr>
      <w:r w:rsidRPr="1EB49B2D" w:rsidR="0A812D0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Virtual wards (NHS England)  </w:t>
      </w:r>
    </w:p>
    <w:p w:rsidR="2C494F5C" w:rsidP="633035F3" w:rsidRDefault="2C494F5C" w14:paraId="64C610A7" w14:textId="45C98C98">
      <w:pPr>
        <w:spacing w:before="0" w:beforeAutospacing="off" w:after="160" w:afterAutospacing="off" w:line="360" w:lineRule="auto"/>
      </w:pP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Rising acute demand and limited inpatient capacity created delays, longer stays and avoidable admissions; services required safe alternatives to hospitals for patients who could be monitored at home. (NHS England, 2024).</w:t>
      </w:r>
    </w:p>
    <w:p w:rsidR="2C494F5C" w:rsidP="633035F3" w:rsidRDefault="2C494F5C" w14:paraId="5D0C5B65" w14:textId="627778FD">
      <w:pPr>
        <w:spacing w:before="0" w:beforeAutospacing="off" w:after="160" w:afterAutospacing="off" w:line="360" w:lineRule="auto"/>
      </w:pP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Teams combined clinical pathway redesign, remote monitoring technology and community multidisciplinary working to recreate ward</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level surveillance in people’s homes. Creativity lay in integrating devices, rapid risk stratification and new workforce routines (e.g., daily virtual ward rounds, care coordination across primary, community and hospital teams) rather than relying on technology alone. This co</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design and iterative piloting enabled locally adapted models.</w:t>
      </w:r>
    </w:p>
    <w:p w:rsidR="2C494F5C" w:rsidP="633035F3" w:rsidRDefault="2C494F5C" w14:paraId="5EE57DC8" w14:textId="59C6D617">
      <w:pPr>
        <w:spacing w:before="0" w:beforeAutospacing="off" w:after="160" w:afterAutospacing="off" w:line="360" w:lineRule="auto"/>
      </w:pP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Evaluations report reduced non</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elective admissions and shorter inpatient stays where virtual wards were mature, improved patient experience from being cared for at home, and potential cost savings when step</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up/step</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down functions are effective. Virtual wards can free inpatient capacity while maintaining safety if implemented with attention to equity and workforce. (NHS England, 2024; NICE, 2023).</w:t>
      </w:r>
    </w:p>
    <w:p w:rsidR="2C494F5C" w:rsidP="633035F3" w:rsidRDefault="2C494F5C" w14:paraId="46230C20" w14:textId="0CA06F9F">
      <w:pPr>
        <w:spacing w:before="0" w:beforeAutospacing="off" w:after="160" w:afterAutospacing="off" w:line="360" w:lineRule="auto"/>
      </w:pP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A South</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East England evaluation of &gt;22,000 virtual ward admissions suggested around 2.5 virtual ward admissions correlated with one avoided non</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elective admission, with some services achieving nearer 1:1; local reports show reduced length of stay and favourable patient acceptability, though evidence on long</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term system</w:t>
      </w:r>
      <w:r>
        <w:noBreakHyphen/>
      </w: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level effects remains developing. (NHS England, 2024; NICE, 2023).</w:t>
      </w:r>
    </w:p>
    <w:p w:rsidR="2C494F5C" w:rsidP="633035F3" w:rsidRDefault="2C494F5C" w14:paraId="4465BC41" w14:textId="1258B34D">
      <w:pPr>
        <w:spacing w:before="0" w:beforeAutospacing="off" w:after="160" w:afterAutospacing="off" w:line="360" w:lineRule="auto"/>
      </w:pPr>
      <w:r w:rsidRPr="633035F3" w:rsidR="2C494F5C">
        <w:rPr>
          <w:rFonts w:ascii="Arial" w:hAnsi="Arial" w:eastAsia="Arial" w:cs="Arial"/>
          <w:b w:val="0"/>
          <w:bCs w:val="0"/>
          <w:i w:val="0"/>
          <w:iCs w:val="0"/>
          <w:strike w:val="0"/>
          <w:dstrike w:val="0"/>
          <w:noProof w:val="0"/>
          <w:color w:val="000000" w:themeColor="text1" w:themeTint="FF" w:themeShade="FF"/>
          <w:sz w:val="22"/>
          <w:szCs w:val="22"/>
          <w:u w:val="none"/>
          <w:lang w:val="en-GB"/>
        </w:rPr>
        <w:t>Rogers’ Diffusion of Innovation explains how demonstrable relative advantage, compatibility with existing workflows and observable benefits supported spread across sites (Rogers, 2003).</w:t>
      </w:r>
    </w:p>
    <w:p w:rsidR="633035F3" w:rsidP="633035F3" w:rsidRDefault="633035F3" w14:paraId="38ECD1D2" w14:textId="7D5145E8">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C494F5C" w:rsidP="1EB49B2D" w:rsidRDefault="2C494F5C" w14:paraId="3C1D79A5" w14:textId="626EC3FE">
      <w:pPr>
        <w:spacing w:line="360" w:lineRule="auto"/>
      </w:pPr>
      <w:r w:rsidRPr="1EB49B2D" w:rsidR="0A812D0F">
        <w:rPr>
          <w:b w:val="1"/>
          <w:bCs w:val="1"/>
          <w:sz w:val="32"/>
          <w:szCs w:val="32"/>
        </w:rPr>
        <w:t xml:space="preserve">Task 5 </w:t>
      </w:r>
    </w:p>
    <w:p w:rsidR="7A3879A5" w:rsidP="633035F3" w:rsidRDefault="7A3879A5" w14:paraId="290D3C23" w14:textId="61D56741">
      <w:pPr>
        <w:pStyle w:val="Normal"/>
        <w:spacing w:line="360" w:lineRule="auto"/>
        <w:rPr>
          <w:rFonts w:ascii="Arial" w:hAnsi="Arial" w:eastAsia="Arial" w:cs="Arial"/>
          <w:noProof w:val="0"/>
          <w:sz w:val="22"/>
          <w:szCs w:val="22"/>
          <w:lang w:val="en-GB"/>
        </w:rPr>
      </w:pPr>
      <w:r w:rsidRPr="633035F3" w:rsidR="7A3879A5">
        <w:rPr>
          <w:rFonts w:ascii="Arial" w:hAnsi="Arial" w:eastAsia="Arial" w:cs="Arial"/>
          <w:noProof w:val="0"/>
          <w:sz w:val="22"/>
          <w:szCs w:val="22"/>
          <w:lang w:val="en-GB"/>
        </w:rPr>
        <w:t>Burnout has become a critical concern, especially in high-demand professions like healthcare. Characterized by emotional exhaustion, cynicism, and reduced personal accomplishment, it stems from chronic workplace stress. Two key articles address this issue: Maslach and Leiter (2016) highlight systemic mismatches between individual resources and job demands, while West, Dyrbye, and Shanafelt (2018) focus on specific factors contributing to clinician burnout. Together, they emphasize that burnout is not an individual failing but a systemic issue requiring comprehensive organizational strategies and individual support.</w:t>
      </w:r>
    </w:p>
    <w:p w:rsidR="4413164F" w:rsidP="633035F3" w:rsidRDefault="4413164F" w14:paraId="737AB21B" w14:textId="3A166613">
      <w:pPr>
        <w:pStyle w:val="Normal"/>
        <w:spacing w:line="360" w:lineRule="auto"/>
      </w:pP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Article 1 (Maslach &amp; Leiter, 2016) </w:t>
      </w: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identifies</w:t>
      </w: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burnout as a response to chronic workplace stress when demands chronically exceed an individual’s resources. The authors emphasise three interrelated dimensions—emotional exhaustion, depersonalisation (cynicism) and reduced personal accomplishment—and attribute causes to mismatches between person and job in areas such as workload, control, reward, community, </w:t>
      </w: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fairness</w:t>
      </w: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values. This framework helps me see staff stress not as individual weakness but as systemic mismatch amenable to organisational redesign.</w:t>
      </w:r>
    </w:p>
    <w:p w:rsidR="4413164F" w:rsidP="633035F3" w:rsidRDefault="4413164F" w14:paraId="4836B3FD" w14:textId="279CC71D">
      <w:pPr>
        <w:spacing w:before="0" w:beforeAutospacing="off" w:after="160" w:afterAutospacing="off" w:line="360" w:lineRule="auto"/>
      </w:pPr>
      <w:r w:rsidRPr="633035F3" w:rsidR="4413164F">
        <w:rPr>
          <w:rFonts w:ascii="Arial" w:hAnsi="Arial" w:eastAsia="Arial" w:cs="Arial"/>
          <w:b w:val="0"/>
          <w:bCs w:val="0"/>
          <w:i w:val="0"/>
          <w:iCs w:val="0"/>
          <w:strike w:val="0"/>
          <w:dstrike w:val="0"/>
          <w:noProof w:val="0"/>
          <w:color w:val="000000" w:themeColor="text1" w:themeTint="FF" w:themeShade="FF"/>
          <w:sz w:val="22"/>
          <w:szCs w:val="22"/>
          <w:u w:val="none"/>
          <w:lang w:val="en-GB"/>
        </w:rPr>
        <w:t>Article 2 (West, Dyrbye &amp; Shanafelt, 2018) reviews contributors to clinician burnout, highlighting excessive workload, inefficient systems (administrative burden, poor IT), lack of autonomy, and moral distress from constraints on patient care. The paper links burnout to poorer patient safety, lower quality and higher staff turnover, and presents multilevel interventions (individual and organisational).</w:t>
      </w:r>
    </w:p>
    <w:p w:rsidR="4413164F" w:rsidP="633035F3" w:rsidRDefault="4413164F" w14:paraId="39B258C1" w14:textId="7FA3B2B2">
      <w:pPr>
        <w:spacing w:before="0" w:beforeAutospacing="off" w:after="160" w:afterAutospacing="off" w:line="360" w:lineRule="auto"/>
      </w:pPr>
      <w:r w:rsidRPr="1EB49B2D" w:rsidR="072C1D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Both papers agree that workload and organisational design are primary drivers, though Maslach &amp; Leiter focus on the conceptual person–job fit while West et al. emphasise </w:t>
      </w:r>
      <w:r w:rsidRPr="1EB49B2D" w:rsidR="7D213492">
        <w:rPr>
          <w:rFonts w:ascii="Arial" w:hAnsi="Arial" w:eastAsia="Arial" w:cs="Arial"/>
          <w:b w:val="0"/>
          <w:bCs w:val="0"/>
          <w:i w:val="0"/>
          <w:iCs w:val="0"/>
          <w:strike w:val="0"/>
          <w:dstrike w:val="0"/>
          <w:noProof w:val="0"/>
          <w:color w:val="000000" w:themeColor="text1" w:themeTint="FF" w:themeShade="FF"/>
          <w:sz w:val="22"/>
          <w:szCs w:val="22"/>
          <w:u w:val="none"/>
          <w:lang w:val="en-GB"/>
        </w:rPr>
        <w:t>healthcare specific</w:t>
      </w:r>
      <w:r w:rsidRPr="1EB49B2D" w:rsidR="072C1D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system drivers (e.g. moral injury). In practice this appears as frequent overtime, disengaged team members, increased sick leave and </w:t>
      </w:r>
      <w:r w:rsidRPr="1EB49B2D" w:rsidR="48720988">
        <w:rPr>
          <w:rFonts w:ascii="Arial" w:hAnsi="Arial" w:eastAsia="Arial" w:cs="Arial"/>
          <w:b w:val="0"/>
          <w:bCs w:val="0"/>
          <w:i w:val="0"/>
          <w:iCs w:val="0"/>
          <w:strike w:val="0"/>
          <w:dstrike w:val="0"/>
          <w:noProof w:val="0"/>
          <w:color w:val="000000" w:themeColor="text1" w:themeTint="FF" w:themeShade="FF"/>
          <w:sz w:val="22"/>
          <w:szCs w:val="22"/>
          <w:u w:val="none"/>
          <w:lang w:val="en-GB"/>
        </w:rPr>
        <w:t>near misses</w:t>
      </w:r>
      <w:r w:rsidRPr="1EB49B2D" w:rsidR="072C1D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18CCA330">
        <w:rPr>
          <w:rFonts w:ascii="Arial" w:hAnsi="Arial" w:eastAsia="Arial" w:cs="Arial"/>
          <w:b w:val="0"/>
          <w:bCs w:val="0"/>
          <w:i w:val="0"/>
          <w:iCs w:val="0"/>
          <w:strike w:val="0"/>
          <w:dstrike w:val="0"/>
          <w:noProof w:val="0"/>
          <w:color w:val="000000" w:themeColor="text1" w:themeTint="FF" w:themeShade="FF"/>
          <w:sz w:val="22"/>
          <w:szCs w:val="22"/>
          <w:u w:val="none"/>
          <w:lang w:val="en-GB"/>
        </w:rPr>
        <w:t>onwards</w:t>
      </w:r>
      <w:r w:rsidRPr="1EB49B2D" w:rsidR="072C1D71">
        <w:rPr>
          <w:rFonts w:ascii="Arial" w:hAnsi="Arial" w:eastAsia="Arial" w:cs="Arial"/>
          <w:b w:val="0"/>
          <w:bCs w:val="0"/>
          <w:i w:val="0"/>
          <w:iCs w:val="0"/>
          <w:strike w:val="0"/>
          <w:dstrike w:val="0"/>
          <w:noProof w:val="0"/>
          <w:color w:val="000000" w:themeColor="text1" w:themeTint="FF" w:themeShade="FF"/>
          <w:sz w:val="22"/>
          <w:szCs w:val="22"/>
          <w:u w:val="none"/>
          <w:lang w:val="en-GB"/>
        </w:rPr>
        <w:t>. Together they show that solutions must target systems (work redesign, restore control and values alignment) as well as individual support.</w:t>
      </w:r>
    </w:p>
    <w:p w:rsidR="48091F86" w:rsidP="1EB49B2D" w:rsidRDefault="48091F86" w14:paraId="4E8643EB" w14:textId="4C178BA6">
      <w:pPr>
        <w:spacing w:line="360" w:lineRule="auto"/>
      </w:pPr>
      <w:r w:rsidRPr="1EB49B2D" w:rsidR="1A5585FF">
        <w:rPr>
          <w:rFonts w:ascii="Arial" w:hAnsi="Arial" w:eastAsia="Arial" w:cs="Arial"/>
          <w:b w:val="1"/>
          <w:bCs w:val="1"/>
          <w:sz w:val="32"/>
          <w:szCs w:val="32"/>
        </w:rPr>
        <w:t xml:space="preserve"> Task 6</w:t>
      </w:r>
    </w:p>
    <w:p w:rsidR="48091F86" w:rsidP="1EB49B2D" w:rsidRDefault="48091F86" w14:paraId="3F6B170F" w14:textId="2E450EEE">
      <w:pPr>
        <w:spacing w:line="360" w:lineRule="auto"/>
      </w:pPr>
      <w:r w:rsidRPr="1EB49B2D" w:rsidR="3AB3B67E">
        <w:rPr>
          <w:rFonts w:ascii="Arial" w:hAnsi="Arial" w:eastAsia="Arial" w:cs="Arial"/>
          <w:noProof w:val="0"/>
          <w:sz w:val="22"/>
          <w:szCs w:val="22"/>
          <w:lang w:val="en-GB"/>
        </w:rPr>
        <w:t xml:space="preserve">Advancements in digital health technologies are transforming the management of chronic conditions, enhancing communication, and promoting preventative care. From wearable devices that </w:t>
      </w:r>
      <w:r w:rsidRPr="1EB49B2D" w:rsidR="3AB3B67E">
        <w:rPr>
          <w:rFonts w:ascii="Arial" w:hAnsi="Arial" w:eastAsia="Arial" w:cs="Arial"/>
          <w:noProof w:val="0"/>
          <w:sz w:val="22"/>
          <w:szCs w:val="22"/>
          <w:lang w:val="en-GB"/>
        </w:rPr>
        <w:t>facilitate</w:t>
      </w:r>
      <w:r w:rsidRPr="1EB49B2D" w:rsidR="3AB3B67E">
        <w:rPr>
          <w:rFonts w:ascii="Arial" w:hAnsi="Arial" w:eastAsia="Arial" w:cs="Arial"/>
          <w:noProof w:val="0"/>
          <w:sz w:val="22"/>
          <w:szCs w:val="22"/>
          <w:lang w:val="en-GB"/>
        </w:rPr>
        <w:t xml:space="preserve"> real-time health monitoring to electronic health records that streamline patient information sharing, these innovations empower both patients and healthcare providers, </w:t>
      </w:r>
      <w:r w:rsidRPr="1EB49B2D" w:rsidR="3AB3B67E">
        <w:rPr>
          <w:rFonts w:ascii="Arial" w:hAnsi="Arial" w:eastAsia="Arial" w:cs="Arial"/>
          <w:noProof w:val="0"/>
          <w:sz w:val="22"/>
          <w:szCs w:val="22"/>
          <w:lang w:val="en-GB"/>
        </w:rPr>
        <w:t>ultimately improving</w:t>
      </w:r>
      <w:r w:rsidRPr="1EB49B2D" w:rsidR="3AB3B67E">
        <w:rPr>
          <w:rFonts w:ascii="Arial" w:hAnsi="Arial" w:eastAsia="Arial" w:cs="Arial"/>
          <w:noProof w:val="0"/>
          <w:sz w:val="22"/>
          <w:szCs w:val="22"/>
          <w:lang w:val="en-GB"/>
        </w:rPr>
        <w:t xml:space="preserve"> health outcomes and fostering collaborative care.</w:t>
      </w:r>
    </w:p>
    <w:p w:rsidR="3C80EB87" w:rsidP="633035F3" w:rsidRDefault="3C80EB87" w14:paraId="6526BDA5" w14:textId="4DF49AB0">
      <w:pPr>
        <w:spacing w:before="0" w:beforeAutospacing="off" w:after="160" w:afterAutospacing="off" w:line="360" w:lineRule="auto"/>
      </w:pP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 Wearable health technologies — benefit for chronic condition management  </w:t>
      </w:r>
    </w:p>
    <w:p w:rsidR="3C80EB87" w:rsidP="633035F3" w:rsidRDefault="3C80EB87" w14:paraId="6F7473A0" w14:textId="168A52D8">
      <w:pPr>
        <w:spacing w:before="0" w:beforeAutospacing="off" w:after="160" w:afterAutospacing="off" w:line="360" w:lineRule="auto"/>
      </w:pP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Wearables (e.g. smartwatches, continuous glucose monitors) enable continuous, passive monitoring of physiological data (heart rate, activity, glucose), allowing earlier detection of deterioration and personalised </w:t>
      </w:r>
      <w:r w:rsidRPr="1EB49B2D" w:rsidR="1739D208">
        <w:rPr>
          <w:rFonts w:ascii="Arial" w:hAnsi="Arial" w:eastAsia="Arial" w:cs="Arial"/>
          <w:b w:val="0"/>
          <w:bCs w:val="0"/>
          <w:i w:val="0"/>
          <w:iCs w:val="0"/>
          <w:strike w:val="0"/>
          <w:dstrike w:val="0"/>
          <w:noProof w:val="0"/>
          <w:color w:val="000000" w:themeColor="text1" w:themeTint="FF" w:themeShade="FF"/>
          <w:sz w:val="22"/>
          <w:szCs w:val="22"/>
          <w:u w:val="none"/>
          <w:lang w:val="en-GB"/>
        </w:rPr>
        <w:t>self management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people with atrial fibrillation or heart failure, wearable alerts and trend data support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timely</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medication review, remote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adjustments</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targeted clinician </w:t>
      </w:r>
      <w:r w:rsidRPr="1EB49B2D" w:rsidR="5BEBB8AF">
        <w:rPr>
          <w:rFonts w:ascii="Arial" w:hAnsi="Arial" w:eastAsia="Arial" w:cs="Arial"/>
          <w:b w:val="0"/>
          <w:bCs w:val="0"/>
          <w:i w:val="0"/>
          <w:iCs w:val="0"/>
          <w:strike w:val="0"/>
          <w:dstrike w:val="0"/>
          <w:noProof w:val="0"/>
          <w:color w:val="000000" w:themeColor="text1" w:themeTint="FF" w:themeShade="FF"/>
          <w:sz w:val="22"/>
          <w:szCs w:val="22"/>
          <w:u w:val="none"/>
          <w:lang w:val="en-GB"/>
        </w:rPr>
        <w:t>follow-up</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reducing avoidable visits and empowering patients to change behaviours. Their effectiveness depends on perceived usefulness and ease of use (Technology Acceptance Model), so intuitive interfaces and clear feedback are essential for sustained use. Example: smartwatch </w:t>
      </w:r>
      <w:r w:rsidRPr="1EB49B2D" w:rsidR="7C29524C">
        <w:rPr>
          <w:rFonts w:ascii="Arial" w:hAnsi="Arial" w:eastAsia="Arial" w:cs="Arial"/>
          <w:b w:val="0"/>
          <w:bCs w:val="0"/>
          <w:i w:val="0"/>
          <w:iCs w:val="0"/>
          <w:strike w:val="0"/>
          <w:dstrike w:val="0"/>
          <w:noProof w:val="0"/>
          <w:color w:val="000000" w:themeColor="text1" w:themeTint="FF" w:themeShade="FF"/>
          <w:sz w:val="22"/>
          <w:szCs w:val="22"/>
          <w:u w:val="none"/>
          <w:lang w:val="en-GB"/>
        </w:rPr>
        <w:t>heart-rate</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alerts prompting earlier clinic review for paroxysmal atrial fibrillation</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3C80EB87" w:rsidP="633035F3" w:rsidRDefault="3C80EB87" w14:paraId="2D1847CD" w14:textId="59673479">
      <w:pPr>
        <w:pStyle w:val="Normal"/>
        <w:spacing w:line="360" w:lineRule="auto"/>
      </w:pP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 Electronic health records (EHRs) — improving communication and collaboration  </w:t>
      </w:r>
    </w:p>
    <w:p w:rsidR="3C80EB87" w:rsidP="633035F3" w:rsidRDefault="3C80EB87" w14:paraId="36275F7B" w14:textId="05D44021">
      <w:pPr>
        <w:spacing w:before="0" w:beforeAutospacing="off" w:after="160" w:afterAutospacing="off" w:line="360" w:lineRule="auto"/>
      </w:pP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EHRs centralise patient information (medications, allergies, test results, notes), enabling synchronous access across primary, secondary and community teams. Shared records reduce information loss at transitions, speed decision</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making (fewer repeat tests), and support coordinated care planning (e.g. discharge summaries visible to GPs and community nurses). Integrated messaging and care</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pathway templates facilitate multidisciplinary workflows and audit. Example: a hospital discharge entered in the EHR that automatically notifies the patient’s GP and community pharmacy, allowing timely follow</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up and medication reconciliation.  </w:t>
      </w:r>
    </w:p>
    <w:p w:rsidR="3C80EB87" w:rsidP="633035F3" w:rsidRDefault="3C80EB87" w14:paraId="64FDE72C" w14:textId="566C1168">
      <w:pPr>
        <w:pStyle w:val="Normal"/>
        <w:spacing w:line="360" w:lineRule="auto"/>
      </w:pP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 Digital technology for preventative care and health promotion  </w:t>
      </w:r>
    </w:p>
    <w:p w:rsidR="3C80EB87" w:rsidP="633035F3" w:rsidRDefault="3C80EB87" w14:paraId="74C5694B" w14:textId="71C031F9">
      <w:pPr>
        <w:spacing w:before="0" w:beforeAutospacing="off" w:after="160" w:afterAutospacing="off" w:line="360" w:lineRule="auto"/>
      </w:pP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Digital tools (apps, SMS, telehealth, AI</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driven risk stratification) extend the reach of prevention by delivering tailored behaviour</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change interventions at scale. They personalise prompts, goal setting and feedback and can link users to local services. Example: a smoking</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cessation programme combining automated SMS support, a brief app for goal tracking, and referral to local stop</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smoking clinics; the app uses baseline risk data to tailor messages and nudges. Such interventions can increase quit rates, improve engagement, and reduce future morbidity when integrated with face</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to</w:t>
      </w:r>
      <w:r>
        <w:noBreakHyphen/>
      </w:r>
      <w:r w:rsidRPr="633035F3" w:rsidR="3C80EB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face services. The Behaviour Change Wheel supports design of effective digital interventions by linking techniques to capability, opportunity and motivation.  </w:t>
      </w:r>
    </w:p>
    <w:p w:rsidR="3C80EB87" w:rsidP="633035F3" w:rsidRDefault="3C80EB87" w14:paraId="0E88197B" w14:textId="2F811E6A">
      <w:pPr>
        <w:spacing w:before="0" w:beforeAutospacing="off" w:after="160" w:afterAutospacing="off" w:line="360" w:lineRule="auto"/>
      </w:pPr>
      <w:r w:rsidRPr="633035F3" w:rsidR="3C80EB87">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Task 7 </w:t>
      </w:r>
    </w:p>
    <w:p w:rsidR="3C80EB87" w:rsidP="1EB49B2D" w:rsidRDefault="3C80EB87" w14:paraId="633BC1F7" w14:textId="6E1854BB">
      <w:pPr>
        <w:pStyle w:val="Normal"/>
        <w:suppressLineNumbers w:val="0"/>
        <w:bidi w:val="0"/>
        <w:spacing w:before="0" w:beforeAutospacing="off" w:after="160" w:afterAutospacing="off" w:line="360" w:lineRule="auto"/>
        <w:ind w:left="0" w:right="0"/>
        <w:jc w:val="left"/>
      </w:pP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NHS Healthcare Leadership Model (NHS Leadership Academy, 2013) describes nine leadership dimensions grouped around three core themes: </w:t>
      </w:r>
      <w:r w:rsidRPr="1EB49B2D" w:rsidR="045CE40F">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self</w:t>
      </w:r>
      <w:r w:rsidRPr="1EB49B2D" w:rsidR="16F296E6">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2E6A37C0">
        <w:rPr>
          <w:rFonts w:ascii="Arial" w:hAnsi="Arial" w:eastAsia="Arial" w:cs="Arial"/>
          <w:b w:val="0"/>
          <w:bCs w:val="0"/>
          <w:i w:val="0"/>
          <w:iCs w:val="0"/>
          <w:strike w:val="0"/>
          <w:dstrike w:val="0"/>
          <w:noProof w:val="0"/>
          <w:color w:val="000000" w:themeColor="text1" w:themeTint="FF" w:themeShade="FF"/>
          <w:sz w:val="22"/>
          <w:szCs w:val="22"/>
          <w:u w:val="none"/>
          <w:lang w:val="en-GB"/>
        </w:rPr>
        <w:t>“t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eam</w:t>
      </w:r>
      <w:r w:rsidRPr="1EB49B2D" w:rsidR="2782022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1EB49B2D" w:rsidR="3ED3AFA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system</w:t>
      </w:r>
      <w:r w:rsidRPr="1EB49B2D" w:rsidR="2826E020">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Key behaviours include </w:t>
      </w:r>
      <w:r w:rsidRPr="1EB49B2D" w:rsidR="60EC4748">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1579A450">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nspiring shared purpose</w:t>
      </w:r>
      <w:r w:rsidRPr="1EB49B2D" w:rsidR="7EA47B40">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4FD0CE9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leading with care</w:t>
      </w:r>
      <w:r w:rsidRPr="1EB49B2D" w:rsidR="6B4451A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308E96F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evaluating information</w:t>
      </w:r>
      <w:r w:rsidRPr="1EB49B2D" w:rsidR="0262189F">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2AA2062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sharing the vision</w:t>
      </w:r>
      <w:r w:rsidRPr="1EB49B2D" w:rsidR="63DE81A6">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68ADF86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engaging the team</w:t>
      </w:r>
      <w:r w:rsidRPr="1EB49B2D" w:rsidR="5609AC7B">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1EB49B2D" w:rsidR="1337DABC">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developing capability</w:t>
      </w:r>
      <w:r w:rsidRPr="1EB49B2D" w:rsidR="1BFE324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framework emphasises </w:t>
      </w:r>
      <w:r w:rsidRPr="1EB49B2D" w:rsidR="608DEDBC">
        <w:rPr>
          <w:rFonts w:ascii="Arial" w:hAnsi="Arial" w:eastAsia="Arial" w:cs="Arial"/>
          <w:b w:val="0"/>
          <w:bCs w:val="0"/>
          <w:i w:val="0"/>
          <w:iCs w:val="0"/>
          <w:strike w:val="0"/>
          <w:dstrike w:val="0"/>
          <w:noProof w:val="0"/>
          <w:color w:val="000000" w:themeColor="text1" w:themeTint="FF" w:themeShade="FF"/>
          <w:sz w:val="22"/>
          <w:szCs w:val="22"/>
          <w:u w:val="none"/>
          <w:lang w:val="en-GB"/>
        </w:rPr>
        <w:t>values based</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leadership, inclusive </w:t>
      </w:r>
      <w:r w:rsidRPr="1EB49B2D" w:rsidR="264F8827">
        <w:rPr>
          <w:rFonts w:ascii="Arial" w:hAnsi="Arial" w:eastAsia="Arial" w:cs="Arial"/>
          <w:b w:val="0"/>
          <w:bCs w:val="0"/>
          <w:i w:val="0"/>
          <w:iCs w:val="0"/>
          <w:strike w:val="0"/>
          <w:dstrike w:val="0"/>
          <w:noProof w:val="0"/>
          <w:color w:val="000000" w:themeColor="text1" w:themeTint="FF" w:themeShade="FF"/>
          <w:sz w:val="22"/>
          <w:szCs w:val="22"/>
          <w:u w:val="none"/>
          <w:lang w:val="en-GB"/>
        </w:rPr>
        <w:t>decision making</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continuous improvement to deliver safe, </w:t>
      </w:r>
      <w:r w:rsidRPr="1EB49B2D" w:rsidR="3F114C27">
        <w:rPr>
          <w:rFonts w:ascii="Arial" w:hAnsi="Arial" w:eastAsia="Arial" w:cs="Arial"/>
          <w:b w:val="0"/>
          <w:bCs w:val="0"/>
          <w:i w:val="0"/>
          <w:iCs w:val="0"/>
          <w:strike w:val="0"/>
          <w:dstrike w:val="0"/>
          <w:noProof w:val="0"/>
          <w:color w:val="000000" w:themeColor="text1" w:themeTint="FF" w:themeShade="FF"/>
          <w:sz w:val="22"/>
          <w:szCs w:val="22"/>
          <w:u w:val="none"/>
          <w:lang w:val="en-GB"/>
        </w:rPr>
        <w:t>person centred</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care. It is important because it provides a common language and behavioural standards for leaders at all levels, guiding recruitment,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appraisal</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development. By linking behaviours to measurable outcomes (staff engagement, quality,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safety</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efficiency), the model supports organisational culture change and helps align clinical priorities with </w:t>
      </w:r>
      <w:r w:rsidRPr="1EB49B2D" w:rsidR="45397B81">
        <w:rPr>
          <w:rFonts w:ascii="Arial" w:hAnsi="Arial" w:eastAsia="Arial" w:cs="Arial"/>
          <w:b w:val="0"/>
          <w:bCs w:val="0"/>
          <w:i w:val="0"/>
          <w:iCs w:val="0"/>
          <w:strike w:val="0"/>
          <w:dstrike w:val="0"/>
          <w:noProof w:val="0"/>
          <w:color w:val="000000" w:themeColor="text1" w:themeTint="FF" w:themeShade="FF"/>
          <w:sz w:val="22"/>
          <w:szCs w:val="22"/>
          <w:u w:val="none"/>
          <w:lang w:val="en-GB"/>
        </w:rPr>
        <w:t>system level</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goals, making it practical for health and social care where multidisciplinary coordination and compassion are essential. (NHS Leadership Academy, 2013; Kings Fund, 2015).</w:t>
      </w:r>
    </w:p>
    <w:p w:rsidR="3C80EB87" w:rsidP="1EB49B2D" w:rsidRDefault="3C80EB87" w14:paraId="60B74195" w14:textId="65637B4A">
      <w:pPr>
        <w:spacing w:before="0" w:beforeAutospacing="off" w:after="160" w:afterAutospacing="off" w:line="360" w:lineRule="auto"/>
      </w:pP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A leader using “</w:t>
      </w:r>
      <w:r w:rsidRPr="1EB49B2D" w:rsidR="4593F80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nspiring shared purpose</w:t>
      </w:r>
      <w:r w:rsidRPr="1EB49B2D" w:rsidR="518D8CE5">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articulates a clear, </w:t>
      </w:r>
      <w:r w:rsidRPr="1EB49B2D" w:rsidR="70D77DA6">
        <w:rPr>
          <w:rFonts w:ascii="Arial" w:hAnsi="Arial" w:eastAsia="Arial" w:cs="Arial"/>
          <w:b w:val="0"/>
          <w:bCs w:val="0"/>
          <w:i w:val="0"/>
          <w:iCs w:val="0"/>
          <w:strike w:val="0"/>
          <w:dstrike w:val="0"/>
          <w:noProof w:val="0"/>
          <w:color w:val="000000" w:themeColor="text1" w:themeTint="FF" w:themeShade="FF"/>
          <w:sz w:val="22"/>
          <w:szCs w:val="22"/>
          <w:u w:val="none"/>
          <w:lang w:val="en-GB"/>
        </w:rPr>
        <w:t>patient focused</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vision and connects daily tasks to that purpose. To encourage creativity, they invite diverse staff to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co</w:t>
      </w:r>
      <w:r>
        <w:noBreakHyphen/>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design</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small tests of change, celebrate iterative learning, and explicitly link innovations to improved patient outcomes. Practical steps: run short, themed innovation huddles; remove fear of failure by framing experiments as learning cycles;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allocate</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protected time and small seed resources for staff ideas. This approach fosters psychological safety, motivates staff to propose novel solutions, and helps translate creativity into measurable improvements in care quality and patient experience (Bass &amp; Avolio, 1994; NHS Leadership Academy, 2013).</w:t>
      </w:r>
    </w:p>
    <w:p w:rsidR="3C80EB87" w:rsidP="1EB49B2D" w:rsidRDefault="3C80EB87" w14:paraId="344D2B11" w14:textId="55A7DA51">
      <w:pPr>
        <w:pStyle w:val="Normal"/>
        <w:spacing w:line="360" w:lineRule="auto"/>
      </w:pP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Across this module my view of creativity shifted from lone inspiration to structured, </w:t>
      </w:r>
      <w:r w:rsidRPr="1EB49B2D" w:rsidR="354A05D2">
        <w:rPr>
          <w:rFonts w:ascii="Arial" w:hAnsi="Arial" w:eastAsia="Arial" w:cs="Arial"/>
          <w:b w:val="0"/>
          <w:bCs w:val="0"/>
          <w:i w:val="0"/>
          <w:iCs w:val="0"/>
          <w:strike w:val="0"/>
          <w:dstrike w:val="0"/>
          <w:noProof w:val="0"/>
          <w:color w:val="000000" w:themeColor="text1" w:themeTint="FF" w:themeShade="FF"/>
          <w:sz w:val="22"/>
          <w:szCs w:val="22"/>
          <w:u w:val="none"/>
          <w:lang w:val="en-GB"/>
        </w:rPr>
        <w:t>team based</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value creation. Activities on convergent/divergent thinking and case studies (virtual wards, digital tools) showed creativity is most valuable when paired with systems thinking and clear evaluation. Exercises that practised facilitation,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pros</w:t>
      </w:r>
      <w:r w:rsidRPr="1EB49B2D" w:rsidR="1D0FD9C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1EB49B2D" w:rsidR="7331A87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cons</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matrices and timed divergent rounds changed how I will work: I will deliberately create space for wild ideas, then apply quick feasibility filters </w:t>
      </w:r>
      <w:r w:rsidRPr="1EB49B2D" w:rsidR="1F23DA26">
        <w:rPr>
          <w:rFonts w:ascii="Arial" w:hAnsi="Arial" w:eastAsia="Arial" w:cs="Arial"/>
          <w:b w:val="0"/>
          <w:bCs w:val="0"/>
          <w:i w:val="0"/>
          <w:iCs w:val="0"/>
          <w:strike w:val="0"/>
          <w:dstrike w:val="0"/>
          <w:noProof w:val="0"/>
          <w:color w:val="000000" w:themeColor="text1" w:themeTint="FF" w:themeShade="FF"/>
          <w:sz w:val="22"/>
          <w:szCs w:val="22"/>
          <w:u w:val="none"/>
          <w:lang w:val="en-GB"/>
        </w:rPr>
        <w:t>co produced</w:t>
      </w:r>
      <w:r w:rsidRPr="1EB49B2D" w:rsidR="0792E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frontline staff. Going forward I aim for roles that combine clinical insight with improvement practice, leading teams to prototype small innovations that demonstrably improve patient outcomes and staff experience.</w:t>
      </w:r>
    </w:p>
    <w:p w:rsidR="197EED4E" w:rsidP="1EB49B2D" w:rsidRDefault="197EED4E" w14:paraId="1837AAE4" w14:textId="60BDD44A">
      <w:pPr>
        <w:pStyle w:val="Normal"/>
        <w:spacing w:line="360" w:lineRule="auto"/>
      </w:pPr>
      <w:r w:rsidRPr="1EB49B2D" w:rsidR="2E033204">
        <w:rPr>
          <w:rFonts w:ascii="Arial" w:hAnsi="Arial" w:eastAsia="Arial" w:cs="Arial"/>
          <w:b w:val="1"/>
          <w:bCs w:val="1"/>
          <w:i w:val="0"/>
          <w:iCs w:val="0"/>
          <w:strike w:val="0"/>
          <w:dstrike w:val="0"/>
          <w:noProof w:val="0"/>
          <w:color w:val="000000" w:themeColor="text1" w:themeTint="FF" w:themeShade="FF"/>
          <w:sz w:val="32"/>
          <w:szCs w:val="32"/>
          <w:u w:val="none"/>
          <w:lang w:val="en-GB"/>
        </w:rPr>
        <w:t>Task 8</w:t>
      </w:r>
    </w:p>
    <w:p w:rsidR="165ED645" w:rsidP="1EB49B2D" w:rsidRDefault="165ED645" w14:paraId="39F46A16" w14:textId="403062A8">
      <w:pPr>
        <w:pStyle w:val="Normal"/>
        <w:suppressLineNumbers w:val="0"/>
        <w:bidi w:val="0"/>
        <w:spacing w:before="0" w:beforeAutospacing="off" w:after="160" w:afterAutospacing="off" w:line="360" w:lineRule="auto"/>
        <w:ind w:left="0" w:right="0"/>
        <w:jc w:val="left"/>
      </w:pP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Gibbs’ Reflective Cycle (Gibbs, 1988) I reviewed a pivotal module task: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facilitating</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timed divergent round followed by a pros</w:t>
      </w:r>
      <w:r w:rsidRPr="1EB49B2D" w:rsidR="18347F7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and</w:t>
      </w:r>
      <w:r w:rsidRPr="1EB49B2D" w:rsidR="6746C4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cons matrix.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felt initially anxious about managing silence but learned to prompt quieter members.  </w:t>
      </w:r>
      <w:r w:rsidRPr="1EB49B2D" w:rsidR="0C305D74">
        <w:rPr>
          <w:rFonts w:ascii="Arial" w:hAnsi="Arial" w:eastAsia="Arial" w:cs="Arial"/>
          <w:b w:val="0"/>
          <w:bCs w:val="0"/>
          <w:i w:val="0"/>
          <w:iCs w:val="0"/>
          <w:strike w:val="0"/>
          <w:dstrike w:val="0"/>
          <w:noProof w:val="0"/>
          <w:color w:val="000000" w:themeColor="text1" w:themeTint="FF" w:themeShade="FF"/>
          <w:sz w:val="22"/>
          <w:szCs w:val="22"/>
          <w:u w:val="none"/>
          <w:lang w:val="en-GB"/>
        </w:rPr>
        <w:t>T</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he structured divergence increased idea volume and the matrix made selection transparent</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41987DDD">
        <w:rPr>
          <w:rFonts w:ascii="Arial" w:hAnsi="Arial" w:eastAsia="Arial" w:cs="Arial"/>
          <w:b w:val="0"/>
          <w:bCs w:val="0"/>
          <w:i w:val="0"/>
          <w:iCs w:val="0"/>
          <w:strike w:val="0"/>
          <w:dstrike w:val="0"/>
          <w:noProof w:val="0"/>
          <w:color w:val="000000" w:themeColor="text1" w:themeTint="FF" w:themeShade="FF"/>
          <w:sz w:val="22"/>
          <w:szCs w:val="22"/>
          <w:u w:val="none"/>
          <w:lang w:val="en-GB"/>
        </w:rPr>
        <w:t>This</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showed creativity thrives with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simple process</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constraints—divergent thinking generates breadth; convergent tools channel ideas into value.</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EB49B2D" w:rsidR="7C8A39EE">
        <w:rPr>
          <w:rFonts w:ascii="Arial" w:hAnsi="Arial" w:eastAsia="Arial" w:cs="Arial"/>
          <w:b w:val="0"/>
          <w:bCs w:val="0"/>
          <w:i w:val="0"/>
          <w:iCs w:val="0"/>
          <w:strike w:val="0"/>
          <w:dstrike w:val="0"/>
          <w:noProof w:val="0"/>
          <w:color w:val="000000" w:themeColor="text1" w:themeTint="FF" w:themeShade="FF"/>
          <w:sz w:val="22"/>
          <w:szCs w:val="22"/>
          <w:u w:val="none"/>
          <w:lang w:val="en-GB"/>
        </w:rPr>
        <w:t>M</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 view shifted from seeing innovation as individual genius to seeing it as </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facilitated</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repeatable practice.  </w:t>
      </w:r>
      <w:r w:rsidRPr="1EB49B2D" w:rsidR="52C41E14">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 placements I will run </w:t>
      </w:r>
      <w:r w:rsidRPr="1EB49B2D" w:rsidR="5080DCD8">
        <w:rPr>
          <w:rFonts w:ascii="Arial" w:hAnsi="Arial" w:eastAsia="Arial" w:cs="Arial"/>
          <w:b w:val="0"/>
          <w:bCs w:val="0"/>
          <w:i w:val="0"/>
          <w:iCs w:val="0"/>
          <w:strike w:val="0"/>
          <w:dstrike w:val="0"/>
          <w:noProof w:val="0"/>
          <w:color w:val="000000" w:themeColor="text1" w:themeTint="FF" w:themeShade="FF"/>
          <w:sz w:val="22"/>
          <w:szCs w:val="22"/>
          <w:u w:val="none"/>
          <w:lang w:val="en-GB"/>
        </w:rPr>
        <w:t>five-minute</w:t>
      </w:r>
      <w:r w:rsidRPr="1EB49B2D" w:rsidR="7F6A66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idea sprints, record all suggestions, then use quick feasibility filters with frontline staff; I will rotate facilitation to build ownership. Key concept I will carry forward: design the process first—create psychological safety and clear selection criteria so creativity reliably produces implementable value.</w:t>
      </w:r>
    </w:p>
    <w:p w:rsidR="633035F3" w:rsidRDefault="633035F3" w14:paraId="74AD3AE0" w14:textId="3DA5E2A7"/>
    <w:p w:rsidRPr="009F64B3" w:rsidR="00114199" w:rsidP="1EB49B2D" w:rsidRDefault="00114199" w14:paraId="305BFC06" w14:textId="1AFFB42F">
      <w:pPr>
        <w:pStyle w:val="Normal"/>
        <w:spacing w:line="360" w:lineRule="auto"/>
        <w:rPr>
          <w:rFonts w:ascii="Arial" w:hAnsi="Arial" w:eastAsia="Arial" w:cs="Arial"/>
          <w:b w:val="1"/>
          <w:bCs w:val="1"/>
          <w:sz w:val="32"/>
          <w:szCs w:val="32"/>
        </w:rPr>
      </w:pPr>
    </w:p>
    <w:p w:rsidRPr="009F64B3" w:rsidR="00114199" w:rsidP="1EB49B2D" w:rsidRDefault="00114199" w14:paraId="4039C372" w14:textId="65682781">
      <w:pPr>
        <w:pStyle w:val="Normal"/>
        <w:spacing w:line="360" w:lineRule="auto"/>
        <w:rPr>
          <w:rFonts w:ascii="Arial" w:hAnsi="Arial" w:eastAsia="Arial" w:cs="Arial"/>
          <w:b w:val="1"/>
          <w:bCs w:val="1"/>
          <w:sz w:val="32"/>
          <w:szCs w:val="32"/>
        </w:rPr>
      </w:pPr>
    </w:p>
    <w:p w:rsidRPr="009F64B3" w:rsidR="00114199" w:rsidP="1EB49B2D" w:rsidRDefault="00114199" w14:paraId="3D3714C5" w14:textId="328C6B6E">
      <w:pPr>
        <w:pStyle w:val="Normal"/>
        <w:spacing w:line="360" w:lineRule="auto"/>
        <w:rPr>
          <w:rFonts w:ascii="Arial" w:hAnsi="Arial" w:eastAsia="Arial" w:cs="Arial"/>
          <w:b w:val="1"/>
          <w:bCs w:val="1"/>
          <w:sz w:val="32"/>
          <w:szCs w:val="32"/>
        </w:rPr>
      </w:pPr>
    </w:p>
    <w:p w:rsidRPr="009F64B3" w:rsidR="00114199" w:rsidP="1EB49B2D" w:rsidRDefault="00114199" w14:paraId="02957895" w14:textId="655C1EAF">
      <w:pPr>
        <w:pStyle w:val="Normal"/>
        <w:spacing w:line="360" w:lineRule="auto"/>
        <w:rPr>
          <w:rFonts w:ascii="Arial" w:hAnsi="Arial" w:eastAsia="Arial" w:cs="Arial"/>
          <w:b w:val="1"/>
          <w:bCs w:val="1"/>
          <w:sz w:val="32"/>
          <w:szCs w:val="32"/>
        </w:rPr>
      </w:pPr>
    </w:p>
    <w:p w:rsidRPr="009F64B3" w:rsidR="00114199" w:rsidP="1EB49B2D" w:rsidRDefault="00114199" w14:paraId="27960A6D" w14:textId="6F36516C">
      <w:pPr>
        <w:pStyle w:val="Normal"/>
        <w:spacing w:line="360" w:lineRule="auto"/>
        <w:rPr>
          <w:rFonts w:ascii="Arial" w:hAnsi="Arial" w:eastAsia="Arial" w:cs="Arial"/>
          <w:b w:val="1"/>
          <w:bCs w:val="1"/>
          <w:sz w:val="32"/>
          <w:szCs w:val="32"/>
        </w:rPr>
      </w:pPr>
    </w:p>
    <w:p w:rsidRPr="009F64B3" w:rsidR="00114199" w:rsidP="1EB49B2D" w:rsidRDefault="00114199" w14:paraId="0CE8DA00" w14:textId="1F2DF60A">
      <w:pPr>
        <w:pStyle w:val="Normal"/>
        <w:spacing w:line="360" w:lineRule="auto"/>
        <w:rPr>
          <w:rFonts w:ascii="Arial" w:hAnsi="Arial" w:eastAsia="Arial" w:cs="Arial"/>
          <w:b w:val="1"/>
          <w:bCs w:val="1"/>
          <w:sz w:val="32"/>
          <w:szCs w:val="32"/>
        </w:rPr>
      </w:pPr>
    </w:p>
    <w:p w:rsidRPr="009F64B3" w:rsidR="00114199" w:rsidP="1EB49B2D" w:rsidRDefault="00114199" w14:paraId="6CF785EB" w14:textId="214D2354">
      <w:pPr>
        <w:pStyle w:val="Normal"/>
        <w:spacing w:line="360" w:lineRule="auto"/>
        <w:rPr>
          <w:rFonts w:ascii="Arial" w:hAnsi="Arial" w:eastAsia="Arial" w:cs="Arial"/>
          <w:b w:val="1"/>
          <w:bCs w:val="1"/>
          <w:sz w:val="32"/>
          <w:szCs w:val="32"/>
        </w:rPr>
      </w:pPr>
    </w:p>
    <w:p w:rsidRPr="009F64B3" w:rsidR="00114199" w:rsidP="1EB49B2D" w:rsidRDefault="00114199" w14:paraId="31A3B7D8" w14:textId="1CE0CABD">
      <w:pPr>
        <w:pStyle w:val="Normal"/>
        <w:spacing w:line="360" w:lineRule="auto"/>
        <w:rPr>
          <w:rFonts w:ascii="Arial" w:hAnsi="Arial" w:eastAsia="Arial" w:cs="Arial"/>
          <w:b w:val="1"/>
          <w:bCs w:val="1"/>
          <w:sz w:val="32"/>
          <w:szCs w:val="32"/>
        </w:rPr>
      </w:pPr>
    </w:p>
    <w:p w:rsidRPr="009F64B3" w:rsidR="00114199" w:rsidP="1EB49B2D" w:rsidRDefault="00114199" w14:paraId="36B99F9A" w14:textId="1E043E54">
      <w:pPr>
        <w:pStyle w:val="Normal"/>
        <w:spacing w:line="360" w:lineRule="auto"/>
        <w:rPr>
          <w:rFonts w:ascii="Arial" w:hAnsi="Arial" w:eastAsia="Arial" w:cs="Arial"/>
          <w:b w:val="1"/>
          <w:bCs w:val="1"/>
          <w:sz w:val="32"/>
          <w:szCs w:val="32"/>
        </w:rPr>
      </w:pPr>
    </w:p>
    <w:p w:rsidRPr="009F64B3" w:rsidR="00114199" w:rsidP="1EB49B2D" w:rsidRDefault="00114199" w14:paraId="20B63AC8" w14:textId="586A9C16">
      <w:pPr>
        <w:pStyle w:val="Normal"/>
        <w:spacing w:line="360" w:lineRule="auto"/>
        <w:rPr>
          <w:rFonts w:ascii="Arial" w:hAnsi="Arial" w:eastAsia="Arial" w:cs="Arial"/>
          <w:b w:val="1"/>
          <w:bCs w:val="1"/>
          <w:sz w:val="32"/>
          <w:szCs w:val="32"/>
        </w:rPr>
      </w:pPr>
    </w:p>
    <w:p w:rsidRPr="009F64B3" w:rsidR="00114199" w:rsidP="633035F3" w:rsidRDefault="00114199" w14:paraId="6D5E4ED4" w14:textId="55E8B16A">
      <w:pPr>
        <w:pStyle w:val="Normal"/>
        <w:spacing w:line="360" w:lineRule="auto"/>
        <w:rPr>
          <w:rFonts w:ascii="Arial" w:hAnsi="Arial" w:eastAsia="Arial" w:cs="Arial"/>
          <w:b w:val="1"/>
          <w:bCs w:val="1"/>
          <w:sz w:val="32"/>
          <w:szCs w:val="32"/>
        </w:rPr>
      </w:pPr>
      <w:r w:rsidRPr="1EB49B2D" w:rsidR="2055FB1F">
        <w:rPr>
          <w:rFonts w:ascii="Arial" w:hAnsi="Arial" w:eastAsia="Arial" w:cs="Arial"/>
          <w:b w:val="1"/>
          <w:bCs w:val="1"/>
          <w:sz w:val="32"/>
          <w:szCs w:val="32"/>
        </w:rPr>
        <w:t xml:space="preserve">Reference </w:t>
      </w:r>
      <w:r w:rsidRPr="1EB49B2D" w:rsidR="2055FB1F">
        <w:rPr>
          <w:rFonts w:ascii="Arial" w:hAnsi="Arial" w:eastAsia="Arial" w:cs="Arial"/>
          <w:b w:val="1"/>
          <w:bCs w:val="1"/>
          <w:sz w:val="32"/>
          <w:szCs w:val="32"/>
        </w:rPr>
        <w:t>list:</w:t>
      </w:r>
    </w:p>
    <w:p w:rsidR="19EA7150" w:rsidP="633035F3" w:rsidRDefault="19EA7150" w14:paraId="75EE17EE" w14:textId="58868204">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Amabile, T.M. (1996) </w:t>
      </w:r>
      <w:r w:rsidRPr="633035F3" w:rsidR="19EA7150">
        <w:rPr>
          <w:rFonts w:ascii="Arial" w:hAnsi="Arial" w:eastAsia="Arial" w:cs="Arial"/>
          <w:i w:val="1"/>
          <w:iCs w:val="1"/>
          <w:noProof w:val="0"/>
          <w:sz w:val="22"/>
          <w:szCs w:val="22"/>
          <w:lang w:val="en-GB"/>
        </w:rPr>
        <w:t>Creativity in Context: Update to the Social Psychology of Creativity</w:t>
      </w:r>
      <w:r w:rsidRPr="633035F3" w:rsidR="19EA7150">
        <w:rPr>
          <w:rFonts w:ascii="Arial" w:hAnsi="Arial" w:eastAsia="Arial" w:cs="Arial"/>
          <w:noProof w:val="0"/>
          <w:sz w:val="22"/>
          <w:szCs w:val="22"/>
          <w:lang w:val="en-GB"/>
        </w:rPr>
        <w:t>. Boulder, CO: Westview Press.</w:t>
      </w:r>
    </w:p>
    <w:p w:rsidR="19EA7150" w:rsidP="633035F3" w:rsidRDefault="19EA7150" w14:paraId="79D622D8" w14:textId="2C85CC3B">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Bass, B.M. &amp; Avolio, B.J. (1994) </w:t>
      </w:r>
      <w:r w:rsidRPr="633035F3" w:rsidR="19EA7150">
        <w:rPr>
          <w:rFonts w:ascii="Arial" w:hAnsi="Arial" w:eastAsia="Arial" w:cs="Arial"/>
          <w:i w:val="1"/>
          <w:iCs w:val="1"/>
          <w:noProof w:val="0"/>
          <w:sz w:val="22"/>
          <w:szCs w:val="22"/>
          <w:lang w:val="en-GB"/>
        </w:rPr>
        <w:t>Improving organizational effectiveness through transformational leadership</w:t>
      </w:r>
      <w:r w:rsidRPr="633035F3" w:rsidR="19EA7150">
        <w:rPr>
          <w:rFonts w:ascii="Arial" w:hAnsi="Arial" w:eastAsia="Arial" w:cs="Arial"/>
          <w:noProof w:val="0"/>
          <w:sz w:val="22"/>
          <w:szCs w:val="22"/>
          <w:lang w:val="en-GB"/>
        </w:rPr>
        <w:t>. Thousand Oaks, CA: Sage Publications.</w:t>
      </w:r>
    </w:p>
    <w:p w:rsidR="19EA7150" w:rsidP="633035F3" w:rsidRDefault="19EA7150" w14:paraId="2739776B" w14:textId="16F0CFD2">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Buntin, M.B., Burke, M.F., Hoaglin, M.C. &amp; Blumenthal, D. (2011) 'The benefits of health information technology: a review of the recent literature', </w:t>
      </w:r>
      <w:r w:rsidRPr="633035F3" w:rsidR="19EA7150">
        <w:rPr>
          <w:rFonts w:ascii="Arial" w:hAnsi="Arial" w:eastAsia="Arial" w:cs="Arial"/>
          <w:i w:val="1"/>
          <w:iCs w:val="1"/>
          <w:noProof w:val="0"/>
          <w:sz w:val="22"/>
          <w:szCs w:val="22"/>
          <w:lang w:val="en-GB"/>
        </w:rPr>
        <w:t>Health Affairs</w:t>
      </w:r>
      <w:r w:rsidRPr="633035F3" w:rsidR="19EA7150">
        <w:rPr>
          <w:rFonts w:ascii="Arial" w:hAnsi="Arial" w:eastAsia="Arial" w:cs="Arial"/>
          <w:noProof w:val="0"/>
          <w:sz w:val="22"/>
          <w:szCs w:val="22"/>
          <w:lang w:val="en-GB"/>
        </w:rPr>
        <w:t>, 30(3), pp.464–471.</w:t>
      </w:r>
    </w:p>
    <w:p w:rsidR="19EA7150" w:rsidP="633035F3" w:rsidRDefault="19EA7150" w14:paraId="5F5FAD2E" w14:textId="44A62D69">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Burnes, B. (2017) 'Kurt Lewin and the Planned-Approach to Change: A Re-appraisal', </w:t>
      </w:r>
      <w:r w:rsidRPr="633035F3" w:rsidR="19EA7150">
        <w:rPr>
          <w:rFonts w:ascii="Arial" w:hAnsi="Arial" w:eastAsia="Arial" w:cs="Arial"/>
          <w:i w:val="1"/>
          <w:iCs w:val="1"/>
          <w:noProof w:val="0"/>
          <w:sz w:val="22"/>
          <w:szCs w:val="22"/>
          <w:lang w:val="en-GB"/>
        </w:rPr>
        <w:t>Journal of Management History</w:t>
      </w:r>
      <w:r w:rsidRPr="633035F3" w:rsidR="19EA7150">
        <w:rPr>
          <w:rFonts w:ascii="Arial" w:hAnsi="Arial" w:eastAsia="Arial" w:cs="Arial"/>
          <w:noProof w:val="0"/>
          <w:sz w:val="22"/>
          <w:szCs w:val="22"/>
          <w:lang w:val="en-GB"/>
        </w:rPr>
        <w:t>.</w:t>
      </w:r>
    </w:p>
    <w:p w:rsidR="19EA7150" w:rsidP="633035F3" w:rsidRDefault="19EA7150" w14:paraId="33183EBF" w14:textId="2E40C083">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Gibbs, G. (1988) </w:t>
      </w:r>
      <w:r w:rsidRPr="633035F3" w:rsidR="19EA7150">
        <w:rPr>
          <w:rFonts w:ascii="Arial" w:hAnsi="Arial" w:eastAsia="Arial" w:cs="Arial"/>
          <w:i w:val="1"/>
          <w:iCs w:val="1"/>
          <w:noProof w:val="0"/>
          <w:sz w:val="22"/>
          <w:szCs w:val="22"/>
          <w:lang w:val="en-GB"/>
        </w:rPr>
        <w:t>Learning by Doing: A Guide to Teaching and Learning Methods</w:t>
      </w:r>
      <w:r w:rsidRPr="633035F3" w:rsidR="19EA7150">
        <w:rPr>
          <w:rFonts w:ascii="Arial" w:hAnsi="Arial" w:eastAsia="Arial" w:cs="Arial"/>
          <w:noProof w:val="0"/>
          <w:sz w:val="22"/>
          <w:szCs w:val="22"/>
          <w:lang w:val="en-GB"/>
        </w:rPr>
        <w:t>. Oxford: Further Education Unit.</w:t>
      </w:r>
    </w:p>
    <w:p w:rsidR="19EA7150" w:rsidP="633035F3" w:rsidRDefault="19EA7150" w14:paraId="5EE0F161" w14:textId="662F515D">
      <w:pPr>
        <w:pStyle w:val="Normal"/>
        <w:bidi w:val="0"/>
        <w:spacing w:before="240" w:beforeAutospacing="off" w:after="240" w:afterAutospacing="off"/>
        <w:ind w:left="0"/>
        <w:jc w:val="left"/>
      </w:pPr>
      <w:r w:rsidRPr="1EB49B2D" w:rsidR="2055FB1F">
        <w:rPr>
          <w:rFonts w:ascii="Arial" w:hAnsi="Arial" w:eastAsia="Arial" w:cs="Arial"/>
          <w:noProof w:val="0"/>
          <w:sz w:val="22"/>
          <w:szCs w:val="22"/>
          <w:lang w:val="en-GB"/>
        </w:rPr>
        <w:t xml:space="preserve">Guilford, J.P. (1950) 'Creativity', </w:t>
      </w:r>
      <w:r w:rsidRPr="1EB49B2D" w:rsidR="2055FB1F">
        <w:rPr>
          <w:rFonts w:ascii="Arial" w:hAnsi="Arial" w:eastAsia="Arial" w:cs="Arial"/>
          <w:i w:val="1"/>
          <w:iCs w:val="1"/>
          <w:noProof w:val="0"/>
          <w:sz w:val="22"/>
          <w:szCs w:val="22"/>
          <w:lang w:val="en-GB"/>
        </w:rPr>
        <w:t>American Psychologist</w:t>
      </w:r>
      <w:r w:rsidRPr="1EB49B2D" w:rsidR="2055FB1F">
        <w:rPr>
          <w:rFonts w:ascii="Arial" w:hAnsi="Arial" w:eastAsia="Arial" w:cs="Arial"/>
          <w:noProof w:val="0"/>
          <w:sz w:val="22"/>
          <w:szCs w:val="22"/>
          <w:lang w:val="en-GB"/>
        </w:rPr>
        <w:t>, 5(9), pp.444–454.</w:t>
      </w:r>
    </w:p>
    <w:p w:rsidR="19EA7150" w:rsidP="1EB49B2D" w:rsidRDefault="19EA7150" w14:paraId="0DB56CA7" w14:textId="62C2E240">
      <w:pPr>
        <w:bidi w:val="0"/>
        <w:spacing w:before="240" w:beforeAutospacing="off" w:after="240" w:afterAutospacing="off"/>
        <w:ind/>
        <w:jc w:val="left"/>
        <w:rPr>
          <w:rFonts w:ascii="Arial" w:hAnsi="Arial" w:eastAsia="Arial" w:cs="Arial"/>
          <w:noProof w:val="0"/>
          <w:sz w:val="22"/>
          <w:szCs w:val="22"/>
          <w:lang w:val="en-GB"/>
        </w:rPr>
      </w:pPr>
      <w:r w:rsidRPr="1EB49B2D" w:rsidR="49F82587">
        <w:rPr>
          <w:rFonts w:ascii="Arial" w:hAnsi="Arial" w:eastAsia="Arial" w:cs="Arial"/>
          <w:noProof w:val="0"/>
          <w:sz w:val="22"/>
          <w:szCs w:val="22"/>
          <w:lang w:val="en-GB"/>
        </w:rPr>
        <w:t xml:space="preserve">Health Foundation (2020) </w:t>
      </w:r>
      <w:r w:rsidRPr="1EB49B2D" w:rsidR="49F82587">
        <w:rPr>
          <w:rFonts w:ascii="Arial" w:hAnsi="Arial" w:eastAsia="Arial" w:cs="Arial"/>
          <w:i w:val="1"/>
          <w:iCs w:val="1"/>
          <w:noProof w:val="0"/>
          <w:sz w:val="22"/>
          <w:szCs w:val="22"/>
          <w:lang w:val="en-GB"/>
        </w:rPr>
        <w:t>Understanding NHS waiting times</w:t>
      </w:r>
      <w:r w:rsidRPr="1EB49B2D" w:rsidR="49F82587">
        <w:rPr>
          <w:rFonts w:ascii="Arial" w:hAnsi="Arial" w:eastAsia="Arial" w:cs="Arial"/>
          <w:noProof w:val="0"/>
          <w:sz w:val="22"/>
          <w:szCs w:val="22"/>
          <w:lang w:val="en-GB"/>
        </w:rPr>
        <w:t xml:space="preserve">. Available at: </w:t>
      </w:r>
      <w:hyperlink r:id="R896d8151c02d44cf">
        <w:r w:rsidRPr="1EB49B2D" w:rsidR="49F82587">
          <w:rPr>
            <w:rStyle w:val="Hyperlink"/>
            <w:rFonts w:ascii="Arial" w:hAnsi="Arial" w:eastAsia="Arial" w:cs="Arial"/>
            <w:noProof w:val="0"/>
            <w:sz w:val="22"/>
            <w:szCs w:val="22"/>
            <w:lang w:val="en-GB"/>
          </w:rPr>
          <w:t>https://www.health.org.uk/publications/understanding-nhs-waiting-times</w:t>
        </w:r>
      </w:hyperlink>
      <w:r w:rsidRPr="1EB49B2D" w:rsidR="49F82587">
        <w:rPr>
          <w:rFonts w:ascii="Arial" w:hAnsi="Arial" w:eastAsia="Arial" w:cs="Arial"/>
          <w:noProof w:val="0"/>
          <w:sz w:val="22"/>
          <w:szCs w:val="22"/>
          <w:lang w:val="en-GB"/>
        </w:rPr>
        <w:t xml:space="preserve"> (Accessed: 28 July 2026).</w:t>
      </w:r>
    </w:p>
    <w:p w:rsidR="19EA7150" w:rsidP="633035F3" w:rsidRDefault="19EA7150" w14:paraId="2340487C" w14:textId="2CA86882">
      <w:pPr>
        <w:pStyle w:val="Normal"/>
        <w:bidi w:val="0"/>
        <w:spacing w:before="240" w:beforeAutospacing="off" w:after="240" w:afterAutospacing="off"/>
        <w:ind w:left="0"/>
        <w:jc w:val="left"/>
        <w:rPr>
          <w:rFonts w:ascii="Arial" w:hAnsi="Arial" w:eastAsia="Arial" w:cs="Arial"/>
          <w:noProof w:val="0"/>
          <w:sz w:val="22"/>
          <w:szCs w:val="22"/>
          <w:lang w:val="en-GB"/>
        </w:rPr>
      </w:pPr>
      <w:r w:rsidRPr="1EB49B2D" w:rsidR="2055FB1F">
        <w:rPr>
          <w:rFonts w:ascii="Arial" w:hAnsi="Arial" w:eastAsia="Arial" w:cs="Arial"/>
          <w:noProof w:val="0"/>
          <w:sz w:val="22"/>
          <w:szCs w:val="22"/>
          <w:lang w:val="en-GB"/>
        </w:rPr>
        <w:t xml:space="preserve">Kings Fund. (2015) </w:t>
      </w:r>
      <w:r w:rsidRPr="1EB49B2D" w:rsidR="2055FB1F">
        <w:rPr>
          <w:rFonts w:ascii="Arial" w:hAnsi="Arial" w:eastAsia="Arial" w:cs="Arial"/>
          <w:i w:val="1"/>
          <w:iCs w:val="1"/>
          <w:noProof w:val="0"/>
          <w:sz w:val="22"/>
          <w:szCs w:val="22"/>
          <w:lang w:val="en-GB"/>
        </w:rPr>
        <w:t>Leadership and engagement for improvement in the NHS</w:t>
      </w:r>
      <w:r w:rsidRPr="1EB49B2D" w:rsidR="2055FB1F">
        <w:rPr>
          <w:rFonts w:ascii="Arial" w:hAnsi="Arial" w:eastAsia="Arial" w:cs="Arial"/>
          <w:noProof w:val="0"/>
          <w:sz w:val="22"/>
          <w:szCs w:val="22"/>
          <w:lang w:val="en-GB"/>
        </w:rPr>
        <w:t xml:space="preserve">. Available at: </w:t>
      </w:r>
      <w:hyperlink r:id="Rafc02aba0d444310">
        <w:r w:rsidRPr="1EB49B2D" w:rsidR="2055FB1F">
          <w:rPr>
            <w:rStyle w:val="Hyperlink"/>
            <w:noProof w:val="0"/>
            <w:lang w:val="en-GB"/>
          </w:rPr>
          <w:t>https://www.kingsfund.org.uk/publications</w:t>
        </w:r>
      </w:hyperlink>
      <w:r w:rsidRPr="1EB49B2D" w:rsidR="2055FB1F">
        <w:rPr>
          <w:rFonts w:ascii="Arial" w:hAnsi="Arial" w:eastAsia="Arial" w:cs="Arial"/>
          <w:noProof w:val="0"/>
          <w:sz w:val="22"/>
          <w:szCs w:val="22"/>
          <w:lang w:val="en-GB"/>
        </w:rPr>
        <w:t xml:space="preserve"> (Accessed: </w:t>
      </w:r>
      <w:r w:rsidRPr="1EB49B2D" w:rsidR="46C52F41">
        <w:rPr>
          <w:rFonts w:ascii="Arial" w:hAnsi="Arial" w:eastAsia="Arial" w:cs="Arial"/>
          <w:noProof w:val="0"/>
          <w:sz w:val="22"/>
          <w:szCs w:val="22"/>
          <w:lang w:val="en-GB"/>
        </w:rPr>
        <w:t>28</w:t>
      </w:r>
      <w:r w:rsidRPr="1EB49B2D" w:rsidR="2055FB1F">
        <w:rPr>
          <w:rFonts w:ascii="Arial" w:hAnsi="Arial" w:eastAsia="Arial" w:cs="Arial"/>
          <w:noProof w:val="0"/>
          <w:sz w:val="22"/>
          <w:szCs w:val="22"/>
          <w:lang w:val="en-GB"/>
        </w:rPr>
        <w:t xml:space="preserve"> July 2023).</w:t>
      </w:r>
    </w:p>
    <w:p w:rsidR="19EA7150" w:rsidP="633035F3" w:rsidRDefault="19EA7150" w14:paraId="3C304DF4" w14:textId="6F890732">
      <w:pPr>
        <w:pStyle w:val="Normal"/>
        <w:bidi w:val="0"/>
        <w:spacing w:before="240" w:beforeAutospacing="off" w:after="240" w:afterAutospacing="off"/>
        <w:ind w:left="0"/>
        <w:jc w:val="left"/>
      </w:pPr>
      <w:r w:rsidRPr="1EB49B2D" w:rsidR="2055FB1F">
        <w:rPr>
          <w:rFonts w:ascii="Arial" w:hAnsi="Arial" w:eastAsia="Arial" w:cs="Arial"/>
          <w:noProof w:val="0"/>
          <w:sz w:val="22"/>
          <w:szCs w:val="22"/>
          <w:lang w:val="en-GB"/>
        </w:rPr>
        <w:t xml:space="preserve">Maslach, B. &amp; Leiter, M.P. (2016) 'Understanding the burnout experience: recent research and its implications for psychiatry', </w:t>
      </w:r>
      <w:r w:rsidRPr="1EB49B2D" w:rsidR="2055FB1F">
        <w:rPr>
          <w:rFonts w:ascii="Arial" w:hAnsi="Arial" w:eastAsia="Arial" w:cs="Arial"/>
          <w:i w:val="1"/>
          <w:iCs w:val="1"/>
          <w:noProof w:val="0"/>
          <w:sz w:val="22"/>
          <w:szCs w:val="22"/>
          <w:lang w:val="en-GB"/>
        </w:rPr>
        <w:t>World Psychiatry</w:t>
      </w:r>
      <w:r w:rsidRPr="1EB49B2D" w:rsidR="2055FB1F">
        <w:rPr>
          <w:rFonts w:ascii="Arial" w:hAnsi="Arial" w:eastAsia="Arial" w:cs="Arial"/>
          <w:noProof w:val="0"/>
          <w:sz w:val="22"/>
          <w:szCs w:val="22"/>
          <w:lang w:val="en-GB"/>
        </w:rPr>
        <w:t>, 15(2), pp.103–111.</w:t>
      </w:r>
    </w:p>
    <w:p w:rsidR="19EA7150" w:rsidP="1EB49B2D" w:rsidRDefault="19EA7150" w14:paraId="0CFAA2C2" w14:textId="0B9B45AF">
      <w:pPr>
        <w:bidi w:val="0"/>
        <w:spacing w:before="240" w:beforeAutospacing="off" w:after="240" w:afterAutospacing="off"/>
        <w:ind/>
        <w:jc w:val="left"/>
      </w:pPr>
      <w:r w:rsidRPr="1EB49B2D" w:rsidR="110432DB">
        <w:rPr>
          <w:rFonts w:ascii="Arial" w:hAnsi="Arial" w:eastAsia="Arial" w:cs="Arial"/>
          <w:noProof w:val="0"/>
          <w:sz w:val="22"/>
          <w:szCs w:val="22"/>
          <w:lang w:val="en-GB"/>
        </w:rPr>
        <w:t xml:space="preserve">Meadows, D.H. (2008) </w:t>
      </w:r>
      <w:r w:rsidRPr="1EB49B2D" w:rsidR="110432DB">
        <w:rPr>
          <w:rFonts w:ascii="Arial" w:hAnsi="Arial" w:eastAsia="Arial" w:cs="Arial"/>
          <w:i w:val="1"/>
          <w:iCs w:val="1"/>
          <w:noProof w:val="0"/>
          <w:sz w:val="22"/>
          <w:szCs w:val="22"/>
          <w:lang w:val="en-GB"/>
        </w:rPr>
        <w:t>Thinking in Systems: A Primer</w:t>
      </w:r>
      <w:r w:rsidRPr="1EB49B2D" w:rsidR="110432DB">
        <w:rPr>
          <w:rFonts w:ascii="Arial" w:hAnsi="Arial" w:eastAsia="Arial" w:cs="Arial"/>
          <w:noProof w:val="0"/>
          <w:sz w:val="22"/>
          <w:szCs w:val="22"/>
          <w:lang w:val="en-GB"/>
        </w:rPr>
        <w:t>. White River Junction, VT: Chelsea Green Publishing.</w:t>
      </w:r>
    </w:p>
    <w:p w:rsidR="19EA7150" w:rsidP="633035F3" w:rsidRDefault="19EA7150" w14:paraId="491B0101" w14:textId="3AF78F25">
      <w:pPr>
        <w:pStyle w:val="Normal"/>
        <w:bidi w:val="0"/>
        <w:spacing w:before="240" w:beforeAutospacing="off" w:after="240" w:afterAutospacing="off"/>
        <w:ind w:left="0"/>
        <w:jc w:val="left"/>
        <w:rPr>
          <w:rFonts w:ascii="Arial" w:hAnsi="Arial" w:eastAsia="Arial" w:cs="Arial"/>
          <w:noProof w:val="0"/>
          <w:sz w:val="22"/>
          <w:szCs w:val="22"/>
          <w:lang w:val="en-GB"/>
        </w:rPr>
      </w:pPr>
      <w:r w:rsidRPr="1EB49B2D" w:rsidR="2055FB1F">
        <w:rPr>
          <w:rFonts w:ascii="Arial" w:hAnsi="Arial" w:eastAsia="Arial" w:cs="Arial"/>
          <w:noProof w:val="0"/>
          <w:sz w:val="22"/>
          <w:szCs w:val="22"/>
          <w:lang w:val="en-GB"/>
        </w:rPr>
        <w:t xml:space="preserve">Michie, S., van Stralen, M.M. &amp; West, R. (2011) 'The behaviour change wheel: a new method for characterising and designing behaviour change interventions', </w:t>
      </w:r>
      <w:r w:rsidRPr="1EB49B2D" w:rsidR="2055FB1F">
        <w:rPr>
          <w:rFonts w:ascii="Arial" w:hAnsi="Arial" w:eastAsia="Arial" w:cs="Arial"/>
          <w:i w:val="1"/>
          <w:iCs w:val="1"/>
          <w:noProof w:val="0"/>
          <w:sz w:val="22"/>
          <w:szCs w:val="22"/>
          <w:lang w:val="en-GB"/>
        </w:rPr>
        <w:t>Implementation Science</w:t>
      </w:r>
      <w:r w:rsidRPr="1EB49B2D" w:rsidR="2055FB1F">
        <w:rPr>
          <w:rFonts w:ascii="Arial" w:hAnsi="Arial" w:eastAsia="Arial" w:cs="Arial"/>
          <w:noProof w:val="0"/>
          <w:sz w:val="22"/>
          <w:szCs w:val="22"/>
          <w:lang w:val="en-GB"/>
        </w:rPr>
        <w:t>, 6, 42.</w:t>
      </w:r>
    </w:p>
    <w:p w:rsidR="19EA7150" w:rsidP="633035F3" w:rsidRDefault="19EA7150" w14:paraId="246632E1" w14:textId="747717C5">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Moon, J.A. (2013) </w:t>
      </w:r>
      <w:r w:rsidRPr="633035F3" w:rsidR="19EA7150">
        <w:rPr>
          <w:rFonts w:ascii="Arial" w:hAnsi="Arial" w:eastAsia="Arial" w:cs="Arial"/>
          <w:i w:val="1"/>
          <w:iCs w:val="1"/>
          <w:noProof w:val="0"/>
          <w:sz w:val="22"/>
          <w:szCs w:val="22"/>
          <w:lang w:val="en-GB"/>
        </w:rPr>
        <w:t>Reflection and Employability: Reflection on Learning and Lifelong Learning</w:t>
      </w:r>
      <w:r w:rsidRPr="633035F3" w:rsidR="19EA7150">
        <w:rPr>
          <w:rFonts w:ascii="Arial" w:hAnsi="Arial" w:eastAsia="Arial" w:cs="Arial"/>
          <w:noProof w:val="0"/>
          <w:sz w:val="22"/>
          <w:szCs w:val="22"/>
          <w:lang w:val="en-GB"/>
        </w:rPr>
        <w:t>. Abingdon: Routledge.</w:t>
      </w:r>
    </w:p>
    <w:p w:rsidR="19EA7150" w:rsidP="633035F3" w:rsidRDefault="19EA7150" w14:paraId="1ED82DD0" w14:textId="4DB3F7EC">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NICE. (2023) </w:t>
      </w:r>
      <w:r w:rsidRPr="633035F3" w:rsidR="19EA7150">
        <w:rPr>
          <w:rFonts w:ascii="Arial" w:hAnsi="Arial" w:eastAsia="Arial" w:cs="Arial"/>
          <w:i w:val="1"/>
          <w:iCs w:val="1"/>
          <w:noProof w:val="0"/>
          <w:sz w:val="22"/>
          <w:szCs w:val="22"/>
          <w:lang w:val="en-GB"/>
        </w:rPr>
        <w:t>Virtual ward platform technologies for acute respiratory infections: early value assessment</w:t>
      </w:r>
      <w:r w:rsidRPr="633035F3" w:rsidR="19EA7150">
        <w:rPr>
          <w:rFonts w:ascii="Arial" w:hAnsi="Arial" w:eastAsia="Arial" w:cs="Arial"/>
          <w:noProof w:val="0"/>
          <w:sz w:val="22"/>
          <w:szCs w:val="22"/>
          <w:lang w:val="en-GB"/>
        </w:rPr>
        <w:t xml:space="preserve">. Available at: </w:t>
      </w:r>
      <w:hyperlink r:id="Rbdd9a0142b9a485e">
        <w:r w:rsidRPr="633035F3" w:rsidR="19EA7150">
          <w:rPr>
            <w:rStyle w:val="Hyperlink"/>
            <w:noProof w:val="0"/>
            <w:lang w:val="en-GB"/>
          </w:rPr>
          <w:t>https://www.nice.org.uk/guidance</w:t>
        </w:r>
      </w:hyperlink>
      <w:r w:rsidRPr="633035F3" w:rsidR="19EA7150">
        <w:rPr>
          <w:rFonts w:ascii="Arial" w:hAnsi="Arial" w:eastAsia="Arial" w:cs="Arial"/>
          <w:noProof w:val="0"/>
          <w:sz w:val="22"/>
          <w:szCs w:val="22"/>
          <w:lang w:val="en-GB"/>
        </w:rPr>
        <w:t xml:space="preserve"> (Accessed: </w:t>
      </w:r>
      <w:r w:rsidRPr="633035F3" w:rsidR="5B224DD6">
        <w:rPr>
          <w:rFonts w:ascii="Arial" w:hAnsi="Arial" w:eastAsia="Arial" w:cs="Arial"/>
          <w:noProof w:val="0"/>
          <w:sz w:val="22"/>
          <w:szCs w:val="22"/>
          <w:lang w:val="en-GB"/>
        </w:rPr>
        <w:t>28</w:t>
      </w:r>
      <w:r w:rsidRPr="633035F3" w:rsidR="19EA7150">
        <w:rPr>
          <w:rFonts w:ascii="Arial" w:hAnsi="Arial" w:eastAsia="Arial" w:cs="Arial"/>
          <w:noProof w:val="0"/>
          <w:sz w:val="22"/>
          <w:szCs w:val="22"/>
          <w:lang w:val="en-GB"/>
        </w:rPr>
        <w:t xml:space="preserve"> July 2023).</w:t>
      </w:r>
    </w:p>
    <w:p w:rsidR="19EA7150" w:rsidP="633035F3" w:rsidRDefault="19EA7150" w14:paraId="60F4205E" w14:textId="6AE79BF1">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Nijstad, B.A. &amp; Stroebe, W. (2006) 'How the group affects the mind: a cognitive model of idea generation in groups', </w:t>
      </w:r>
      <w:r w:rsidRPr="633035F3" w:rsidR="19EA7150">
        <w:rPr>
          <w:rFonts w:ascii="Arial" w:hAnsi="Arial" w:eastAsia="Arial" w:cs="Arial"/>
          <w:i w:val="1"/>
          <w:iCs w:val="1"/>
          <w:noProof w:val="0"/>
          <w:sz w:val="22"/>
          <w:szCs w:val="22"/>
          <w:lang w:val="en-GB"/>
        </w:rPr>
        <w:t>Personality and Social Psychology Review</w:t>
      </w:r>
      <w:r w:rsidRPr="633035F3" w:rsidR="19EA7150">
        <w:rPr>
          <w:rFonts w:ascii="Arial" w:hAnsi="Arial" w:eastAsia="Arial" w:cs="Arial"/>
          <w:noProof w:val="0"/>
          <w:sz w:val="22"/>
          <w:szCs w:val="22"/>
          <w:lang w:val="en-GB"/>
        </w:rPr>
        <w:t>, 10(3), pp.186–213.</w:t>
      </w:r>
    </w:p>
    <w:p w:rsidR="19EA7150" w:rsidP="633035F3" w:rsidRDefault="19EA7150" w14:paraId="3EE9F14D" w14:textId="4C530FA3">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NHS England. (2024) </w:t>
      </w:r>
      <w:r w:rsidRPr="633035F3" w:rsidR="19EA7150">
        <w:rPr>
          <w:rFonts w:ascii="Arial" w:hAnsi="Arial" w:eastAsia="Arial" w:cs="Arial"/>
          <w:i w:val="1"/>
          <w:iCs w:val="1"/>
          <w:noProof w:val="0"/>
          <w:sz w:val="22"/>
          <w:szCs w:val="22"/>
          <w:lang w:val="en-GB"/>
        </w:rPr>
        <w:t xml:space="preserve">Summary of </w:t>
      </w:r>
      <w:r w:rsidRPr="633035F3" w:rsidR="19EA7150">
        <w:rPr>
          <w:rFonts w:ascii="Arial" w:hAnsi="Arial" w:eastAsia="Arial" w:cs="Arial"/>
          <w:i w:val="1"/>
          <w:iCs w:val="1"/>
          <w:noProof w:val="0"/>
          <w:sz w:val="22"/>
          <w:szCs w:val="22"/>
          <w:lang w:val="en-GB"/>
        </w:rPr>
        <w:t>South East</w:t>
      </w:r>
      <w:r w:rsidRPr="633035F3" w:rsidR="19EA7150">
        <w:rPr>
          <w:rFonts w:ascii="Arial" w:hAnsi="Arial" w:eastAsia="Arial" w:cs="Arial"/>
          <w:i w:val="1"/>
          <w:iCs w:val="1"/>
          <w:noProof w:val="0"/>
          <w:sz w:val="22"/>
          <w:szCs w:val="22"/>
          <w:lang w:val="en-GB"/>
        </w:rPr>
        <w:t xml:space="preserve"> region virtual wards evaluation</w:t>
      </w:r>
      <w:r w:rsidRPr="633035F3" w:rsidR="19EA7150">
        <w:rPr>
          <w:rFonts w:ascii="Arial" w:hAnsi="Arial" w:eastAsia="Arial" w:cs="Arial"/>
          <w:noProof w:val="0"/>
          <w:sz w:val="22"/>
          <w:szCs w:val="22"/>
          <w:lang w:val="en-GB"/>
        </w:rPr>
        <w:t xml:space="preserve">. Available at: </w:t>
      </w:r>
      <w:hyperlink r:id="Rfd6aedc828584ad6">
        <w:r w:rsidRPr="633035F3" w:rsidR="19EA7150">
          <w:rPr>
            <w:rStyle w:val="Hyperlink"/>
            <w:noProof w:val="0"/>
            <w:lang w:val="en-GB"/>
          </w:rPr>
          <w:t>https://www.england.nhs.uk/virtualwards</w:t>
        </w:r>
      </w:hyperlink>
      <w:r w:rsidRPr="633035F3" w:rsidR="19EA7150">
        <w:rPr>
          <w:rFonts w:ascii="Arial" w:hAnsi="Arial" w:eastAsia="Arial" w:cs="Arial"/>
          <w:noProof w:val="0"/>
          <w:sz w:val="22"/>
          <w:szCs w:val="22"/>
          <w:lang w:val="en-GB"/>
        </w:rPr>
        <w:t xml:space="preserve"> (Accessed: </w:t>
      </w:r>
      <w:r w:rsidRPr="633035F3" w:rsidR="5366941C">
        <w:rPr>
          <w:rFonts w:ascii="Arial" w:hAnsi="Arial" w:eastAsia="Arial" w:cs="Arial"/>
          <w:noProof w:val="0"/>
          <w:sz w:val="22"/>
          <w:szCs w:val="22"/>
          <w:lang w:val="en-GB"/>
        </w:rPr>
        <w:t xml:space="preserve">29 </w:t>
      </w:r>
      <w:r w:rsidRPr="633035F3" w:rsidR="19EA7150">
        <w:rPr>
          <w:rFonts w:ascii="Arial" w:hAnsi="Arial" w:eastAsia="Arial" w:cs="Arial"/>
          <w:noProof w:val="0"/>
          <w:sz w:val="22"/>
          <w:szCs w:val="22"/>
          <w:lang w:val="en-GB"/>
        </w:rPr>
        <w:t>July 2023).</w:t>
      </w:r>
    </w:p>
    <w:p w:rsidR="19EA7150" w:rsidP="633035F3" w:rsidRDefault="19EA7150" w14:paraId="39A4373E" w14:textId="48A0735C">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NHS Leadership Academy. (2013) </w:t>
      </w:r>
      <w:r w:rsidRPr="633035F3" w:rsidR="19EA7150">
        <w:rPr>
          <w:rFonts w:ascii="Arial" w:hAnsi="Arial" w:eastAsia="Arial" w:cs="Arial"/>
          <w:i w:val="1"/>
          <w:iCs w:val="1"/>
          <w:noProof w:val="0"/>
          <w:sz w:val="22"/>
          <w:szCs w:val="22"/>
          <w:lang w:val="en-GB"/>
        </w:rPr>
        <w:t>Healthcare Leadership Model 2013: Three dimensions of leadership</w:t>
      </w:r>
      <w:r w:rsidRPr="633035F3" w:rsidR="19EA7150">
        <w:rPr>
          <w:rFonts w:ascii="Arial" w:hAnsi="Arial" w:eastAsia="Arial" w:cs="Arial"/>
          <w:noProof w:val="0"/>
          <w:sz w:val="22"/>
          <w:szCs w:val="22"/>
          <w:lang w:val="en-GB"/>
        </w:rPr>
        <w:t>. London: NHS Leadership Academy.</w:t>
      </w:r>
    </w:p>
    <w:p w:rsidR="19EA7150" w:rsidP="633035F3" w:rsidRDefault="19EA7150" w14:paraId="0F25DE30" w14:textId="124DA216">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Piwek, L., Ellis, D.A., Andrews, S. &amp; Joinson, A. (2016) 'The rise of consumer health wearables: promises and barriers', </w:t>
      </w:r>
      <w:r w:rsidRPr="633035F3" w:rsidR="19EA7150">
        <w:rPr>
          <w:rFonts w:ascii="Arial" w:hAnsi="Arial" w:eastAsia="Arial" w:cs="Arial"/>
          <w:i w:val="1"/>
          <w:iCs w:val="1"/>
          <w:noProof w:val="0"/>
          <w:sz w:val="22"/>
          <w:szCs w:val="22"/>
          <w:lang w:val="en-GB"/>
        </w:rPr>
        <w:t>PLOS Medicine</w:t>
      </w:r>
      <w:r w:rsidRPr="633035F3" w:rsidR="19EA7150">
        <w:rPr>
          <w:rFonts w:ascii="Arial" w:hAnsi="Arial" w:eastAsia="Arial" w:cs="Arial"/>
          <w:noProof w:val="0"/>
          <w:sz w:val="22"/>
          <w:szCs w:val="22"/>
          <w:lang w:val="en-GB"/>
        </w:rPr>
        <w:t>, 13(2), e1001953.</w:t>
      </w:r>
    </w:p>
    <w:p w:rsidR="19EA7150" w:rsidP="633035F3" w:rsidRDefault="19EA7150" w14:paraId="274A34C1" w14:textId="3EA731E7">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Porter, M.E. (2010) 'What is value in health care?', </w:t>
      </w:r>
      <w:r w:rsidRPr="633035F3" w:rsidR="19EA7150">
        <w:rPr>
          <w:rFonts w:ascii="Arial" w:hAnsi="Arial" w:eastAsia="Arial" w:cs="Arial"/>
          <w:i w:val="1"/>
          <w:iCs w:val="1"/>
          <w:noProof w:val="0"/>
          <w:sz w:val="22"/>
          <w:szCs w:val="22"/>
          <w:lang w:val="en-GB"/>
        </w:rPr>
        <w:t>New England Journal of Medicine</w:t>
      </w:r>
      <w:r w:rsidRPr="633035F3" w:rsidR="19EA7150">
        <w:rPr>
          <w:rFonts w:ascii="Arial" w:hAnsi="Arial" w:eastAsia="Arial" w:cs="Arial"/>
          <w:noProof w:val="0"/>
          <w:sz w:val="22"/>
          <w:szCs w:val="22"/>
          <w:lang w:val="en-GB"/>
        </w:rPr>
        <w:t>, 363(26), pp.2477–2481.</w:t>
      </w:r>
    </w:p>
    <w:p w:rsidR="19EA7150" w:rsidP="633035F3" w:rsidRDefault="19EA7150" w14:paraId="0D9A4FC8" w14:textId="6B8DF746">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Rogers, E.M. (2003) </w:t>
      </w:r>
      <w:r w:rsidRPr="633035F3" w:rsidR="19EA7150">
        <w:rPr>
          <w:rFonts w:ascii="Arial" w:hAnsi="Arial" w:eastAsia="Arial" w:cs="Arial"/>
          <w:i w:val="1"/>
          <w:iCs w:val="1"/>
          <w:noProof w:val="0"/>
          <w:sz w:val="22"/>
          <w:szCs w:val="22"/>
          <w:lang w:val="en-GB"/>
        </w:rPr>
        <w:t>Diffusion of Innovations</w:t>
      </w:r>
      <w:r w:rsidRPr="633035F3" w:rsidR="19EA7150">
        <w:rPr>
          <w:rFonts w:ascii="Arial" w:hAnsi="Arial" w:eastAsia="Arial" w:cs="Arial"/>
          <w:noProof w:val="0"/>
          <w:sz w:val="22"/>
          <w:szCs w:val="22"/>
          <w:lang w:val="en-GB"/>
        </w:rPr>
        <w:t>. 5th edn. New York: Free Press.</w:t>
      </w:r>
    </w:p>
    <w:p w:rsidR="19EA7150" w:rsidP="633035F3" w:rsidRDefault="19EA7150" w14:paraId="2B495E6F" w14:textId="3B00237A">
      <w:pPr>
        <w:pStyle w:val="Normal"/>
        <w:bidi w:val="0"/>
        <w:spacing w:before="240" w:beforeAutospacing="off" w:after="240" w:afterAutospacing="off"/>
        <w:ind w:left="0"/>
        <w:jc w:val="left"/>
        <w:rPr>
          <w:rFonts w:ascii="Arial" w:hAnsi="Arial" w:eastAsia="Arial" w:cs="Arial"/>
          <w:noProof w:val="0"/>
          <w:sz w:val="22"/>
          <w:szCs w:val="22"/>
          <w:lang w:val="en-GB"/>
        </w:rPr>
      </w:pPr>
      <w:r w:rsidRPr="633035F3" w:rsidR="19EA7150">
        <w:rPr>
          <w:rFonts w:ascii="Arial" w:hAnsi="Arial" w:eastAsia="Arial" w:cs="Arial"/>
          <w:noProof w:val="0"/>
          <w:sz w:val="22"/>
          <w:szCs w:val="22"/>
          <w:lang w:val="en-GB"/>
        </w:rPr>
        <w:t xml:space="preserve">West, C.P., Dyrbye, L.N. &amp; Shanafelt, T.D. (2018) 'Physician burnout: contributors, consequences and solutions', </w:t>
      </w:r>
      <w:r w:rsidRPr="633035F3" w:rsidR="19EA7150">
        <w:rPr>
          <w:rFonts w:ascii="Arial" w:hAnsi="Arial" w:eastAsia="Arial" w:cs="Arial"/>
          <w:i w:val="1"/>
          <w:iCs w:val="1"/>
          <w:noProof w:val="0"/>
          <w:sz w:val="22"/>
          <w:szCs w:val="22"/>
          <w:lang w:val="en-GB"/>
        </w:rPr>
        <w:t>Journal of Internal Medicine</w:t>
      </w:r>
      <w:r w:rsidRPr="633035F3" w:rsidR="19EA7150">
        <w:rPr>
          <w:rFonts w:ascii="Arial" w:hAnsi="Arial" w:eastAsia="Arial" w:cs="Arial"/>
          <w:noProof w:val="0"/>
          <w:sz w:val="22"/>
          <w:szCs w:val="22"/>
          <w:lang w:val="en-GB"/>
        </w:rPr>
        <w:t>, 283(6), pp.516–529.</w:t>
      </w:r>
    </w:p>
    <w:p w:rsidR="633035F3" w:rsidP="633035F3" w:rsidRDefault="633035F3" w14:paraId="2ED0E50D" w14:textId="41CD4E50">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2"/>
          <w:szCs w:val="22"/>
        </w:rPr>
      </w:pPr>
    </w:p>
    <w:sectPr w:rsidR="00114199">
      <w:pgSz w:w="11906" w:h="16838" w:orient="portrait"/>
      <w:pgMar w:top="720" w:right="720" w:bottom="720" w:left="720" w:header="708" w:footer="708" w:gutter="0"/>
      <w:cols w:space="708"/>
      <w:docGrid w:linePitch="360"/>
      <w:headerReference w:type="default" r:id="R9341d778ac4143b9"/>
      <w:footerReference w:type="default" r:id="R8b4c3f1a71b340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1EB49B2D" w:rsidTr="1EB49B2D" w14:paraId="5EB85651">
      <w:trPr>
        <w:trHeight w:val="300"/>
      </w:trPr>
      <w:tc>
        <w:tcPr>
          <w:tcW w:w="3485" w:type="dxa"/>
          <w:tcMar/>
        </w:tcPr>
        <w:p w:rsidR="1EB49B2D" w:rsidP="1EB49B2D" w:rsidRDefault="1EB49B2D" w14:paraId="58B7F6E6" w14:textId="22837032">
          <w:pPr>
            <w:pStyle w:val="Header"/>
            <w:bidi w:val="0"/>
            <w:ind w:left="-115"/>
            <w:jc w:val="left"/>
          </w:pPr>
        </w:p>
      </w:tc>
      <w:tc>
        <w:tcPr>
          <w:tcW w:w="3485" w:type="dxa"/>
          <w:tcMar/>
        </w:tcPr>
        <w:p w:rsidR="1EB49B2D" w:rsidP="1EB49B2D" w:rsidRDefault="1EB49B2D" w14:paraId="1DC54895" w14:textId="3F7A232E">
          <w:pPr>
            <w:pStyle w:val="Header"/>
            <w:bidi w:val="0"/>
            <w:jc w:val="center"/>
          </w:pPr>
          <w:r>
            <w:fldChar w:fldCharType="begin"/>
          </w:r>
          <w:r>
            <w:instrText xml:space="preserve">PAGE</w:instrText>
          </w:r>
          <w:r>
            <w:fldChar w:fldCharType="separate"/>
          </w:r>
          <w:r>
            <w:fldChar w:fldCharType="end"/>
          </w:r>
        </w:p>
      </w:tc>
      <w:tc>
        <w:tcPr>
          <w:tcW w:w="3485" w:type="dxa"/>
          <w:tcMar/>
        </w:tcPr>
        <w:p w:rsidR="1EB49B2D" w:rsidP="1EB49B2D" w:rsidRDefault="1EB49B2D" w14:paraId="5FFC8E1F" w14:textId="6100F12C">
          <w:pPr>
            <w:pStyle w:val="Header"/>
            <w:bidi w:val="0"/>
            <w:ind w:right="-115"/>
            <w:jc w:val="right"/>
          </w:pPr>
        </w:p>
      </w:tc>
    </w:tr>
  </w:tbl>
  <w:p w:rsidR="1EB49B2D" w:rsidP="1EB49B2D" w:rsidRDefault="1EB49B2D" w14:paraId="78B53F29" w14:textId="0FC30F5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1EB49B2D" w:rsidTr="1EB49B2D" w14:paraId="5E8949A9">
      <w:trPr>
        <w:trHeight w:val="300"/>
      </w:trPr>
      <w:tc>
        <w:tcPr>
          <w:tcW w:w="3485" w:type="dxa"/>
          <w:tcMar/>
        </w:tcPr>
        <w:p w:rsidR="1EB49B2D" w:rsidP="1EB49B2D" w:rsidRDefault="1EB49B2D" w14:paraId="76881758" w14:textId="44515CF2">
          <w:pPr>
            <w:pStyle w:val="Header"/>
            <w:bidi w:val="0"/>
            <w:ind w:left="-115"/>
            <w:jc w:val="left"/>
          </w:pPr>
        </w:p>
      </w:tc>
      <w:tc>
        <w:tcPr>
          <w:tcW w:w="3485" w:type="dxa"/>
          <w:tcMar/>
        </w:tcPr>
        <w:p w:rsidR="1EB49B2D" w:rsidP="1EB49B2D" w:rsidRDefault="1EB49B2D" w14:paraId="2C77E46E" w14:textId="01E14804">
          <w:pPr>
            <w:pStyle w:val="Header"/>
            <w:bidi w:val="0"/>
            <w:jc w:val="center"/>
          </w:pPr>
        </w:p>
      </w:tc>
      <w:tc>
        <w:tcPr>
          <w:tcW w:w="3485" w:type="dxa"/>
          <w:tcMar/>
        </w:tcPr>
        <w:p w:rsidR="1EB49B2D" w:rsidP="1EB49B2D" w:rsidRDefault="1EB49B2D" w14:paraId="21935FF6" w14:textId="26722BE3">
          <w:pPr>
            <w:pStyle w:val="Header"/>
            <w:bidi w:val="0"/>
            <w:ind w:right="-115"/>
            <w:jc w:val="right"/>
          </w:pPr>
        </w:p>
      </w:tc>
    </w:tr>
  </w:tbl>
  <w:p w:rsidR="1EB49B2D" w:rsidP="1EB49B2D" w:rsidRDefault="1EB49B2D" w14:paraId="66A7F8FA" w14:textId="0769DE7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7278e8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5C28E8"/>
    <w:rsid w:val="007472D0"/>
    <w:rsid w:val="00804E06"/>
    <w:rsid w:val="00B44499"/>
    <w:rsid w:val="00B86147"/>
    <w:rsid w:val="00D46920"/>
    <w:rsid w:val="00E831D8"/>
    <w:rsid w:val="0136E0F5"/>
    <w:rsid w:val="0196D85F"/>
    <w:rsid w:val="0262189F"/>
    <w:rsid w:val="027FAFCA"/>
    <w:rsid w:val="030FEA4F"/>
    <w:rsid w:val="045CE40F"/>
    <w:rsid w:val="046379FF"/>
    <w:rsid w:val="04FDFEF9"/>
    <w:rsid w:val="05441ED0"/>
    <w:rsid w:val="05D0522E"/>
    <w:rsid w:val="06BC2225"/>
    <w:rsid w:val="0716FE62"/>
    <w:rsid w:val="072C1D71"/>
    <w:rsid w:val="077EFEED"/>
    <w:rsid w:val="0792E6FE"/>
    <w:rsid w:val="0854F8AE"/>
    <w:rsid w:val="08806BAE"/>
    <w:rsid w:val="094EE6F9"/>
    <w:rsid w:val="0A5FEE9D"/>
    <w:rsid w:val="0A812D0F"/>
    <w:rsid w:val="0C305D74"/>
    <w:rsid w:val="0CD6FEA0"/>
    <w:rsid w:val="0E7A764E"/>
    <w:rsid w:val="0ECEC7A9"/>
    <w:rsid w:val="10AD5760"/>
    <w:rsid w:val="10D0661C"/>
    <w:rsid w:val="110432DB"/>
    <w:rsid w:val="117B9C56"/>
    <w:rsid w:val="11B0F6FB"/>
    <w:rsid w:val="11DF6980"/>
    <w:rsid w:val="131F4503"/>
    <w:rsid w:val="1337DABC"/>
    <w:rsid w:val="134CC067"/>
    <w:rsid w:val="13B7EFAA"/>
    <w:rsid w:val="1529FDA9"/>
    <w:rsid w:val="1554C2A7"/>
    <w:rsid w:val="1579A450"/>
    <w:rsid w:val="16360E14"/>
    <w:rsid w:val="165ED645"/>
    <w:rsid w:val="16F296E6"/>
    <w:rsid w:val="1739D208"/>
    <w:rsid w:val="17D5732C"/>
    <w:rsid w:val="18347F7A"/>
    <w:rsid w:val="186668B5"/>
    <w:rsid w:val="18B0FE53"/>
    <w:rsid w:val="18C6FE18"/>
    <w:rsid w:val="18CCA330"/>
    <w:rsid w:val="196C78C7"/>
    <w:rsid w:val="197EED4E"/>
    <w:rsid w:val="19BAB37C"/>
    <w:rsid w:val="19EA7150"/>
    <w:rsid w:val="1A485B7A"/>
    <w:rsid w:val="1A5585FF"/>
    <w:rsid w:val="1AEA8803"/>
    <w:rsid w:val="1AF7BDC1"/>
    <w:rsid w:val="1B7EA17B"/>
    <w:rsid w:val="1BFE324D"/>
    <w:rsid w:val="1CE3D850"/>
    <w:rsid w:val="1D0FD9C9"/>
    <w:rsid w:val="1D1D9D63"/>
    <w:rsid w:val="1E39E405"/>
    <w:rsid w:val="1EB49B2D"/>
    <w:rsid w:val="1F23DA26"/>
    <w:rsid w:val="1FDA8FF7"/>
    <w:rsid w:val="204EACFF"/>
    <w:rsid w:val="2055FB1F"/>
    <w:rsid w:val="2192A590"/>
    <w:rsid w:val="21C549BB"/>
    <w:rsid w:val="221ADA09"/>
    <w:rsid w:val="229E6FFA"/>
    <w:rsid w:val="24082D48"/>
    <w:rsid w:val="253B0610"/>
    <w:rsid w:val="2640DC43"/>
    <w:rsid w:val="264F8827"/>
    <w:rsid w:val="26AAE08E"/>
    <w:rsid w:val="27820221"/>
    <w:rsid w:val="27C7E740"/>
    <w:rsid w:val="28198A79"/>
    <w:rsid w:val="2826E020"/>
    <w:rsid w:val="28C670B0"/>
    <w:rsid w:val="28F1B9CE"/>
    <w:rsid w:val="296F1938"/>
    <w:rsid w:val="2987D40F"/>
    <w:rsid w:val="29AEEBCC"/>
    <w:rsid w:val="2AA2062E"/>
    <w:rsid w:val="2B1CB599"/>
    <w:rsid w:val="2B1FF8F9"/>
    <w:rsid w:val="2B4EEC34"/>
    <w:rsid w:val="2C03DCEF"/>
    <w:rsid w:val="2C494F5C"/>
    <w:rsid w:val="2C889C4B"/>
    <w:rsid w:val="2D21DB15"/>
    <w:rsid w:val="2D464992"/>
    <w:rsid w:val="2E033204"/>
    <w:rsid w:val="2E6A37C0"/>
    <w:rsid w:val="2E6F0110"/>
    <w:rsid w:val="308E96FD"/>
    <w:rsid w:val="325ABCBC"/>
    <w:rsid w:val="3380943F"/>
    <w:rsid w:val="33F3BB1E"/>
    <w:rsid w:val="354A05D2"/>
    <w:rsid w:val="356630B9"/>
    <w:rsid w:val="35A0D68D"/>
    <w:rsid w:val="368F276A"/>
    <w:rsid w:val="36CC1F30"/>
    <w:rsid w:val="36E12672"/>
    <w:rsid w:val="3966DD75"/>
    <w:rsid w:val="39771442"/>
    <w:rsid w:val="3A05CA4C"/>
    <w:rsid w:val="3AB3B67E"/>
    <w:rsid w:val="3C80EB87"/>
    <w:rsid w:val="3C93AE50"/>
    <w:rsid w:val="3CF76A6F"/>
    <w:rsid w:val="3E03953F"/>
    <w:rsid w:val="3E68B2FB"/>
    <w:rsid w:val="3E7E537A"/>
    <w:rsid w:val="3ED3AFA5"/>
    <w:rsid w:val="3F114C27"/>
    <w:rsid w:val="4004C6D7"/>
    <w:rsid w:val="40A19A06"/>
    <w:rsid w:val="413C7F75"/>
    <w:rsid w:val="41987DDD"/>
    <w:rsid w:val="41B9DB9E"/>
    <w:rsid w:val="42871B56"/>
    <w:rsid w:val="428D312A"/>
    <w:rsid w:val="42C4D12F"/>
    <w:rsid w:val="43D486BA"/>
    <w:rsid w:val="4413164F"/>
    <w:rsid w:val="44E7CD14"/>
    <w:rsid w:val="44FFD744"/>
    <w:rsid w:val="45397B81"/>
    <w:rsid w:val="4593F80F"/>
    <w:rsid w:val="46097C5A"/>
    <w:rsid w:val="4641A0A4"/>
    <w:rsid w:val="4657D96C"/>
    <w:rsid w:val="46C52F41"/>
    <w:rsid w:val="470ED7CA"/>
    <w:rsid w:val="48091F86"/>
    <w:rsid w:val="481E52D1"/>
    <w:rsid w:val="48720988"/>
    <w:rsid w:val="48E81297"/>
    <w:rsid w:val="49C56D07"/>
    <w:rsid w:val="49F82587"/>
    <w:rsid w:val="4A307061"/>
    <w:rsid w:val="4AEA243B"/>
    <w:rsid w:val="4C5B0FB9"/>
    <w:rsid w:val="4E263C69"/>
    <w:rsid w:val="4F60C417"/>
    <w:rsid w:val="4FD0CE93"/>
    <w:rsid w:val="5071A302"/>
    <w:rsid w:val="5080DCD8"/>
    <w:rsid w:val="518D8CE5"/>
    <w:rsid w:val="519A4319"/>
    <w:rsid w:val="525DD675"/>
    <w:rsid w:val="52C41E14"/>
    <w:rsid w:val="5302D204"/>
    <w:rsid w:val="5366941C"/>
    <w:rsid w:val="53DDCF1D"/>
    <w:rsid w:val="549EDFC7"/>
    <w:rsid w:val="54CA1A25"/>
    <w:rsid w:val="5542A9D9"/>
    <w:rsid w:val="554AD225"/>
    <w:rsid w:val="55719EBA"/>
    <w:rsid w:val="55F7CD11"/>
    <w:rsid w:val="56080FF2"/>
    <w:rsid w:val="5609AC7B"/>
    <w:rsid w:val="56389911"/>
    <w:rsid w:val="56A8E8C0"/>
    <w:rsid w:val="56F67E03"/>
    <w:rsid w:val="575F884B"/>
    <w:rsid w:val="578232A7"/>
    <w:rsid w:val="57C47085"/>
    <w:rsid w:val="57DA297D"/>
    <w:rsid w:val="58CCF3A6"/>
    <w:rsid w:val="58DEE473"/>
    <w:rsid w:val="58FC8F22"/>
    <w:rsid w:val="5B224DD6"/>
    <w:rsid w:val="5BDC5307"/>
    <w:rsid w:val="5BEBB8AF"/>
    <w:rsid w:val="5CB01AAB"/>
    <w:rsid w:val="5D90C635"/>
    <w:rsid w:val="608DEDBC"/>
    <w:rsid w:val="60EC4748"/>
    <w:rsid w:val="62791E97"/>
    <w:rsid w:val="62E54AAD"/>
    <w:rsid w:val="633035F3"/>
    <w:rsid w:val="63DE81A6"/>
    <w:rsid w:val="63F1C6AD"/>
    <w:rsid w:val="64A1AF02"/>
    <w:rsid w:val="65EA70C9"/>
    <w:rsid w:val="66972FD8"/>
    <w:rsid w:val="672B3891"/>
    <w:rsid w:val="6746C490"/>
    <w:rsid w:val="684D59EC"/>
    <w:rsid w:val="68ADF863"/>
    <w:rsid w:val="69BA581B"/>
    <w:rsid w:val="6AAE118E"/>
    <w:rsid w:val="6B4451A2"/>
    <w:rsid w:val="6D2E017C"/>
    <w:rsid w:val="6D480D53"/>
    <w:rsid w:val="6D8CA0E9"/>
    <w:rsid w:val="6DB41035"/>
    <w:rsid w:val="6DEE4430"/>
    <w:rsid w:val="705A2679"/>
    <w:rsid w:val="70D77DA6"/>
    <w:rsid w:val="717A1675"/>
    <w:rsid w:val="71F3C52C"/>
    <w:rsid w:val="7331A87D"/>
    <w:rsid w:val="764D870E"/>
    <w:rsid w:val="77425601"/>
    <w:rsid w:val="78A79C5D"/>
    <w:rsid w:val="78A9B8B3"/>
    <w:rsid w:val="7A0439A3"/>
    <w:rsid w:val="7A3879A5"/>
    <w:rsid w:val="7A8900E2"/>
    <w:rsid w:val="7BAD3946"/>
    <w:rsid w:val="7C266F21"/>
    <w:rsid w:val="7C29524C"/>
    <w:rsid w:val="7C8A39EE"/>
    <w:rsid w:val="7CA24B30"/>
    <w:rsid w:val="7CC5D9F6"/>
    <w:rsid w:val="7D213492"/>
    <w:rsid w:val="7D2552FC"/>
    <w:rsid w:val="7D449A92"/>
    <w:rsid w:val="7E2F0016"/>
    <w:rsid w:val="7EA47B40"/>
    <w:rsid w:val="7F6A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4199"/>
    <w:rPr>
      <w:rFonts w:ascii="Aptos" w:hAnsi="Aptos" w:eastAsia="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0B1AFC"/>
  </w:style>
  <w:style w:type="character" w:styleId="Hyperlink">
    <w:uiPriority w:val="99"/>
    <w:name w:val="Hyperlink"/>
    <w:basedOn w:val="DefaultParagraphFont"/>
    <w:unhideWhenUsed/>
    <w:rsid w:val="633035F3"/>
    <w:rPr>
      <w:color w:val="467886"/>
      <w:u w:val="single"/>
    </w:rPr>
  </w:style>
  <w:style w:type="paragraph" w:styleId="Header">
    <w:uiPriority w:val="99"/>
    <w:name w:val="header"/>
    <w:basedOn w:val="Normal"/>
    <w:unhideWhenUsed/>
    <w:rsid w:val="1EB49B2D"/>
    <w:pPr>
      <w:tabs>
        <w:tab w:val="center" w:leader="none" w:pos="4680"/>
        <w:tab w:val="right" w:leader="none" w:pos="9360"/>
      </w:tabs>
      <w:spacing w:after="0" w:line="240" w:lineRule="auto"/>
    </w:pPr>
  </w:style>
  <w:style w:type="paragraph" w:styleId="Footer">
    <w:uiPriority w:val="99"/>
    <w:name w:val="footer"/>
    <w:basedOn w:val="Normal"/>
    <w:unhideWhenUsed/>
    <w:rsid w:val="1EB49B2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hyperlink" Target="https://www.nice.org.uk/guidance" TargetMode="External" Id="Rbdd9a0142b9a485e" /><Relationship Type="http://schemas.openxmlformats.org/officeDocument/2006/relationships/hyperlink" Target="https://www.england.nhs.uk/virtualwards" TargetMode="External" Id="Rfd6aedc828584ad6" /><Relationship Type="http://schemas.openxmlformats.org/officeDocument/2006/relationships/image" Target="/media/image.png" Id="rId1812628698" /><Relationship Type="http://schemas.openxmlformats.org/officeDocument/2006/relationships/hyperlink" Target="https://www.health.org.uk/publications/understanding-nhs-waiting-times" TargetMode="External" Id="R896d8151c02d44cf" /><Relationship Type="http://schemas.openxmlformats.org/officeDocument/2006/relationships/hyperlink" Target="https://www.kingsfund.org.uk/publications" TargetMode="External" Id="Rafc02aba0d444310" /><Relationship Type="http://schemas.openxmlformats.org/officeDocument/2006/relationships/header" Target="header.xml" Id="R9341d778ac4143b9" /><Relationship Type="http://schemas.openxmlformats.org/officeDocument/2006/relationships/footer" Target="footer.xml" Id="R8b4c3f1a71b3408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Alexandra Elena Chiran (2410882)</lastModifiedBy>
  <revision>3</revision>
  <dcterms:created xsi:type="dcterms:W3CDTF">2026-02-17T21:23:00.0000000Z</dcterms:created>
  <dcterms:modified xsi:type="dcterms:W3CDTF">2026-07-30T22:12:36.0218052Z</dcterms:modified>
</coreProperties>
</file>