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 Higgins</w:t>
      </w:r>
    </w:p>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HPPH7010</w:t>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17/12/2020</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Plato’s Account of Knowledge</w:t>
      </w:r>
    </w:p>
    <w:p w:rsidR="00000000" w:rsidDel="00000000" w:rsidP="00000000" w:rsidRDefault="00000000" w:rsidRPr="00000000" w14:paraId="00000006">
      <w:pPr>
        <w:spacing w:line="480" w:lineRule="auto"/>
        <w:jc w:val="center"/>
        <w:rPr>
          <w:u w:val="single"/>
        </w:rPr>
      </w:pPr>
      <w:r w:rsidDel="00000000" w:rsidR="00000000" w:rsidRPr="00000000">
        <w:rPr>
          <w:rtl w:val="0"/>
        </w:rPr>
      </w:r>
    </w:p>
    <w:p w:rsidR="00000000" w:rsidDel="00000000" w:rsidP="00000000" w:rsidRDefault="00000000" w:rsidRPr="00000000" w14:paraId="000000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for centuries, has been an enigma. We know that we have it, and we know that it often escapes defining. That said, it is a valid question when one ponders if there is even a point in defining it, rather than just taking it as it is. I, however, posit that as philosophers, it would be remiss if we did not at least attempt solving the mystery of knowledge. Of the thinkers thus far, I find Plato’s account of knowledge the most cogent, and thus, I will walk us through the steps that he outlines, and defend his position in accordance to my own beliefs and accounts. </w:t>
      </w:r>
    </w:p>
    <w:p w:rsidR="00000000" w:rsidDel="00000000" w:rsidP="00000000" w:rsidRDefault="00000000" w:rsidRPr="00000000" w14:paraId="00000008">
      <w:pPr>
        <w:spacing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To begin, I would like to introduce Catherine Osborne’s interpretation of Heraclitus and how she speaks to the mythological side of the Greeks in the age of the Pre-Socratics and how atheism was also present in her work ‘Heraclitus’ in </w:t>
      </w:r>
      <w:r w:rsidDel="00000000" w:rsidR="00000000" w:rsidRPr="00000000">
        <w:rPr>
          <w:rFonts w:ascii="Times New Roman" w:cs="Times New Roman" w:eastAsia="Times New Roman" w:hAnsi="Times New Roman"/>
          <w:i w:val="1"/>
          <w:sz w:val="24"/>
          <w:szCs w:val="24"/>
          <w:rtl w:val="0"/>
        </w:rPr>
        <w:t xml:space="preserve">From the Beginning to Plato, Routledge History of Philosophy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She explains that the tendency to use mythological thought - the role of the gods and other celestial/deific beings’ will, temper, et cetera - as explanation for environmental changes, and almost everything else that went on around them that they couldn’t see an immediate cause for, was being questioned. The early thinkers and philosophers wanted to begin to formulate a theory that could explain the underlying principles of the world. Even with some philosophers’ desire to keep the gods within said theory, they strive for discerning how to find order despite having a larger mover (the gods and other deific characters) above them. Osborne asserts that the Pre-Socratics believed that even the gods must be ruled and understood rationally. </w:t>
      </w:r>
      <w:r w:rsidDel="00000000" w:rsidR="00000000" w:rsidRPr="00000000">
        <w:rPr>
          <w:rtl w:val="0"/>
        </w:rPr>
      </w:r>
    </w:p>
    <w:p w:rsidR="00000000" w:rsidDel="00000000" w:rsidP="00000000" w:rsidRDefault="00000000" w:rsidRPr="00000000" w14:paraId="000000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believe that even the gods - the highest powers of the universe - were ruled by rationality brought them to the necessary conclusion that the underlying principle must be rational as well. That being said, the hunt for concrete knowledge begins. Rationality and order - not synonymous, but complimentary here because we are defining rationality as in accordance with logic and order as in being arranged in a methodical way (and said methodical way is in accordance with logic) - go hand in hand with knowledge, since order and the knowledge that one can deduce from it, can be categorically logged and utilized for future use, e.g astronomy, and the cycle of the stars and planets; the cycle of the tides; the seasons, and how to prepare for each. Without these bits of cataloged examples, there would be no sense of stability or order. In that vein, chaos produces no knowledge of the present or future (as predication in this case would have no significant backing), but just of the past (which one can argue is only memory and not knowledge at all). Osborne brings to the table an argument </w:t>
      </w:r>
      <w:r w:rsidDel="00000000" w:rsidR="00000000" w:rsidRPr="00000000">
        <w:rPr>
          <w:rFonts w:ascii="Times New Roman" w:cs="Times New Roman" w:eastAsia="Times New Roman" w:hAnsi="Times New Roman"/>
          <w:i w:val="1"/>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the defining of knowledge by describing that the Pre-Socratics believed that even the highest of powers were ruled and understood by it, and thus, it was an unshakable tenet of the universe. This will not only provide a solid base for the necessity and undeniability of both reason and, therefore, knowledge, but will also allow me to segue into why </w:t>
      </w:r>
      <w:r w:rsidDel="00000000" w:rsidR="00000000" w:rsidRPr="00000000">
        <w:rPr>
          <w:rFonts w:ascii="Times New Roman" w:cs="Times New Roman" w:eastAsia="Times New Roman" w:hAnsi="Times New Roman"/>
          <w:i w:val="1"/>
          <w:sz w:val="24"/>
          <w:szCs w:val="24"/>
          <w:rtl w:val="0"/>
        </w:rPr>
        <w:t xml:space="preserve">defining</w:t>
      </w:r>
      <w:r w:rsidDel="00000000" w:rsidR="00000000" w:rsidRPr="00000000">
        <w:rPr>
          <w:rFonts w:ascii="Times New Roman" w:cs="Times New Roman" w:eastAsia="Times New Roman" w:hAnsi="Times New Roman"/>
          <w:sz w:val="24"/>
          <w:szCs w:val="24"/>
          <w:rtl w:val="0"/>
        </w:rPr>
        <w:t xml:space="preserve"> those things would be not only beneficial for unlocking deeper knowledge but also necessary for philosophers to do their job and give an explanation on the truths of the universe, since understanding the basic tenets is a compulsory task before one can delve deeper into the specifics, such as the who, what, where, and why, of the world, rather than the how.  </w:t>
      </w:r>
    </w:p>
    <w:p w:rsidR="00000000" w:rsidDel="00000000" w:rsidP="00000000" w:rsidRDefault="00000000" w:rsidRPr="00000000" w14:paraId="000000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Osborne speaks to a particular Heraclitean theory, which introduces the term ‘logos’ as an account for reason. It seems to me that Heraclitus’ ‘</w:t>
      </w:r>
      <w:r w:rsidDel="00000000" w:rsidR="00000000" w:rsidRPr="00000000">
        <w:rPr>
          <w:rFonts w:ascii="Times New Roman" w:cs="Times New Roman" w:eastAsia="Times New Roman" w:hAnsi="Times New Roman"/>
          <w:i w:val="1"/>
          <w:sz w:val="24"/>
          <w:szCs w:val="24"/>
          <w:rtl w:val="0"/>
        </w:rPr>
        <w:t xml:space="preserve">logos’</w:t>
      </w:r>
      <w:r w:rsidDel="00000000" w:rsidR="00000000" w:rsidRPr="00000000">
        <w:rPr>
          <w:rFonts w:ascii="Times New Roman" w:cs="Times New Roman" w:eastAsia="Times New Roman" w:hAnsi="Times New Roman"/>
          <w:sz w:val="24"/>
          <w:szCs w:val="24"/>
          <w:rtl w:val="0"/>
        </w:rPr>
        <w:t xml:space="preserve"> is the vehicle for which knowledge comes to us, which is a crucial part of the puzzle of actually </w:t>
      </w:r>
      <w:r w:rsidDel="00000000" w:rsidR="00000000" w:rsidRPr="00000000">
        <w:rPr>
          <w:rFonts w:ascii="Times New Roman" w:cs="Times New Roman" w:eastAsia="Times New Roman" w:hAnsi="Times New Roman"/>
          <w:i w:val="1"/>
          <w:sz w:val="24"/>
          <w:szCs w:val="24"/>
          <w:rtl w:val="0"/>
        </w:rPr>
        <w:t xml:space="preserve">defining</w:t>
      </w:r>
      <w:r w:rsidDel="00000000" w:rsidR="00000000" w:rsidRPr="00000000">
        <w:rPr>
          <w:rFonts w:ascii="Times New Roman" w:cs="Times New Roman" w:eastAsia="Times New Roman" w:hAnsi="Times New Roman"/>
          <w:sz w:val="24"/>
          <w:szCs w:val="24"/>
          <w:rtl w:val="0"/>
        </w:rPr>
        <w:t xml:space="preserve"> knowledge. Furthermore, it seems as though Heraclitus’ view of </w:t>
      </w:r>
      <w:r w:rsidDel="00000000" w:rsidR="00000000" w:rsidRPr="00000000">
        <w:rPr>
          <w:rFonts w:ascii="Times New Roman" w:cs="Times New Roman" w:eastAsia="Times New Roman" w:hAnsi="Times New Roman"/>
          <w:i w:val="1"/>
          <w:sz w:val="24"/>
          <w:szCs w:val="24"/>
          <w:rtl w:val="0"/>
        </w:rPr>
        <w:t xml:space="preserve">logos</w:t>
      </w:r>
      <w:r w:rsidDel="00000000" w:rsidR="00000000" w:rsidRPr="00000000">
        <w:rPr>
          <w:rFonts w:ascii="Times New Roman" w:cs="Times New Roman" w:eastAsia="Times New Roman" w:hAnsi="Times New Roman"/>
          <w:sz w:val="24"/>
          <w:szCs w:val="24"/>
          <w:rtl w:val="0"/>
        </w:rPr>
        <w:t xml:space="preserve"> and gaining knowledge is that it is a secret (for lack of a more precise word) that is reserved for a select few. Those who are not amongst said collect few live life as if they are asleep, which brings us to the conclusion that those sleepers are not living life to the fullest extent. One could even go so far as to say those who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understand the </w:t>
      </w:r>
      <w:r w:rsidDel="00000000" w:rsidR="00000000" w:rsidRPr="00000000">
        <w:rPr>
          <w:rFonts w:ascii="Times New Roman" w:cs="Times New Roman" w:eastAsia="Times New Roman" w:hAnsi="Times New Roman"/>
          <w:i w:val="1"/>
          <w:sz w:val="24"/>
          <w:szCs w:val="24"/>
          <w:rtl w:val="0"/>
        </w:rPr>
        <w:t xml:space="preserve">logos</w:t>
      </w:r>
      <w:r w:rsidDel="00000000" w:rsidR="00000000" w:rsidRPr="00000000">
        <w:rPr>
          <w:rFonts w:ascii="Times New Roman" w:cs="Times New Roman" w:eastAsia="Times New Roman" w:hAnsi="Times New Roman"/>
          <w:sz w:val="24"/>
          <w:szCs w:val="24"/>
          <w:rtl w:val="0"/>
        </w:rPr>
        <w:t xml:space="preserve"> are extraordinary (and those who do not are simply ordinary). On this thought, it seems as though Heraclitus is suggesting that the mass majority of the population (the layfolk, the ordinary) will never understand </w:t>
      </w:r>
      <w:r w:rsidDel="00000000" w:rsidR="00000000" w:rsidRPr="00000000">
        <w:rPr>
          <w:rFonts w:ascii="Times New Roman" w:cs="Times New Roman" w:eastAsia="Times New Roman" w:hAnsi="Times New Roman"/>
          <w:i w:val="1"/>
          <w:sz w:val="24"/>
          <w:szCs w:val="24"/>
          <w:rtl w:val="0"/>
        </w:rPr>
        <w:t xml:space="preserve">logos</w:t>
      </w:r>
      <w:r w:rsidDel="00000000" w:rsidR="00000000" w:rsidRPr="00000000">
        <w:rPr>
          <w:rFonts w:ascii="Times New Roman" w:cs="Times New Roman" w:eastAsia="Times New Roman" w:hAnsi="Times New Roman"/>
          <w:sz w:val="24"/>
          <w:szCs w:val="24"/>
          <w:rtl w:val="0"/>
        </w:rPr>
        <w:t xml:space="preserve"> or the absolute truths of the world, and that it is only reserved for the extraordinary, or superior. Heraclitus explains to us the difficulty and - in the end - the reward of understanding and defining knowledge through the pre-defined vehicle for which we get to knowledge: </w:t>
      </w:r>
      <w:r w:rsidDel="00000000" w:rsidR="00000000" w:rsidRPr="00000000">
        <w:rPr>
          <w:rFonts w:ascii="Times New Roman" w:cs="Times New Roman" w:eastAsia="Times New Roman" w:hAnsi="Times New Roman"/>
          <w:i w:val="1"/>
          <w:sz w:val="24"/>
          <w:szCs w:val="24"/>
          <w:rtl w:val="0"/>
        </w:rPr>
        <w:t xml:space="preserve">logos</w:t>
      </w:r>
      <w:r w:rsidDel="00000000" w:rsidR="00000000" w:rsidRPr="00000000">
        <w:rPr>
          <w:rFonts w:ascii="Times New Roman" w:cs="Times New Roman" w:eastAsia="Times New Roman" w:hAnsi="Times New Roman"/>
          <w:sz w:val="24"/>
          <w:szCs w:val="24"/>
          <w:rtl w:val="0"/>
        </w:rPr>
        <w:t xml:space="preserve">. In other words, we’re halfway there. We have the tools, however we’re still lacking the conclusion. </w:t>
      </w:r>
    </w:p>
    <w:p w:rsidR="00000000" w:rsidDel="00000000" w:rsidP="00000000" w:rsidRDefault="00000000" w:rsidRPr="00000000" w14:paraId="000000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me to draw your attention to Nickolas Pappas. In his work, </w:t>
      </w:r>
      <w:r w:rsidDel="00000000" w:rsidR="00000000" w:rsidRPr="00000000">
        <w:rPr>
          <w:rFonts w:ascii="Times New Roman" w:cs="Times New Roman" w:eastAsia="Times New Roman" w:hAnsi="Times New Roman"/>
          <w:i w:val="1"/>
          <w:sz w:val="24"/>
          <w:szCs w:val="24"/>
          <w:rtl w:val="0"/>
        </w:rPr>
        <w:t xml:space="preserve">Plato and the Republic</w:t>
      </w:r>
      <w:r w:rsidDel="00000000" w:rsidR="00000000" w:rsidRPr="00000000">
        <w:rPr>
          <w:rFonts w:ascii="Times New Roman" w:cs="Times New Roman" w:eastAsia="Times New Roman" w:hAnsi="Times New Roman"/>
          <w:i w:val="1"/>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Pappas quite neatly explains Plato’s overarching theme - his response to the Pre-Socratic search for knowledge - as well as how the philosopher adds the necessity of ‘the nature of </w:t>
      </w:r>
      <w:r w:rsidDel="00000000" w:rsidR="00000000" w:rsidRPr="00000000">
        <w:rPr>
          <w:rFonts w:ascii="Times New Roman" w:cs="Times New Roman" w:eastAsia="Times New Roman" w:hAnsi="Times New Roman"/>
          <w:i w:val="1"/>
          <w:sz w:val="24"/>
          <w:szCs w:val="24"/>
          <w:rtl w:val="0"/>
        </w:rPr>
        <w:t xml:space="preserve">being</w:t>
      </w:r>
      <w:r w:rsidDel="00000000" w:rsidR="00000000" w:rsidRPr="00000000">
        <w:rPr>
          <w:rFonts w:ascii="Times New Roman" w:cs="Times New Roman" w:eastAsia="Times New Roman" w:hAnsi="Times New Roman"/>
          <w:sz w:val="24"/>
          <w:szCs w:val="24"/>
          <w:rtl w:val="0"/>
        </w:rPr>
        <w:t xml:space="preserve">’ (his ontology). To pull directly from the text, “Plato interweaves questions of reality with questions of knowledge, on the grounds that each kind of object in the world corresponds with a different kind of human perception of it”</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Pappas states that Plato is unifying multiple philosophical problems and inquiries under one overarching theory - Plato’s Theory of Forms. This theory will provide insight on what Plato believes to be the necessary conditions for his definition of knowledge. The theory of forms is essentially a systematic account of what is real and what we can know, and how to distinguish knowledge and reason from belief and faith. </w:t>
      </w:r>
    </w:p>
    <w:p w:rsidR="00000000" w:rsidDel="00000000" w:rsidP="00000000" w:rsidRDefault="00000000" w:rsidRPr="00000000" w14:paraId="000000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brings us to the crux of the essay - Plato’s Republic. Plato, through the character of Socrates, introduces the idea of the philosopher king, stating that ‘an ideal society’ can only develop under the rule of a philosopher in power. He then goes on to define ‘philosopher’, which he describes as those who desire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knowledge - the </w:t>
      </w:r>
      <w:r w:rsidDel="00000000" w:rsidR="00000000" w:rsidRPr="00000000">
        <w:rPr>
          <w:rFonts w:ascii="Times New Roman" w:cs="Times New Roman" w:eastAsia="Times New Roman" w:hAnsi="Times New Roman"/>
          <w:i w:val="1"/>
          <w:sz w:val="24"/>
          <w:szCs w:val="24"/>
          <w:rtl w:val="0"/>
        </w:rPr>
        <w:t xml:space="preserve">whole </w:t>
      </w:r>
      <w:r w:rsidDel="00000000" w:rsidR="00000000" w:rsidRPr="00000000">
        <w:rPr>
          <w:rFonts w:ascii="Times New Roman" w:cs="Times New Roman" w:eastAsia="Times New Roman" w:hAnsi="Times New Roman"/>
          <w:sz w:val="24"/>
          <w:szCs w:val="24"/>
          <w:rtl w:val="0"/>
        </w:rPr>
        <w:t xml:space="preserve">of it, not simply part. Further, he states they are those who love to see the truth. This may seem like a sidebar, but I submit it specifically to bring light to the similarity in thought between Plato and his predecessor, Heraclitus. Noted above, Heraclitus believes only a certain few can obtain the understanding of </w:t>
      </w:r>
      <w:r w:rsidDel="00000000" w:rsidR="00000000" w:rsidRPr="00000000">
        <w:rPr>
          <w:rFonts w:ascii="Times New Roman" w:cs="Times New Roman" w:eastAsia="Times New Roman" w:hAnsi="Times New Roman"/>
          <w:i w:val="1"/>
          <w:sz w:val="24"/>
          <w:szCs w:val="24"/>
          <w:rtl w:val="0"/>
        </w:rPr>
        <w:t xml:space="preserve">logos. </w:t>
      </w:r>
      <w:r w:rsidDel="00000000" w:rsidR="00000000" w:rsidRPr="00000000">
        <w:rPr>
          <w:rFonts w:ascii="Times New Roman" w:cs="Times New Roman" w:eastAsia="Times New Roman" w:hAnsi="Times New Roman"/>
          <w:sz w:val="24"/>
          <w:szCs w:val="24"/>
          <w:rtl w:val="0"/>
        </w:rPr>
        <w:t xml:space="preserve">My interpretation of this is that the ‘few’ he is referring to are philosophers. Should we accept this premise (for the purpose of my essay, I will be doing just that), we can make the assumption that Heraclitus believes that philosophers are both different and superior to the laypeople - the ordinary. This would both compliment and support Plato’s claim that philosophers - the superior minds - should be ruling and actually have the ability to create an ‘ideal’ society for others.    </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Through the character Socrates, Plato introduces the difference between reality and ‘unreality’. He asserts that things that fully ‘are’ (reality) are knowable, and things that are not fully ‘are’ (unreality) cannot be knowable. Therefore if one has knowledge, then that knowledge must be a knowledge of what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On the contrary, ignorance is in relation to what ‘is not’. Lastly, he claims that what lies between reality and unreality, or knowledge and ignorance, is belief and/or opinion. In this section, Socrates - through Plato - gives us an account of what can be known. While it isn’t a definition, we are at least given further parameters to work with while trying to discern the exact definition of knowledge. </w:t>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Book VI of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i w:val="1"/>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Plato delves deeper into the caveats of belief versus knowledge in action rather than in theory. This takes us back to the lay people versus the philosophers. Plato states that the people who witness a particular form of a universal (say justice) and look no further than to think ‘this is a just action’ or ‘this is an unjust action’, merely have a belief of justice. On the other hand, those who witness a particular form of a universal (utilizing justice, as before) and think ‘this seems to be a just action - so what about it makes it that way?’ can gain knowledge over opinion or belief. These people - referred to as philosophers - concern themselves with not only observing, but </w:t>
      </w:r>
      <w:r w:rsidDel="00000000" w:rsidR="00000000" w:rsidRPr="00000000">
        <w:rPr>
          <w:rFonts w:ascii="Times New Roman" w:cs="Times New Roman" w:eastAsia="Times New Roman" w:hAnsi="Times New Roman"/>
          <w:i w:val="1"/>
          <w:sz w:val="24"/>
          <w:szCs w:val="24"/>
          <w:rtl w:val="0"/>
        </w:rPr>
        <w:t xml:space="preserve">contemplating</w:t>
      </w:r>
      <w:r w:rsidDel="00000000" w:rsidR="00000000" w:rsidRPr="00000000">
        <w:rPr>
          <w:rFonts w:ascii="Times New Roman" w:cs="Times New Roman" w:eastAsia="Times New Roman" w:hAnsi="Times New Roman"/>
          <w:sz w:val="24"/>
          <w:szCs w:val="24"/>
          <w:rtl w:val="0"/>
        </w:rPr>
        <w:t xml:space="preserve"> the universal form of the particular that they witnessed. This section gives us the condition that one must </w:t>
      </w:r>
      <w:r w:rsidDel="00000000" w:rsidR="00000000" w:rsidRPr="00000000">
        <w:rPr>
          <w:rFonts w:ascii="Times New Roman" w:cs="Times New Roman" w:eastAsia="Times New Roman" w:hAnsi="Times New Roman"/>
          <w:i w:val="1"/>
          <w:sz w:val="24"/>
          <w:szCs w:val="24"/>
          <w:rtl w:val="0"/>
        </w:rPr>
        <w:t xml:space="preserve">contemplate </w:t>
      </w:r>
      <w:r w:rsidDel="00000000" w:rsidR="00000000" w:rsidRPr="00000000">
        <w:rPr>
          <w:rFonts w:ascii="Times New Roman" w:cs="Times New Roman" w:eastAsia="Times New Roman" w:hAnsi="Times New Roman"/>
          <w:sz w:val="24"/>
          <w:szCs w:val="24"/>
          <w:rtl w:val="0"/>
        </w:rPr>
        <w:t xml:space="preserve">the forms in order to gain any knowledge from them. Plato leaves this act to the philosophers, who, he says, are ‘those whose hearts are fixed on the true being of each thing’</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Belief is reliant on the particular, while knowledge is based on the universal. Here, Plato gives us his definition of what knowledge is. Knowledge is the contemplation of a universal. </w:t>
      </w:r>
    </w:p>
    <w:p w:rsidR="00000000" w:rsidDel="00000000" w:rsidP="00000000" w:rsidRDefault="00000000" w:rsidRPr="00000000" w14:paraId="000000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Plato decides that this is a job solely for philosophers, he uses a discussion between Socrates and Glaucon to decide what a philosopher is and how to differentiate them from non-philosophers, since being a philosopher is now a criterion for the ascertainment of knowledge. Pulling from the text, “the latter [non-philosophers] have no clear model in their souls”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This line is referring to forms. Using the example of ‘good’, the non-philosopher has no model (the true form, or the universal) of good, so they can not establish which of the particulars would also be considered good. Socrates (henceforth, I will not be making reference to Plato as the writer, though note that it is he and not Socrates who is forming these ideas) uses the example of an artist. How could a painter ever paint a picture of a proper tree (particular) without a model in mind (the form). Furthermore, Socrates presses the importance of philosophers and their job of the preservation of knowledge (of the universal forms) because if such is lost or forgotten, then we would no longer have knowledge on what is good, what is beautiful, what is just, and we will simply be opining with no reference. This section of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sz w:val="24"/>
          <w:szCs w:val="24"/>
          <w:rtl w:val="0"/>
        </w:rPr>
        <w:t xml:space="preserve"> offers a strong response to the question ‘Is there a point in defining knowledge?’. According to Plato (and Socrates), it is not only preferable, but </w:t>
      </w:r>
      <w:r w:rsidDel="00000000" w:rsidR="00000000" w:rsidRPr="00000000">
        <w:rPr>
          <w:rFonts w:ascii="Times New Roman" w:cs="Times New Roman" w:eastAsia="Times New Roman" w:hAnsi="Times New Roman"/>
          <w:i w:val="1"/>
          <w:sz w:val="24"/>
          <w:szCs w:val="24"/>
          <w:rtl w:val="0"/>
        </w:rPr>
        <w:t xml:space="preserve">necessary</w:t>
      </w:r>
      <w:r w:rsidDel="00000000" w:rsidR="00000000" w:rsidRPr="00000000">
        <w:rPr>
          <w:rFonts w:ascii="Times New Roman" w:cs="Times New Roman" w:eastAsia="Times New Roman" w:hAnsi="Times New Roman"/>
          <w:sz w:val="24"/>
          <w:szCs w:val="24"/>
          <w:rtl w:val="0"/>
        </w:rPr>
        <w:t xml:space="preserve"> to define knowledge, because without it - without a reference to the universal forms of good, just, beauty, love - we would be doing no better than guessing without proper justification. To put it succinctly, we must have a definition of knowledge, so knowledge can be gained, for, without knowledge (which is only available to us when we have a proper definition) we will lose all connection to the forms. In my reading of this source, I pull from Plato this (subjective) conclusion - knowledge offers us order, whereas lack of knowledge (ignorance) will bring us to chaos. In a world with no definition or condition of knowledge, not only do we lose any reference to, in essence, everything, but, if Heraclitus is correct in the assumption that the world must be understood through rationality, then we no longer have the faculties to understand the world - which would throw us back into the realm of relying on mythological explanations. Essentially, having no definition of knowledge would literally throw us back into the dark ages.</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Socrates adds onto what is already compiled, another caveat of knowledge and how to gain it. He brings up the idea of ‘the nature’ of a person. In this example, he uses the descriptions ‘slavish’ and ‘cowardly’ versus the nature of a true philosopher, which would elementally be the exact opposite, or, in his words, ‘orderly’. He makes the claim that slavish and cowardly people, who are obsessed with life and gaining as much material pleasures in their mortal lives as they can, could have no part in true philosophy, because rather than being guided by a desire for knowledge, they are guided by a desire for worldly things that can offer no hints of the Forms by themselves. To make the distinction between the slavish and the true philosophers, Socrates ponders the fear of death. In the dialogue, he and Glaucon use the example of love.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His logic follows as so:  if a man is inclined, by nature, to love his partner, he will certainly love everything that encompasses his partner. Likewise, if a man, by nature, is inclined to a philosophical path, he will love not only wisdom, but everything which encompasses wisdom - which must invariably involve death. In this vein, Socrates wonders if, then, a philosopher ought to love all that is life (which, indeed, involves death), would he then be afraid of death? Glaucon’s answer is an astounding no, which brings both to the conclusion that true philosophers would have no fear of death. I quite like this passage. The nature of one’s soul is in complete control over whether or not you will become truly philosophical and, therefore, eligible to gain the knowledge of the universe. When put plainly that way, it seems to be in the vein of defeatism for those who are enslaved to being slavish and cowardly, because how can one change the nature of one’s soul? That would be almost synonymous with trying to change the family to whom you’ve been born into. Such things are not in your control. Of course, it would only seem defeatist to those knowledgeable enough to discern slavish from philosophical, so in a way, those who are slavish are ignorant to the fact that they are born into defeatism. Ignorance is bliss, to the fullest extent. Still, this claim that Plato gives us outlines a grim but logically valid (because perhaps soundness can never be discovered for it) criterion for the discovery of knowledge. A criterion we have no control over. To pull from his logically built argument, I believe I can safely pull yet another criterion. Taking from the lover example: if a man loves his partner by nature, he will certainly love </w:t>
      </w:r>
      <w:r w:rsidDel="00000000" w:rsidR="00000000" w:rsidRPr="00000000">
        <w:rPr>
          <w:rFonts w:ascii="Times New Roman" w:cs="Times New Roman" w:eastAsia="Times New Roman" w:hAnsi="Times New Roman"/>
          <w:i w:val="1"/>
          <w:sz w:val="24"/>
          <w:szCs w:val="24"/>
          <w:rtl w:val="0"/>
        </w:rPr>
        <w:t xml:space="preserve">everything </w:t>
      </w:r>
      <w:r w:rsidDel="00000000" w:rsidR="00000000" w:rsidRPr="00000000">
        <w:rPr>
          <w:rFonts w:ascii="Times New Roman" w:cs="Times New Roman" w:eastAsia="Times New Roman" w:hAnsi="Times New Roman"/>
          <w:sz w:val="24"/>
          <w:szCs w:val="24"/>
          <w:rtl w:val="0"/>
        </w:rPr>
        <w:t xml:space="preserve">about the partner. This will be premise one. Socrates then states: if man loves his partner by nature, he cannot also love the absence of his partner (using a philosopher cannot both love wisdom and falsehood simultaneously). This will be premise two. Premise three would be that man does indeed love partner, which would bring us to this conclusion: Man cannot love the absence of his partner. Translating from ‘love of partner’ to ‘love of wisdom’, we can deduce that a philosophical nature cannot love, and in fact, will </w:t>
      </w:r>
      <w:r w:rsidDel="00000000" w:rsidR="00000000" w:rsidRPr="00000000">
        <w:rPr>
          <w:rFonts w:ascii="Times New Roman" w:cs="Times New Roman" w:eastAsia="Times New Roman" w:hAnsi="Times New Roman"/>
          <w:i w:val="1"/>
          <w:sz w:val="24"/>
          <w:szCs w:val="24"/>
          <w:rtl w:val="0"/>
        </w:rPr>
        <w:t xml:space="preserve">fear</w:t>
      </w:r>
      <w:r w:rsidDel="00000000" w:rsidR="00000000" w:rsidRPr="00000000">
        <w:rPr>
          <w:rFonts w:ascii="Times New Roman" w:cs="Times New Roman" w:eastAsia="Times New Roman" w:hAnsi="Times New Roman"/>
          <w:sz w:val="24"/>
          <w:szCs w:val="24"/>
          <w:rtl w:val="0"/>
        </w:rPr>
        <w:t xml:space="preserve">, ignorance (which we know is the absence of wisdom). Thus, fear of ignorance would be yet another criterion, though not explicitly stated (though touched upon in 490b). </w:t>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Plato gives us an example of how one would go about contemplating a Form in Book VI, 507e - 510. In this section, Socrates and Glaucon are using similes to discuss the Form of Good. Socrates is using the simile ‘sun’ to represent ‘universal Good’. The elements of this simile are the light from the sun, the eye, and the sight that the combination of both offer us. Without the light of the sun (or the sun itself), we cannot have sight. Likewise, without eyes, we cannot have sight. Eyes, however, is a particular and a vessel. The sun is a universal, and the cause. If we had just eyes, we would still have no sight because of lack of light. The sun is necessary, and its light can only be viewed through the eyes - what Socrates describes as ‘the most sunlike of the senses’. Socrates says, “and it [the eye] receives from the sun the power it has, just like an influx from an overflowing treasury”</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He further describes the power of the sun in this simile. He states that the sun is not only responsible for granting the eye the power to see the visible, but is also responsible for the growth, nourishment, and ‘coming to be’, of the eye. Though this is the case, however, the sun itself is not ‘coming to be’ because the sun is already in a state of superiority and perfection. Translating this to the Form ‘Good’, Socrates claims that not only do knowledgeable things owe their existence to the Good, but they also are nourished and grow by the nurturing of the Good. And like the sun, the Good is already in a state of superiority and perfection - it does not have to grow or ‘come to be’, as the Good is not actively ‘being’. This section tells us how one can theoretically find the forms and lays out the structure of the universal forms and how (even if they are not fully conceivable) one can still draw from them the stepping stones that can bring them closer to Truth and knowledge. </w:t>
      </w:r>
      <w:r w:rsidDel="00000000" w:rsidR="00000000" w:rsidRPr="00000000">
        <w:rPr>
          <w:rFonts w:ascii="Times New Roman" w:cs="Times New Roman" w:eastAsia="Times New Roman" w:hAnsi="Times New Roman"/>
          <w:color w:val="980000"/>
          <w:sz w:val="24"/>
          <w:szCs w:val="24"/>
          <w:rtl w:val="0"/>
        </w:rPr>
        <w:t xml:space="preserve">   </w:t>
      </w:r>
      <w:r w:rsidDel="00000000" w:rsidR="00000000" w:rsidRPr="00000000">
        <w:rPr>
          <w:rtl w:val="0"/>
        </w:rPr>
      </w:r>
    </w:p>
    <w:p w:rsidR="00000000" w:rsidDel="00000000" w:rsidP="00000000" w:rsidRDefault="00000000" w:rsidRPr="00000000" w14:paraId="000000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all of Plato’s works and criteria in mind, allow me to introduce Frederick Copleston and his </w:t>
      </w:r>
      <w:r w:rsidDel="00000000" w:rsidR="00000000" w:rsidRPr="00000000">
        <w:rPr>
          <w:rFonts w:ascii="Times New Roman" w:cs="Times New Roman" w:eastAsia="Times New Roman" w:hAnsi="Times New Roman"/>
          <w:i w:val="1"/>
          <w:sz w:val="24"/>
          <w:szCs w:val="24"/>
          <w:rtl w:val="0"/>
        </w:rPr>
        <w:t xml:space="preserve">History of Philosophy, Vol I: Greece and Rome</w:t>
      </w:r>
      <w:r w:rsidDel="00000000" w:rsidR="00000000" w:rsidRPr="00000000">
        <w:rPr>
          <w:rFonts w:ascii="Times New Roman" w:cs="Times New Roman" w:eastAsia="Times New Roman" w:hAnsi="Times New Roman"/>
          <w:i w:val="1"/>
          <w:sz w:val="24"/>
          <w:szCs w:val="24"/>
          <w:vertAlign w:val="superscript"/>
        </w:rPr>
        <w:footnoteReference w:customMarkFollows="0" w:id="8"/>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Copleston gives a summary of Plato’s cumulative journey with knowledge and his epistemology. He prefaces that Plato treats ontology and epistemology as equal and dependent (though he specifically uses the Latin </w:t>
      </w:r>
      <w:r w:rsidDel="00000000" w:rsidR="00000000" w:rsidRPr="00000000">
        <w:rPr>
          <w:rFonts w:ascii="Times New Roman" w:cs="Times New Roman" w:eastAsia="Times New Roman" w:hAnsi="Times New Roman"/>
          <w:i w:val="1"/>
          <w:sz w:val="24"/>
          <w:szCs w:val="24"/>
          <w:rtl w:val="0"/>
        </w:rPr>
        <w:t xml:space="preserve">pari passu</w:t>
      </w:r>
      <w:r w:rsidDel="00000000" w:rsidR="00000000" w:rsidRPr="00000000">
        <w:rPr>
          <w:rFonts w:ascii="Times New Roman" w:cs="Times New Roman" w:eastAsia="Times New Roman" w:hAnsi="Times New Roman"/>
          <w:sz w:val="24"/>
          <w:szCs w:val="24"/>
          <w:rtl w:val="0"/>
        </w:rPr>
        <w:t xml:space="preserve">, which I believe is relevant). He brings us through the dialogue </w:t>
      </w:r>
      <w:r w:rsidDel="00000000" w:rsidR="00000000" w:rsidRPr="00000000">
        <w:rPr>
          <w:rFonts w:ascii="Times New Roman" w:cs="Times New Roman" w:eastAsia="Times New Roman" w:hAnsi="Times New Roman"/>
          <w:i w:val="1"/>
          <w:sz w:val="24"/>
          <w:szCs w:val="24"/>
          <w:rtl w:val="0"/>
        </w:rPr>
        <w:t xml:space="preserve">Theaetetus</w:t>
      </w:r>
      <w:r w:rsidDel="00000000" w:rsidR="00000000" w:rsidRPr="00000000">
        <w:rPr>
          <w:rFonts w:ascii="Times New Roman" w:cs="Times New Roman" w:eastAsia="Times New Roman" w:hAnsi="Times New Roman"/>
          <w:sz w:val="24"/>
          <w:szCs w:val="24"/>
          <w:rtl w:val="0"/>
        </w:rPr>
        <w:t xml:space="preserve">, first, which chronologically comes after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sz w:val="24"/>
          <w:szCs w:val="24"/>
          <w:rtl w:val="0"/>
        </w:rPr>
        <w:t xml:space="preserve">, though Copleston does this on purpose, as he says that there are presuppositions in the former that Plato uses to supplement that latter. In this, Copleston claims that Plato uses Heraclitean ontology of </w:t>
      </w:r>
      <w:r w:rsidDel="00000000" w:rsidR="00000000" w:rsidRPr="00000000">
        <w:rPr>
          <w:rFonts w:ascii="Times New Roman" w:cs="Times New Roman" w:eastAsia="Times New Roman" w:hAnsi="Times New Roman"/>
          <w:i w:val="1"/>
          <w:sz w:val="24"/>
          <w:szCs w:val="24"/>
          <w:rtl w:val="0"/>
        </w:rPr>
        <w:t xml:space="preserve">arche</w:t>
      </w:r>
      <w:r w:rsidDel="00000000" w:rsidR="00000000" w:rsidRPr="00000000">
        <w:rPr>
          <w:rFonts w:ascii="Times New Roman" w:cs="Times New Roman" w:eastAsia="Times New Roman" w:hAnsi="Times New Roman"/>
          <w:sz w:val="24"/>
          <w:szCs w:val="24"/>
          <w:rtl w:val="0"/>
        </w:rPr>
        <w:t xml:space="preserve"> (and therefore, monism) and critiques Protagorean epistemology of relativism and the theory that everyone is always correct in discerning what is true as a ‘theory of knowledge’. To put it bluntly, Plato says knowledge is, by definition, infallible and what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and sense-perception of humans cannot be either of those things. </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Theaetetus enters the conversation, Socrates asks him what knowledge is. In this discussion, Socrates leans more in the epistemological realm, as he does not want to know what knowledge is contained of, but what knowledge </w:t>
      </w:r>
      <w:r w:rsidDel="00000000" w:rsidR="00000000" w:rsidRPr="00000000">
        <w:rPr>
          <w:rFonts w:ascii="Times New Roman" w:cs="Times New Roman" w:eastAsia="Times New Roman" w:hAnsi="Times New Roman"/>
          <w:i w:val="1"/>
          <w:sz w:val="24"/>
          <w:szCs w:val="24"/>
          <w:rtl w:val="0"/>
        </w:rPr>
        <w:t xml:space="preserve">itself</w:t>
      </w:r>
      <w:r w:rsidDel="00000000" w:rsidR="00000000" w:rsidRPr="00000000">
        <w:rPr>
          <w:rFonts w:ascii="Times New Roman" w:cs="Times New Roman" w:eastAsia="Times New Roman" w:hAnsi="Times New Roman"/>
          <w:sz w:val="24"/>
          <w:szCs w:val="24"/>
          <w:rtl w:val="0"/>
        </w:rPr>
        <w:t xml:space="preserve"> is. Copleston points out that on the surface, it may seem solely epistemological, however, one must remember that for Plato, ontology and epistemology go hand in hand necessarily, so while they are discussing the latter, the former must be kept in mind. After further discussion, it is agreed upon between Socrates and Theaetetus that knowledge cannot be perception if the world is always in flux, since knowing A at one moment, and then knowing it will be changing, cannot know A in the future, we cannot truly know A. Thus, sense-perception by itself, cannot be the whole of knowledge. In order to be complete, sense-perception must be joined by intellectual reflection. Copleston clarifies by claiming Plato, who is firm in his belief that the knowable (and The Forms) are infallible and unchanging, takes from that belief that sense-objects - those things that we see and perceive through our senses, therefore, cannot possibly offer insight on True knowledge alone, since said objects are, by nature, fallible and in constant flux. Through process of elimination, the philosophers discover that to have true knowledge of something, it must fully be encompassed, possessing nothing beyond the definition of the object, otherwise, said definition would not be the true definition. Finally, Copleston leads us to Socrates’ conclusion of the Universal Forms, which is unchanging, whether or not the particular object is in flux or not. He uses the example of the Athenian Constitution. He says perhaps today it is good, but suppose tomorrow new laws are added and it is no longer good but bad. The particular - the constitution - has been in flux and has changed, but the Universal Form it used to encompass (Good) does not change, because in its change the constitution lost said characteristic in favor of ‘bad’.</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Copleston’s interpretation of Plato’s dialogue in </w:t>
      </w:r>
      <w:r w:rsidDel="00000000" w:rsidR="00000000" w:rsidRPr="00000000">
        <w:rPr>
          <w:rFonts w:ascii="Times New Roman" w:cs="Times New Roman" w:eastAsia="Times New Roman" w:hAnsi="Times New Roman"/>
          <w:i w:val="1"/>
          <w:sz w:val="24"/>
          <w:szCs w:val="24"/>
          <w:rtl w:val="0"/>
        </w:rPr>
        <w:t xml:space="preserve">Theaetetus </w:t>
      </w:r>
      <w:r w:rsidDel="00000000" w:rsidR="00000000" w:rsidRPr="00000000">
        <w:rPr>
          <w:rFonts w:ascii="Times New Roman" w:cs="Times New Roman" w:eastAsia="Times New Roman" w:hAnsi="Times New Roman"/>
          <w:sz w:val="24"/>
          <w:szCs w:val="24"/>
          <w:rtl w:val="0"/>
        </w:rPr>
        <w:t xml:space="preserve">will serve as the counterargument and then the defense. First off, noting Copleston’s claim that ontology and epistemology for Plato, is </w:t>
      </w:r>
      <w:r w:rsidDel="00000000" w:rsidR="00000000" w:rsidRPr="00000000">
        <w:rPr>
          <w:rFonts w:ascii="Times New Roman" w:cs="Times New Roman" w:eastAsia="Times New Roman" w:hAnsi="Times New Roman"/>
          <w:i w:val="1"/>
          <w:sz w:val="24"/>
          <w:szCs w:val="24"/>
          <w:rtl w:val="0"/>
        </w:rPr>
        <w:t xml:space="preserve">pari passu</w:t>
      </w:r>
      <w:r w:rsidDel="00000000" w:rsidR="00000000" w:rsidRPr="00000000">
        <w:rPr>
          <w:rFonts w:ascii="Times New Roman" w:cs="Times New Roman" w:eastAsia="Times New Roman" w:hAnsi="Times New Roman"/>
          <w:sz w:val="24"/>
          <w:szCs w:val="24"/>
          <w:rtl w:val="0"/>
        </w:rPr>
        <w:t xml:space="preserve">, suggesting that the former and the latter are both of great significance and that the study of being and the study of knowledge must be determined together and will not stand without the help of one another. This is backed by Plato’s conviction that an object </w:t>
      </w:r>
      <w:r w:rsidDel="00000000" w:rsidR="00000000" w:rsidRPr="00000000">
        <w:rPr>
          <w:rFonts w:ascii="Times New Roman" w:cs="Times New Roman" w:eastAsia="Times New Roman" w:hAnsi="Times New Roman"/>
          <w:i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‘be’, or ‘be real’, in order to gain True knowledge of it. Without realness, we cannot have knowledge - ‘two sides of the same coin’, one could say. With the help of Theaetetus, Socrates effectively disproves Heraclitus’ ontological theory and Protagoras’ epistemological theory when they stand alone, which Copleston believes is a necessary presupposition in order to make sense of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sz w:val="24"/>
          <w:szCs w:val="24"/>
          <w:rtl w:val="0"/>
        </w:rPr>
        <w:t xml:space="preserve"> and the further study of knowledge and the Universal Forms. Copleston finally gives Socrates’ final thoughts in a concise fashion, using the latter’s example of the Athenian Constitution. I quite like this example for its simplicity, but also for its validity. The way I make sense of it is this: say there is a seesaw. One side of the seesaw is positive, and the other side is negative. For this example, I’ll replace ‘positive’ with ‘good’ and negative with ‘bad’ (thought the choice of Form is interchangeable by the nature of the example). We then add to this mix a sensible object. I will use the Athenian Constitution, and it will start in the middle of the seesaw, in neutral. As is, it follows the example and thus has the characteristics of Good, therefore, said sensible object will move closer to the Good side of the seesaw, the closer it comes to perfection, the more Good will dip with its weight. But, like Socrates poses, laws are changeable and suddenly constitutions can begin to lack the qualities of Good, which make the object move back to the center of the seesaw and then, if the new laws are deemed to have bad qualities or characteristics, it will begin to slide closer to the bad side, lifting good back up and making bad dip. In this example, the qualities of Good do not change. Not only that, but the measure of the weight of Good characteristics is not only available to the constitution, but to every sensible object. But then, adding another layer, just because a sensible object has weight in the Form of the Good, does not mean it cannot simultaneously have weight in other Forms, such as Beauty and Justice. My interpretation of Plato’s Forms through the elucidation given by Copleston, is that each universal Form is perfection and each particular is on a sliding scale of said Forms. Form on one side and anti-Form on the other, with the idea that if the Form side should ever dip low enough to touch the ground, the particular that is weighing it down is also perfect. Of course, that can never be, but theoretically, I believe the example is accurate.      </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conclude this essay, I will restate my arguments for clarification. The debate of knowledge has been waged at least since the Pre-Socratics, and is still being waged today. To think that there is no use in trying to ascertain a definition is a position for the laypeople, for those who don’t concern themselves in philosophical pursuits. But for the few who dedicate their lives to the toil of philosophy, it would be an absolute folly to not give a definition to that which they are trying to gain - knowledge! I believe that Plato’s Theory of Forms is the most cogent of the definitions I have come across thus far, because there is a simplicity in the caveats once one has a grasp of Plato’s works. What we see around us in imperfection. But how can we know that it is imperfect if we do not have an instinctual notion that somewhere, the perfect does exist. Progress is the nature of human beings. We begin at a crawl, but then we slowly begin to perfect our ability of transportation by walking, and then running. If there is an imperfect beginning (the sensible particular), and it is human nature to progress, then it is only logical to conclude that there is a perfect ending (the Universal Forms).  </w:t>
      </w:r>
    </w:p>
    <w:p w:rsidR="00000000" w:rsidDel="00000000" w:rsidP="00000000" w:rsidRDefault="00000000" w:rsidRPr="00000000" w14:paraId="00000016">
      <w:pPr>
        <w:spacing w:after="240" w:before="240"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Nickolas Pappas, </w:t>
      </w:r>
      <w:r w:rsidDel="00000000" w:rsidR="00000000" w:rsidRPr="00000000">
        <w:rPr>
          <w:i w:val="1"/>
          <w:sz w:val="20"/>
          <w:szCs w:val="20"/>
          <w:rtl w:val="0"/>
        </w:rPr>
        <w:t xml:space="preserve">Plato and the Republic </w:t>
      </w:r>
      <w:r w:rsidDel="00000000" w:rsidR="00000000" w:rsidRPr="00000000">
        <w:rPr>
          <w:sz w:val="20"/>
          <w:szCs w:val="20"/>
          <w:rtl w:val="0"/>
        </w:rPr>
        <w:t xml:space="preserve">(London:Routledge, 1995) ch.7, ‘Metaphysics and Epistemology’</w:t>
      </w:r>
    </w:p>
  </w:footnote>
  <w:footnote w:id="2">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3">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Plato, ‘</w:t>
      </w:r>
      <w:r w:rsidDel="00000000" w:rsidR="00000000" w:rsidRPr="00000000">
        <w:rPr>
          <w:i w:val="1"/>
          <w:sz w:val="20"/>
          <w:szCs w:val="20"/>
          <w:rtl w:val="0"/>
        </w:rPr>
        <w:t xml:space="preserve">The Republic’</w:t>
      </w:r>
      <w:r w:rsidDel="00000000" w:rsidR="00000000" w:rsidRPr="00000000">
        <w:rPr>
          <w:sz w:val="20"/>
          <w:szCs w:val="20"/>
          <w:rtl w:val="0"/>
        </w:rPr>
        <w:t xml:space="preserve"> bk.V-VII  in </w:t>
      </w:r>
      <w:r w:rsidDel="00000000" w:rsidR="00000000" w:rsidRPr="00000000">
        <w:rPr>
          <w:i w:val="1"/>
          <w:sz w:val="20"/>
          <w:szCs w:val="20"/>
          <w:rtl w:val="0"/>
        </w:rPr>
        <w:t xml:space="preserve">Plato’s Complete Works</w:t>
      </w:r>
      <w:r w:rsidDel="00000000" w:rsidR="00000000" w:rsidRPr="00000000">
        <w:rPr>
          <w:sz w:val="20"/>
          <w:szCs w:val="20"/>
          <w:rtl w:val="0"/>
        </w:rPr>
        <w:t xml:space="preserve">, with notes by G.M.A Grube, Rev. C.D.C Reeve   </w:t>
      </w:r>
    </w:p>
    <w:p w:rsidR="00000000" w:rsidDel="00000000" w:rsidP="00000000" w:rsidRDefault="00000000" w:rsidRPr="00000000" w14:paraId="0000001A">
      <w:pPr>
        <w:spacing w:line="240" w:lineRule="auto"/>
        <w:ind w:firstLine="720"/>
        <w:rPr>
          <w:sz w:val="20"/>
          <w:szCs w:val="20"/>
        </w:rPr>
      </w:pPr>
      <w:r w:rsidDel="00000000" w:rsidR="00000000" w:rsidRPr="00000000">
        <w:rPr>
          <w:sz w:val="20"/>
          <w:szCs w:val="20"/>
          <w:rtl w:val="0"/>
        </w:rPr>
        <w:t xml:space="preserve"> (Hackett Publishing Company, 1997)</w:t>
      </w:r>
    </w:p>
  </w:footnote>
  <w:footnote w:id="4">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5">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Plato, ‘</w:t>
      </w:r>
      <w:r w:rsidDel="00000000" w:rsidR="00000000" w:rsidRPr="00000000">
        <w:rPr>
          <w:i w:val="1"/>
          <w:sz w:val="20"/>
          <w:szCs w:val="20"/>
          <w:rtl w:val="0"/>
        </w:rPr>
        <w:t xml:space="preserve">The Republic’</w:t>
      </w:r>
      <w:r w:rsidDel="00000000" w:rsidR="00000000" w:rsidRPr="00000000">
        <w:rPr>
          <w:sz w:val="20"/>
          <w:szCs w:val="20"/>
          <w:rtl w:val="0"/>
        </w:rPr>
        <w:t xml:space="preserve"> bk.VI in </w:t>
      </w:r>
      <w:r w:rsidDel="00000000" w:rsidR="00000000" w:rsidRPr="00000000">
        <w:rPr>
          <w:i w:val="1"/>
          <w:sz w:val="20"/>
          <w:szCs w:val="20"/>
          <w:rtl w:val="0"/>
        </w:rPr>
        <w:t xml:space="preserve">Plato’s Complete Works</w:t>
      </w:r>
      <w:r w:rsidDel="00000000" w:rsidR="00000000" w:rsidRPr="00000000">
        <w:rPr>
          <w:sz w:val="20"/>
          <w:szCs w:val="20"/>
          <w:rtl w:val="0"/>
        </w:rPr>
        <w:t xml:space="preserve">, with notes by G.M.A Grube, Rev. C.D.C Reeve   </w:t>
      </w:r>
    </w:p>
    <w:p w:rsidR="00000000" w:rsidDel="00000000" w:rsidP="00000000" w:rsidRDefault="00000000" w:rsidRPr="00000000" w14:paraId="0000001D">
      <w:pPr>
        <w:spacing w:line="240" w:lineRule="auto"/>
        <w:ind w:firstLine="720"/>
        <w:rPr>
          <w:sz w:val="20"/>
          <w:szCs w:val="20"/>
        </w:rPr>
      </w:pPr>
      <w:r w:rsidDel="00000000" w:rsidR="00000000" w:rsidRPr="00000000">
        <w:rPr>
          <w:sz w:val="20"/>
          <w:szCs w:val="20"/>
          <w:rtl w:val="0"/>
        </w:rPr>
        <w:t xml:space="preserve"> (Hackett Publishing Company, 1997)</w:t>
      </w:r>
    </w:p>
  </w:footnote>
  <w:footnote w:id="6">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Plato, ‘</w:t>
      </w:r>
      <w:r w:rsidDel="00000000" w:rsidR="00000000" w:rsidRPr="00000000">
        <w:rPr>
          <w:i w:val="1"/>
          <w:sz w:val="20"/>
          <w:szCs w:val="20"/>
          <w:rtl w:val="0"/>
        </w:rPr>
        <w:t xml:space="preserve">The Republic’</w:t>
      </w:r>
      <w:r w:rsidDel="00000000" w:rsidR="00000000" w:rsidRPr="00000000">
        <w:rPr>
          <w:sz w:val="20"/>
          <w:szCs w:val="20"/>
          <w:rtl w:val="0"/>
        </w:rPr>
        <w:t xml:space="preserve"> bk.VI, 485d-486c in </w:t>
      </w:r>
      <w:r w:rsidDel="00000000" w:rsidR="00000000" w:rsidRPr="00000000">
        <w:rPr>
          <w:i w:val="1"/>
          <w:sz w:val="20"/>
          <w:szCs w:val="20"/>
          <w:rtl w:val="0"/>
        </w:rPr>
        <w:t xml:space="preserve">Plato’s Complete Works</w:t>
      </w:r>
      <w:r w:rsidDel="00000000" w:rsidR="00000000" w:rsidRPr="00000000">
        <w:rPr>
          <w:sz w:val="20"/>
          <w:szCs w:val="20"/>
          <w:rtl w:val="0"/>
        </w:rPr>
        <w:t xml:space="preserve">, with notes by G.M.A Grube, Rev. </w:t>
      </w:r>
    </w:p>
    <w:p w:rsidR="00000000" w:rsidDel="00000000" w:rsidP="00000000" w:rsidRDefault="00000000" w:rsidRPr="00000000" w14:paraId="0000001F">
      <w:pPr>
        <w:spacing w:line="240" w:lineRule="auto"/>
        <w:ind w:firstLine="720"/>
        <w:rPr>
          <w:sz w:val="20"/>
          <w:szCs w:val="20"/>
        </w:rPr>
      </w:pPr>
      <w:r w:rsidDel="00000000" w:rsidR="00000000" w:rsidRPr="00000000">
        <w:rPr>
          <w:sz w:val="20"/>
          <w:szCs w:val="20"/>
          <w:rtl w:val="0"/>
        </w:rPr>
        <w:t xml:space="preserve">C.D.C Reeve (Hackett Publishing Company, 1997)</w:t>
      </w:r>
    </w:p>
  </w:footnote>
  <w:footnote w:id="7">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Plato, ‘</w:t>
      </w:r>
      <w:r w:rsidDel="00000000" w:rsidR="00000000" w:rsidRPr="00000000">
        <w:rPr>
          <w:i w:val="1"/>
          <w:sz w:val="20"/>
          <w:szCs w:val="20"/>
          <w:rtl w:val="0"/>
        </w:rPr>
        <w:t xml:space="preserve">The Republic’</w:t>
      </w:r>
      <w:r w:rsidDel="00000000" w:rsidR="00000000" w:rsidRPr="00000000">
        <w:rPr>
          <w:sz w:val="20"/>
          <w:szCs w:val="20"/>
          <w:rtl w:val="0"/>
        </w:rPr>
        <w:t xml:space="preserve"> bk.VI 507e-510 in </w:t>
      </w:r>
      <w:r w:rsidDel="00000000" w:rsidR="00000000" w:rsidRPr="00000000">
        <w:rPr>
          <w:i w:val="1"/>
          <w:sz w:val="20"/>
          <w:szCs w:val="20"/>
          <w:rtl w:val="0"/>
        </w:rPr>
        <w:t xml:space="preserve">Plato’s Complete Works</w:t>
      </w:r>
      <w:r w:rsidDel="00000000" w:rsidR="00000000" w:rsidRPr="00000000">
        <w:rPr>
          <w:sz w:val="20"/>
          <w:szCs w:val="20"/>
          <w:rtl w:val="0"/>
        </w:rPr>
        <w:t xml:space="preserve">, with notes by G.M.A Grube, Rev. C.D.C </w:t>
      </w:r>
    </w:p>
    <w:p w:rsidR="00000000" w:rsidDel="00000000" w:rsidP="00000000" w:rsidRDefault="00000000" w:rsidRPr="00000000" w14:paraId="00000021">
      <w:pPr>
        <w:spacing w:line="240" w:lineRule="auto"/>
        <w:ind w:firstLine="720"/>
        <w:rPr>
          <w:sz w:val="20"/>
          <w:szCs w:val="20"/>
        </w:rPr>
      </w:pPr>
      <w:r w:rsidDel="00000000" w:rsidR="00000000" w:rsidRPr="00000000">
        <w:rPr>
          <w:sz w:val="20"/>
          <w:szCs w:val="20"/>
          <w:rtl w:val="0"/>
        </w:rPr>
        <w:t xml:space="preserve">Reeve (Hackett Publishing Company, 1997)</w:t>
      </w:r>
    </w:p>
  </w:footnote>
  <w:footnote w:id="8">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Frederick Copleston, </w:t>
      </w:r>
      <w:r w:rsidDel="00000000" w:rsidR="00000000" w:rsidRPr="00000000">
        <w:rPr>
          <w:i w:val="1"/>
          <w:sz w:val="20"/>
          <w:szCs w:val="20"/>
          <w:rtl w:val="0"/>
        </w:rPr>
        <w:t xml:space="preserve">History of Philosophy, Vol I: Greece and Rome</w:t>
      </w:r>
      <w:r w:rsidDel="00000000" w:rsidR="00000000" w:rsidRPr="00000000">
        <w:rPr>
          <w:sz w:val="20"/>
          <w:szCs w:val="20"/>
          <w:rtl w:val="0"/>
        </w:rPr>
        <w:t xml:space="preserve"> (London: Burn Oates and     </w:t>
      </w:r>
    </w:p>
    <w:p w:rsidR="00000000" w:rsidDel="00000000" w:rsidP="00000000" w:rsidRDefault="00000000" w:rsidRPr="00000000" w14:paraId="00000023">
      <w:pPr>
        <w:spacing w:line="240" w:lineRule="auto"/>
        <w:ind w:firstLine="720"/>
        <w:rPr>
          <w:sz w:val="16"/>
          <w:szCs w:val="16"/>
        </w:rPr>
      </w:pPr>
      <w:r w:rsidDel="00000000" w:rsidR="00000000" w:rsidRPr="00000000">
        <w:rPr>
          <w:sz w:val="20"/>
          <w:szCs w:val="20"/>
          <w:rtl w:val="0"/>
        </w:rPr>
        <w:t xml:space="preserve">Washbourne, 1946) ch. XIX. ‘Theory of Knowledge’</w:t>
      </w:r>
      <w:r w:rsidDel="00000000" w:rsidR="00000000" w:rsidRPr="00000000">
        <w:rPr>
          <w:rtl w:val="0"/>
        </w:rPr>
      </w:r>
    </w:p>
  </w:footnote>
  <w:footnote w:id="0">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Catherine Osborne, ‘Heraclitus’, in </w:t>
      </w:r>
      <w:r w:rsidDel="00000000" w:rsidR="00000000" w:rsidRPr="00000000">
        <w:rPr>
          <w:i w:val="1"/>
          <w:sz w:val="20"/>
          <w:szCs w:val="20"/>
          <w:rtl w:val="0"/>
        </w:rPr>
        <w:t xml:space="preserve">From the Beginning to Plato, Routledge History of Philosophy</w:t>
      </w:r>
      <w:r w:rsidDel="00000000" w:rsidR="00000000" w:rsidRPr="00000000">
        <w:rPr>
          <w:sz w:val="20"/>
          <w:szCs w:val="20"/>
          <w:rtl w:val="0"/>
        </w:rPr>
        <w:t xml:space="preserve">, Vol 1</w:t>
      </w:r>
    </w:p>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ab/>
        <w:t xml:space="preserve">ed. CCW Taylor (London and New York: Routledge, 1996)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