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4542" w:rsidRDefault="00494542" w:rsidP="00494542">
      <w:pPr>
        <w:jc w:val="right"/>
        <w:rPr>
          <w:rFonts w:cs="Arial"/>
          <w:szCs w:val="24"/>
        </w:rPr>
      </w:pPr>
      <w:r>
        <w:rPr>
          <w:rFonts w:cs="Arial"/>
          <w:noProof/>
          <w:szCs w:val="24"/>
          <w:lang w:eastAsia="en-GB"/>
        </w:rPr>
        <w:drawing>
          <wp:inline distT="0" distB="0" distL="0" distR="0">
            <wp:extent cx="2257425" cy="981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57425" cy="981075"/>
                    </a:xfrm>
                    <a:prstGeom prst="rect">
                      <a:avLst/>
                    </a:prstGeom>
                    <a:noFill/>
                    <a:ln>
                      <a:noFill/>
                    </a:ln>
                  </pic:spPr>
                </pic:pic>
              </a:graphicData>
            </a:graphic>
          </wp:inline>
        </w:drawing>
      </w:r>
    </w:p>
    <w:p w:rsidR="00494542" w:rsidRDefault="00494542" w:rsidP="00494542">
      <w:pPr>
        <w:jc w:val="right"/>
        <w:rPr>
          <w:rFonts w:cs="Arial"/>
          <w:szCs w:val="24"/>
        </w:rPr>
      </w:pPr>
    </w:p>
    <w:p w:rsidR="00494542" w:rsidRDefault="00494542" w:rsidP="00494542">
      <w:pPr>
        <w:jc w:val="right"/>
        <w:rPr>
          <w:rFonts w:cs="Arial"/>
          <w:szCs w:val="24"/>
        </w:rPr>
      </w:pPr>
    </w:p>
    <w:p w:rsidR="00494542" w:rsidRDefault="00494542" w:rsidP="00494542">
      <w:pPr>
        <w:jc w:val="center"/>
        <w:rPr>
          <w:rFonts w:cs="Arial"/>
          <w:b/>
          <w:i/>
          <w:szCs w:val="24"/>
        </w:rPr>
      </w:pPr>
      <w:r>
        <w:rPr>
          <w:rFonts w:cs="Arial"/>
          <w:b/>
          <w:i/>
          <w:szCs w:val="24"/>
        </w:rPr>
        <w:t xml:space="preserve">BMIH5006 </w:t>
      </w:r>
    </w:p>
    <w:p w:rsidR="00494542" w:rsidRDefault="00494542" w:rsidP="00494542">
      <w:pPr>
        <w:jc w:val="center"/>
        <w:rPr>
          <w:rFonts w:cs="Arial"/>
          <w:b/>
          <w:i/>
          <w:szCs w:val="24"/>
        </w:rPr>
      </w:pPr>
      <w:r>
        <w:rPr>
          <w:rFonts w:cs="Arial"/>
          <w:b/>
          <w:i/>
          <w:szCs w:val="24"/>
        </w:rPr>
        <w:t>Sustainable Hospitality &amp; Tourism Management</w:t>
      </w:r>
    </w:p>
    <w:p w:rsidR="00494542" w:rsidRDefault="00494542" w:rsidP="00494542">
      <w:pPr>
        <w:jc w:val="center"/>
        <w:rPr>
          <w:rFonts w:cs="Arial"/>
          <w:szCs w:val="24"/>
        </w:rPr>
      </w:pPr>
      <w:r>
        <w:rPr>
          <w:rFonts w:cs="Arial"/>
          <w:szCs w:val="24"/>
        </w:rPr>
        <w:t>A case of IHG</w:t>
      </w:r>
    </w:p>
    <w:p w:rsidR="00494542" w:rsidRDefault="00494542" w:rsidP="00494542">
      <w:pPr>
        <w:jc w:val="center"/>
        <w:rPr>
          <w:rFonts w:cs="Arial"/>
          <w:b/>
          <w:i/>
          <w:szCs w:val="24"/>
        </w:rPr>
      </w:pPr>
      <w:r>
        <w:rPr>
          <w:rFonts w:cs="Arial"/>
          <w:b/>
          <w:i/>
          <w:noProof/>
          <w:szCs w:val="24"/>
          <w:lang w:eastAsia="en-GB"/>
        </w:rPr>
        <w:drawing>
          <wp:inline distT="0" distB="0" distL="0" distR="0">
            <wp:extent cx="4657725" cy="3076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57725" cy="3076575"/>
                    </a:xfrm>
                    <a:prstGeom prst="rect">
                      <a:avLst/>
                    </a:prstGeom>
                    <a:noFill/>
                    <a:ln>
                      <a:noFill/>
                    </a:ln>
                  </pic:spPr>
                </pic:pic>
              </a:graphicData>
            </a:graphic>
          </wp:inline>
        </w:drawing>
      </w:r>
    </w:p>
    <w:p w:rsidR="00494542" w:rsidRDefault="00494542" w:rsidP="00494542">
      <w:pPr>
        <w:jc w:val="center"/>
        <w:rPr>
          <w:rFonts w:cs="Arial"/>
          <w:szCs w:val="24"/>
        </w:rPr>
      </w:pPr>
      <w:r>
        <w:rPr>
          <w:rFonts w:cs="Arial"/>
          <w:szCs w:val="24"/>
        </w:rPr>
        <w:t xml:space="preserve">Name: Madalina </w:t>
      </w:r>
      <w:proofErr w:type="spellStart"/>
      <w:r>
        <w:rPr>
          <w:rFonts w:cs="Arial"/>
          <w:szCs w:val="24"/>
        </w:rPr>
        <w:t>Ghera</w:t>
      </w:r>
      <w:proofErr w:type="spellEnd"/>
    </w:p>
    <w:p w:rsidR="00494542" w:rsidRDefault="00494542" w:rsidP="00494542">
      <w:pPr>
        <w:jc w:val="center"/>
        <w:rPr>
          <w:rFonts w:cs="Arial"/>
          <w:szCs w:val="24"/>
        </w:rPr>
      </w:pPr>
      <w:r>
        <w:rPr>
          <w:rFonts w:cs="Arial"/>
          <w:szCs w:val="24"/>
        </w:rPr>
        <w:t>ID</w:t>
      </w:r>
      <w:proofErr w:type="gramStart"/>
      <w:r>
        <w:rPr>
          <w:rFonts w:cs="Arial"/>
          <w:szCs w:val="24"/>
        </w:rPr>
        <w:t>:</w:t>
      </w:r>
      <w:r>
        <w:rPr>
          <w:rFonts w:cs="Arial"/>
          <w:szCs w:val="24"/>
        </w:rPr>
        <w:t>2128167</w:t>
      </w:r>
      <w:proofErr w:type="gramEnd"/>
    </w:p>
    <w:p w:rsidR="00494542" w:rsidRDefault="00494542" w:rsidP="00494542">
      <w:pPr>
        <w:jc w:val="center"/>
        <w:rPr>
          <w:rFonts w:cs="Arial"/>
          <w:szCs w:val="24"/>
        </w:rPr>
      </w:pPr>
      <w:r>
        <w:rPr>
          <w:rFonts w:cs="Arial"/>
          <w:szCs w:val="24"/>
        </w:rPr>
        <w:t>Tutor: Kathryn Roberts</w:t>
      </w:r>
    </w:p>
    <w:p w:rsidR="00494542" w:rsidRDefault="00494542" w:rsidP="00494542">
      <w:pPr>
        <w:jc w:val="center"/>
        <w:rPr>
          <w:rFonts w:cs="Arial"/>
          <w:szCs w:val="24"/>
        </w:rPr>
      </w:pPr>
      <w:bookmarkStart w:id="0" w:name="_GoBack"/>
      <w:bookmarkEnd w:id="0"/>
    </w:p>
    <w:p w:rsidR="00494542" w:rsidRDefault="00494542" w:rsidP="00494542">
      <w:pPr>
        <w:jc w:val="left"/>
        <w:rPr>
          <w:rFonts w:cs="Arial"/>
          <w:szCs w:val="24"/>
        </w:rPr>
      </w:pPr>
      <w:r>
        <w:rPr>
          <w:rFonts w:cs="Arial"/>
          <w:szCs w:val="24"/>
        </w:rPr>
        <w:br w:type="page"/>
      </w:r>
    </w:p>
    <w:p w:rsidR="00494542" w:rsidRDefault="00494542" w:rsidP="00494542">
      <w:pPr>
        <w:pStyle w:val="Heading1"/>
        <w:rPr>
          <w:rFonts w:cs="Arial"/>
          <w:szCs w:val="24"/>
        </w:rPr>
      </w:pPr>
      <w:bookmarkStart w:id="1" w:name="_Toc157295546"/>
      <w:r>
        <w:rPr>
          <w:rFonts w:cs="Arial"/>
          <w:szCs w:val="24"/>
        </w:rPr>
        <w:lastRenderedPageBreak/>
        <w:t>1. Introduction</w:t>
      </w:r>
      <w:bookmarkEnd w:id="1"/>
    </w:p>
    <w:p w:rsidR="00494542" w:rsidRDefault="00494542" w:rsidP="00494542">
      <w:pPr>
        <w:rPr>
          <w:rFonts w:cs="Arial"/>
          <w:szCs w:val="24"/>
        </w:rPr>
      </w:pPr>
      <w:r>
        <w:rPr>
          <w:rFonts w:cs="Arial"/>
          <w:szCs w:val="24"/>
        </w:rPr>
        <w:t xml:space="preserve">The hospitality industry, which is the cornerstone of global commerce, has been observed to experience mounting scrutiny for its environmental effect; as discerning customers increasingly prioritise sustainability, hotel organisations are finding themselves compelled to integrate responsible practices into their operations. Given this, this essay will delve into the profound intersection of CSR and circular economy through the dissection of the responsible practices of InterContinental Hotels Group. It is noted that CSR, which is a contemporary management paradigm, is said to emerge as a conduit for addressing sustainability challenges, fostering ethical relationships, and benefitting local communities. Circular economy epitomised by the reuse, repair, and recycling of materials aligns seamlessly with the concept of CSR both championing efficient resource utilisation and environmental stewardship. The essay will thus delve deeper into the concept by analysing the CSR policies of IHG and evaluating the practices of similar companies. </w:t>
      </w:r>
    </w:p>
    <w:p w:rsidR="00494542" w:rsidRDefault="00494542" w:rsidP="00494542">
      <w:pPr>
        <w:pStyle w:val="Heading1"/>
        <w:rPr>
          <w:rFonts w:cs="Arial"/>
          <w:szCs w:val="24"/>
        </w:rPr>
      </w:pPr>
      <w:bookmarkStart w:id="2" w:name="_Toc157295547"/>
      <w:r>
        <w:rPr>
          <w:rFonts w:cs="Arial"/>
          <w:szCs w:val="24"/>
        </w:rPr>
        <w:t>2. Main Body</w:t>
      </w:r>
      <w:bookmarkEnd w:id="2"/>
    </w:p>
    <w:p w:rsidR="00494542" w:rsidRDefault="00494542" w:rsidP="00494542">
      <w:pPr>
        <w:rPr>
          <w:rFonts w:cs="Arial"/>
          <w:b/>
          <w:i/>
          <w:szCs w:val="24"/>
        </w:rPr>
      </w:pPr>
      <w:r>
        <w:rPr>
          <w:rFonts w:cs="Arial"/>
          <w:b/>
          <w:i/>
          <w:szCs w:val="24"/>
        </w:rPr>
        <w:t>Background of the organisation</w:t>
      </w:r>
    </w:p>
    <w:p w:rsidR="00494542" w:rsidRDefault="00494542" w:rsidP="00494542">
      <w:pPr>
        <w:jc w:val="center"/>
        <w:rPr>
          <w:rFonts w:cs="Arial"/>
          <w:szCs w:val="24"/>
        </w:rPr>
      </w:pPr>
      <w:r>
        <w:rPr>
          <w:rFonts w:cs="Arial"/>
          <w:noProof/>
          <w:szCs w:val="24"/>
          <w:lang w:eastAsia="en-GB"/>
        </w:rPr>
        <w:drawing>
          <wp:inline distT="0" distB="0" distL="0" distR="0">
            <wp:extent cx="4305300" cy="1409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t="16704" b="20337"/>
                    <a:stretch>
                      <a:fillRect/>
                    </a:stretch>
                  </pic:blipFill>
                  <pic:spPr bwMode="auto">
                    <a:xfrm>
                      <a:off x="0" y="0"/>
                      <a:ext cx="4305300" cy="1409700"/>
                    </a:xfrm>
                    <a:prstGeom prst="rect">
                      <a:avLst/>
                    </a:prstGeom>
                    <a:noFill/>
                    <a:ln>
                      <a:noFill/>
                    </a:ln>
                  </pic:spPr>
                </pic:pic>
              </a:graphicData>
            </a:graphic>
          </wp:inline>
        </w:drawing>
      </w:r>
    </w:p>
    <w:p w:rsidR="00494542" w:rsidRDefault="00494542" w:rsidP="00494542">
      <w:pPr>
        <w:jc w:val="center"/>
        <w:rPr>
          <w:rFonts w:cs="Arial"/>
          <w:b/>
          <w:szCs w:val="24"/>
        </w:rPr>
      </w:pPr>
      <w:r>
        <w:rPr>
          <w:rFonts w:cs="Arial"/>
          <w:b/>
          <w:szCs w:val="24"/>
        </w:rPr>
        <w:t>Figure 1: Logo of InterContinental Hotels Group</w:t>
      </w:r>
    </w:p>
    <w:p w:rsidR="00494542" w:rsidRDefault="00494542" w:rsidP="00494542">
      <w:pPr>
        <w:jc w:val="center"/>
        <w:rPr>
          <w:rFonts w:cs="Arial"/>
          <w:szCs w:val="24"/>
        </w:rPr>
      </w:pPr>
      <w:r>
        <w:rPr>
          <w:rFonts w:cs="Arial"/>
          <w:szCs w:val="24"/>
        </w:rPr>
        <w:t>(Source: IHG, 2023)</w:t>
      </w:r>
    </w:p>
    <w:p w:rsidR="00494542" w:rsidRDefault="00494542" w:rsidP="00494542">
      <w:pPr>
        <w:rPr>
          <w:rFonts w:cs="Arial"/>
          <w:szCs w:val="24"/>
        </w:rPr>
      </w:pPr>
      <w:r>
        <w:rPr>
          <w:rFonts w:cs="Arial"/>
          <w:szCs w:val="24"/>
        </w:rPr>
        <w:t xml:space="preserve">InterContinental Hotels Group Plc. is one of the leading hotel companies with a presence in over 100 nations. According to a report published by Forbes (2018), the corporation was founded in 1777 and has its headquarters located in Denham. </w:t>
      </w:r>
      <w:proofErr w:type="spellStart"/>
      <w:r>
        <w:rPr>
          <w:rFonts w:cs="Arial"/>
          <w:szCs w:val="24"/>
        </w:rPr>
        <w:t>Elie</w:t>
      </w:r>
      <w:proofErr w:type="spellEnd"/>
      <w:r>
        <w:rPr>
          <w:rFonts w:cs="Arial"/>
          <w:szCs w:val="24"/>
        </w:rPr>
        <w:t xml:space="preserve"> W. </w:t>
      </w:r>
      <w:proofErr w:type="spellStart"/>
      <w:r>
        <w:rPr>
          <w:rFonts w:cs="Arial"/>
          <w:szCs w:val="24"/>
        </w:rPr>
        <w:t>Maalouf</w:t>
      </w:r>
      <w:proofErr w:type="spellEnd"/>
      <w:r>
        <w:rPr>
          <w:rFonts w:cs="Arial"/>
          <w:szCs w:val="24"/>
        </w:rPr>
        <w:t xml:space="preserve"> is the Chief Executive Officer as of 2023, and it was under his direction that the number of properties of IHG increased from about 3,700 to over 4,300 (IHG, 2023). In addition, a report published by </w:t>
      </w:r>
      <w:proofErr w:type="spellStart"/>
      <w:r>
        <w:rPr>
          <w:rFonts w:cs="Arial"/>
          <w:szCs w:val="24"/>
        </w:rPr>
        <w:t>Macrotrends</w:t>
      </w:r>
      <w:proofErr w:type="spellEnd"/>
      <w:r>
        <w:rPr>
          <w:rFonts w:cs="Arial"/>
          <w:szCs w:val="24"/>
        </w:rPr>
        <w:t xml:space="preserve"> (2023a) shows that the organisation had 12,899 employees in 2022, which displays a 15.57% increase from 2021 when </w:t>
      </w:r>
      <w:r>
        <w:rPr>
          <w:rFonts w:cs="Arial"/>
          <w:szCs w:val="24"/>
        </w:rPr>
        <w:lastRenderedPageBreak/>
        <w:t>the company had 11,161 people working for them. Apart from this, IHG’s annual revenue for 2022 was </w:t>
      </w:r>
      <w:r>
        <w:rPr>
          <w:rFonts w:cs="Arial"/>
          <w:bCs/>
          <w:szCs w:val="24"/>
        </w:rPr>
        <w:t>$3.892 billion</w:t>
      </w:r>
      <w:r>
        <w:rPr>
          <w:rFonts w:cs="Arial"/>
          <w:szCs w:val="24"/>
        </w:rPr>
        <w:t>, a 33.88% rise over its revenue of $2.907 billion in 2021 (</w:t>
      </w:r>
      <w:proofErr w:type="spellStart"/>
      <w:r>
        <w:rPr>
          <w:rFonts w:cs="Arial"/>
          <w:szCs w:val="24"/>
          <w:lang w:val="en-US"/>
        </w:rPr>
        <w:t>Macrotrends</w:t>
      </w:r>
      <w:proofErr w:type="spellEnd"/>
      <w:r>
        <w:rPr>
          <w:rFonts w:cs="Arial"/>
          <w:szCs w:val="24"/>
          <w:lang w:val="en-US"/>
        </w:rPr>
        <w:t>, 2023b)</w:t>
      </w:r>
      <w:r>
        <w:rPr>
          <w:rFonts w:cs="Arial"/>
          <w:szCs w:val="24"/>
        </w:rPr>
        <w:t>.</w:t>
      </w:r>
    </w:p>
    <w:p w:rsidR="00494542" w:rsidRDefault="00494542" w:rsidP="00494542">
      <w:pPr>
        <w:rPr>
          <w:rFonts w:cs="Arial"/>
          <w:b/>
          <w:i/>
          <w:szCs w:val="24"/>
        </w:rPr>
      </w:pPr>
      <w:r>
        <w:rPr>
          <w:rFonts w:cs="Arial"/>
          <w:b/>
          <w:i/>
          <w:szCs w:val="24"/>
        </w:rPr>
        <w:t xml:space="preserve">Definition of CSR </w:t>
      </w:r>
    </w:p>
    <w:p w:rsidR="00494542" w:rsidRDefault="00494542" w:rsidP="00494542">
      <w:pPr>
        <w:rPr>
          <w:rFonts w:cs="Arial"/>
          <w:szCs w:val="24"/>
          <w:u w:val="single"/>
        </w:rPr>
      </w:pPr>
      <w:r>
        <w:rPr>
          <w:rFonts w:cs="Arial"/>
          <w:szCs w:val="24"/>
        </w:rPr>
        <w:t>Around the world, issues related to climate change, massive resource use, and greenhouse gas emissions are common indications of the growing detrimental effects of businesses on the environment and ecosystem. Legrand, Sloan and Chen (2017) have commented that as a result, sustainable practices have become a crucial factor in bringing positive changes in the ways businesses operate; organisations are required to adopt corporate social responsibility (CSR) as a means of addressing sustainability issues. In essence, CSR, which is a modern approach to corporate management are the business actions that are aimed towards benefiting local communities, preservation of the environment, and building strong relationships with different stakeholder groups (</w:t>
      </w:r>
      <w:proofErr w:type="spellStart"/>
      <w:r>
        <w:rPr>
          <w:rFonts w:cs="Arial"/>
          <w:szCs w:val="24"/>
        </w:rPr>
        <w:t>Olanipekun</w:t>
      </w:r>
      <w:proofErr w:type="spellEnd"/>
      <w:r>
        <w:rPr>
          <w:rFonts w:cs="Arial"/>
          <w:szCs w:val="24"/>
        </w:rPr>
        <w:t xml:space="preserve"> and </w:t>
      </w:r>
      <w:proofErr w:type="spellStart"/>
      <w:r>
        <w:rPr>
          <w:rFonts w:cs="Arial"/>
          <w:szCs w:val="24"/>
        </w:rPr>
        <w:t>Omotayo</w:t>
      </w:r>
      <w:proofErr w:type="spellEnd"/>
      <w:r>
        <w:rPr>
          <w:rFonts w:cs="Arial"/>
          <w:szCs w:val="24"/>
        </w:rPr>
        <w:t xml:space="preserve">, 2020). </w:t>
      </w:r>
    </w:p>
    <w:p w:rsidR="00494542" w:rsidRDefault="00494542" w:rsidP="00494542">
      <w:pPr>
        <w:rPr>
          <w:rFonts w:cs="Arial"/>
          <w:b/>
          <w:i/>
          <w:szCs w:val="24"/>
        </w:rPr>
      </w:pPr>
      <w:r>
        <w:rPr>
          <w:rFonts w:cs="Arial"/>
          <w:b/>
          <w:i/>
          <w:szCs w:val="24"/>
        </w:rPr>
        <w:t xml:space="preserve">Discussion on Circular economy and the ways it fits into CSR </w:t>
      </w:r>
    </w:p>
    <w:p w:rsidR="00494542" w:rsidRDefault="00494542" w:rsidP="00494542">
      <w:pPr>
        <w:rPr>
          <w:rFonts w:cs="Arial"/>
          <w:szCs w:val="24"/>
        </w:rPr>
      </w:pPr>
      <w:r>
        <w:rPr>
          <w:rFonts w:cs="Arial"/>
          <w:szCs w:val="24"/>
        </w:rPr>
        <w:t xml:space="preserve">According to </w:t>
      </w:r>
      <w:proofErr w:type="spellStart"/>
      <w:r>
        <w:rPr>
          <w:rFonts w:cs="Arial"/>
          <w:szCs w:val="24"/>
        </w:rPr>
        <w:t>Haski</w:t>
      </w:r>
      <w:proofErr w:type="spellEnd"/>
      <w:r>
        <w:rPr>
          <w:rFonts w:cs="Arial"/>
          <w:szCs w:val="24"/>
        </w:rPr>
        <w:t>-Leventhal (2018), the circular economy is a production and consumption model that emphasises reusing, repairing, and recycling current resources and goods for as long as it is practically feasible. This is aimed towards minimising the extraction of natural resources, maximising waste prevention, and optimising the social, environmental, economic, and material values throughout the lifecycles of products, components, and materials (</w:t>
      </w:r>
      <w:proofErr w:type="spellStart"/>
      <w:r>
        <w:rPr>
          <w:rFonts w:cs="Arial"/>
          <w:szCs w:val="24"/>
        </w:rPr>
        <w:t>Velenturf</w:t>
      </w:r>
      <w:proofErr w:type="spellEnd"/>
      <w:r>
        <w:rPr>
          <w:rFonts w:cs="Arial"/>
          <w:szCs w:val="24"/>
        </w:rPr>
        <w:t xml:space="preserve"> and Purnell, 2021) </w:t>
      </w:r>
      <w:r>
        <w:rPr>
          <w:rFonts w:cs="Arial"/>
          <w:b/>
          <w:i/>
          <w:szCs w:val="24"/>
        </w:rPr>
        <w:t>(See Appendix 1)</w:t>
      </w:r>
      <w:r>
        <w:rPr>
          <w:rFonts w:cs="Arial"/>
          <w:szCs w:val="24"/>
        </w:rPr>
        <w:t xml:space="preserve">. Given this, circular economy aligns seamlessly with the concept of CSR, as both are aimed towards the promotion of efficient utilisation of resources, waste reduction, and contributing to environmental stewardship. It is observed that the integration of circular economy practices into CSR strategies not only reduces ecological footprints but also enhances the ethical standing of a business fostering positive effect on society and the planet. </w:t>
      </w:r>
    </w:p>
    <w:p w:rsidR="00494542" w:rsidRDefault="00494542" w:rsidP="00494542">
      <w:pPr>
        <w:rPr>
          <w:rFonts w:cs="Arial"/>
          <w:szCs w:val="24"/>
        </w:rPr>
      </w:pPr>
      <w:r>
        <w:rPr>
          <w:rFonts w:cs="Arial"/>
          <w:szCs w:val="24"/>
        </w:rPr>
        <w:t xml:space="preserve">As per the IHG Responsible Business Report (2023), millions of visitors stay at IHG properties annually, and each one of them needs linens, food and drink, toiletries, and amenities. If not recycled and repurposed, these goods and services that IHG hotels offer their visitors may produce a considerable quantity of waste; consequently, they </w:t>
      </w:r>
      <w:r>
        <w:rPr>
          <w:rFonts w:cs="Arial"/>
          <w:szCs w:val="24"/>
        </w:rPr>
        <w:lastRenderedPageBreak/>
        <w:t>have shifted to a more circular model ensuring that recycled materials are used in the production of new items or making sure that items are put to good use elsewhere once they leave the hotels. In light of this, to assist the organisation in achieving this, they have put in place a system to assess the environmental credentials of their suppliers and, when practical, they are observed to recommend proper actions to their hotels (IHG Responsible Business Report, 2023).</w:t>
      </w:r>
    </w:p>
    <w:p w:rsidR="00494542" w:rsidRDefault="00494542" w:rsidP="00494542">
      <w:pPr>
        <w:rPr>
          <w:rFonts w:cs="Arial"/>
          <w:szCs w:val="24"/>
        </w:rPr>
      </w:pPr>
      <w:r>
        <w:rPr>
          <w:rFonts w:cs="Arial"/>
          <w:szCs w:val="24"/>
        </w:rPr>
        <w:t xml:space="preserve">According to the IHG Responsible Business Report (2023), keeping into consideration the significance of the circular economy; the company revised its dry amenity brand guidelines for the EMEA region in November of 2022. Additionally, in the EMEAA region, they collaborated with “Travel without Plastic” to create a toolkit that offers hotels extra assistance and a best-practice method for cutting down on, recycling, reusing, and replacing single-use commodities (IHG Responsible Business Report, 2023) </w:t>
      </w:r>
      <w:r>
        <w:rPr>
          <w:rFonts w:cs="Arial"/>
          <w:b/>
          <w:i/>
          <w:szCs w:val="24"/>
        </w:rPr>
        <w:t>(See Appendix 2)</w:t>
      </w:r>
      <w:r>
        <w:rPr>
          <w:rFonts w:cs="Arial"/>
          <w:szCs w:val="24"/>
        </w:rPr>
        <w:t>. In addition, IHG and their new preferred supplier are working together to replace products made of virgin plastic with recyclable, wooden, or biodegradable alternatives as well as 100% post-consumer recycled plastic options (IHG Responsible Business Report, 2023). They are also getting rid of the inner plastic packaging from these products and replacing it with paper packaging that is FSC-certified and uses soy-based ink (IHG Responsible Business Report, 2023).</w:t>
      </w:r>
    </w:p>
    <w:p w:rsidR="00494542" w:rsidRDefault="00494542" w:rsidP="00494542">
      <w:pPr>
        <w:rPr>
          <w:rFonts w:cs="Arial"/>
          <w:szCs w:val="24"/>
        </w:rPr>
      </w:pPr>
      <w:r>
        <w:rPr>
          <w:rFonts w:cs="Arial"/>
          <w:szCs w:val="24"/>
        </w:rPr>
        <w:t xml:space="preserve">IHG hotels collaborate with suppliers who provide less wasteful and more environmentally friendly solutions nationwide. For instance, a family-owned, top mattress provider in Australia provides a take-back program to the Holiday Inn and Crowne Plaza in Perth, as well as the InterContinental in Adelaide; this top supplier gives job opportunities to individuals who face employment barriers, integrating social impact and circular economy principles across its value chain (IHG Responsible Business Report, 2023). For example, it collaborates with a social venture called Soft Landing, which recycles up to 75% of the components of hotel beds into steel springs for roofing sheeting or foam for carpet underlay (IHG Responsible Business Report, 2023). </w:t>
      </w:r>
      <w:proofErr w:type="spellStart"/>
      <w:r>
        <w:rPr>
          <w:rFonts w:cs="Arial"/>
          <w:szCs w:val="24"/>
        </w:rPr>
        <w:t>Voco</w:t>
      </w:r>
      <w:proofErr w:type="spellEnd"/>
      <w:r>
        <w:rPr>
          <w:rFonts w:cs="Arial"/>
          <w:szCs w:val="24"/>
        </w:rPr>
        <w:t xml:space="preserve"> Gold Coast collaborated with the supplier during this year's Lismore floods in Australia to provide more than 50 mattresses as a donation to aid the local population.</w:t>
      </w:r>
    </w:p>
    <w:p w:rsidR="00494542" w:rsidRDefault="00494542" w:rsidP="00494542">
      <w:pPr>
        <w:rPr>
          <w:rFonts w:cs="Arial"/>
          <w:szCs w:val="24"/>
        </w:rPr>
      </w:pPr>
      <w:r>
        <w:rPr>
          <w:rFonts w:cs="Arial"/>
          <w:szCs w:val="24"/>
        </w:rPr>
        <w:t xml:space="preserve">Apart from this, the IHG Responsible Business Report (2023) points out that IHG's UK-managed hotels presently work with a top hospitality provider to collect their used </w:t>
      </w:r>
      <w:r>
        <w:rPr>
          <w:rFonts w:cs="Arial"/>
          <w:szCs w:val="24"/>
        </w:rPr>
        <w:lastRenderedPageBreak/>
        <w:t>waste oil, which is converted into biofuel and used as fuel for cars or to generate electricity; 16,600 litres of used oil were converted into renewable energy sources in 2022. The organisation's approach towards the adoption of a circular economy not only demonstrates its responsibility towards the environment but also has multifaceted effects on the organisation. It can be said that recycling and repurposing materials reduce waste disposal expenses while collaborating with suppliers who offer environmentally friendly alternatives resulting in more cost-effective supply chains over time (</w:t>
      </w:r>
      <w:proofErr w:type="spellStart"/>
      <w:r>
        <w:rPr>
          <w:rFonts w:cs="Arial"/>
          <w:szCs w:val="24"/>
        </w:rPr>
        <w:t>Sehnem</w:t>
      </w:r>
      <w:proofErr w:type="spellEnd"/>
      <w:r>
        <w:rPr>
          <w:rFonts w:cs="Arial"/>
          <w:szCs w:val="24"/>
        </w:rPr>
        <w:t xml:space="preserve"> </w:t>
      </w:r>
      <w:r>
        <w:rPr>
          <w:rFonts w:cs="Arial"/>
          <w:i/>
          <w:iCs/>
          <w:szCs w:val="24"/>
        </w:rPr>
        <w:t>et al.</w:t>
      </w:r>
      <w:r>
        <w:rPr>
          <w:rFonts w:cs="Arial"/>
          <w:szCs w:val="24"/>
        </w:rPr>
        <w:t>, 2019). Besides, leveraging on the growing awareness of sustainability among customers, IHG can attract environmentally conscious customers, potentially boosting sales and subsequently revenue.</w:t>
      </w:r>
    </w:p>
    <w:p w:rsidR="00494542" w:rsidRDefault="00494542" w:rsidP="00494542">
      <w:pPr>
        <w:rPr>
          <w:rFonts w:cs="Arial"/>
          <w:szCs w:val="24"/>
        </w:rPr>
      </w:pPr>
      <w:r>
        <w:rPr>
          <w:rFonts w:cs="Arial"/>
          <w:szCs w:val="24"/>
        </w:rPr>
        <w:t xml:space="preserve">In addition, IHG's dedication to circular economy enhances its CSR image as well because in recent years consumers typically favour companies that prioritise sustainability. </w:t>
      </w:r>
      <w:proofErr w:type="spellStart"/>
      <w:r>
        <w:rPr>
          <w:rFonts w:cs="Arial"/>
          <w:szCs w:val="24"/>
        </w:rPr>
        <w:t>Sehnem</w:t>
      </w:r>
      <w:proofErr w:type="spellEnd"/>
      <w:r>
        <w:rPr>
          <w:rFonts w:cs="Arial"/>
          <w:szCs w:val="24"/>
        </w:rPr>
        <w:t xml:space="preserve"> </w:t>
      </w:r>
      <w:r>
        <w:rPr>
          <w:rFonts w:cs="Arial"/>
          <w:i/>
          <w:iCs/>
          <w:szCs w:val="24"/>
        </w:rPr>
        <w:t>et al.</w:t>
      </w:r>
      <w:r>
        <w:rPr>
          <w:rFonts w:cs="Arial"/>
          <w:szCs w:val="24"/>
        </w:rPr>
        <w:t xml:space="preserve"> (2019) have pointed out that by aligning with circular economy principles, brands can position themselves as a forward-thinking brand; this positive reputation leads to increased customer trust, brand loyalty, and positive word-of-mouth marketing. In turn, it differentiates IHG from competitors and positions it as an industry leader in sustainability. This competitive advantage ensures the long-term growth and success of the brand. </w:t>
      </w:r>
    </w:p>
    <w:p w:rsidR="00494542" w:rsidRDefault="00494542" w:rsidP="00494542">
      <w:pPr>
        <w:rPr>
          <w:rFonts w:cs="Arial"/>
          <w:b/>
          <w:i/>
          <w:szCs w:val="24"/>
        </w:rPr>
      </w:pPr>
      <w:r>
        <w:rPr>
          <w:rFonts w:cs="Arial"/>
          <w:b/>
          <w:i/>
          <w:szCs w:val="24"/>
        </w:rPr>
        <w:t>Industry examples of organisations embodying circular economy</w:t>
      </w:r>
    </w:p>
    <w:p w:rsidR="00494542" w:rsidRDefault="00494542" w:rsidP="00494542">
      <w:pPr>
        <w:rPr>
          <w:rFonts w:cs="Arial"/>
          <w:i/>
          <w:szCs w:val="24"/>
          <w:u w:val="single"/>
        </w:rPr>
      </w:pPr>
      <w:r>
        <w:rPr>
          <w:rFonts w:cs="Arial"/>
          <w:i/>
          <w:szCs w:val="24"/>
          <w:u w:val="single"/>
        </w:rPr>
        <w:t>Marriott International</w:t>
      </w:r>
    </w:p>
    <w:p w:rsidR="00494542" w:rsidRDefault="00494542" w:rsidP="00494542">
      <w:pPr>
        <w:rPr>
          <w:rFonts w:cs="Arial"/>
          <w:szCs w:val="24"/>
        </w:rPr>
      </w:pPr>
      <w:r>
        <w:rPr>
          <w:rFonts w:cs="Arial"/>
          <w:szCs w:val="24"/>
        </w:rPr>
        <w:t>Practices of circular economy are evident in the case of other companies in the hospitality sector as well. Marriott International is one example of this; as part of a waste reduction initiative to recycle, reuse, and reduce food waste, a group at the London Heathrow Marriott in London, United Kingdom, established a "Food Waste Laboratory" (Marriott International ESG Report, 2022). The hotel uses innovative techniques to repurpose food that may have been thrown away, such as producing fresh jam out of the skin of passion fruits; using these procedures, the hotel was able to reuse roughly 180 kg of potential food waste in just one month (Marriott International ESG Report, 2022).</w:t>
      </w:r>
    </w:p>
    <w:p w:rsidR="00494542" w:rsidRDefault="00494542" w:rsidP="00494542">
      <w:pPr>
        <w:rPr>
          <w:rFonts w:cs="Arial"/>
          <w:szCs w:val="24"/>
        </w:rPr>
      </w:pPr>
      <w:r>
        <w:rPr>
          <w:rFonts w:cs="Arial"/>
          <w:szCs w:val="24"/>
        </w:rPr>
        <w:t xml:space="preserve">In addition, Marriott Hotels in Hong Kong collaborated with O-Park, the first organic resources recovery centre in the city, to turn food waste into electricity. Between </w:t>
      </w:r>
      <w:r>
        <w:rPr>
          <w:rFonts w:cs="Arial"/>
          <w:szCs w:val="24"/>
        </w:rPr>
        <w:lastRenderedPageBreak/>
        <w:t>September and December 2021, this partnership prevented almost 32,260 kg of food waste from ending up in landfills at the Hong Kong Ocean Park Marriott Hotel and Sheraton Hong Kong Tung Chung Hotel (Marriott International ESG Report, 2022). Besides, The W Bali-</w:t>
      </w:r>
      <w:proofErr w:type="spellStart"/>
      <w:r>
        <w:rPr>
          <w:rFonts w:cs="Arial"/>
          <w:szCs w:val="24"/>
        </w:rPr>
        <w:t>Seminyak</w:t>
      </w:r>
      <w:proofErr w:type="spellEnd"/>
      <w:r>
        <w:rPr>
          <w:rFonts w:cs="Arial"/>
          <w:szCs w:val="24"/>
        </w:rPr>
        <w:t xml:space="preserve"> and Fairfield by Marriott Bali </w:t>
      </w:r>
      <w:proofErr w:type="spellStart"/>
      <w:r>
        <w:rPr>
          <w:rFonts w:cs="Arial"/>
          <w:szCs w:val="24"/>
        </w:rPr>
        <w:t>Kuta</w:t>
      </w:r>
      <w:proofErr w:type="spellEnd"/>
      <w:r>
        <w:rPr>
          <w:rFonts w:cs="Arial"/>
          <w:szCs w:val="24"/>
        </w:rPr>
        <w:t xml:space="preserve"> Sunset Road resorts in Indonesia provide visitors with an understanding of the circular economy and the potential benefits of repurposing food waste; utilising leftover food, guests collaborate with hotel workers to produce meals that are then distributed to underprivileged individuals throughout Bali (Marriott International ESG Report, 2022).</w:t>
      </w:r>
    </w:p>
    <w:p w:rsidR="00494542" w:rsidRDefault="00494542" w:rsidP="00494542">
      <w:pPr>
        <w:rPr>
          <w:rFonts w:cs="Arial"/>
          <w:i/>
          <w:szCs w:val="24"/>
          <w:u w:val="single"/>
        </w:rPr>
      </w:pPr>
      <w:r>
        <w:rPr>
          <w:rFonts w:cs="Arial"/>
          <w:i/>
          <w:szCs w:val="24"/>
          <w:u w:val="single"/>
        </w:rPr>
        <w:t>Hilton</w:t>
      </w:r>
    </w:p>
    <w:p w:rsidR="00494542" w:rsidRDefault="00494542" w:rsidP="00494542">
      <w:pPr>
        <w:rPr>
          <w:rFonts w:cs="Arial"/>
          <w:szCs w:val="24"/>
        </w:rPr>
      </w:pPr>
      <w:r>
        <w:rPr>
          <w:rFonts w:cs="Arial"/>
          <w:szCs w:val="24"/>
        </w:rPr>
        <w:t>In another instance, circular economy principles are considered by Hilton as well. The Hilton ESG Report (2022) demonstrates how the company's waste reduction strategy prioritizes supply chain assessment and sustainable sourcing projects while also taking action to keep any leftover waste out of landfills via recycling, composting, donating, and waste-to-energy incineration. All of their hotels in the Americas, EMEA, and Asia Pacific have embraced a preventive, recovery, and recycling strategy, with the Asia Pacific initiative serving as a trial (Hilton ESG Report, 2022). Hilton also encourages its hotels to make use of the World Wildlife Fund's Hotel Kitchen Toolkit. Its goal is to walk them through methods for cutting down on food waste at every stage of the production of food and drink (Hilton ESG Report, 2022). These methods include planning menus carefully to avoid food loss and waste, recovering nutritious food that would otherwise go to waste and donating it when feasible, and repurposing food scraps for compost and animal feed.</w:t>
      </w:r>
    </w:p>
    <w:p w:rsidR="00494542" w:rsidRDefault="00494542" w:rsidP="00494542">
      <w:pPr>
        <w:rPr>
          <w:rFonts w:cs="Arial"/>
          <w:i/>
          <w:szCs w:val="24"/>
          <w:u w:val="single"/>
        </w:rPr>
      </w:pPr>
      <w:r>
        <w:rPr>
          <w:rFonts w:cs="Arial"/>
          <w:i/>
          <w:szCs w:val="24"/>
          <w:u w:val="single"/>
        </w:rPr>
        <w:t>Four Seasons Hotels and Resorts</w:t>
      </w:r>
    </w:p>
    <w:p w:rsidR="00494542" w:rsidRDefault="00494542" w:rsidP="00494542">
      <w:pPr>
        <w:rPr>
          <w:rFonts w:cs="Arial"/>
          <w:szCs w:val="24"/>
        </w:rPr>
      </w:pPr>
      <w:r>
        <w:rPr>
          <w:rFonts w:cs="Arial"/>
          <w:szCs w:val="24"/>
        </w:rPr>
        <w:t>As per the Four Seasons ESG Report (2023), keeping with the concept of circular economy, hotels and resorts under Four Seasons use refillable glass bottles for water and large-format bathroom amenities; this practice promotes the reuse of materials extending the lifecycle of the bottles and minimising waste generation. In addition, the organisation makes sure that food, which is mostly obtained from nearby vendors, is supplied in reusable containers that vendors can return after leaving behind goods like eggs, produce, fish, and other items (Four Seasons ESG Report, 2023). This approach reduces the consumption of single-use plastics promoting a more sustainable approach towards packaging and subsequently leading to waste reduction.</w:t>
      </w:r>
    </w:p>
    <w:p w:rsidR="00494542" w:rsidRDefault="00494542" w:rsidP="00494542">
      <w:pPr>
        <w:rPr>
          <w:rFonts w:cs="Arial"/>
          <w:szCs w:val="24"/>
        </w:rPr>
      </w:pPr>
      <w:r>
        <w:rPr>
          <w:rFonts w:cs="Arial"/>
          <w:szCs w:val="24"/>
        </w:rPr>
        <w:lastRenderedPageBreak/>
        <w:t xml:space="preserve">Apart from this, the Four Seasons Resort Seychelles is among the few locations that allow recycling and garbage segregation, the resort has established a number of collaborations with recycling companies that specialise in handling certain commodities, such as glass, batteries, and scrap metal (Four Seasons ESG Report, 2023). It can be understood that by recycling such items, the brand contributes to the circular economy principle of keeping materials in use for as long as possible reducing the dependency on virgin resources. Furthermore, several resorts by Four Seasons offer end-of-life products from their establishments, ranging from electronics to linens to their employees for reuse; this not only reduces waste but maximises resource utilisation as well (Four Seasons ESG Report, 2023). </w:t>
      </w:r>
    </w:p>
    <w:p w:rsidR="00494542" w:rsidRDefault="00494542" w:rsidP="00494542">
      <w:pPr>
        <w:pStyle w:val="Heading1"/>
        <w:rPr>
          <w:rFonts w:cs="Arial"/>
          <w:szCs w:val="24"/>
        </w:rPr>
      </w:pPr>
      <w:bookmarkStart w:id="3" w:name="_Toc157295548"/>
      <w:r>
        <w:rPr>
          <w:rFonts w:cs="Arial"/>
          <w:szCs w:val="24"/>
        </w:rPr>
        <w:t>3. Conclusion</w:t>
      </w:r>
      <w:bookmarkEnd w:id="3"/>
    </w:p>
    <w:p w:rsidR="00494542" w:rsidRDefault="00494542" w:rsidP="00494542">
      <w:pPr>
        <w:rPr>
          <w:rFonts w:cs="Arial"/>
          <w:szCs w:val="24"/>
        </w:rPr>
      </w:pPr>
      <w:r>
        <w:rPr>
          <w:rFonts w:cs="Arial"/>
          <w:szCs w:val="24"/>
        </w:rPr>
        <w:t xml:space="preserve">This essay has helped in creating a rich and in-depth understanding of the concept of circular economy within the Corporate Social responsibility context through the analysis of the responsible practices by InterContinental Hotels Group. Founded in 1777, InterContinental Hotels Group Plc is a leading hotel company with a presence in more than 100 countries. The essay highlights that CSR is a contemporary approach to corporate management that involves business efforts geared toward preserving the environment, strengthening partnerships with various stakeholder groups, and assisting local communities. </w:t>
      </w:r>
    </w:p>
    <w:p w:rsidR="00494542" w:rsidRDefault="00494542" w:rsidP="00494542">
      <w:pPr>
        <w:rPr>
          <w:rFonts w:cs="Arial"/>
          <w:szCs w:val="24"/>
        </w:rPr>
      </w:pPr>
      <w:r>
        <w:rPr>
          <w:rFonts w:cs="Arial"/>
          <w:szCs w:val="24"/>
        </w:rPr>
        <w:t xml:space="preserve">In addition, the paper also notes that the phrase "circular economy" refers to a production and consumption model that emphasises the long-term reuse, repair, and recycling of existing resources and goods. It is reported that since both circular and CSR are geared toward encouraging resource efficiency, waste reduction, and environmental well-being, they complement each other perfectly. In light of this, the implementation of the circular economy by prominent brands such as the InterContinental Hotel Group, Marriott International, Hilton, and Four Seasons Hotels and Resorts have been discussed in detail to create a proper understanding of the subject matter. </w:t>
      </w:r>
    </w:p>
    <w:p w:rsidR="00494542" w:rsidRDefault="00494542" w:rsidP="00494542">
      <w:pPr>
        <w:jc w:val="left"/>
        <w:rPr>
          <w:rFonts w:eastAsiaTheme="majorEastAsia" w:cs="Arial"/>
          <w:b/>
          <w:bCs/>
          <w:szCs w:val="24"/>
        </w:rPr>
      </w:pPr>
      <w:r>
        <w:rPr>
          <w:rFonts w:cs="Arial"/>
          <w:szCs w:val="24"/>
        </w:rPr>
        <w:br w:type="page"/>
      </w:r>
      <w:bookmarkStart w:id="4" w:name="_Toc157295549"/>
    </w:p>
    <w:p w:rsidR="00494542" w:rsidRDefault="00494542" w:rsidP="00494542">
      <w:pPr>
        <w:pStyle w:val="Heading1"/>
        <w:rPr>
          <w:rFonts w:cs="Arial"/>
          <w:szCs w:val="24"/>
        </w:rPr>
      </w:pPr>
      <w:r>
        <w:rPr>
          <w:rFonts w:cs="Arial"/>
          <w:szCs w:val="24"/>
        </w:rPr>
        <w:lastRenderedPageBreak/>
        <w:t>4. References</w:t>
      </w:r>
      <w:bookmarkEnd w:id="4"/>
    </w:p>
    <w:p w:rsidR="00494542" w:rsidRDefault="00494542" w:rsidP="00494542">
      <w:pPr>
        <w:rPr>
          <w:rFonts w:cs="Arial"/>
          <w:szCs w:val="24"/>
          <w:lang w:val="en-US"/>
        </w:rPr>
      </w:pPr>
      <w:r>
        <w:rPr>
          <w:rFonts w:cs="Arial"/>
          <w:szCs w:val="24"/>
          <w:lang w:val="en-US"/>
        </w:rPr>
        <w:t xml:space="preserve">Forbes (2018) </w:t>
      </w:r>
      <w:r>
        <w:rPr>
          <w:rFonts w:cs="Arial"/>
          <w:i/>
          <w:iCs/>
          <w:szCs w:val="24"/>
          <w:lang w:val="en-US"/>
        </w:rPr>
        <w:t>InterContinental Hotels | Company Overview &amp; News</w:t>
      </w:r>
      <w:r>
        <w:rPr>
          <w:rFonts w:cs="Arial"/>
          <w:szCs w:val="24"/>
          <w:lang w:val="en-US"/>
        </w:rPr>
        <w:t xml:space="preserve">, </w:t>
      </w:r>
      <w:r>
        <w:rPr>
          <w:rFonts w:cs="Arial"/>
          <w:i/>
          <w:iCs/>
          <w:szCs w:val="24"/>
          <w:lang w:val="en-US"/>
        </w:rPr>
        <w:t>Forbes</w:t>
      </w:r>
      <w:r>
        <w:rPr>
          <w:rFonts w:cs="Arial"/>
          <w:szCs w:val="24"/>
          <w:lang w:val="en-US"/>
        </w:rPr>
        <w:t>. Available at: https://www.forbes.com/companies/intercontinental-hotels/?sh=49c7b40b3687 (Accessed: 25 January 2024).</w:t>
      </w:r>
    </w:p>
    <w:p w:rsidR="00494542" w:rsidRDefault="00494542" w:rsidP="00494542">
      <w:pPr>
        <w:rPr>
          <w:rFonts w:cs="Arial"/>
          <w:szCs w:val="24"/>
          <w:lang w:val="en-US"/>
        </w:rPr>
      </w:pPr>
      <w:r>
        <w:rPr>
          <w:rFonts w:cs="Arial"/>
          <w:szCs w:val="24"/>
          <w:lang w:val="en-US"/>
        </w:rPr>
        <w:t xml:space="preserve">Four Seasons ESG Report (2023) </w:t>
      </w:r>
      <w:r>
        <w:rPr>
          <w:rFonts w:cs="Arial"/>
          <w:i/>
          <w:iCs/>
          <w:szCs w:val="24"/>
          <w:lang w:val="en-US"/>
        </w:rPr>
        <w:t>FOUR SEASONS FOR GOOD</w:t>
      </w:r>
      <w:r>
        <w:rPr>
          <w:rFonts w:cs="Arial"/>
          <w:szCs w:val="24"/>
          <w:lang w:val="en-US"/>
        </w:rPr>
        <w:t>. Available at: https://www.fourseasons.com/content/dam/fourseasons/images/web/PDFs/2022-ESG-Report.pdf (Accessed: 28 January 2024).</w:t>
      </w:r>
    </w:p>
    <w:p w:rsidR="00494542" w:rsidRDefault="00494542" w:rsidP="00494542">
      <w:pPr>
        <w:rPr>
          <w:rFonts w:cs="Arial"/>
          <w:szCs w:val="24"/>
        </w:rPr>
      </w:pPr>
      <w:proofErr w:type="spellStart"/>
      <w:r>
        <w:rPr>
          <w:rFonts w:cs="Arial"/>
          <w:szCs w:val="24"/>
        </w:rPr>
        <w:t>Haski</w:t>
      </w:r>
      <w:proofErr w:type="spellEnd"/>
      <w:r>
        <w:rPr>
          <w:rFonts w:cs="Arial"/>
          <w:szCs w:val="24"/>
        </w:rPr>
        <w:t>-Leventhal, D., (2018). Strategic corporate social responsibility: Tools and theories for responsible management. </w:t>
      </w:r>
      <w:r>
        <w:rPr>
          <w:rFonts w:cs="Arial"/>
          <w:i/>
          <w:iCs/>
          <w:szCs w:val="24"/>
        </w:rPr>
        <w:t>Strategic Corporate Social Responsibility</w:t>
      </w:r>
      <w:r>
        <w:rPr>
          <w:rFonts w:cs="Arial"/>
          <w:szCs w:val="24"/>
        </w:rPr>
        <w:t>, pp.1-408.</w:t>
      </w:r>
    </w:p>
    <w:p w:rsidR="00494542" w:rsidRDefault="00494542" w:rsidP="00494542">
      <w:pPr>
        <w:rPr>
          <w:rFonts w:cs="Arial"/>
          <w:szCs w:val="24"/>
          <w:lang w:val="en-US"/>
        </w:rPr>
      </w:pPr>
      <w:r>
        <w:rPr>
          <w:rFonts w:cs="Arial"/>
          <w:szCs w:val="24"/>
          <w:lang w:val="en-US"/>
        </w:rPr>
        <w:t xml:space="preserve">Hilton ESG Report (2022) </w:t>
      </w:r>
      <w:r>
        <w:rPr>
          <w:rFonts w:cs="Arial"/>
          <w:i/>
          <w:iCs/>
          <w:szCs w:val="24"/>
          <w:lang w:val="en-US"/>
        </w:rPr>
        <w:t>Travel with Purpose</w:t>
      </w:r>
      <w:r>
        <w:rPr>
          <w:rFonts w:cs="Arial"/>
          <w:szCs w:val="24"/>
          <w:lang w:val="en-US"/>
        </w:rPr>
        <w:t>. Available at: https://esg.hilton.com/wp-content/uploads/sites/4/2023/04/Hilton-2022-Environmental-Social-and-Governance-Report.pdf (Accessed: 27 January 2024).</w:t>
      </w:r>
    </w:p>
    <w:p w:rsidR="00494542" w:rsidRDefault="00494542" w:rsidP="00494542">
      <w:pPr>
        <w:rPr>
          <w:rFonts w:cs="Arial"/>
          <w:szCs w:val="24"/>
          <w:lang w:val="en-US"/>
        </w:rPr>
      </w:pPr>
      <w:r>
        <w:rPr>
          <w:rFonts w:cs="Arial"/>
          <w:szCs w:val="24"/>
          <w:lang w:val="en-US"/>
        </w:rPr>
        <w:t xml:space="preserve">IHG (2023) </w:t>
      </w:r>
      <w:r>
        <w:rPr>
          <w:rFonts w:cs="Arial"/>
          <w:i/>
          <w:iCs/>
          <w:szCs w:val="24"/>
          <w:lang w:val="en-US"/>
        </w:rPr>
        <w:t xml:space="preserve">About </w:t>
      </w:r>
      <w:proofErr w:type="spellStart"/>
      <w:r>
        <w:rPr>
          <w:rFonts w:cs="Arial"/>
          <w:i/>
          <w:iCs/>
          <w:szCs w:val="24"/>
          <w:lang w:val="en-US"/>
        </w:rPr>
        <w:t>Elie</w:t>
      </w:r>
      <w:proofErr w:type="spellEnd"/>
      <w:r>
        <w:rPr>
          <w:rFonts w:cs="Arial"/>
          <w:i/>
          <w:iCs/>
          <w:szCs w:val="24"/>
          <w:lang w:val="en-US"/>
        </w:rPr>
        <w:t xml:space="preserve"> </w:t>
      </w:r>
      <w:proofErr w:type="spellStart"/>
      <w:r>
        <w:rPr>
          <w:rFonts w:cs="Arial"/>
          <w:i/>
          <w:iCs/>
          <w:szCs w:val="24"/>
          <w:lang w:val="en-US"/>
        </w:rPr>
        <w:t>Maalouf</w:t>
      </w:r>
      <w:proofErr w:type="spellEnd"/>
      <w:r>
        <w:rPr>
          <w:rFonts w:cs="Arial"/>
          <w:szCs w:val="24"/>
          <w:lang w:val="en-US"/>
        </w:rPr>
        <w:t xml:space="preserve">, </w:t>
      </w:r>
      <w:r>
        <w:rPr>
          <w:rFonts w:cs="Arial"/>
          <w:i/>
          <w:iCs/>
          <w:szCs w:val="24"/>
          <w:lang w:val="en-US"/>
        </w:rPr>
        <w:t>InterContinental Hotels Group PLC</w:t>
      </w:r>
      <w:r>
        <w:rPr>
          <w:rFonts w:cs="Arial"/>
          <w:szCs w:val="24"/>
          <w:lang w:val="en-US"/>
        </w:rPr>
        <w:t>. Available at: https://www.ihgplc.com/about-us/our-leadership/executive-committee/elie-maalouf#:~:text=Elie%20Maalouf%20has%20been%20Chief (Accessed: 25 January 2024).</w:t>
      </w:r>
    </w:p>
    <w:p w:rsidR="00494542" w:rsidRDefault="00494542" w:rsidP="00494542">
      <w:pPr>
        <w:rPr>
          <w:rFonts w:cs="Arial"/>
          <w:szCs w:val="24"/>
          <w:lang w:val="en-US"/>
        </w:rPr>
      </w:pPr>
      <w:r>
        <w:rPr>
          <w:rFonts w:cs="Arial"/>
          <w:szCs w:val="24"/>
          <w:lang w:val="en-US"/>
        </w:rPr>
        <w:t xml:space="preserve">IHG Responsible Business Report (2023) </w:t>
      </w:r>
      <w:r>
        <w:rPr>
          <w:rFonts w:cs="Arial"/>
          <w:i/>
          <w:iCs/>
          <w:szCs w:val="24"/>
          <w:lang w:val="en-US"/>
        </w:rPr>
        <w:t>True Hospitality for Good</w:t>
      </w:r>
      <w:r>
        <w:rPr>
          <w:rFonts w:cs="Arial"/>
          <w:szCs w:val="24"/>
          <w:lang w:val="en-US"/>
        </w:rPr>
        <w:t>. IHG Group. Available at: https://www.ihgplc.com/~/media/Files/I/Ihg-Plc/investors/annual-report/ihg-responsible-business-report-2022.pdf (Accessed: 27 January 2024).</w:t>
      </w:r>
    </w:p>
    <w:p w:rsidR="00494542" w:rsidRDefault="00494542" w:rsidP="00494542">
      <w:pPr>
        <w:rPr>
          <w:rFonts w:cs="Arial"/>
          <w:szCs w:val="24"/>
          <w:lang w:val="en-US"/>
        </w:rPr>
      </w:pPr>
      <w:r>
        <w:rPr>
          <w:rFonts w:cs="Arial"/>
          <w:szCs w:val="24"/>
          <w:lang w:val="en-US"/>
        </w:rPr>
        <w:t>Legrand, W., Sloan, P. and Chen, J.S. (2017) Sustainability in the Hospitality Industry: Principles of sustainable operations, 3rd Edition (Paperback) - Routledge, Routledge.com. Available at: https://www.routledge.com/Sustainability-in-the-Hospitality-Industry-Principles-of-sustainable-operations/Legrand-Sloan-Chen/p/book/9781138915367 (Accessed: 28 January 2024).</w:t>
      </w:r>
    </w:p>
    <w:p w:rsidR="00494542" w:rsidRDefault="00494542" w:rsidP="00494542">
      <w:pPr>
        <w:rPr>
          <w:rFonts w:cs="Arial"/>
          <w:szCs w:val="24"/>
          <w:lang w:val="en-US"/>
        </w:rPr>
      </w:pPr>
      <w:proofErr w:type="spellStart"/>
      <w:r>
        <w:rPr>
          <w:rFonts w:cs="Arial"/>
          <w:szCs w:val="24"/>
          <w:lang w:val="en-US"/>
        </w:rPr>
        <w:t>Macrotrends</w:t>
      </w:r>
      <w:proofErr w:type="spellEnd"/>
      <w:r>
        <w:rPr>
          <w:rFonts w:cs="Arial"/>
          <w:szCs w:val="24"/>
          <w:lang w:val="en-US"/>
        </w:rPr>
        <w:t xml:space="preserve"> (2023a) </w:t>
      </w:r>
      <w:r>
        <w:rPr>
          <w:rFonts w:cs="Arial"/>
          <w:i/>
          <w:iCs/>
          <w:szCs w:val="24"/>
          <w:lang w:val="en-US"/>
        </w:rPr>
        <w:t>Intercontinental Hotels Group: Number of Employees 2006-2022 | IHG</w:t>
      </w:r>
      <w:r>
        <w:rPr>
          <w:rFonts w:cs="Arial"/>
          <w:szCs w:val="24"/>
          <w:lang w:val="en-US"/>
        </w:rPr>
        <w:t xml:space="preserve">, </w:t>
      </w:r>
      <w:r>
        <w:rPr>
          <w:rFonts w:cs="Arial"/>
          <w:i/>
          <w:iCs/>
          <w:szCs w:val="24"/>
          <w:lang w:val="en-US"/>
        </w:rPr>
        <w:t>www.macrotrends.net</w:t>
      </w:r>
      <w:r>
        <w:rPr>
          <w:rFonts w:cs="Arial"/>
          <w:szCs w:val="24"/>
          <w:lang w:val="en-US"/>
        </w:rPr>
        <w:t>. Available at: https://www.macrotrends.net/stocks/charts/IHG/intercontinental-hotels-group/number-of-employees (Accessed: 25 January 2024).</w:t>
      </w:r>
    </w:p>
    <w:p w:rsidR="00494542" w:rsidRDefault="00494542" w:rsidP="00494542">
      <w:pPr>
        <w:rPr>
          <w:rFonts w:cs="Arial"/>
          <w:szCs w:val="24"/>
          <w:lang w:val="en-US"/>
        </w:rPr>
      </w:pPr>
      <w:proofErr w:type="spellStart"/>
      <w:r>
        <w:rPr>
          <w:rFonts w:cs="Arial"/>
          <w:szCs w:val="24"/>
          <w:lang w:val="en-US"/>
        </w:rPr>
        <w:lastRenderedPageBreak/>
        <w:t>Macrotrends</w:t>
      </w:r>
      <w:proofErr w:type="spellEnd"/>
      <w:r>
        <w:rPr>
          <w:rFonts w:cs="Arial"/>
          <w:szCs w:val="24"/>
          <w:lang w:val="en-US"/>
        </w:rPr>
        <w:t xml:space="preserve"> (2023b) </w:t>
      </w:r>
      <w:r>
        <w:rPr>
          <w:rFonts w:cs="Arial"/>
          <w:i/>
          <w:iCs/>
          <w:szCs w:val="24"/>
          <w:lang w:val="en-US"/>
        </w:rPr>
        <w:t>Intercontinental Hotels Group Revenue 2010-2022 | IHG</w:t>
      </w:r>
      <w:r>
        <w:rPr>
          <w:rFonts w:cs="Arial"/>
          <w:szCs w:val="24"/>
          <w:lang w:val="en-US"/>
        </w:rPr>
        <w:t xml:space="preserve">, </w:t>
      </w:r>
      <w:r>
        <w:rPr>
          <w:rFonts w:cs="Arial"/>
          <w:i/>
          <w:iCs/>
          <w:szCs w:val="24"/>
          <w:lang w:val="en-US"/>
        </w:rPr>
        <w:t>www.macrotrends.net</w:t>
      </w:r>
      <w:r>
        <w:rPr>
          <w:rFonts w:cs="Arial"/>
          <w:szCs w:val="24"/>
          <w:lang w:val="en-US"/>
        </w:rPr>
        <w:t>. Available at: https://www.macrotrends.net/stocks/charts/IHG/intercontinental-hotels-group/revenue#:~:text=Intercontinental%20Hotels%20Group%20annual%20revenue (Accessed: 25 January 2024).</w:t>
      </w:r>
    </w:p>
    <w:p w:rsidR="00494542" w:rsidRDefault="00494542" w:rsidP="00494542">
      <w:pPr>
        <w:rPr>
          <w:rFonts w:cs="Arial"/>
          <w:szCs w:val="24"/>
          <w:lang w:val="en-US"/>
        </w:rPr>
      </w:pPr>
      <w:r>
        <w:rPr>
          <w:rFonts w:cs="Arial"/>
          <w:szCs w:val="24"/>
          <w:lang w:val="en-US"/>
        </w:rPr>
        <w:t xml:space="preserve">Marriott International ESG Report (2022) </w:t>
      </w:r>
      <w:r>
        <w:rPr>
          <w:rFonts w:cs="Arial"/>
          <w:i/>
          <w:iCs/>
          <w:szCs w:val="24"/>
          <w:lang w:val="en-US"/>
        </w:rPr>
        <w:t xml:space="preserve">2022 SERVE 360 REPORT: Environmental, Social, and Governance </w:t>
      </w:r>
      <w:proofErr w:type="gramStart"/>
      <w:r>
        <w:rPr>
          <w:rFonts w:cs="Arial"/>
          <w:i/>
          <w:iCs/>
          <w:szCs w:val="24"/>
          <w:lang w:val="en-US"/>
        </w:rPr>
        <w:t xml:space="preserve">Progress </w:t>
      </w:r>
      <w:r>
        <w:rPr>
          <w:rFonts w:cs="Arial"/>
          <w:szCs w:val="24"/>
          <w:lang w:val="en-US"/>
        </w:rPr>
        <w:t>.</w:t>
      </w:r>
      <w:proofErr w:type="gramEnd"/>
      <w:r>
        <w:rPr>
          <w:rFonts w:cs="Arial"/>
          <w:szCs w:val="24"/>
          <w:lang w:val="en-US"/>
        </w:rPr>
        <w:t xml:space="preserve"> Available at: https://serve360.marriott.com/wp-content/uploads/2022/10/Marriott-2022-Serve-360-ESG-Report-accessible_F.pdf (Accessed: 27 January 2024).</w:t>
      </w:r>
    </w:p>
    <w:p w:rsidR="00494542" w:rsidRDefault="00494542" w:rsidP="00494542">
      <w:pPr>
        <w:rPr>
          <w:rFonts w:cs="Arial"/>
          <w:szCs w:val="24"/>
          <w:lang w:val="en-US"/>
        </w:rPr>
      </w:pPr>
      <w:proofErr w:type="spellStart"/>
      <w:r>
        <w:rPr>
          <w:rFonts w:cs="Arial"/>
          <w:szCs w:val="24"/>
          <w:lang w:val="en-US"/>
        </w:rPr>
        <w:t>Olanipekun</w:t>
      </w:r>
      <w:proofErr w:type="spellEnd"/>
      <w:r>
        <w:rPr>
          <w:rFonts w:cs="Arial"/>
          <w:szCs w:val="24"/>
          <w:lang w:val="en-US"/>
        </w:rPr>
        <w:t xml:space="preserve">, A.O. and </w:t>
      </w:r>
      <w:proofErr w:type="spellStart"/>
      <w:r>
        <w:rPr>
          <w:rFonts w:cs="Arial"/>
          <w:szCs w:val="24"/>
          <w:lang w:val="en-US"/>
        </w:rPr>
        <w:t>Omotayo</w:t>
      </w:r>
      <w:proofErr w:type="spellEnd"/>
      <w:r>
        <w:rPr>
          <w:rFonts w:cs="Arial"/>
          <w:szCs w:val="24"/>
          <w:lang w:val="en-US"/>
        </w:rPr>
        <w:t xml:space="preserve">, T. (2020) ‘Review of the Use of Corporate Social Responsibility (CSR) Tools’, </w:t>
      </w:r>
      <w:r>
        <w:rPr>
          <w:rFonts w:cs="Arial"/>
          <w:i/>
          <w:iCs/>
          <w:szCs w:val="24"/>
          <w:lang w:val="en-US"/>
        </w:rPr>
        <w:t>Sustainable Production and Consumption</w:t>
      </w:r>
      <w:r>
        <w:rPr>
          <w:rFonts w:cs="Arial"/>
          <w:szCs w:val="24"/>
          <w:lang w:val="en-US"/>
        </w:rPr>
        <w:t>, 27. Available at: https://doi.org/10.1016/j.spc.2020.11.012.</w:t>
      </w:r>
    </w:p>
    <w:p w:rsidR="00494542" w:rsidRDefault="00494542" w:rsidP="00494542">
      <w:pPr>
        <w:rPr>
          <w:rFonts w:cs="Arial"/>
          <w:szCs w:val="24"/>
          <w:lang w:val="en-US"/>
        </w:rPr>
      </w:pPr>
      <w:proofErr w:type="spellStart"/>
      <w:r>
        <w:rPr>
          <w:rFonts w:cs="Arial"/>
          <w:szCs w:val="24"/>
          <w:lang w:val="en-US"/>
        </w:rPr>
        <w:t>Sehnem</w:t>
      </w:r>
      <w:proofErr w:type="spellEnd"/>
      <w:r>
        <w:rPr>
          <w:rFonts w:cs="Arial"/>
          <w:szCs w:val="24"/>
          <w:lang w:val="en-US"/>
        </w:rPr>
        <w:t xml:space="preserve">, S. </w:t>
      </w:r>
      <w:r>
        <w:rPr>
          <w:rFonts w:cs="Arial"/>
          <w:i/>
          <w:iCs/>
          <w:szCs w:val="24"/>
          <w:lang w:val="en-US"/>
        </w:rPr>
        <w:t>et al.</w:t>
      </w:r>
      <w:r>
        <w:rPr>
          <w:rFonts w:cs="Arial"/>
          <w:szCs w:val="24"/>
          <w:lang w:val="en-US"/>
        </w:rPr>
        <w:t xml:space="preserve"> (2019) ‘Circular economy: benefits, impacts and overlapping’, </w:t>
      </w:r>
      <w:r>
        <w:rPr>
          <w:rFonts w:cs="Arial"/>
          <w:i/>
          <w:iCs/>
          <w:szCs w:val="24"/>
          <w:lang w:val="en-US"/>
        </w:rPr>
        <w:t>Supply Chain Management: An International Journal</w:t>
      </w:r>
      <w:r>
        <w:rPr>
          <w:rFonts w:cs="Arial"/>
          <w:szCs w:val="24"/>
          <w:lang w:val="en-US"/>
        </w:rPr>
        <w:t>, 24(6), pp. 784–804. Available at: https://doi.org/10.1108/scm-06-2018-0213.</w:t>
      </w:r>
    </w:p>
    <w:p w:rsidR="00494542" w:rsidRDefault="00494542" w:rsidP="00494542">
      <w:pPr>
        <w:rPr>
          <w:rFonts w:cs="Arial"/>
          <w:szCs w:val="24"/>
          <w:lang w:val="en-US"/>
        </w:rPr>
      </w:pPr>
      <w:proofErr w:type="spellStart"/>
      <w:r>
        <w:rPr>
          <w:rFonts w:cs="Arial"/>
          <w:szCs w:val="24"/>
          <w:lang w:val="en-US"/>
        </w:rPr>
        <w:t>Velenturf</w:t>
      </w:r>
      <w:proofErr w:type="spellEnd"/>
      <w:r>
        <w:rPr>
          <w:rFonts w:cs="Arial"/>
          <w:szCs w:val="24"/>
          <w:lang w:val="en-US"/>
        </w:rPr>
        <w:t xml:space="preserve">, A.P.M. and Purnell, P. (2021) ‘Principles for a Sustainable Circular Economy’, </w:t>
      </w:r>
      <w:r>
        <w:rPr>
          <w:rFonts w:cs="Arial"/>
          <w:i/>
          <w:iCs/>
          <w:szCs w:val="24"/>
          <w:lang w:val="en-US"/>
        </w:rPr>
        <w:t>Sustainable Production and Consumption</w:t>
      </w:r>
      <w:r>
        <w:rPr>
          <w:rFonts w:cs="Arial"/>
          <w:szCs w:val="24"/>
          <w:lang w:val="en-US"/>
        </w:rPr>
        <w:t>, 27(1), pp. 1437–1457. Available at: https://doi.org/10.1016/j.spc.2021.02.018.</w:t>
      </w:r>
    </w:p>
    <w:p w:rsidR="00494542" w:rsidRDefault="00494542" w:rsidP="00494542">
      <w:pPr>
        <w:pStyle w:val="Heading1"/>
        <w:rPr>
          <w:rFonts w:cs="Arial"/>
          <w:szCs w:val="24"/>
        </w:rPr>
      </w:pPr>
      <w:bookmarkStart w:id="5" w:name="_Toc157295550"/>
      <w:r>
        <w:rPr>
          <w:rFonts w:cs="Arial"/>
          <w:szCs w:val="24"/>
        </w:rPr>
        <w:t>5. Appendix</w:t>
      </w:r>
      <w:bookmarkEnd w:id="5"/>
    </w:p>
    <w:p w:rsidR="00494542" w:rsidRDefault="00494542" w:rsidP="00494542">
      <w:pPr>
        <w:rPr>
          <w:rFonts w:cs="Arial"/>
          <w:b/>
          <w:i/>
          <w:szCs w:val="24"/>
        </w:rPr>
      </w:pPr>
      <w:r>
        <w:rPr>
          <w:rFonts w:cs="Arial"/>
          <w:b/>
          <w:i/>
          <w:szCs w:val="24"/>
        </w:rPr>
        <w:t>Appendix 1</w:t>
      </w:r>
    </w:p>
    <w:p w:rsidR="00494542" w:rsidRDefault="00494542" w:rsidP="00494542">
      <w:pPr>
        <w:jc w:val="center"/>
        <w:rPr>
          <w:rFonts w:cs="Arial"/>
          <w:szCs w:val="24"/>
        </w:rPr>
      </w:pPr>
      <w:r>
        <w:rPr>
          <w:rFonts w:cs="Arial"/>
          <w:noProof/>
          <w:szCs w:val="24"/>
          <w:lang w:eastAsia="en-GB"/>
        </w:rPr>
        <w:lastRenderedPageBreak/>
        <w:drawing>
          <wp:inline distT="0" distB="0" distL="0" distR="0">
            <wp:extent cx="4400550"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0550" cy="3390900"/>
                    </a:xfrm>
                    <a:prstGeom prst="rect">
                      <a:avLst/>
                    </a:prstGeom>
                    <a:noFill/>
                    <a:ln>
                      <a:noFill/>
                    </a:ln>
                  </pic:spPr>
                </pic:pic>
              </a:graphicData>
            </a:graphic>
          </wp:inline>
        </w:drawing>
      </w:r>
    </w:p>
    <w:p w:rsidR="00494542" w:rsidRDefault="00494542" w:rsidP="00494542">
      <w:pPr>
        <w:jc w:val="center"/>
        <w:rPr>
          <w:rFonts w:cs="Arial"/>
          <w:b/>
          <w:szCs w:val="24"/>
        </w:rPr>
      </w:pPr>
      <w:r>
        <w:rPr>
          <w:rFonts w:cs="Arial"/>
          <w:b/>
          <w:szCs w:val="24"/>
        </w:rPr>
        <w:t>Figure 2: Concept of circular economy</w:t>
      </w:r>
    </w:p>
    <w:p w:rsidR="00494542" w:rsidRDefault="00494542" w:rsidP="00494542">
      <w:pPr>
        <w:jc w:val="center"/>
        <w:rPr>
          <w:rFonts w:cs="Arial"/>
          <w:szCs w:val="24"/>
        </w:rPr>
      </w:pPr>
      <w:r>
        <w:rPr>
          <w:rFonts w:cs="Arial"/>
          <w:szCs w:val="24"/>
        </w:rPr>
        <w:t xml:space="preserve">(Source: </w:t>
      </w:r>
      <w:proofErr w:type="spellStart"/>
      <w:r>
        <w:rPr>
          <w:rFonts w:cs="Arial"/>
          <w:szCs w:val="24"/>
        </w:rPr>
        <w:t>Velenturf</w:t>
      </w:r>
      <w:proofErr w:type="spellEnd"/>
      <w:r>
        <w:rPr>
          <w:rFonts w:cs="Arial"/>
          <w:szCs w:val="24"/>
        </w:rPr>
        <w:t xml:space="preserve"> and Purnell, 2021)</w:t>
      </w:r>
    </w:p>
    <w:p w:rsidR="00494542" w:rsidRDefault="00494542" w:rsidP="00494542">
      <w:pPr>
        <w:jc w:val="left"/>
        <w:rPr>
          <w:rFonts w:cs="Arial"/>
          <w:szCs w:val="24"/>
        </w:rPr>
      </w:pPr>
      <w:r>
        <w:rPr>
          <w:rFonts w:cs="Arial"/>
          <w:szCs w:val="24"/>
        </w:rPr>
        <w:br w:type="page"/>
      </w:r>
    </w:p>
    <w:p w:rsidR="00494542" w:rsidRDefault="00494542" w:rsidP="00494542">
      <w:pPr>
        <w:rPr>
          <w:rFonts w:cs="Arial"/>
          <w:b/>
          <w:i/>
          <w:szCs w:val="24"/>
        </w:rPr>
      </w:pPr>
      <w:r>
        <w:rPr>
          <w:rFonts w:cs="Arial"/>
          <w:b/>
          <w:i/>
          <w:szCs w:val="24"/>
        </w:rPr>
        <w:lastRenderedPageBreak/>
        <w:t>Appendix 2</w:t>
      </w:r>
    </w:p>
    <w:p w:rsidR="00494542" w:rsidRDefault="00494542" w:rsidP="00494542">
      <w:pPr>
        <w:jc w:val="center"/>
        <w:rPr>
          <w:rFonts w:cs="Arial"/>
          <w:szCs w:val="24"/>
        </w:rPr>
      </w:pPr>
      <w:r>
        <w:rPr>
          <w:rFonts w:cs="Arial"/>
          <w:noProof/>
          <w:szCs w:val="24"/>
          <w:lang w:eastAsia="en-GB"/>
        </w:rPr>
        <w:drawing>
          <wp:inline distT="0" distB="0" distL="0" distR="0">
            <wp:extent cx="3009900" cy="3067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900" cy="3067050"/>
                    </a:xfrm>
                    <a:prstGeom prst="rect">
                      <a:avLst/>
                    </a:prstGeom>
                    <a:noFill/>
                    <a:ln>
                      <a:noFill/>
                    </a:ln>
                  </pic:spPr>
                </pic:pic>
              </a:graphicData>
            </a:graphic>
          </wp:inline>
        </w:drawing>
      </w:r>
    </w:p>
    <w:p w:rsidR="00494542" w:rsidRDefault="00494542" w:rsidP="00494542">
      <w:pPr>
        <w:jc w:val="center"/>
        <w:rPr>
          <w:rFonts w:cs="Arial"/>
          <w:b/>
          <w:szCs w:val="24"/>
        </w:rPr>
      </w:pPr>
      <w:r>
        <w:rPr>
          <w:rFonts w:cs="Arial"/>
          <w:b/>
          <w:szCs w:val="24"/>
        </w:rPr>
        <w:t>Figure 3: Sustainability commitments by IHG</w:t>
      </w:r>
    </w:p>
    <w:p w:rsidR="00494542" w:rsidRDefault="00494542" w:rsidP="00494542">
      <w:pPr>
        <w:jc w:val="center"/>
        <w:rPr>
          <w:rFonts w:cs="Arial"/>
          <w:szCs w:val="24"/>
        </w:rPr>
      </w:pPr>
      <w:r>
        <w:rPr>
          <w:rFonts w:cs="Arial"/>
          <w:szCs w:val="24"/>
        </w:rPr>
        <w:t>(Source: IHG Responsible Business Report, 2023)</w:t>
      </w:r>
    </w:p>
    <w:p w:rsidR="00BA5821" w:rsidRPr="00494542" w:rsidRDefault="00BA5821">
      <w:pPr>
        <w:rPr>
          <w:rFonts w:ascii="Times New Roman" w:hAnsi="Times New Roman" w:cs="Times New Roman"/>
          <w:szCs w:val="24"/>
        </w:rPr>
      </w:pPr>
    </w:p>
    <w:sectPr w:rsidR="00BA5821" w:rsidRPr="004945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542"/>
    <w:rsid w:val="00494542"/>
    <w:rsid w:val="00BA5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8347D"/>
  <w15:chartTrackingRefBased/>
  <w15:docId w15:val="{589BC32D-6419-4C18-833F-F88E2CEE5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4542"/>
    <w:pPr>
      <w:spacing w:after="200" w:line="360" w:lineRule="auto"/>
      <w:jc w:val="both"/>
    </w:pPr>
    <w:rPr>
      <w:rFonts w:ascii="Arial" w:hAnsi="Arial"/>
      <w:sz w:val="24"/>
    </w:rPr>
  </w:style>
  <w:style w:type="paragraph" w:styleId="Heading1">
    <w:name w:val="heading 1"/>
    <w:basedOn w:val="Normal"/>
    <w:next w:val="Normal"/>
    <w:link w:val="Heading1Char"/>
    <w:uiPriority w:val="9"/>
    <w:qFormat/>
    <w:rsid w:val="00494542"/>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542"/>
    <w:rPr>
      <w:rFonts w:ascii="Arial" w:eastAsiaTheme="majorEastAsia" w:hAnsi="Arial" w:cstheme="majorBidi"/>
      <w:b/>
      <w:bCs/>
      <w:sz w:val="24"/>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127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2534</Words>
  <Characters>14448</Characters>
  <Application>Microsoft Office Word</Application>
  <DocSecurity>0</DocSecurity>
  <Lines>120</Lines>
  <Paragraphs>33</Paragraphs>
  <ScaleCrop>false</ScaleCrop>
  <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Steak on Six</dc:creator>
  <cp:keywords/>
  <dc:description/>
  <cp:lastModifiedBy>Steak on Six</cp:lastModifiedBy>
  <cp:revision>1</cp:revision>
  <dcterms:created xsi:type="dcterms:W3CDTF">2024-01-31T11:31:00Z</dcterms:created>
  <dcterms:modified xsi:type="dcterms:W3CDTF">2024-01-31T11:33:00Z</dcterms:modified>
</cp:coreProperties>
</file>