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8135F" w:rsidP="55E95815" w:rsidRDefault="44983B4C" w14:paraId="327512B8" w14:textId="1F4E13C2">
      <w:pPr>
        <w:rPr>
          <w:rFonts w:ascii="Arial Nova" w:hAnsi="Arial Nova" w:eastAsia="Arial Nova" w:cs="Arial Nova"/>
          <w:b/>
          <w:bCs/>
          <w:color w:val="000000" w:themeColor="text1"/>
          <w:sz w:val="32"/>
          <w:szCs w:val="32"/>
        </w:rPr>
      </w:pPr>
      <w:r w:rsidRPr="55E95815">
        <w:rPr>
          <w:rFonts w:ascii="Arial Nova" w:hAnsi="Arial Nova" w:eastAsia="Arial Nova" w:cs="Arial Nova"/>
          <w:b/>
          <w:bCs/>
          <w:color w:val="000000" w:themeColor="text1"/>
          <w:sz w:val="32"/>
          <w:szCs w:val="32"/>
        </w:rPr>
        <w:t>TTP plc (The Technol</w:t>
      </w:r>
      <w:r w:rsidRPr="55E95815" w:rsidR="31660998">
        <w:rPr>
          <w:rFonts w:ascii="Arial Nova" w:hAnsi="Arial Nova" w:eastAsia="Arial Nova" w:cs="Arial Nova"/>
          <w:b/>
          <w:bCs/>
          <w:color w:val="000000" w:themeColor="text1"/>
          <w:sz w:val="32"/>
          <w:szCs w:val="32"/>
        </w:rPr>
        <w:t>ogy Partnership)</w:t>
      </w:r>
    </w:p>
    <w:p w:rsidR="00E8135F" w:rsidP="55E95815" w:rsidRDefault="00E8135F" w14:paraId="7D04A41A" w14:textId="13F7B289">
      <w:pPr>
        <w:rPr>
          <w:rFonts w:ascii="Arial Nova" w:hAnsi="Arial Nova" w:eastAsia="Arial Nova" w:cs="Arial Nova"/>
          <w:color w:val="000000" w:themeColor="text1"/>
          <w:sz w:val="22"/>
          <w:szCs w:val="22"/>
        </w:rPr>
      </w:pPr>
    </w:p>
    <w:p w:rsidR="00E8135F" w:rsidP="55E95815" w:rsidRDefault="6A6DAECB" w14:paraId="138014EE" w14:textId="6FD117B7">
      <w:pPr>
        <w:rPr>
          <w:rFonts w:ascii="Arial Nova" w:hAnsi="Arial Nova" w:eastAsia="Arial Nova" w:cs="Arial Nova"/>
          <w:color w:val="000000" w:themeColor="text1"/>
          <w:sz w:val="22"/>
          <w:szCs w:val="22"/>
        </w:rPr>
      </w:pPr>
      <w:r w:rsidRPr="55E95815">
        <w:rPr>
          <w:rFonts w:ascii="Arial Nova" w:hAnsi="Arial Nova" w:eastAsia="Arial Nova" w:cs="Arial Nova"/>
          <w:color w:val="000000" w:themeColor="text1"/>
          <w:sz w:val="22"/>
          <w:szCs w:val="22"/>
        </w:rPr>
        <w:t>Student Name: Raz Valentino</w:t>
      </w:r>
    </w:p>
    <w:p w:rsidR="00E8135F" w:rsidP="55E95815" w:rsidRDefault="6A6DAECB" w14:paraId="2FC73040" w14:textId="4CA5C107">
      <w:pPr>
        <w:rPr>
          <w:rFonts w:ascii="Arial Nova" w:hAnsi="Arial Nova" w:eastAsia="Arial Nova" w:cs="Arial Nova"/>
          <w:color w:val="000000" w:themeColor="text1"/>
          <w:sz w:val="22"/>
          <w:szCs w:val="22"/>
        </w:rPr>
      </w:pPr>
      <w:r w:rsidRPr="55E95815">
        <w:rPr>
          <w:rFonts w:ascii="Arial Nova" w:hAnsi="Arial Nova" w:eastAsia="Arial Nova" w:cs="Arial Nova"/>
          <w:color w:val="000000" w:themeColor="text1"/>
          <w:sz w:val="22"/>
          <w:szCs w:val="22"/>
        </w:rPr>
        <w:t>Student ID: 2408387</w:t>
      </w:r>
    </w:p>
    <w:p w:rsidR="00E8135F" w:rsidP="55E95815" w:rsidRDefault="6A6DAECB" w14:paraId="7A1D6631" w14:textId="7D1C38AC">
      <w:pPr>
        <w:rPr>
          <w:rFonts w:ascii="Arial Nova" w:hAnsi="Arial Nova" w:eastAsia="Arial Nova" w:cs="Arial Nova"/>
          <w:sz w:val="22"/>
          <w:szCs w:val="22"/>
        </w:rPr>
      </w:pPr>
      <w:r w:rsidRPr="55E95815">
        <w:rPr>
          <w:rFonts w:ascii="Arial Nova" w:hAnsi="Arial Nova" w:eastAsia="Arial Nova" w:cs="Arial Nova"/>
          <w:color w:val="000000" w:themeColor="text1"/>
          <w:sz w:val="22"/>
          <w:szCs w:val="22"/>
        </w:rPr>
        <w:t xml:space="preserve">Module: </w:t>
      </w:r>
      <w:r w:rsidRPr="55E95815" w:rsidR="13067DEA">
        <w:rPr>
          <w:rFonts w:ascii="Arial Nova" w:hAnsi="Arial Nova" w:eastAsia="Arial Nova" w:cs="Arial Nova"/>
          <w:color w:val="1D2125"/>
          <w:sz w:val="22"/>
          <w:szCs w:val="22"/>
        </w:rPr>
        <w:t>LCLM 5001 Understanding and Engaging Stakeholders</w:t>
      </w:r>
    </w:p>
    <w:p w:rsidR="00E8135F" w:rsidP="55E95815" w:rsidRDefault="6A6DAECB" w14:paraId="5E5787A5" w14:textId="13F3BCB9">
      <w:pPr>
        <w:rPr>
          <w:rFonts w:ascii="Arial Nova" w:hAnsi="Arial Nova" w:eastAsia="Arial Nova" w:cs="Arial Nova"/>
          <w:sz w:val="22"/>
          <w:szCs w:val="22"/>
        </w:rPr>
      </w:pPr>
      <w:r w:rsidRPr="55E95815">
        <w:rPr>
          <w:rFonts w:ascii="Arial Nova" w:hAnsi="Arial Nova" w:eastAsia="Arial Nova" w:cs="Arial Nova"/>
          <w:color w:val="000000" w:themeColor="text1"/>
          <w:sz w:val="22"/>
          <w:szCs w:val="22"/>
        </w:rPr>
        <w:t>Lecturer:</w:t>
      </w:r>
      <w:r w:rsidRPr="55E95815" w:rsidR="750A3A1E">
        <w:rPr>
          <w:rFonts w:ascii="Arial Nova" w:hAnsi="Arial Nova" w:eastAsia="Arial Nova" w:cs="Arial Nova"/>
          <w:color w:val="000000" w:themeColor="text1"/>
          <w:sz w:val="22"/>
          <w:szCs w:val="22"/>
        </w:rPr>
        <w:t xml:space="preserve"> </w:t>
      </w:r>
      <w:r w:rsidRPr="55E95815" w:rsidR="7FF8090A">
        <w:rPr>
          <w:rFonts w:ascii="Arial Nova" w:hAnsi="Arial Nova" w:eastAsia="Arial Nova" w:cs="Arial Nova"/>
          <w:color w:val="242130"/>
          <w:sz w:val="22"/>
          <w:szCs w:val="22"/>
        </w:rPr>
        <w:t>Sharin Mcdowall-Emefiele</w:t>
      </w:r>
    </w:p>
    <w:p w:rsidR="55E95815" w:rsidP="55E95815" w:rsidRDefault="55E95815" w14:paraId="58593349" w14:textId="2678FA3B">
      <w:pPr>
        <w:rPr>
          <w:rFonts w:ascii="Arial Nova" w:hAnsi="Arial Nova" w:eastAsia="Arial Nova" w:cs="Arial Nova"/>
          <w:color w:val="242130"/>
          <w:sz w:val="22"/>
          <w:szCs w:val="22"/>
        </w:rPr>
      </w:pPr>
    </w:p>
    <w:p w:rsidR="55E95815" w:rsidP="55E95815" w:rsidRDefault="55E95815" w14:paraId="71727005" w14:textId="74E4CEB1">
      <w:pPr>
        <w:rPr>
          <w:rFonts w:ascii="Arial Nova" w:hAnsi="Arial Nova" w:eastAsia="Arial Nova" w:cs="Arial Nova"/>
          <w:color w:val="242130"/>
          <w:sz w:val="22"/>
          <w:szCs w:val="22"/>
        </w:rPr>
      </w:pPr>
    </w:p>
    <w:p w:rsidR="6F8707FC" w:rsidP="55E95815" w:rsidRDefault="6F8707FC" w14:paraId="4D1A75A2" w14:textId="08935162">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Table of Contents</w:t>
      </w:r>
    </w:p>
    <w:p w:rsidR="55E95815" w:rsidP="55E95815" w:rsidRDefault="55E95815" w14:paraId="70751002" w14:textId="29BF6ABA">
      <w:pPr>
        <w:rPr>
          <w:rFonts w:ascii="Arial" w:hAnsi="Arial" w:eastAsia="Arial" w:cs="Arial"/>
          <w:color w:val="000000" w:themeColor="text1"/>
          <w:sz w:val="22"/>
          <w:szCs w:val="22"/>
        </w:rPr>
      </w:pPr>
    </w:p>
    <w:p w:rsidR="6F8707FC" w:rsidP="55E95815" w:rsidRDefault="6F8707FC" w14:paraId="05895FA0" w14:textId="4F0F600E">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1. Introduction</w:t>
      </w:r>
    </w:p>
    <w:p w:rsidR="6F8707FC" w:rsidP="55E95815" w:rsidRDefault="6F8707FC" w14:paraId="633AD681" w14:textId="74255273">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overview</w:t>
      </w:r>
    </w:p>
    <w:p w:rsidR="6F8707FC" w:rsidP="55E95815" w:rsidRDefault="6F8707FC" w14:paraId="094A7BB0" w14:textId="42FA849F">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Purpose of the report</w:t>
      </w:r>
    </w:p>
    <w:p w:rsidR="6F8707FC" w:rsidP="55E95815" w:rsidRDefault="6F8707FC" w14:paraId="01ECF009" w14:textId="6F212B10">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importance in healthcare innovation</w:t>
      </w:r>
    </w:p>
    <w:p w:rsidR="6F8707FC" w:rsidP="55E95815" w:rsidRDefault="6F8707FC" w14:paraId="67D64B25" w14:textId="6644EC69">
      <w:pPr>
        <w:pStyle w:val="ListParagraph"/>
        <w:numPr>
          <w:ilvl w:val="0"/>
          <w:numId w:val="13"/>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Theoretical frameworks and models used</w:t>
      </w:r>
    </w:p>
    <w:p w:rsidR="6F8707FC" w:rsidP="55E95815" w:rsidRDefault="6F8707FC" w14:paraId="39B6B52D" w14:textId="628BF93B">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7E30DEE4">
        <w:rPr>
          <w:rFonts w:ascii="Arial" w:hAnsi="Arial" w:eastAsia="Arial" w:cs="Arial"/>
          <w:color w:val="000000" w:themeColor="text1" w:themeTint="FF" w:themeShade="FF"/>
          <w:sz w:val="22"/>
          <w:szCs w:val="22"/>
        </w:rPr>
        <w:t>3</w:t>
      </w:r>
    </w:p>
    <w:p w:rsidR="55E95815" w:rsidP="55E95815" w:rsidRDefault="55E95815" w14:paraId="61AE5EAA" w14:textId="7DFD23C0">
      <w:pPr>
        <w:rPr>
          <w:rFonts w:ascii="Arial" w:hAnsi="Arial" w:eastAsia="Arial" w:cs="Arial"/>
          <w:color w:val="000000" w:themeColor="text1"/>
          <w:sz w:val="22"/>
          <w:szCs w:val="22"/>
        </w:rPr>
      </w:pPr>
    </w:p>
    <w:p w:rsidR="55E95815" w:rsidP="55E95815" w:rsidRDefault="55E95815" w14:paraId="7B611086" w14:textId="4D1DE3E7">
      <w:pPr>
        <w:rPr>
          <w:rFonts w:ascii="Arial" w:hAnsi="Arial" w:eastAsia="Arial" w:cs="Arial"/>
          <w:color w:val="000000" w:themeColor="text1"/>
          <w:sz w:val="22"/>
          <w:szCs w:val="22"/>
        </w:rPr>
      </w:pPr>
    </w:p>
    <w:p w:rsidR="6F8707FC" w:rsidP="55E95815" w:rsidRDefault="6F8707FC" w14:paraId="482C467A" w14:textId="2CDA73AC">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2. SWOT Analysis of Stakeholder Landscape</w:t>
      </w:r>
    </w:p>
    <w:p w:rsidR="6F8707FC" w:rsidP="55E95815" w:rsidRDefault="6F8707FC" w14:paraId="44A6CC5F" w14:textId="338F68FF">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Strengths</w:t>
      </w:r>
    </w:p>
    <w:p w:rsidR="6F8707FC" w:rsidP="55E95815" w:rsidRDefault="6F8707FC" w14:paraId="7EF540C2" w14:textId="61F44BC7">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Weaknesses</w:t>
      </w:r>
    </w:p>
    <w:p w:rsidR="6F8707FC" w:rsidP="55E95815" w:rsidRDefault="6F8707FC" w14:paraId="6369EA43" w14:textId="6998A511">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Opportunities</w:t>
      </w:r>
    </w:p>
    <w:p w:rsidR="6F8707FC" w:rsidP="55E95815" w:rsidRDefault="6F8707FC" w14:paraId="2DEEADFB" w14:textId="20F59132">
      <w:pPr>
        <w:pStyle w:val="ListParagraph"/>
        <w:numPr>
          <w:ilvl w:val="0"/>
          <w:numId w:val="10"/>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Threats</w:t>
      </w:r>
    </w:p>
    <w:p w:rsidR="6F8707FC" w:rsidP="55E95815" w:rsidRDefault="6F8707FC" w14:paraId="35A81EB3" w14:textId="5C3E41B4">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6F8EE2B1">
        <w:rPr>
          <w:rFonts w:ascii="Arial" w:hAnsi="Arial" w:eastAsia="Arial" w:cs="Arial"/>
          <w:color w:val="000000" w:themeColor="text1" w:themeTint="FF" w:themeShade="FF"/>
          <w:sz w:val="22"/>
          <w:szCs w:val="22"/>
        </w:rPr>
        <w:t>4-5</w:t>
      </w:r>
    </w:p>
    <w:p w:rsidR="55E95815" w:rsidP="55E95815" w:rsidRDefault="55E95815" w14:paraId="21B4579A" w14:textId="0047FF83">
      <w:pPr>
        <w:rPr>
          <w:rFonts w:ascii="Arial" w:hAnsi="Arial" w:eastAsia="Arial" w:cs="Arial"/>
          <w:color w:val="000000" w:themeColor="text1"/>
          <w:sz w:val="22"/>
          <w:szCs w:val="22"/>
        </w:rPr>
      </w:pPr>
    </w:p>
    <w:p w:rsidR="55E95815" w:rsidP="55E95815" w:rsidRDefault="55E95815" w14:paraId="0DD0AA80" w14:textId="4A120FD5">
      <w:pPr>
        <w:rPr>
          <w:rFonts w:ascii="Arial" w:hAnsi="Arial" w:eastAsia="Arial" w:cs="Arial"/>
          <w:color w:val="000000" w:themeColor="text1"/>
          <w:sz w:val="22"/>
          <w:szCs w:val="22"/>
        </w:rPr>
      </w:pPr>
    </w:p>
    <w:p w:rsidR="6F8707FC" w:rsidP="55E95815" w:rsidRDefault="6F8707FC" w14:paraId="275E6257" w14:textId="26B1F8BA">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3. Stakeholder Mapping and Identification</w:t>
      </w:r>
    </w:p>
    <w:p w:rsidR="6F8707FC" w:rsidP="55E95815" w:rsidRDefault="6F8707FC" w14:paraId="5E491D38" w14:textId="0EA03231">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Internal vs external stakeholders</w:t>
      </w:r>
    </w:p>
    <w:p w:rsidR="6F8707FC" w:rsidP="55E95815" w:rsidRDefault="6F8707FC" w14:paraId="66E2DEA9" w14:textId="3BAAFF79">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salience (Power, Legitimacy, Urgency)</w:t>
      </w:r>
    </w:p>
    <w:p w:rsidR="6F8707FC" w:rsidP="55E95815" w:rsidRDefault="6F8707FC" w14:paraId="33A7B2AF" w14:textId="02A301DC">
      <w:pPr>
        <w:pStyle w:val="ListParagraph"/>
        <w:numPr>
          <w:ilvl w:val="0"/>
          <w:numId w:val="9"/>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Power–Interest Matrix</w:t>
      </w:r>
    </w:p>
    <w:p w:rsidR="6F8707FC" w:rsidP="55E95815" w:rsidRDefault="6F8707FC" w14:paraId="695DB41F" w14:textId="14A013E8">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544A9B20">
        <w:rPr>
          <w:rFonts w:ascii="Arial" w:hAnsi="Arial" w:eastAsia="Arial" w:cs="Arial"/>
          <w:color w:val="000000" w:themeColor="text1" w:themeTint="FF" w:themeShade="FF"/>
          <w:sz w:val="22"/>
          <w:szCs w:val="22"/>
        </w:rPr>
        <w:t>5</w:t>
      </w:r>
      <w:r w:rsidRPr="5335A2D9" w:rsidR="40A80BF8">
        <w:rPr>
          <w:rFonts w:ascii="Arial" w:hAnsi="Arial" w:eastAsia="Arial" w:cs="Arial"/>
          <w:color w:val="000000" w:themeColor="text1" w:themeTint="FF" w:themeShade="FF"/>
          <w:sz w:val="22"/>
          <w:szCs w:val="22"/>
        </w:rPr>
        <w:t>-</w:t>
      </w:r>
      <w:r w:rsidRPr="5335A2D9" w:rsidR="6E845C5B">
        <w:rPr>
          <w:rFonts w:ascii="Arial" w:hAnsi="Arial" w:eastAsia="Arial" w:cs="Arial"/>
          <w:color w:val="000000" w:themeColor="text1" w:themeTint="FF" w:themeShade="FF"/>
          <w:sz w:val="22"/>
          <w:szCs w:val="22"/>
        </w:rPr>
        <w:t>9</w:t>
      </w:r>
    </w:p>
    <w:p w:rsidR="55E95815" w:rsidP="55E95815" w:rsidRDefault="55E95815" w14:paraId="551DF647" w14:textId="49204D13">
      <w:pPr>
        <w:rPr>
          <w:rFonts w:ascii="Arial" w:hAnsi="Arial" w:eastAsia="Arial" w:cs="Arial"/>
          <w:color w:val="000000" w:themeColor="text1"/>
          <w:sz w:val="22"/>
          <w:szCs w:val="22"/>
        </w:rPr>
      </w:pPr>
    </w:p>
    <w:p w:rsidR="55E95815" w:rsidP="55E95815" w:rsidRDefault="55E95815" w14:paraId="59D9C9F3" w14:textId="4A5D1608">
      <w:pPr>
        <w:rPr>
          <w:rFonts w:ascii="Arial" w:hAnsi="Arial" w:eastAsia="Arial" w:cs="Arial"/>
          <w:color w:val="000000" w:themeColor="text1"/>
          <w:sz w:val="22"/>
          <w:szCs w:val="22"/>
        </w:rPr>
      </w:pPr>
    </w:p>
    <w:p w:rsidR="6F8707FC" w:rsidP="55E95815" w:rsidRDefault="6F8707FC" w14:paraId="3098ADE9" w14:textId="1BCCC6C9">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4. Roles, Benefits, and Challenges of Stakeholder Involvement</w:t>
      </w:r>
    </w:p>
    <w:p w:rsidR="6F8707FC" w:rsidP="55E95815" w:rsidRDefault="6F8707FC" w14:paraId="2B38C31E" w14:textId="12C34879">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Roles and responsibilities</w:t>
      </w:r>
    </w:p>
    <w:p w:rsidR="6F8707FC" w:rsidP="55E95815" w:rsidRDefault="6F8707FC" w14:paraId="7A499E66" w14:textId="2D21B2A4">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Benefits of engagement</w:t>
      </w:r>
    </w:p>
    <w:p w:rsidR="6F8707FC" w:rsidP="55E95815" w:rsidRDefault="6F8707FC" w14:paraId="0F3D951E" w14:textId="0F95D63C">
      <w:pPr>
        <w:pStyle w:val="ListParagraph"/>
        <w:numPr>
          <w:ilvl w:val="0"/>
          <w:numId w:val="1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Barriers and challenges</w:t>
      </w:r>
    </w:p>
    <w:p w:rsidR="6F8707FC" w:rsidP="55E95815" w:rsidRDefault="6F8707FC" w14:paraId="69E835F0" w14:textId="1FCA00E4">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75D35949">
        <w:rPr>
          <w:rFonts w:ascii="Arial" w:hAnsi="Arial" w:eastAsia="Arial" w:cs="Arial"/>
          <w:color w:val="000000" w:themeColor="text1" w:themeTint="FF" w:themeShade="FF"/>
          <w:sz w:val="22"/>
          <w:szCs w:val="22"/>
        </w:rPr>
        <w:t>10-11</w:t>
      </w:r>
    </w:p>
    <w:p w:rsidR="55E95815" w:rsidP="55E95815" w:rsidRDefault="55E95815" w14:paraId="720EA01F" w14:textId="121DB940">
      <w:pPr>
        <w:rPr>
          <w:rFonts w:ascii="Arial" w:hAnsi="Arial" w:eastAsia="Arial" w:cs="Arial"/>
          <w:b/>
          <w:bCs/>
          <w:color w:val="000000" w:themeColor="text1"/>
          <w:sz w:val="32"/>
          <w:szCs w:val="32"/>
        </w:rPr>
      </w:pPr>
    </w:p>
    <w:p w:rsidR="6F8707FC" w:rsidP="55E95815" w:rsidRDefault="6F8707FC" w14:paraId="30FA5C38" w14:textId="59620D84">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5. Engagement Frameworks and Tools</w:t>
      </w:r>
    </w:p>
    <w:p w:rsidR="6F8707FC" w:rsidP="55E95815" w:rsidRDefault="6F8707FC" w14:paraId="156F568C" w14:textId="53219294">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RACI matrix</w:t>
      </w:r>
    </w:p>
    <w:p w:rsidR="6F8707FC" w:rsidP="55E95815" w:rsidRDefault="6F8707FC" w14:paraId="05E6CE7A" w14:textId="5E1B968F">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Stakeholder communication plan</w:t>
      </w:r>
    </w:p>
    <w:p w:rsidR="6F8707FC" w:rsidP="55E95815" w:rsidRDefault="6F8707FC" w14:paraId="6CD01679" w14:textId="4C686203">
      <w:pPr>
        <w:pStyle w:val="ListParagraph"/>
        <w:numPr>
          <w:ilvl w:val="0"/>
          <w:numId w:val="6"/>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4Cs model (Communication, Coordination, Cooperation, Collaboration)</w:t>
      </w:r>
    </w:p>
    <w:p w:rsidR="6F8707FC" w:rsidP="55E95815" w:rsidRDefault="6F8707FC" w14:paraId="3C156F3C" w14:textId="6BCCDC4D">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0A509D1A">
        <w:rPr>
          <w:rFonts w:ascii="Arial" w:hAnsi="Arial" w:eastAsia="Arial" w:cs="Arial"/>
          <w:color w:val="000000" w:themeColor="text1" w:themeTint="FF" w:themeShade="FF"/>
          <w:sz w:val="22"/>
          <w:szCs w:val="22"/>
        </w:rPr>
        <w:t>12-14</w:t>
      </w:r>
    </w:p>
    <w:p w:rsidR="55E95815" w:rsidP="55E95815" w:rsidRDefault="55E95815" w14:paraId="3AE481F4" w14:textId="1CC4DBC8">
      <w:pPr>
        <w:rPr>
          <w:rFonts w:ascii="Arial" w:hAnsi="Arial" w:eastAsia="Arial" w:cs="Arial"/>
          <w:b/>
          <w:bCs/>
          <w:color w:val="000000" w:themeColor="text1"/>
          <w:sz w:val="32"/>
          <w:szCs w:val="32"/>
        </w:rPr>
      </w:pPr>
    </w:p>
    <w:p w:rsidR="6F8707FC" w:rsidP="55E95815" w:rsidRDefault="6F8707FC" w14:paraId="6714B262" w14:textId="37382F1E">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6. Ethical and Regulatory Considerations</w:t>
      </w:r>
    </w:p>
    <w:p w:rsidR="6F8707FC" w:rsidP="55E95815" w:rsidRDefault="6F8707FC" w14:paraId="23A10484" w14:textId="041E32A4">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Data protection (UK GDPR)</w:t>
      </w:r>
    </w:p>
    <w:p w:rsidR="6F8707FC" w:rsidP="55E95815" w:rsidRDefault="6F8707FC" w14:paraId="4D338306" w14:textId="3E0338B0">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Informed consent</w:t>
      </w:r>
    </w:p>
    <w:p w:rsidR="6F8707FC" w:rsidP="55E95815" w:rsidRDefault="6F8707FC" w14:paraId="0B4BD095" w14:textId="4C8A7A1A">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MHRA regulation</w:t>
      </w:r>
    </w:p>
    <w:p w:rsidR="6F8707FC" w:rsidP="55E95815" w:rsidRDefault="6F8707FC" w14:paraId="01583577" w14:textId="3A65F39F">
      <w:pPr>
        <w:pStyle w:val="ListParagraph"/>
        <w:numPr>
          <w:ilvl w:val="0"/>
          <w:numId w:val="8"/>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Accessibility and inclusion</w:t>
      </w:r>
    </w:p>
    <w:p w:rsidR="6F8707FC" w:rsidP="55E95815" w:rsidRDefault="6F8707FC" w14:paraId="7231D851" w14:textId="19FD1C2B">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58100A4D">
        <w:rPr>
          <w:rFonts w:ascii="Arial" w:hAnsi="Arial" w:eastAsia="Arial" w:cs="Arial"/>
          <w:color w:val="000000" w:themeColor="text1" w:themeTint="FF" w:themeShade="FF"/>
          <w:sz w:val="22"/>
          <w:szCs w:val="22"/>
        </w:rPr>
        <w:t>15</w:t>
      </w:r>
    </w:p>
    <w:p w:rsidR="55E95815" w:rsidP="55E95815" w:rsidRDefault="55E95815" w14:paraId="1A7A4B7B" w14:textId="06636669">
      <w:pPr>
        <w:rPr>
          <w:rFonts w:ascii="Arial" w:hAnsi="Arial" w:eastAsia="Arial" w:cs="Arial"/>
          <w:b/>
          <w:bCs/>
          <w:color w:val="000000" w:themeColor="text1"/>
          <w:sz w:val="32"/>
          <w:szCs w:val="32"/>
        </w:rPr>
      </w:pPr>
    </w:p>
    <w:p w:rsidR="6F8707FC" w:rsidP="55E95815" w:rsidRDefault="6F8707FC" w14:paraId="62C6F81A" w14:textId="3AEC77A5">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7. Recommendations and Conclusion</w:t>
      </w:r>
    </w:p>
    <w:p w:rsidR="6F8707FC" w:rsidP="55E95815" w:rsidRDefault="6F8707FC" w14:paraId="265B20EE" w14:textId="7EF54336">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Strategic recommendations</w:t>
      </w:r>
    </w:p>
    <w:p w:rsidR="6F8707FC" w:rsidP="55E95815" w:rsidRDefault="6F8707FC" w14:paraId="7A117364" w14:textId="6E3A73BA">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Summary of findings</w:t>
      </w:r>
    </w:p>
    <w:p w:rsidR="6F8707FC" w:rsidP="55E95815" w:rsidRDefault="6F8707FC" w14:paraId="357E3A8E" w14:textId="255C197D">
      <w:pPr>
        <w:pStyle w:val="ListParagraph"/>
        <w:numPr>
          <w:ilvl w:val="0"/>
          <w:numId w:val="4"/>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Conclusion</w:t>
      </w:r>
    </w:p>
    <w:p w:rsidR="6F8707FC" w:rsidP="55E95815" w:rsidRDefault="6F8707FC" w14:paraId="58B08168" w14:textId="5BECBE79">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xml:space="preserve"> Page </w:t>
      </w:r>
      <w:r w:rsidRPr="5335A2D9" w:rsidR="0099D7B2">
        <w:rPr>
          <w:rFonts w:ascii="Arial" w:hAnsi="Arial" w:eastAsia="Arial" w:cs="Arial"/>
          <w:color w:val="000000" w:themeColor="text1" w:themeTint="FF" w:themeShade="FF"/>
          <w:sz w:val="22"/>
          <w:szCs w:val="22"/>
        </w:rPr>
        <w:t>15</w:t>
      </w:r>
    </w:p>
    <w:p w:rsidR="55E95815" w:rsidP="55E95815" w:rsidRDefault="55E95815" w14:paraId="261334A9" w14:textId="67F210B8">
      <w:pPr>
        <w:rPr>
          <w:rFonts w:ascii="Arial" w:hAnsi="Arial" w:eastAsia="Arial" w:cs="Arial"/>
          <w:b/>
          <w:bCs/>
          <w:color w:val="000000" w:themeColor="text1"/>
          <w:sz w:val="32"/>
          <w:szCs w:val="32"/>
        </w:rPr>
      </w:pPr>
    </w:p>
    <w:p w:rsidR="6F8707FC" w:rsidP="55E95815" w:rsidRDefault="6F8707FC" w14:paraId="0191D60C" w14:textId="3C4652AC">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8. References</w:t>
      </w:r>
    </w:p>
    <w:p w:rsidR="6F8707FC" w:rsidP="55E95815" w:rsidRDefault="6F8707FC" w14:paraId="66F55312" w14:textId="5850230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Reference list</w:t>
      </w:r>
    </w:p>
    <w:p w:rsidR="6F8707FC" w:rsidP="55E95815" w:rsidRDefault="6F8707FC" w14:paraId="7EF7B4AD" w14:textId="015C97E4">
      <w:pPr>
        <w:rPr>
          <w:rFonts w:ascii="Arial" w:hAnsi="Arial" w:eastAsia="Arial" w:cs="Arial"/>
          <w:color w:val="000000" w:themeColor="text1"/>
          <w:sz w:val="22"/>
          <w:szCs w:val="22"/>
        </w:rPr>
      </w:pPr>
      <w:r w:rsidRPr="5335A2D9" w:rsidR="6F8707FC">
        <w:rPr>
          <w:rFonts w:ascii="Arial" w:hAnsi="Arial" w:eastAsia="Arial" w:cs="Arial"/>
          <w:color w:val="000000" w:themeColor="text1" w:themeTint="FF" w:themeShade="FF"/>
          <w:sz w:val="22"/>
          <w:szCs w:val="22"/>
        </w:rPr>
        <w:t> Page</w:t>
      </w:r>
      <w:r w:rsidRPr="5335A2D9" w:rsidR="7D4C39D1">
        <w:rPr>
          <w:rFonts w:ascii="Arial" w:hAnsi="Arial" w:eastAsia="Arial" w:cs="Arial"/>
          <w:color w:val="000000" w:themeColor="text1" w:themeTint="FF" w:themeShade="FF"/>
          <w:sz w:val="22"/>
          <w:szCs w:val="22"/>
        </w:rPr>
        <w:t xml:space="preserve"> 16</w:t>
      </w:r>
    </w:p>
    <w:p w:rsidR="55E95815" w:rsidP="55E95815" w:rsidRDefault="55E95815" w14:paraId="435522A4" w14:textId="66C70689">
      <w:pPr>
        <w:rPr>
          <w:rFonts w:ascii="Arial" w:hAnsi="Arial" w:eastAsia="Arial" w:cs="Arial"/>
          <w:color w:val="000000" w:themeColor="text1"/>
          <w:sz w:val="22"/>
          <w:szCs w:val="22"/>
        </w:rPr>
      </w:pPr>
    </w:p>
    <w:p w:rsidR="569CCC6B" w:rsidP="55E95815" w:rsidRDefault="569CCC6B" w14:paraId="43B7492A" w14:textId="18333EF8">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 xml:space="preserve">Introduction </w:t>
      </w:r>
    </w:p>
    <w:p w:rsidR="55E95815" w:rsidP="55E95815" w:rsidRDefault="55E95815" w14:paraId="3EDBA2CF" w14:textId="299134AE">
      <w:pPr>
        <w:rPr>
          <w:rFonts w:ascii="Arial" w:hAnsi="Arial" w:eastAsia="Arial" w:cs="Arial"/>
          <w:color w:val="000000" w:themeColor="text1"/>
          <w:sz w:val="22"/>
          <w:szCs w:val="22"/>
        </w:rPr>
      </w:pPr>
    </w:p>
    <w:p w:rsidR="569CCC6B" w:rsidP="55E95815" w:rsidRDefault="569CCC6B" w14:paraId="15E41AC9" w14:textId="221F522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the evolving landscape of modern healthcare, the integration of technology into patient care is no longer a future ambition. It is a present necessity. As the NHS and other healthcare providers strive to improve outcomes, reduce hospital readmissions, and enhance patient autonomy, the demand for reliable, non-invasive health monitoring solutions has increased. This report presents a stakeholder engagement strategy for the launch of a wearable biosensor health device, developed by TTP plc. TTP is a leading UK-based innovation company specialising in science and engineering solutions across the medical, life sciences, and diagnostics sectors.</w:t>
      </w:r>
    </w:p>
    <w:p w:rsidR="569CCC6B" w:rsidP="55E95815" w:rsidRDefault="569CCC6B" w14:paraId="07615C0E" w14:textId="708E706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project involves managing a six-month product launch cycle for a wearable biosensor capable of continuously tracking vital signs such as heart rate, respiratory rate, skin temperature, and movement. Designed for remote monitoring in both clinical and home settings, the device supports NHS priorities in community care, early intervention, and long-term condition management. It also aligns with government ambitions to integrate more digital health technologies into routine care pathways, particularly in the aftermath of COVID-19.</w:t>
      </w:r>
    </w:p>
    <w:p w:rsidR="569CCC6B" w:rsidP="55E95815" w:rsidRDefault="569CCC6B" w14:paraId="7AF5AF7F" w14:textId="1286DD3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As the appointed Project Manager, the author is responsible for coordinating the launch through effective cross-functional collaboration and stakeholder engagement. The project has a diverse stakeholder ecosystem that includes internal stakeholders such as project sponsors, R&amp;D engineers, quality assurance teams, marketing departments, and regulatory officers. It also involves external stakeholders including NHS clinicians, patients, procurement managers, regulatory bodies such as the MHRA, and data privacy advocates. These stakeholders have varying degrees of power, interest, and legitimacy in the project, which necessitates a structured and ethical engagement approach.</w:t>
      </w:r>
    </w:p>
    <w:p w:rsidR="569CCC6B" w:rsidP="55E95815" w:rsidRDefault="569CCC6B" w14:paraId="3013D990" w14:textId="456A564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report draws upon core stakeholder engagement theories including Stakeholder Theory (Freeman, 1984), the Stakeholder Salience Model (Mitchell et al., 1997), Resource Dependency Theory (Pfeffer and Salancik, 1978), and Network Theory (Rowley, 1997). Tools such as the Stakeholder Mapping Matrix, RACI Matrix, and a Communication Plan will be used to clarify roles, expectations, and responsibilities. Furthermore, the 4Cs Model (Ellis et al., 1991) will be applied to illustrate how communication, coordination, cooperation, and collaboration can optimise stakeholder involvement and support innovation delivery.</w:t>
      </w:r>
    </w:p>
    <w:p w:rsidR="569CCC6B" w:rsidP="55E95815" w:rsidRDefault="569CCC6B" w14:paraId="7F8B55C3" w14:textId="5CC08EC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addition, the report will critically examine ethical considerations such as data protection, informed consent, and transparency. These are particularly relevant when dealing with vulnerable patient populations and AI-enhanced health monitoring tools.</w:t>
      </w:r>
    </w:p>
    <w:p w:rsidR="569CCC6B" w:rsidP="55E95815" w:rsidRDefault="569CCC6B" w14:paraId="09AE1CCD" w14:textId="685E556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 report will present recommendations based on lessons learned and reflect on the impact of strategic engagement on the success of medical device innovation within the UK healthcare context.</w:t>
      </w:r>
    </w:p>
    <w:p w:rsidR="569CCC6B" w:rsidP="55E95815" w:rsidRDefault="569CCC6B" w14:paraId="7DAA8A0F" w14:textId="175E2F7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Ultimately, this report aims to demonstrate that effective stakeholder engagement is not just a management tool. It is a strategic asset, especially in the highly regulated and ethically complex field of healthcare technology.</w:t>
      </w:r>
    </w:p>
    <w:p w:rsidR="55E95815" w:rsidP="55E95815" w:rsidRDefault="55E95815" w14:paraId="493C3FA5" w14:textId="130B2830">
      <w:pPr>
        <w:rPr>
          <w:rFonts w:ascii="Arial" w:hAnsi="Arial" w:eastAsia="Arial" w:cs="Arial"/>
          <w:color w:val="000000" w:themeColor="text1"/>
          <w:sz w:val="22"/>
          <w:szCs w:val="22"/>
        </w:rPr>
      </w:pPr>
    </w:p>
    <w:p w:rsidR="55E95815" w:rsidP="55E95815" w:rsidRDefault="55E95815" w14:paraId="727A6681" w14:textId="73A388AD">
      <w:pPr>
        <w:rPr>
          <w:rFonts w:ascii="Arial" w:hAnsi="Arial" w:eastAsia="Arial" w:cs="Arial"/>
          <w:color w:val="000000" w:themeColor="text1"/>
          <w:sz w:val="22"/>
          <w:szCs w:val="22"/>
        </w:rPr>
      </w:pPr>
    </w:p>
    <w:p w:rsidR="28321EC8" w:rsidP="55E95815" w:rsidRDefault="28321EC8" w14:paraId="034C1712" w14:textId="54B2FC5F">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SWOT Analysis of TTP plc and the Wearable Device Project</w:t>
      </w:r>
    </w:p>
    <w:p w:rsidR="28321EC8" w:rsidP="55E95815" w:rsidRDefault="28321EC8" w14:paraId="7C3DA29D" w14:textId="62A62AD9">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A structured SWOT analysis provides a critical strategic overview of the internal and external factors that may influence the success of the wearable biosensor launch project. It supports the development of an effective stakeholder engagement plan by identifying key areas where engagement must be prioritised, as well as potential risks that could undermine stakeholder trust or cooperation. The following analysis is tailored to TTP plc, a UK-based product development company known for its work in healthcare innovation, particularly within the medical devices and biosensor sectors.</w:t>
      </w:r>
    </w:p>
    <w:p w:rsidR="28321EC8" w:rsidP="55E95815" w:rsidRDefault="28321EC8" w14:paraId="21CC756B" w14:textId="35406119">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Strengths</w:t>
      </w:r>
    </w:p>
    <w:p w:rsidR="28321EC8" w:rsidP="55E95815" w:rsidRDefault="28321EC8" w14:paraId="13839915" w14:textId="771CE14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TTP plc has developed a strong reputation within the UK’s healthcare innovation ecosystem due to its long-standing expertise in designing and developing sophisticated medical devices. The company operates with an integrated structure that combines multidisciplinary teams of engineers, biomedical scientists, software developers, and regulatory specialists. This collaborative environment supports rapid prototyping and refinement of products, enabling the organisation to respond efficiently to clinical requirements and regulatory changes.</w:t>
      </w:r>
    </w:p>
    <w:p w:rsidR="28321EC8" w:rsidP="55E95815" w:rsidRDefault="28321EC8" w14:paraId="48DE83FC" w14:textId="3A434FE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terms of technical excellence, TTP has a competitive advantage through its in-house R&amp;D and manufacturing capabilities. The company’s ability to handle the entire development pipeline, from initial concept through to validation and scale-up, offers significant control over quality assurance and time-to-market. These strengths directly benefit stakeholder confidence, particularly among healthcare providers and regulatory authorities who require transparency and reliability in medical device innovation.</w:t>
      </w:r>
    </w:p>
    <w:p w:rsidR="28321EC8" w:rsidP="55E95815" w:rsidRDefault="28321EC8" w14:paraId="5D90F112" w14:textId="1427A1A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Additionally, TTP’s history of collaboration with academic institutions, NHS Trusts, and research foundations strengthens its position as a trusted development partner. These networks provide access to diverse perspectives during the product development process, enhancing stakeholder engagement through early input and co-design practices.</w:t>
      </w:r>
    </w:p>
    <w:p w:rsidR="28321EC8" w:rsidP="55E95815" w:rsidRDefault="28321EC8" w14:paraId="59FE9005" w14:textId="317D3E87">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Weaknesses</w:t>
      </w:r>
    </w:p>
    <w:p w:rsidR="28321EC8" w:rsidP="55E95815" w:rsidRDefault="28321EC8" w14:paraId="6B20A3F6" w14:textId="57FADC5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Despite its technical strengths, TTP plc remains relatively unknown among wider public audiences, particularly patients and consumer-facing healthcare providers. The company primarily operates in business-to-business (B2B) and research-driven environments, which may limit its visibility in the broader market. This lack of public brand recognition could hinder adoption of the wearable biosensor, especially in settings where trust in a brand influence purchasing decisions or patient uptake.</w:t>
      </w:r>
    </w:p>
    <w:p w:rsidR="28321EC8" w:rsidP="55E95815" w:rsidRDefault="28321EC8" w14:paraId="54DB86D0" w14:textId="020AB6A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Internally, the company's culture of engineering excellence may result in limited emphasis on user experience, accessibility, and communication with non-technical stakeholders. Project engineers and scientists may prioritise innovation, performance, and data accuracy, while healthcare workers and patients place greater value on usability, simplicity, and safety. If these differing perspectives are not harmonised through effective stakeholder engagement, it may create tensions or gaps in the final product design and rollout.</w:t>
      </w:r>
    </w:p>
    <w:p w:rsidR="55E95815" w:rsidP="55E95815" w:rsidRDefault="55E95815" w14:paraId="63BEA699" w14:textId="2B973066">
      <w:pPr>
        <w:rPr>
          <w:rFonts w:ascii="Arial" w:hAnsi="Arial" w:eastAsia="Arial" w:cs="Arial"/>
          <w:color w:val="000000" w:themeColor="text1"/>
          <w:sz w:val="32"/>
          <w:szCs w:val="32"/>
        </w:rPr>
      </w:pPr>
    </w:p>
    <w:p w:rsidR="28321EC8" w:rsidP="55E95815" w:rsidRDefault="28321EC8" w14:paraId="27363336" w14:textId="149589BB">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Opportunities</w:t>
      </w:r>
    </w:p>
    <w:p w:rsidR="28321EC8" w:rsidP="55E95815" w:rsidRDefault="28321EC8" w14:paraId="1C03A539" w14:textId="77EB55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UK’s healthcare system is increasingly embracing digital transformation and remote patient monitoring. The NHS Long Term Plan promotes the use of digital technologies to enhance efficiency, prevent hospital admissions, and improve chronic condition management. This creates a favourable policy environment for wearable health technologies, particularly devices that support at-home monitoring, early diagnosis, and proactive care management.</w:t>
      </w:r>
    </w:p>
    <w:p w:rsidR="28321EC8" w:rsidP="55E95815" w:rsidRDefault="28321EC8" w14:paraId="081C0C59" w14:textId="2FFD6B7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There is also a growing societal emphasis on personalised healthcare and patient autonomy. The wearable biosensor device aligns with this trend, offering real-time data and insights that empower patients while supporting clinicians in decision-making. Furthermore, the potential for collaborative partnerships with NHS Trusts, research institutions, and clinical commissioning groups opens avenues for product testing, validation, and deployment in real-world settings.</w:t>
      </w:r>
    </w:p>
    <w:p w:rsidR="28321EC8" w:rsidP="55E95815" w:rsidRDefault="28321EC8" w14:paraId="25FCE04A" w14:textId="6F8DF59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From a business development perspective, opportunities also exist to expand the device into other markets beyond primary care, including social care, rehabilitation, and occupational health. These additional markets can further broaden stakeholder networks and strengthen long-term sustainability.</w:t>
      </w:r>
    </w:p>
    <w:p w:rsidR="28321EC8" w:rsidP="55E95815" w:rsidRDefault="28321EC8" w14:paraId="1754FD6A" w14:textId="22071E20">
      <w:pPr>
        <w:rPr>
          <w:rFonts w:ascii="Arial" w:hAnsi="Arial" w:eastAsia="Arial" w:cs="Arial"/>
          <w:color w:val="000000" w:themeColor="text1"/>
          <w:sz w:val="32"/>
          <w:szCs w:val="32"/>
        </w:rPr>
      </w:pPr>
      <w:r w:rsidRPr="55E95815">
        <w:rPr>
          <w:rFonts w:ascii="Arial" w:hAnsi="Arial" w:eastAsia="Arial" w:cs="Arial"/>
          <w:b/>
          <w:bCs/>
          <w:color w:val="000000" w:themeColor="text1"/>
          <w:sz w:val="32"/>
          <w:szCs w:val="32"/>
        </w:rPr>
        <w:t>Threats</w:t>
      </w:r>
    </w:p>
    <w:p w:rsidR="28321EC8" w:rsidP="55E95815" w:rsidRDefault="28321EC8" w14:paraId="559ABF6F" w14:textId="1C0E5F7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launch of a wearable medical device involves navigating a complex regulatory and ethical landscape. In the UK, the Medicines and Healthcare products Regulatory Agency (MHRA) oversees the approval and classification of such devices. Delays in regulatory approval or evolving post-Brexit compliance requirements could significantly affect project timelines and stakeholder expectations.</w:t>
      </w:r>
    </w:p>
    <w:p w:rsidR="28321EC8" w:rsidP="55E95815" w:rsidRDefault="28321EC8" w14:paraId="3006149D" w14:textId="578F174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 addition to regulatory risk, data privacy and cybersecurity represent major concerns for both patients and healthcare providers. Wearable devices that collect sensitive health information must demonstrate compliance with the UK General Data Protection Regulation (UK GDPR). A failure to implement robust data protection measures could result in loss of stakeholder trust and reputational damage.</w:t>
      </w:r>
    </w:p>
    <w:p w:rsidR="28321EC8" w:rsidP="55E95815" w:rsidRDefault="28321EC8" w14:paraId="6BC118F6" w14:textId="1EABF73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project also faces external competitive threats. Established global brands such as Withings, Philips, and Apple already offer health-monitoring wearables and have well-developed marketing infrastructures and procurement relationships. These competitors may reduce the market share available to TTP’s new device, particularly if the product's unique value proposition is not effectively communicated to stakeholders.</w:t>
      </w:r>
    </w:p>
    <w:p w:rsidR="28321EC8" w:rsidP="55E95815" w:rsidRDefault="28321EC8" w14:paraId="7E491DA5" w14:textId="6F61CE6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there is a risk of stakeholder disengagement or resistance, particularly among overburdened NHS staff who may view new technology as an additional administrative task. Ensuring that stakeholders perceive the device as improving workflow and patient care, rather than adding complexity, will be crucial.</w:t>
      </w:r>
    </w:p>
    <w:p w:rsidR="55E95815" w:rsidP="55E95815" w:rsidRDefault="55E95815" w14:paraId="0A5B51C3" w14:textId="1EED32B7">
      <w:pPr>
        <w:rPr>
          <w:rFonts w:ascii="Arial" w:hAnsi="Arial" w:eastAsia="Arial" w:cs="Arial"/>
          <w:color w:val="000000" w:themeColor="text1"/>
          <w:sz w:val="22"/>
          <w:szCs w:val="22"/>
        </w:rPr>
      </w:pPr>
    </w:p>
    <w:p w:rsidR="55E95815" w:rsidP="55E95815" w:rsidRDefault="55E95815" w14:paraId="479535C1" w14:textId="18B47203">
      <w:pPr>
        <w:rPr>
          <w:rFonts w:ascii="Arial" w:hAnsi="Arial" w:eastAsia="Arial" w:cs="Arial"/>
          <w:color w:val="000000" w:themeColor="text1"/>
          <w:sz w:val="22"/>
          <w:szCs w:val="22"/>
        </w:rPr>
      </w:pPr>
    </w:p>
    <w:p w:rsidR="55E95815" w:rsidP="55E95815" w:rsidRDefault="55E95815" w14:paraId="581EE18F" w14:textId="13C74D6B">
      <w:pPr>
        <w:rPr>
          <w:rFonts w:ascii="Arial" w:hAnsi="Arial" w:eastAsia="Arial" w:cs="Arial"/>
          <w:color w:val="000000" w:themeColor="text1"/>
          <w:sz w:val="22"/>
          <w:szCs w:val="22"/>
        </w:rPr>
      </w:pPr>
    </w:p>
    <w:p w:rsidR="55E95815" w:rsidP="55E95815" w:rsidRDefault="55E95815" w14:paraId="39FE6C5D" w14:textId="00097491">
      <w:pPr>
        <w:rPr>
          <w:rFonts w:ascii="Arial" w:hAnsi="Arial" w:eastAsia="Arial" w:cs="Arial"/>
          <w:color w:val="000000" w:themeColor="text1"/>
          <w:sz w:val="22"/>
          <w:szCs w:val="22"/>
        </w:rPr>
      </w:pPr>
    </w:p>
    <w:p w:rsidR="6F09B1E0" w:rsidP="55E95815" w:rsidRDefault="6F09B1E0" w14:paraId="6CD4009A" w14:textId="3FB404DD">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Stakeholder Identification and Mapping</w:t>
      </w:r>
    </w:p>
    <w:p w:rsidR="55E95815" w:rsidP="55E95815" w:rsidRDefault="55E95815" w14:paraId="435FF925" w14:textId="55EA61F0">
      <w:pPr>
        <w:rPr>
          <w:rFonts w:ascii="Arial" w:hAnsi="Arial" w:eastAsia="Arial" w:cs="Arial"/>
          <w:b/>
          <w:bCs/>
          <w:color w:val="000000" w:themeColor="text1"/>
          <w:sz w:val="32"/>
          <w:szCs w:val="32"/>
        </w:rPr>
      </w:pPr>
    </w:p>
    <w:p w:rsidR="6F09B1E0" w:rsidP="55E95815" w:rsidRDefault="6F09B1E0" w14:paraId="28F5F21A" w14:textId="3D2F177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In complex healthcare innovation projects, the success of a product launch depends not only on technical execution but also on the ability to engage a wide range of stakeholders. Stakeholders are defined by Freeman (1984) as any group or individual who can affect or is affected by the achievement of an organisation’s objectives. Within the context of this project—launching a wearable biosensor health device by TTP plc—the stakeholder landscape is diverse, multi-layered, and influenced by regulatory, clinical, commercial, and user-centred dynamics.</w:t>
      </w:r>
    </w:p>
    <w:p w:rsidR="6F09B1E0" w:rsidP="55E95815" w:rsidRDefault="6F09B1E0" w14:paraId="57B7EABE" w14:textId="6303A9F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effective identification and analysis of stakeholders is an essential prerequisite for designing appropriate engagement strategies. To structure this process, this section draws on Freeman’s Stakeholder Theory, the Power-Interest Grid (Johnson et al., 2008), and the Stakeholder Salience Model (Mitchell et al., 1997). These frameworks enable the categorisation of stakeholders according to their level of influence, interest, and involvement in the project.</w:t>
      </w:r>
    </w:p>
    <w:p w:rsidR="55E95815" w:rsidP="55E95815" w:rsidRDefault="55E95815" w14:paraId="4A19462E" w14:textId="0CE242D1">
      <w:pPr>
        <w:rPr>
          <w:rFonts w:ascii="Arial" w:hAnsi="Arial" w:eastAsia="Arial" w:cs="Arial"/>
          <w:color w:val="000000" w:themeColor="text1"/>
          <w:sz w:val="32"/>
          <w:szCs w:val="32"/>
        </w:rPr>
      </w:pPr>
    </w:p>
    <w:p w:rsidR="55971576" w:rsidP="55E95815" w:rsidRDefault="55971576" w14:paraId="38A6124B" w14:textId="48508023">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Internal Stakeholders</w:t>
      </w:r>
    </w:p>
    <w:p w:rsidR="55E95815" w:rsidP="55E95815" w:rsidRDefault="55E95815" w14:paraId="01339363" w14:textId="45F92D22">
      <w:pPr>
        <w:rPr>
          <w:rFonts w:ascii="Arial" w:hAnsi="Arial" w:eastAsia="Arial" w:cs="Arial"/>
          <w:color w:val="000000" w:themeColor="text1"/>
          <w:sz w:val="22"/>
          <w:szCs w:val="22"/>
        </w:rPr>
      </w:pPr>
    </w:p>
    <w:p w:rsidR="55971576" w:rsidP="55E95815" w:rsidRDefault="55971576" w14:paraId="07759C40" w14:textId="2ECFC6E2">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 xml:space="preserve">Internal stakeholders are individuals and departments within </w:t>
      </w:r>
      <w:r w:rsidRPr="55E95815" w:rsidR="2456088A">
        <w:rPr>
          <w:rFonts w:ascii="Arial" w:hAnsi="Arial" w:eastAsia="Arial" w:cs="Arial"/>
          <w:color w:val="000000" w:themeColor="text1"/>
          <w:sz w:val="22"/>
          <w:szCs w:val="22"/>
        </w:rPr>
        <w:t xml:space="preserve">TTP plc that are directly involved in the planning, development, </w:t>
      </w:r>
      <w:r w:rsidRPr="55E95815" w:rsidR="553A13F9">
        <w:rPr>
          <w:rFonts w:ascii="Arial" w:hAnsi="Arial" w:eastAsia="Arial" w:cs="Arial"/>
          <w:color w:val="000000" w:themeColor="text1"/>
          <w:sz w:val="22"/>
          <w:szCs w:val="22"/>
        </w:rPr>
        <w:t>and execution of the wearable device project</w:t>
      </w:r>
      <w:r w:rsidRPr="55E95815" w:rsidR="562760D4">
        <w:rPr>
          <w:rFonts w:ascii="Arial" w:hAnsi="Arial" w:eastAsia="Arial" w:cs="Arial"/>
          <w:color w:val="000000" w:themeColor="text1"/>
          <w:sz w:val="22"/>
          <w:szCs w:val="22"/>
        </w:rPr>
        <w:t xml:space="preserve">. </w:t>
      </w:r>
    </w:p>
    <w:p w:rsidR="55E95815" w:rsidP="55E95815" w:rsidRDefault="55E95815" w14:paraId="536CA3EA" w14:textId="47F474D3">
      <w:pPr>
        <w:rPr>
          <w:rFonts w:ascii="Arial" w:hAnsi="Arial" w:eastAsia="Arial" w:cs="Arial"/>
          <w:b/>
          <w:bCs/>
          <w:color w:val="000000" w:themeColor="text1"/>
          <w:sz w:val="22"/>
          <w:szCs w:val="22"/>
        </w:rPr>
      </w:pPr>
    </w:p>
    <w:p w:rsidR="63E9A257" w:rsidP="55E95815" w:rsidRDefault="63E9A257" w14:paraId="0E277932" w14:textId="05796341">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 xml:space="preserve">Project </w:t>
      </w:r>
      <w:r w:rsidRPr="55E95815" w:rsidR="11139A7D">
        <w:rPr>
          <w:rFonts w:ascii="Arial" w:hAnsi="Arial" w:eastAsia="Arial" w:cs="Arial"/>
          <w:b/>
          <w:bCs/>
          <w:color w:val="000000" w:themeColor="text1"/>
          <w:sz w:val="32"/>
          <w:szCs w:val="32"/>
        </w:rPr>
        <w:t>Sponsor</w:t>
      </w:r>
    </w:p>
    <w:p w:rsidR="55E95815" w:rsidP="55E95815" w:rsidRDefault="55E95815" w14:paraId="2C65515C" w14:textId="3C9B1CE9">
      <w:pPr>
        <w:rPr>
          <w:rFonts w:ascii="Arial" w:hAnsi="Arial" w:eastAsia="Arial" w:cs="Arial"/>
          <w:color w:val="000000" w:themeColor="text1"/>
          <w:sz w:val="22"/>
          <w:szCs w:val="22"/>
        </w:rPr>
      </w:pPr>
    </w:p>
    <w:p w:rsidR="11139A7D" w:rsidP="55E95815" w:rsidRDefault="11139A7D" w14:paraId="404B0D0C" w14:textId="1E9F0FA4">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The project sponsor is typically a senior executive within TTP plc responsible for overseeing resource allocation and ensuring the project aligns with organisational goals. This stakeholder holds both high power and high interest. Their continued support is critical for maintaining project momentum, resolving high-level obstacles, and legitimising decisions across departments.</w:t>
      </w:r>
    </w:p>
    <w:p w:rsidR="55E95815" w:rsidP="55E95815" w:rsidRDefault="55E95815" w14:paraId="6507A33B" w14:textId="4D9DC27E">
      <w:pPr>
        <w:rPr>
          <w:rFonts w:ascii="Arial" w:hAnsi="Arial" w:eastAsia="Arial" w:cs="Arial"/>
          <w:color w:val="000000" w:themeColor="text1"/>
          <w:sz w:val="22"/>
          <w:szCs w:val="22"/>
        </w:rPr>
      </w:pPr>
    </w:p>
    <w:p w:rsidR="1595536B" w:rsidP="55E95815" w:rsidRDefault="1595536B" w14:paraId="71B04FD4" w14:textId="7DAD6862">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Research and development (R&amp;D) Team</w:t>
      </w:r>
    </w:p>
    <w:p w:rsidR="55E95815" w:rsidP="55E95815" w:rsidRDefault="55E95815" w14:paraId="742C72CB" w14:textId="66143FDD">
      <w:pPr>
        <w:rPr>
          <w:rFonts w:ascii="Arial" w:hAnsi="Arial" w:eastAsia="Arial" w:cs="Arial"/>
          <w:color w:val="000000" w:themeColor="text1"/>
          <w:sz w:val="22"/>
          <w:szCs w:val="22"/>
        </w:rPr>
      </w:pPr>
    </w:p>
    <w:p w:rsidR="5E49D154" w:rsidP="55E95815" w:rsidRDefault="5E49D154" w14:paraId="106C8164" w14:textId="35C1D18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This team includes biomedi</w:t>
      </w:r>
      <w:r w:rsidRPr="55E95815" w:rsidR="4041BE19">
        <w:rPr>
          <w:rFonts w:ascii="Arial" w:hAnsi="Arial" w:eastAsia="Arial" w:cs="Arial"/>
          <w:color w:val="000000" w:themeColor="text1"/>
          <w:sz w:val="22"/>
          <w:szCs w:val="22"/>
        </w:rPr>
        <w:t>cal engineers, electronics specialist</w:t>
      </w:r>
      <w:r w:rsidRPr="55E95815" w:rsidR="1640B46E">
        <w:rPr>
          <w:rFonts w:ascii="Arial" w:hAnsi="Arial" w:eastAsia="Arial" w:cs="Arial"/>
          <w:color w:val="000000" w:themeColor="text1"/>
          <w:sz w:val="22"/>
          <w:szCs w:val="22"/>
        </w:rPr>
        <w:t xml:space="preserve">, and software developers </w:t>
      </w:r>
      <w:r w:rsidRPr="55E95815" w:rsidR="451F8E43">
        <w:rPr>
          <w:rFonts w:ascii="Arial" w:hAnsi="Arial" w:eastAsia="Arial" w:cs="Arial"/>
          <w:color w:val="000000" w:themeColor="text1"/>
          <w:sz w:val="22"/>
          <w:szCs w:val="22"/>
        </w:rPr>
        <w:t>who are responsible for building the wearable bi</w:t>
      </w:r>
      <w:r w:rsidRPr="55E95815" w:rsidR="63A66B08">
        <w:rPr>
          <w:rFonts w:ascii="Arial" w:hAnsi="Arial" w:eastAsia="Arial" w:cs="Arial"/>
          <w:color w:val="000000" w:themeColor="text1"/>
          <w:sz w:val="22"/>
          <w:szCs w:val="22"/>
        </w:rPr>
        <w:t>osensor. While their power in</w:t>
      </w:r>
      <w:r w:rsidRPr="55E95815" w:rsidR="2C76D6AB">
        <w:rPr>
          <w:rFonts w:ascii="Arial" w:hAnsi="Arial" w:eastAsia="Arial" w:cs="Arial"/>
          <w:color w:val="000000" w:themeColor="text1"/>
          <w:sz w:val="22"/>
          <w:szCs w:val="22"/>
        </w:rPr>
        <w:t xml:space="preserve"> corporate gove</w:t>
      </w:r>
      <w:r w:rsidRPr="55E95815" w:rsidR="1FA623A8">
        <w:rPr>
          <w:rFonts w:ascii="Arial" w:hAnsi="Arial" w:eastAsia="Arial" w:cs="Arial"/>
          <w:color w:val="000000" w:themeColor="text1"/>
          <w:sz w:val="22"/>
          <w:szCs w:val="22"/>
        </w:rPr>
        <w:t>r</w:t>
      </w:r>
      <w:r w:rsidRPr="55E95815" w:rsidR="2C76D6AB">
        <w:rPr>
          <w:rFonts w:ascii="Arial" w:hAnsi="Arial" w:eastAsia="Arial" w:cs="Arial"/>
          <w:color w:val="000000" w:themeColor="text1"/>
          <w:sz w:val="22"/>
          <w:szCs w:val="22"/>
        </w:rPr>
        <w:t>nance</w:t>
      </w:r>
      <w:r w:rsidRPr="55E95815" w:rsidR="6C95AA46">
        <w:rPr>
          <w:rFonts w:ascii="Arial" w:hAnsi="Arial" w:eastAsia="Arial" w:cs="Arial"/>
          <w:color w:val="000000" w:themeColor="text1"/>
          <w:sz w:val="22"/>
          <w:szCs w:val="22"/>
        </w:rPr>
        <w:t xml:space="preserve"> is moderate, they hold high operational </w:t>
      </w:r>
      <w:r w:rsidRPr="55E95815" w:rsidR="054987FA">
        <w:rPr>
          <w:rFonts w:ascii="Arial" w:hAnsi="Arial" w:eastAsia="Arial" w:cs="Arial"/>
          <w:color w:val="000000" w:themeColor="text1"/>
          <w:sz w:val="22"/>
          <w:szCs w:val="22"/>
        </w:rPr>
        <w:t>influence. Their interest is si</w:t>
      </w:r>
      <w:r w:rsidRPr="55E95815" w:rsidR="32CA33B6">
        <w:rPr>
          <w:rFonts w:ascii="Arial" w:hAnsi="Arial" w:eastAsia="Arial" w:cs="Arial"/>
          <w:color w:val="000000" w:themeColor="text1"/>
          <w:sz w:val="22"/>
          <w:szCs w:val="22"/>
        </w:rPr>
        <w:t>gnificant, particularl</w:t>
      </w:r>
      <w:r w:rsidRPr="55E95815" w:rsidR="25235E73">
        <w:rPr>
          <w:rFonts w:ascii="Arial" w:hAnsi="Arial" w:eastAsia="Arial" w:cs="Arial"/>
          <w:color w:val="000000" w:themeColor="text1"/>
          <w:sz w:val="22"/>
          <w:szCs w:val="22"/>
        </w:rPr>
        <w:t xml:space="preserve">y </w:t>
      </w:r>
      <w:r w:rsidRPr="55E95815" w:rsidR="4024D1EA">
        <w:rPr>
          <w:rFonts w:ascii="Arial" w:hAnsi="Arial" w:eastAsia="Arial" w:cs="Arial"/>
          <w:color w:val="000000" w:themeColor="text1"/>
          <w:sz w:val="22"/>
          <w:szCs w:val="22"/>
        </w:rPr>
        <w:t>in ensuring that product performance, s</w:t>
      </w:r>
      <w:r w:rsidRPr="55E95815" w:rsidR="19167ED7">
        <w:rPr>
          <w:rFonts w:ascii="Arial" w:hAnsi="Arial" w:eastAsia="Arial" w:cs="Arial"/>
          <w:color w:val="000000" w:themeColor="text1"/>
          <w:sz w:val="22"/>
          <w:szCs w:val="22"/>
        </w:rPr>
        <w:t xml:space="preserve">ensor accuracy, and integration with </w:t>
      </w:r>
      <w:r w:rsidRPr="55E95815" w:rsidR="5A13FB84">
        <w:rPr>
          <w:rFonts w:ascii="Arial" w:hAnsi="Arial" w:eastAsia="Arial" w:cs="Arial"/>
          <w:color w:val="000000" w:themeColor="text1"/>
          <w:sz w:val="22"/>
          <w:szCs w:val="22"/>
        </w:rPr>
        <w:t>digital platforms meet clinical e</w:t>
      </w:r>
      <w:r w:rsidRPr="55E95815" w:rsidR="55FEB5C6">
        <w:rPr>
          <w:rFonts w:ascii="Arial" w:hAnsi="Arial" w:eastAsia="Arial" w:cs="Arial"/>
          <w:color w:val="000000" w:themeColor="text1"/>
          <w:sz w:val="22"/>
          <w:szCs w:val="22"/>
        </w:rPr>
        <w:t xml:space="preserve">xpectations. </w:t>
      </w:r>
    </w:p>
    <w:p w:rsidR="55E95815" w:rsidP="55E95815" w:rsidRDefault="55E95815" w14:paraId="429A2BAB" w14:textId="6C9A2190">
      <w:pPr>
        <w:rPr>
          <w:rFonts w:ascii="Arial" w:hAnsi="Arial" w:eastAsia="Arial" w:cs="Arial"/>
          <w:color w:val="000000" w:themeColor="text1"/>
          <w:sz w:val="22"/>
          <w:szCs w:val="22"/>
        </w:rPr>
      </w:pPr>
    </w:p>
    <w:p w:rsidR="55FEB5C6" w:rsidP="55E95815" w:rsidRDefault="55FEB5C6" w14:paraId="07787CD2" w14:textId="7E3D0D7A">
      <w:pPr>
        <w:rPr>
          <w:rFonts w:ascii="Arial" w:hAnsi="Arial" w:eastAsia="Arial" w:cs="Arial"/>
          <w:color w:val="000000" w:themeColor="text1"/>
          <w:sz w:val="22"/>
          <w:szCs w:val="22"/>
        </w:rPr>
      </w:pPr>
      <w:r w:rsidRPr="55E95815">
        <w:rPr>
          <w:rFonts w:ascii="Arial" w:hAnsi="Arial" w:eastAsia="Arial" w:cs="Arial"/>
          <w:b/>
          <w:bCs/>
          <w:color w:val="000000" w:themeColor="text1"/>
          <w:sz w:val="32"/>
          <w:szCs w:val="32"/>
        </w:rPr>
        <w:t>Quality Assurance and Regulatory</w:t>
      </w:r>
      <w:r w:rsidRPr="55E95815" w:rsidR="3D4DA6DA">
        <w:rPr>
          <w:rFonts w:ascii="Arial" w:hAnsi="Arial" w:eastAsia="Arial" w:cs="Arial"/>
          <w:b/>
          <w:bCs/>
          <w:color w:val="000000" w:themeColor="text1"/>
          <w:sz w:val="32"/>
          <w:szCs w:val="32"/>
        </w:rPr>
        <w:t xml:space="preserve"> Affairs</w:t>
      </w:r>
    </w:p>
    <w:p w:rsidR="55E95815" w:rsidP="55E95815" w:rsidRDefault="55E95815" w14:paraId="771C2589" w14:textId="045CDCE3">
      <w:pPr>
        <w:rPr>
          <w:rFonts w:ascii="Arial" w:hAnsi="Arial" w:eastAsia="Arial" w:cs="Arial"/>
          <w:b/>
          <w:bCs/>
          <w:color w:val="000000" w:themeColor="text1"/>
          <w:sz w:val="32"/>
          <w:szCs w:val="32"/>
        </w:rPr>
      </w:pPr>
    </w:p>
    <w:p w:rsidR="0371BA16" w:rsidP="55E95815" w:rsidRDefault="0371BA16" w14:paraId="57741390" w14:textId="4862F3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These stakeholders</w:t>
      </w:r>
      <w:r w:rsidRPr="55E95815" w:rsidR="4024D1EA">
        <w:rPr>
          <w:rFonts w:ascii="Arial" w:hAnsi="Arial" w:eastAsia="Arial" w:cs="Arial"/>
          <w:color w:val="000000" w:themeColor="text1"/>
          <w:sz w:val="22"/>
          <w:szCs w:val="22"/>
        </w:rPr>
        <w:t xml:space="preserve"> </w:t>
      </w:r>
      <w:r w:rsidRPr="55E95815" w:rsidR="105AC48C">
        <w:rPr>
          <w:rFonts w:ascii="Arial" w:hAnsi="Arial" w:eastAsia="Arial" w:cs="Arial"/>
          <w:color w:val="000000" w:themeColor="text1"/>
          <w:sz w:val="22"/>
          <w:szCs w:val="22"/>
        </w:rPr>
        <w:t>ensure the biosensor com</w:t>
      </w:r>
      <w:r w:rsidRPr="55E95815" w:rsidR="559F781E">
        <w:rPr>
          <w:rFonts w:ascii="Arial" w:hAnsi="Arial" w:eastAsia="Arial" w:cs="Arial"/>
          <w:color w:val="000000" w:themeColor="text1"/>
          <w:sz w:val="22"/>
          <w:szCs w:val="22"/>
        </w:rPr>
        <w:t>plies with industry regulations</w:t>
      </w:r>
      <w:r w:rsidRPr="55E95815" w:rsidR="17893BD2">
        <w:rPr>
          <w:rFonts w:ascii="Arial" w:hAnsi="Arial" w:eastAsia="Arial" w:cs="Arial"/>
          <w:color w:val="000000" w:themeColor="text1"/>
          <w:sz w:val="22"/>
          <w:szCs w:val="22"/>
        </w:rPr>
        <w:t>, including those imposed by</w:t>
      </w:r>
      <w:r w:rsidRPr="55E95815" w:rsidR="4014A77C">
        <w:rPr>
          <w:rFonts w:ascii="Arial" w:hAnsi="Arial" w:eastAsia="Arial" w:cs="Arial"/>
          <w:color w:val="000000" w:themeColor="text1"/>
          <w:sz w:val="22"/>
          <w:szCs w:val="22"/>
        </w:rPr>
        <w:t xml:space="preserve"> the Medicines and </w:t>
      </w:r>
      <w:r w:rsidRPr="55E95815" w:rsidR="631F8935">
        <w:rPr>
          <w:rFonts w:ascii="Arial" w:hAnsi="Arial" w:eastAsia="Arial" w:cs="Arial"/>
          <w:color w:val="000000" w:themeColor="text1"/>
          <w:sz w:val="22"/>
          <w:szCs w:val="22"/>
        </w:rPr>
        <w:t xml:space="preserve">Healthcare products </w:t>
      </w:r>
      <w:r w:rsidRPr="55E95815" w:rsidR="5E3B0EA0">
        <w:rPr>
          <w:rFonts w:ascii="Arial" w:hAnsi="Arial" w:eastAsia="Arial" w:cs="Arial"/>
          <w:color w:val="000000" w:themeColor="text1"/>
          <w:sz w:val="22"/>
          <w:szCs w:val="22"/>
        </w:rPr>
        <w:t xml:space="preserve">Regulatory Agency (MHRA). </w:t>
      </w:r>
      <w:r w:rsidRPr="55E95815" w:rsidR="61147CD0">
        <w:rPr>
          <w:rFonts w:ascii="Arial" w:hAnsi="Arial" w:eastAsia="Arial" w:cs="Arial"/>
          <w:color w:val="000000" w:themeColor="text1"/>
          <w:sz w:val="22"/>
          <w:szCs w:val="22"/>
        </w:rPr>
        <w:t>T</w:t>
      </w:r>
      <w:r w:rsidRPr="55E95815" w:rsidR="5E3B0EA0">
        <w:rPr>
          <w:rFonts w:ascii="Arial" w:hAnsi="Arial" w:eastAsia="Arial" w:cs="Arial"/>
          <w:color w:val="000000" w:themeColor="text1"/>
          <w:sz w:val="22"/>
          <w:szCs w:val="22"/>
        </w:rPr>
        <w:t>hei</w:t>
      </w:r>
      <w:r w:rsidRPr="55E95815" w:rsidR="61147CD0">
        <w:rPr>
          <w:rFonts w:ascii="Arial" w:hAnsi="Arial" w:eastAsia="Arial" w:cs="Arial"/>
          <w:color w:val="000000" w:themeColor="text1"/>
          <w:sz w:val="22"/>
          <w:szCs w:val="22"/>
        </w:rPr>
        <w:t>r power is high, as the product cannot</w:t>
      </w:r>
      <w:r w:rsidRPr="55E95815" w:rsidR="3152AA16">
        <w:rPr>
          <w:rFonts w:ascii="Arial" w:hAnsi="Arial" w:eastAsia="Arial" w:cs="Arial"/>
          <w:color w:val="000000" w:themeColor="text1"/>
          <w:sz w:val="22"/>
          <w:szCs w:val="22"/>
        </w:rPr>
        <w:t xml:space="preserve"> be launched without their approval </w:t>
      </w:r>
      <w:r w:rsidRPr="55E95815" w:rsidR="40B54DBC">
        <w:rPr>
          <w:rFonts w:ascii="Arial" w:hAnsi="Arial" w:eastAsia="Arial" w:cs="Arial"/>
          <w:color w:val="000000" w:themeColor="text1"/>
          <w:sz w:val="22"/>
          <w:szCs w:val="22"/>
        </w:rPr>
        <w:t>and oversight. Their interest lies in risk mit</w:t>
      </w:r>
      <w:r w:rsidRPr="55E95815" w:rsidR="2DFAF737">
        <w:rPr>
          <w:rFonts w:ascii="Arial" w:hAnsi="Arial" w:eastAsia="Arial" w:cs="Arial"/>
          <w:color w:val="000000" w:themeColor="text1"/>
          <w:sz w:val="22"/>
          <w:szCs w:val="22"/>
        </w:rPr>
        <w:t>igation, safety validation, and accurate document</w:t>
      </w:r>
      <w:r w:rsidRPr="55E95815" w:rsidR="2161590C">
        <w:rPr>
          <w:rFonts w:ascii="Arial" w:hAnsi="Arial" w:eastAsia="Arial" w:cs="Arial"/>
          <w:color w:val="000000" w:themeColor="text1"/>
          <w:sz w:val="22"/>
          <w:szCs w:val="22"/>
        </w:rPr>
        <w:t>ation throughout the development process.</w:t>
      </w:r>
    </w:p>
    <w:p w:rsidR="55E95815" w:rsidP="55E95815" w:rsidRDefault="55E95815" w14:paraId="7DEECE9B" w14:textId="24F74ED1">
      <w:pPr>
        <w:rPr>
          <w:rFonts w:ascii="Arial" w:hAnsi="Arial" w:eastAsia="Arial" w:cs="Arial"/>
          <w:color w:val="000000" w:themeColor="text1"/>
          <w:sz w:val="22"/>
          <w:szCs w:val="22"/>
        </w:rPr>
      </w:pPr>
    </w:p>
    <w:p w:rsidR="4558E9E3" w:rsidP="55E95815" w:rsidRDefault="4558E9E3" w14:paraId="5DCC0B38" w14:textId="023E459F">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Marketing and Commercial Strat</w:t>
      </w:r>
      <w:r w:rsidRPr="55E95815" w:rsidR="248AD4D1">
        <w:rPr>
          <w:rFonts w:ascii="Arial" w:hAnsi="Arial" w:eastAsia="Arial" w:cs="Arial"/>
          <w:b/>
          <w:bCs/>
          <w:color w:val="000000" w:themeColor="text1"/>
          <w:sz w:val="32"/>
          <w:szCs w:val="32"/>
        </w:rPr>
        <w:t>egy Team</w:t>
      </w:r>
    </w:p>
    <w:p w:rsidR="55E95815" w:rsidP="55E95815" w:rsidRDefault="55E95815" w14:paraId="0158477E" w14:textId="374F6124">
      <w:pPr>
        <w:rPr>
          <w:rFonts w:ascii="Arial" w:hAnsi="Arial" w:eastAsia="Arial" w:cs="Arial"/>
          <w:color w:val="000000" w:themeColor="text1"/>
          <w:sz w:val="22"/>
          <w:szCs w:val="22"/>
        </w:rPr>
      </w:pPr>
    </w:p>
    <w:p w:rsidR="248AD4D1" w:rsidP="55E95815" w:rsidRDefault="248AD4D1" w14:paraId="53295588" w14:textId="5B8FD14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Responsible for shaping the go-to-market strategy, b</w:t>
      </w:r>
      <w:r w:rsidRPr="55E95815" w:rsidR="334BF951">
        <w:rPr>
          <w:rFonts w:ascii="Arial" w:hAnsi="Arial" w:eastAsia="Arial" w:cs="Arial"/>
          <w:color w:val="000000" w:themeColor="text1"/>
          <w:sz w:val="22"/>
          <w:szCs w:val="22"/>
        </w:rPr>
        <w:t>randing, and value proposition of the device</w:t>
      </w:r>
      <w:r w:rsidRPr="55E95815" w:rsidR="1C0ECEB7">
        <w:rPr>
          <w:rFonts w:ascii="Arial" w:hAnsi="Arial" w:eastAsia="Arial" w:cs="Arial"/>
          <w:color w:val="000000" w:themeColor="text1"/>
          <w:sz w:val="22"/>
          <w:szCs w:val="22"/>
        </w:rPr>
        <w:t>, this team plays a crucial role in def</w:t>
      </w:r>
      <w:r w:rsidRPr="55E95815" w:rsidR="31D3930D">
        <w:rPr>
          <w:rFonts w:ascii="Arial" w:hAnsi="Arial" w:eastAsia="Arial" w:cs="Arial"/>
          <w:color w:val="000000" w:themeColor="text1"/>
          <w:sz w:val="22"/>
          <w:szCs w:val="22"/>
        </w:rPr>
        <w:t xml:space="preserve">ining how the product is perceived externally. </w:t>
      </w:r>
      <w:r w:rsidRPr="55E95815" w:rsidR="1EE05469">
        <w:rPr>
          <w:rFonts w:ascii="Arial" w:hAnsi="Arial" w:eastAsia="Arial" w:cs="Arial"/>
          <w:color w:val="000000" w:themeColor="text1"/>
          <w:sz w:val="22"/>
          <w:szCs w:val="22"/>
        </w:rPr>
        <w:t>T</w:t>
      </w:r>
      <w:r w:rsidRPr="55E95815" w:rsidR="31D3930D">
        <w:rPr>
          <w:rFonts w:ascii="Arial" w:hAnsi="Arial" w:eastAsia="Arial" w:cs="Arial"/>
          <w:color w:val="000000" w:themeColor="text1"/>
          <w:sz w:val="22"/>
          <w:szCs w:val="22"/>
        </w:rPr>
        <w:t>hei</w:t>
      </w:r>
      <w:r w:rsidRPr="55E95815" w:rsidR="1EE05469">
        <w:rPr>
          <w:rFonts w:ascii="Arial" w:hAnsi="Arial" w:eastAsia="Arial" w:cs="Arial"/>
          <w:color w:val="000000" w:themeColor="text1"/>
          <w:sz w:val="22"/>
          <w:szCs w:val="22"/>
        </w:rPr>
        <w:t>r power can be variable, depending on o</w:t>
      </w:r>
      <w:r w:rsidRPr="55E95815" w:rsidR="44F2BFCF">
        <w:rPr>
          <w:rFonts w:ascii="Arial" w:hAnsi="Arial" w:eastAsia="Arial" w:cs="Arial"/>
          <w:color w:val="000000" w:themeColor="text1"/>
          <w:sz w:val="22"/>
          <w:szCs w:val="22"/>
        </w:rPr>
        <w:t>rganisational structure, but their int</w:t>
      </w:r>
      <w:r w:rsidRPr="55E95815" w:rsidR="6CA7C31B">
        <w:rPr>
          <w:rFonts w:ascii="Arial" w:hAnsi="Arial" w:eastAsia="Arial" w:cs="Arial"/>
          <w:color w:val="000000" w:themeColor="text1"/>
          <w:sz w:val="22"/>
          <w:szCs w:val="22"/>
        </w:rPr>
        <w:t xml:space="preserve">erest is high as they must </w:t>
      </w:r>
      <w:r w:rsidRPr="55E95815" w:rsidR="0A39FC19">
        <w:rPr>
          <w:rFonts w:ascii="Arial" w:hAnsi="Arial" w:eastAsia="Arial" w:cs="Arial"/>
          <w:color w:val="000000" w:themeColor="text1"/>
          <w:sz w:val="22"/>
          <w:szCs w:val="22"/>
        </w:rPr>
        <w:t xml:space="preserve">translate technical features into </w:t>
      </w:r>
      <w:r w:rsidRPr="55E95815" w:rsidR="361D6BF1">
        <w:rPr>
          <w:rFonts w:ascii="Arial" w:hAnsi="Arial" w:eastAsia="Arial" w:cs="Arial"/>
          <w:color w:val="000000" w:themeColor="text1"/>
          <w:sz w:val="22"/>
          <w:szCs w:val="22"/>
        </w:rPr>
        <w:t>accessible ben</w:t>
      </w:r>
      <w:r w:rsidRPr="55E95815" w:rsidR="707281A3">
        <w:rPr>
          <w:rFonts w:ascii="Arial" w:hAnsi="Arial" w:eastAsia="Arial" w:cs="Arial"/>
          <w:color w:val="000000" w:themeColor="text1"/>
          <w:sz w:val="22"/>
          <w:szCs w:val="22"/>
        </w:rPr>
        <w:t>e</w:t>
      </w:r>
      <w:r w:rsidRPr="55E95815" w:rsidR="361D6BF1">
        <w:rPr>
          <w:rFonts w:ascii="Arial" w:hAnsi="Arial" w:eastAsia="Arial" w:cs="Arial"/>
          <w:color w:val="000000" w:themeColor="text1"/>
          <w:sz w:val="22"/>
          <w:szCs w:val="22"/>
        </w:rPr>
        <w:t>fits</w:t>
      </w:r>
      <w:r w:rsidRPr="55E95815" w:rsidR="10834478">
        <w:rPr>
          <w:rFonts w:ascii="Arial" w:hAnsi="Arial" w:eastAsia="Arial" w:cs="Arial"/>
          <w:color w:val="000000" w:themeColor="text1"/>
          <w:sz w:val="22"/>
          <w:szCs w:val="22"/>
        </w:rPr>
        <w:t xml:space="preserve"> for target audiences.</w:t>
      </w:r>
    </w:p>
    <w:p w:rsidR="55E95815" w:rsidP="55E95815" w:rsidRDefault="55E95815" w14:paraId="5FD3BAEB" w14:textId="31B2ED3E">
      <w:pPr>
        <w:rPr>
          <w:rFonts w:ascii="Arial" w:hAnsi="Arial" w:eastAsia="Arial" w:cs="Arial"/>
          <w:color w:val="000000" w:themeColor="text1"/>
          <w:sz w:val="22"/>
          <w:szCs w:val="22"/>
        </w:rPr>
      </w:pPr>
    </w:p>
    <w:p w:rsidR="0F0F795B" w:rsidP="55E95815" w:rsidRDefault="0F0F795B" w14:paraId="501CDC72" w14:textId="1815C487">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Data Privacy and Cybersecurity</w:t>
      </w:r>
      <w:r w:rsidRPr="55E95815" w:rsidR="5990D826">
        <w:rPr>
          <w:rFonts w:ascii="Arial" w:hAnsi="Arial" w:eastAsia="Arial" w:cs="Arial"/>
          <w:b/>
          <w:bCs/>
          <w:color w:val="000000" w:themeColor="text1"/>
          <w:sz w:val="32"/>
          <w:szCs w:val="32"/>
        </w:rPr>
        <w:t xml:space="preserve"> Team</w:t>
      </w:r>
    </w:p>
    <w:p w:rsidR="55E95815" w:rsidP="55E95815" w:rsidRDefault="55E95815" w14:paraId="214D837D" w14:textId="21FF763A">
      <w:pPr>
        <w:rPr>
          <w:rFonts w:ascii="Arial" w:hAnsi="Arial" w:eastAsia="Arial" w:cs="Arial"/>
          <w:b/>
          <w:bCs/>
          <w:color w:val="000000" w:themeColor="text1"/>
          <w:sz w:val="32"/>
          <w:szCs w:val="32"/>
        </w:rPr>
      </w:pPr>
    </w:p>
    <w:p w:rsidR="4671A8F8" w:rsidP="55E95815" w:rsidRDefault="4671A8F8" w14:paraId="3DA960FB" w14:textId="2F06D3A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Given the sensitive nature of personal health </w:t>
      </w:r>
      <w:r w:rsidRPr="55E95815" w:rsidR="07F4C181">
        <w:rPr>
          <w:rFonts w:ascii="Arial" w:hAnsi="Arial" w:eastAsia="Arial" w:cs="Arial"/>
          <w:color w:val="000000" w:themeColor="text1"/>
          <w:sz w:val="22"/>
          <w:szCs w:val="22"/>
        </w:rPr>
        <w:t>data, this team ensures the device meets all</w:t>
      </w:r>
      <w:r w:rsidRPr="55E95815" w:rsidR="4B770402">
        <w:rPr>
          <w:rFonts w:ascii="Arial" w:hAnsi="Arial" w:eastAsia="Arial" w:cs="Arial"/>
          <w:color w:val="000000" w:themeColor="text1"/>
          <w:sz w:val="22"/>
          <w:szCs w:val="22"/>
        </w:rPr>
        <w:t xml:space="preserve"> compliance requirements related to UK General Data Prote</w:t>
      </w:r>
      <w:r w:rsidRPr="55E95815" w:rsidR="13FCD104">
        <w:rPr>
          <w:rFonts w:ascii="Arial" w:hAnsi="Arial" w:eastAsia="Arial" w:cs="Arial"/>
          <w:color w:val="000000" w:themeColor="text1"/>
          <w:sz w:val="22"/>
          <w:szCs w:val="22"/>
        </w:rPr>
        <w:t>ction Regulation (UK GDPR)</w:t>
      </w:r>
      <w:r w:rsidRPr="55E95815" w:rsidR="43877C6F">
        <w:rPr>
          <w:rFonts w:ascii="Arial" w:hAnsi="Arial" w:eastAsia="Arial" w:cs="Arial"/>
          <w:color w:val="000000" w:themeColor="text1"/>
          <w:sz w:val="22"/>
          <w:szCs w:val="22"/>
        </w:rPr>
        <w:t xml:space="preserve">. Although they may not be </w:t>
      </w:r>
      <w:r w:rsidRPr="55E95815" w:rsidR="679F3273">
        <w:rPr>
          <w:rFonts w:ascii="Arial" w:hAnsi="Arial" w:eastAsia="Arial" w:cs="Arial"/>
          <w:color w:val="000000" w:themeColor="text1"/>
          <w:sz w:val="22"/>
          <w:szCs w:val="22"/>
        </w:rPr>
        <w:t xml:space="preserve">directly involved in product design, </w:t>
      </w:r>
      <w:r w:rsidRPr="55E95815" w:rsidR="6DBF0855">
        <w:rPr>
          <w:rFonts w:ascii="Arial" w:hAnsi="Arial" w:eastAsia="Arial" w:cs="Arial"/>
          <w:color w:val="000000" w:themeColor="text1"/>
          <w:sz w:val="22"/>
          <w:szCs w:val="22"/>
        </w:rPr>
        <w:t>their power is increasing due to th</w:t>
      </w:r>
      <w:r w:rsidRPr="55E95815" w:rsidR="17E82ECE">
        <w:rPr>
          <w:rFonts w:ascii="Arial" w:hAnsi="Arial" w:eastAsia="Arial" w:cs="Arial"/>
          <w:color w:val="000000" w:themeColor="text1"/>
          <w:sz w:val="22"/>
          <w:szCs w:val="22"/>
        </w:rPr>
        <w:t xml:space="preserve">e legal and reputational </w:t>
      </w:r>
      <w:r w:rsidRPr="55E95815" w:rsidR="466013CB">
        <w:rPr>
          <w:rFonts w:ascii="Arial" w:hAnsi="Arial" w:eastAsia="Arial" w:cs="Arial"/>
          <w:color w:val="000000" w:themeColor="text1"/>
          <w:sz w:val="22"/>
          <w:szCs w:val="22"/>
        </w:rPr>
        <w:t xml:space="preserve">risks associated with data breaches. </w:t>
      </w:r>
      <w:r w:rsidRPr="55E95815" w:rsidR="36C795B3">
        <w:rPr>
          <w:rFonts w:ascii="Arial" w:hAnsi="Arial" w:eastAsia="Arial" w:cs="Arial"/>
          <w:color w:val="000000" w:themeColor="text1"/>
          <w:sz w:val="22"/>
          <w:szCs w:val="22"/>
        </w:rPr>
        <w:t>Their interest is high, particularly in ensur</w:t>
      </w:r>
      <w:r w:rsidRPr="55E95815" w:rsidR="05AB13D0">
        <w:rPr>
          <w:rFonts w:ascii="Arial" w:hAnsi="Arial" w:eastAsia="Arial" w:cs="Arial"/>
          <w:color w:val="000000" w:themeColor="text1"/>
          <w:sz w:val="22"/>
          <w:szCs w:val="22"/>
        </w:rPr>
        <w:t>ing ethical data collection, storage, a</w:t>
      </w:r>
      <w:r w:rsidRPr="55E95815" w:rsidR="5243C10A">
        <w:rPr>
          <w:rFonts w:ascii="Arial" w:hAnsi="Arial" w:eastAsia="Arial" w:cs="Arial"/>
          <w:color w:val="000000" w:themeColor="text1"/>
          <w:sz w:val="22"/>
          <w:szCs w:val="22"/>
        </w:rPr>
        <w:t>nd transmission.</w:t>
      </w:r>
    </w:p>
    <w:p w:rsidR="55E95815" w:rsidP="55E95815" w:rsidRDefault="55E95815" w14:paraId="6B5CABF8" w14:textId="6DC47065">
      <w:pPr>
        <w:rPr>
          <w:rFonts w:ascii="Arial" w:hAnsi="Arial" w:eastAsia="Arial" w:cs="Arial"/>
          <w:color w:val="000000" w:themeColor="text1"/>
          <w:sz w:val="22"/>
          <w:szCs w:val="22"/>
        </w:rPr>
      </w:pPr>
    </w:p>
    <w:p w:rsidR="17BB6780" w:rsidP="55E95815" w:rsidRDefault="17BB6780" w14:paraId="2322A02C" w14:textId="5B61A2BF">
      <w:pPr>
        <w:rPr>
          <w:rFonts w:ascii="Arial" w:hAnsi="Arial" w:eastAsia="Arial" w:cs="Arial"/>
          <w:color w:val="000000" w:themeColor="text1"/>
          <w:sz w:val="22"/>
          <w:szCs w:val="22"/>
        </w:rPr>
      </w:pPr>
      <w:r w:rsidRPr="55E95815">
        <w:rPr>
          <w:rFonts w:ascii="Arial" w:hAnsi="Arial" w:eastAsia="Arial" w:cs="Arial"/>
          <w:b/>
          <w:bCs/>
          <w:color w:val="000000" w:themeColor="text1"/>
          <w:sz w:val="32"/>
          <w:szCs w:val="32"/>
        </w:rPr>
        <w:t>External Stakeholders</w:t>
      </w:r>
    </w:p>
    <w:p w:rsidR="55E95815" w:rsidP="55E95815" w:rsidRDefault="55E95815" w14:paraId="19CAB446" w14:textId="2B498C85">
      <w:pPr>
        <w:rPr>
          <w:rFonts w:ascii="Arial" w:hAnsi="Arial" w:eastAsia="Arial" w:cs="Arial"/>
          <w:color w:val="000000" w:themeColor="text1"/>
          <w:sz w:val="22"/>
          <w:szCs w:val="22"/>
        </w:rPr>
      </w:pPr>
    </w:p>
    <w:p w:rsidR="17BB6780" w:rsidP="55E95815" w:rsidRDefault="17BB6780" w14:paraId="2C5B4754" w14:textId="09F18BB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External stakeholders operate outside </w:t>
      </w:r>
      <w:r w:rsidRPr="55E95815" w:rsidR="776E462B">
        <w:rPr>
          <w:rFonts w:ascii="Arial" w:hAnsi="Arial" w:eastAsia="Arial" w:cs="Arial"/>
          <w:color w:val="000000" w:themeColor="text1"/>
          <w:sz w:val="22"/>
          <w:szCs w:val="22"/>
        </w:rPr>
        <w:t xml:space="preserve">the boundaries </w:t>
      </w:r>
      <w:r w:rsidRPr="55E95815" w:rsidR="5EAC6E68">
        <w:rPr>
          <w:rFonts w:ascii="Arial" w:hAnsi="Arial" w:eastAsia="Arial" w:cs="Arial"/>
          <w:color w:val="000000" w:themeColor="text1"/>
          <w:sz w:val="22"/>
          <w:szCs w:val="22"/>
        </w:rPr>
        <w:t>of TTP plc but have a direct or indirect interest in the success of the wearable device. These stakeholders influence clinical adoption, patient acceptance, and market viability.</w:t>
      </w:r>
    </w:p>
    <w:p w:rsidR="55E95815" w:rsidP="55E95815" w:rsidRDefault="55E95815" w14:paraId="6483FBED" w14:textId="36405C40">
      <w:pPr>
        <w:rPr>
          <w:rFonts w:ascii="Arial" w:hAnsi="Arial" w:eastAsia="Arial" w:cs="Arial"/>
          <w:color w:val="000000" w:themeColor="text1"/>
          <w:sz w:val="22"/>
          <w:szCs w:val="22"/>
        </w:rPr>
      </w:pPr>
    </w:p>
    <w:p w:rsidR="07DCB050" w:rsidP="55E95815" w:rsidRDefault="07DCB050" w14:paraId="3B5C8FAF" w14:textId="170ABCDE">
      <w:pPr>
        <w:rPr>
          <w:rFonts w:ascii="Arial" w:hAnsi="Arial" w:eastAsia="Arial" w:cs="Arial"/>
          <w:b/>
          <w:bCs/>
          <w:color w:val="000000" w:themeColor="text1"/>
          <w:sz w:val="31"/>
          <w:szCs w:val="31"/>
        </w:rPr>
      </w:pPr>
      <w:r w:rsidRPr="55E95815">
        <w:rPr>
          <w:rFonts w:ascii="Arial" w:hAnsi="Arial" w:eastAsia="Arial" w:cs="Arial"/>
          <w:b/>
          <w:bCs/>
          <w:color w:val="000000" w:themeColor="text1"/>
          <w:sz w:val="31"/>
          <w:szCs w:val="31"/>
        </w:rPr>
        <w:t>NHS Clinicians and Healthcare Providers</w:t>
      </w:r>
    </w:p>
    <w:p w:rsidR="79A6DF2A" w:rsidP="55E95815" w:rsidRDefault="79A6DF2A" w14:paraId="6369B20E" w14:textId="3DB1B116">
      <w:pPr>
        <w:rPr>
          <w:rFonts w:ascii="Arial" w:hAnsi="Arial" w:eastAsia="Arial" w:cs="Arial"/>
          <w:sz w:val="22"/>
          <w:szCs w:val="22"/>
        </w:rPr>
      </w:pPr>
      <w:r w:rsidRPr="55E95815">
        <w:rPr>
          <w:rFonts w:ascii="Arial" w:hAnsi="Arial" w:eastAsia="Arial" w:cs="Arial"/>
          <w:color w:val="000000" w:themeColor="text1"/>
          <w:sz w:val="22"/>
          <w:szCs w:val="22"/>
        </w:rPr>
        <w:t>G</w:t>
      </w:r>
      <w:r w:rsidRPr="55E95815" w:rsidR="07DCB050">
        <w:rPr>
          <w:rFonts w:ascii="Arial" w:hAnsi="Arial" w:eastAsia="Arial" w:cs="Arial"/>
          <w:color w:val="000000" w:themeColor="text1"/>
          <w:sz w:val="22"/>
          <w:szCs w:val="22"/>
        </w:rPr>
        <w:t>eneral practitioners, nurses, and clinical specialists represent the frontline of healthcare delivery. Their influence is substantial as they determine whether the device is integrated into routine care. Their interest is also high, as the device could impact workload, diagnostic accuracy, and patient monitoring. Without their endorsement, adoption may stall regardless of product qual</w:t>
      </w:r>
      <w:r w:rsidRPr="55E95815" w:rsidR="07751153">
        <w:rPr>
          <w:rFonts w:ascii="Arial" w:hAnsi="Arial" w:eastAsia="Arial" w:cs="Arial"/>
          <w:color w:val="000000" w:themeColor="text1"/>
          <w:sz w:val="22"/>
          <w:szCs w:val="22"/>
        </w:rPr>
        <w:t>ity.</w:t>
      </w:r>
    </w:p>
    <w:p w:rsidR="07751153" w:rsidP="55E95815" w:rsidRDefault="07751153" w14:paraId="7FE46F46" w14:textId="2E1C7F67">
      <w:pPr>
        <w:rPr>
          <w:rFonts w:ascii="Arial" w:hAnsi="Arial" w:eastAsia="Arial" w:cs="Arial"/>
          <w:b/>
          <w:bCs/>
          <w:sz w:val="32"/>
          <w:szCs w:val="32"/>
        </w:rPr>
      </w:pPr>
      <w:r w:rsidRPr="55E95815">
        <w:rPr>
          <w:rFonts w:ascii="Arial" w:hAnsi="Arial" w:eastAsia="Arial" w:cs="Arial"/>
          <w:b/>
          <w:bCs/>
          <w:color w:val="000000" w:themeColor="text1"/>
          <w:sz w:val="32"/>
          <w:szCs w:val="32"/>
        </w:rPr>
        <w:t>Patients and End-Users</w:t>
      </w:r>
    </w:p>
    <w:p w:rsidR="55E95815" w:rsidP="55E95815" w:rsidRDefault="55E95815" w14:paraId="689862DE" w14:textId="485BB7F3">
      <w:pPr>
        <w:rPr>
          <w:rFonts w:ascii="Arial" w:hAnsi="Arial" w:eastAsia="Arial" w:cs="Arial"/>
          <w:b/>
          <w:bCs/>
          <w:color w:val="000000" w:themeColor="text1"/>
          <w:sz w:val="32"/>
          <w:szCs w:val="32"/>
        </w:rPr>
      </w:pPr>
    </w:p>
    <w:p w:rsidR="07751153" w:rsidP="55E95815" w:rsidRDefault="07751153" w14:paraId="611CD0AD" w14:textId="2651FE75">
      <w:pPr>
        <w:rPr>
          <w:rFonts w:ascii="Arial" w:hAnsi="Arial" w:eastAsia="Arial" w:cs="Arial"/>
          <w:sz w:val="32"/>
          <w:szCs w:val="32"/>
        </w:rPr>
      </w:pPr>
      <w:r w:rsidRPr="55E95815">
        <w:rPr>
          <w:rFonts w:ascii="Arial" w:hAnsi="Arial" w:eastAsia="Arial" w:cs="Arial"/>
          <w:color w:val="000000" w:themeColor="text1"/>
          <w:sz w:val="22"/>
          <w:szCs w:val="22"/>
        </w:rPr>
        <w:t>Patients are central to the success of the project. While they may not hold organisational power, they possess significant influence through collective feedback, online reviews, and adherence rates. Their interest is high, especially concerning ease of use, comfort, safety, and data transparency. Engaging this group early can generate valuable user insights and foster trust.</w:t>
      </w:r>
    </w:p>
    <w:p w:rsidR="55E95815" w:rsidP="55E95815" w:rsidRDefault="55E95815" w14:paraId="763C1FFA" w14:textId="794321C0">
      <w:pPr>
        <w:rPr>
          <w:rFonts w:ascii="Arial" w:hAnsi="Arial" w:eastAsia="Arial" w:cs="Arial"/>
          <w:color w:val="000000" w:themeColor="text1"/>
          <w:sz w:val="22"/>
          <w:szCs w:val="22"/>
        </w:rPr>
      </w:pPr>
    </w:p>
    <w:p w:rsidR="2C8A64B5" w:rsidP="55E95815" w:rsidRDefault="2C8A64B5" w14:paraId="19E3A11D" w14:textId="23678B4B">
      <w:pPr>
        <w:rPr>
          <w:rFonts w:ascii="Arial" w:hAnsi="Arial" w:eastAsia="Arial" w:cs="Arial"/>
          <w:b/>
          <w:bCs/>
          <w:sz w:val="32"/>
          <w:szCs w:val="32"/>
        </w:rPr>
      </w:pPr>
      <w:r w:rsidRPr="55E95815">
        <w:rPr>
          <w:rFonts w:ascii="Arial" w:hAnsi="Arial" w:eastAsia="Arial" w:cs="Arial"/>
          <w:b/>
          <w:bCs/>
          <w:color w:val="000000" w:themeColor="text1"/>
          <w:sz w:val="32"/>
          <w:szCs w:val="32"/>
        </w:rPr>
        <w:t>NHS Procurement and Commissioning Bodies</w:t>
      </w:r>
    </w:p>
    <w:p w:rsidR="55E95815" w:rsidP="55E95815" w:rsidRDefault="55E95815" w14:paraId="0F082960" w14:textId="2F6BD16B">
      <w:pPr>
        <w:rPr>
          <w:rFonts w:ascii="Arial" w:hAnsi="Arial" w:eastAsia="Arial" w:cs="Arial"/>
          <w:color w:val="000000" w:themeColor="text1"/>
          <w:sz w:val="22"/>
          <w:szCs w:val="22"/>
        </w:rPr>
      </w:pPr>
    </w:p>
    <w:p w:rsidR="2C8A64B5" w:rsidP="55E95815" w:rsidRDefault="2C8A64B5" w14:paraId="6F303B93" w14:textId="1901A15D">
      <w:pPr>
        <w:rPr>
          <w:rFonts w:ascii="Arial" w:hAnsi="Arial" w:eastAsia="Arial" w:cs="Arial"/>
          <w:sz w:val="22"/>
          <w:szCs w:val="22"/>
        </w:rPr>
      </w:pPr>
      <w:r w:rsidRPr="55E95815">
        <w:rPr>
          <w:rFonts w:ascii="Arial" w:hAnsi="Arial" w:eastAsia="Arial" w:cs="Arial"/>
          <w:color w:val="000000" w:themeColor="text1"/>
          <w:sz w:val="22"/>
          <w:szCs w:val="22"/>
        </w:rPr>
        <w:t>These stakeholders are responsible for assessing cost-effectiveness and making purchasing decisions. Their power is high, as securing procurement contracts determines the commercial feasibility of the product. Their interest lies in balancing innovation with budgetary constraints, which requires clear evidence of clinical value and return on investment.</w:t>
      </w:r>
      <w:r w:rsidRPr="55E95815" w:rsidR="43877C6F">
        <w:rPr>
          <w:rFonts w:ascii="Arial" w:hAnsi="Arial" w:eastAsia="Arial" w:cs="Arial"/>
          <w:color w:val="000000" w:themeColor="text1"/>
          <w:sz w:val="22"/>
          <w:szCs w:val="22"/>
        </w:rPr>
        <w:t xml:space="preserve"> </w:t>
      </w:r>
    </w:p>
    <w:p w:rsidR="55E95815" w:rsidP="55E95815" w:rsidRDefault="55E95815" w14:paraId="70E1A59D" w14:textId="63F014D4">
      <w:pPr>
        <w:rPr>
          <w:rFonts w:ascii="Arial" w:hAnsi="Arial" w:eastAsia="Arial" w:cs="Arial"/>
          <w:b/>
          <w:bCs/>
          <w:color w:val="000000" w:themeColor="text1"/>
          <w:sz w:val="31"/>
          <w:szCs w:val="31"/>
        </w:rPr>
      </w:pPr>
    </w:p>
    <w:p w:rsidR="3B3FD6EF" w:rsidP="55E95815" w:rsidRDefault="3B3FD6EF" w14:paraId="217DA089" w14:textId="600AA744">
      <w:pPr>
        <w:rPr>
          <w:rFonts w:ascii="Arial" w:hAnsi="Arial" w:eastAsia="Arial" w:cs="Arial"/>
          <w:b/>
          <w:bCs/>
          <w:sz w:val="32"/>
          <w:szCs w:val="32"/>
        </w:rPr>
      </w:pPr>
      <w:r w:rsidRPr="55E95815">
        <w:rPr>
          <w:rFonts w:ascii="Arial" w:hAnsi="Arial" w:eastAsia="Arial" w:cs="Arial"/>
          <w:b/>
          <w:bCs/>
          <w:color w:val="000000" w:themeColor="text1"/>
          <w:sz w:val="32"/>
          <w:szCs w:val="32"/>
        </w:rPr>
        <w:t>Regulatory</w:t>
      </w:r>
      <w:r w:rsidRPr="55E95815" w:rsidR="32BE5084">
        <w:rPr>
          <w:rFonts w:ascii="Arial" w:hAnsi="Arial" w:eastAsia="Arial" w:cs="Arial"/>
          <w:b/>
          <w:bCs/>
          <w:color w:val="000000" w:themeColor="text1"/>
          <w:sz w:val="32"/>
          <w:szCs w:val="32"/>
        </w:rPr>
        <w:t xml:space="preserve"> Authorities (MHRA</w:t>
      </w:r>
      <w:r w:rsidRPr="55E95815" w:rsidR="0114AB39">
        <w:rPr>
          <w:rFonts w:ascii="Arial" w:hAnsi="Arial" w:eastAsia="Arial" w:cs="Arial"/>
          <w:b/>
          <w:bCs/>
          <w:color w:val="000000" w:themeColor="text1"/>
          <w:sz w:val="32"/>
          <w:szCs w:val="32"/>
        </w:rPr>
        <w:t>)</w:t>
      </w:r>
    </w:p>
    <w:p w:rsidR="55E95815" w:rsidP="55E95815" w:rsidRDefault="55E95815" w14:paraId="57DE9F08" w14:textId="4D67F402">
      <w:pPr>
        <w:rPr>
          <w:rFonts w:ascii="Arial" w:hAnsi="Arial" w:eastAsia="Arial" w:cs="Arial"/>
          <w:color w:val="000000" w:themeColor="text1"/>
          <w:sz w:val="22"/>
          <w:szCs w:val="22"/>
        </w:rPr>
      </w:pPr>
    </w:p>
    <w:p w:rsidR="0114AB39" w:rsidP="55E95815" w:rsidRDefault="0114AB39" w14:paraId="183DFD80" w14:textId="41B9725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MHRA is responsible for evaluating and approving medical devices for UK markets. They hold high power due to their role in certifying the device for clinical use. Their interest focuses on patient safety, accuracy of performance claims, and the robustness of trial data.</w:t>
      </w:r>
    </w:p>
    <w:p w:rsidR="55E95815" w:rsidP="55E95815" w:rsidRDefault="55E95815" w14:paraId="170BD721" w14:textId="7D7F0607">
      <w:pPr>
        <w:rPr>
          <w:rFonts w:ascii="Arial" w:hAnsi="Arial" w:eastAsia="Arial" w:cs="Arial"/>
          <w:color w:val="000000" w:themeColor="text1"/>
          <w:sz w:val="22"/>
          <w:szCs w:val="22"/>
        </w:rPr>
      </w:pPr>
    </w:p>
    <w:p w:rsidR="4D50F4FA" w:rsidP="55E95815" w:rsidRDefault="4D50F4FA" w14:paraId="424F1C05" w14:textId="12602F0D">
      <w:pPr>
        <w:rPr>
          <w:rFonts w:ascii="Arial" w:hAnsi="Arial" w:eastAsia="Arial" w:cs="Arial"/>
          <w:b/>
          <w:bCs/>
          <w:sz w:val="32"/>
          <w:szCs w:val="32"/>
        </w:rPr>
      </w:pPr>
      <w:r w:rsidRPr="55E95815">
        <w:rPr>
          <w:rFonts w:ascii="Arial" w:hAnsi="Arial" w:eastAsia="Arial" w:cs="Arial"/>
          <w:b/>
          <w:bCs/>
          <w:color w:val="000000" w:themeColor="text1"/>
          <w:sz w:val="32"/>
          <w:szCs w:val="32"/>
        </w:rPr>
        <w:t>Academic and Research Partners</w:t>
      </w:r>
    </w:p>
    <w:p w:rsidR="55E95815" w:rsidP="55E95815" w:rsidRDefault="55E95815" w14:paraId="05C1519E" w14:textId="4CA58737">
      <w:pPr>
        <w:rPr>
          <w:rFonts w:ascii="Arial" w:hAnsi="Arial" w:eastAsia="Arial" w:cs="Arial"/>
          <w:color w:val="000000" w:themeColor="text1"/>
          <w:sz w:val="22"/>
          <w:szCs w:val="22"/>
        </w:rPr>
      </w:pPr>
    </w:p>
    <w:p w:rsidR="2D4CFF66" w:rsidP="55E95815" w:rsidRDefault="2D4CFF66" w14:paraId="72696160" w14:textId="3DB9C8CD">
      <w:pPr>
        <w:rPr>
          <w:rFonts w:ascii="Arial" w:hAnsi="Arial" w:eastAsia="Arial" w:cs="Arial"/>
          <w:sz w:val="32"/>
          <w:szCs w:val="32"/>
        </w:rPr>
      </w:pPr>
      <w:r w:rsidRPr="55E95815">
        <w:rPr>
          <w:rFonts w:ascii="Arial" w:hAnsi="Arial" w:eastAsia="Arial" w:cs="Arial"/>
          <w:color w:val="000000" w:themeColor="text1"/>
          <w:sz w:val="22"/>
          <w:szCs w:val="22"/>
        </w:rPr>
        <w:t>These include universities, hospitals, and research organisations that may be involved in pilot studies, clinical trials, or co-design initiatives. Their power may be moderate, but their engagement is important for generating credible evidence to support the device’s efficacy. They also influence thought leadership and the perception of the product within medical communities</w:t>
      </w:r>
      <w:r w:rsidRPr="55E95815" w:rsidR="1B4E885E">
        <w:rPr>
          <w:rFonts w:ascii="Arial" w:hAnsi="Arial" w:eastAsia="Arial" w:cs="Arial"/>
          <w:color w:val="000000" w:themeColor="text1"/>
          <w:sz w:val="22"/>
          <w:szCs w:val="22"/>
        </w:rPr>
        <w:t xml:space="preserve">. </w:t>
      </w:r>
    </w:p>
    <w:p w:rsidR="55E95815" w:rsidP="55E95815" w:rsidRDefault="55E95815" w14:paraId="774CF6DB" w14:textId="278243D1">
      <w:pPr>
        <w:rPr>
          <w:rFonts w:ascii="Arial" w:hAnsi="Arial" w:eastAsia="Arial" w:cs="Arial"/>
          <w:color w:val="000000" w:themeColor="text1"/>
          <w:sz w:val="22"/>
          <w:szCs w:val="22"/>
        </w:rPr>
      </w:pPr>
    </w:p>
    <w:p w:rsidR="55E95815" w:rsidP="55E95815" w:rsidRDefault="55E95815" w14:paraId="18EAD2C7" w14:textId="672B602E">
      <w:pPr>
        <w:rPr>
          <w:rFonts w:ascii="Arial" w:hAnsi="Arial" w:eastAsia="Arial" w:cs="Arial"/>
          <w:b/>
          <w:bCs/>
          <w:color w:val="000000" w:themeColor="text1"/>
          <w:sz w:val="32"/>
          <w:szCs w:val="32"/>
        </w:rPr>
      </w:pPr>
    </w:p>
    <w:p w:rsidR="55E95815" w:rsidP="55E95815" w:rsidRDefault="55E95815" w14:paraId="44A9DB8D" w14:textId="6DE5A61E">
      <w:pPr>
        <w:rPr>
          <w:rFonts w:ascii="Arial" w:hAnsi="Arial" w:eastAsia="Arial" w:cs="Arial"/>
          <w:b/>
          <w:bCs/>
          <w:color w:val="000000" w:themeColor="text1"/>
          <w:sz w:val="32"/>
          <w:szCs w:val="32"/>
        </w:rPr>
      </w:pPr>
    </w:p>
    <w:p w:rsidR="55E95815" w:rsidP="55E95815" w:rsidRDefault="55E95815" w14:paraId="0E74D7E5" w14:textId="193A2ED9">
      <w:pPr>
        <w:rPr>
          <w:rFonts w:ascii="Arial" w:hAnsi="Arial" w:eastAsia="Arial" w:cs="Arial"/>
          <w:b/>
          <w:bCs/>
          <w:color w:val="000000" w:themeColor="text1"/>
          <w:sz w:val="32"/>
          <w:szCs w:val="32"/>
        </w:rPr>
      </w:pPr>
    </w:p>
    <w:p w:rsidR="1B4E885E" w:rsidP="55E95815" w:rsidRDefault="1B4E885E" w14:paraId="3EBF8CE6" w14:textId="15FED7BF">
      <w:pPr>
        <w:rPr>
          <w:rFonts w:ascii="Arial" w:hAnsi="Arial" w:eastAsia="Arial" w:cs="Arial"/>
          <w:sz w:val="32"/>
          <w:szCs w:val="32"/>
        </w:rPr>
      </w:pPr>
      <w:r w:rsidRPr="55E95815">
        <w:rPr>
          <w:rFonts w:ascii="Arial" w:hAnsi="Arial" w:eastAsia="Arial" w:cs="Arial"/>
          <w:b/>
          <w:bCs/>
          <w:color w:val="000000" w:themeColor="text1"/>
          <w:sz w:val="32"/>
          <w:szCs w:val="32"/>
        </w:rPr>
        <w:t>Health Technology Assessment Bodies and Policy Advisors</w:t>
      </w:r>
    </w:p>
    <w:p w:rsidR="34788B7D" w:rsidP="55E95815" w:rsidRDefault="34788B7D" w14:paraId="60807DA8" w14:textId="74732AE3">
      <w:pPr>
        <w:rPr>
          <w:rFonts w:ascii="Arial" w:hAnsi="Arial" w:eastAsia="Arial" w:cs="Arial"/>
          <w:sz w:val="32"/>
          <w:szCs w:val="32"/>
        </w:rPr>
      </w:pPr>
      <w:r w:rsidRPr="55E95815">
        <w:rPr>
          <w:rFonts w:ascii="Arial" w:hAnsi="Arial" w:eastAsia="Arial" w:cs="Arial"/>
          <w:color w:val="000000" w:themeColor="text1"/>
          <w:sz w:val="22"/>
          <w:szCs w:val="22"/>
        </w:rPr>
        <w:t>Stakeholders such as NICE or local Integrated Care Systems (ICS) assess the long-term value of new technologies. Their role is particularly important for scaling innovation nationally. They consider cost-effectiveness, equity, and social value, and their evaluations may influence funding decisions.</w:t>
      </w:r>
    </w:p>
    <w:p w:rsidR="55E95815" w:rsidP="55E95815" w:rsidRDefault="55E95815" w14:paraId="36DC9DCC" w14:textId="764ECE2C">
      <w:pPr>
        <w:rPr>
          <w:rFonts w:ascii="Arial" w:hAnsi="Arial" w:eastAsia="Arial" w:cs="Arial"/>
          <w:color w:val="000000" w:themeColor="text1"/>
          <w:sz w:val="22"/>
          <w:szCs w:val="22"/>
        </w:rPr>
      </w:pPr>
    </w:p>
    <w:p w:rsidR="2B3BE3D9" w:rsidP="55E95815" w:rsidRDefault="2B3BE3D9" w14:paraId="36EED41A" w14:textId="25C92B43">
      <w:pPr>
        <w:rPr>
          <w:rFonts w:ascii="Arial" w:hAnsi="Arial" w:eastAsia="Arial" w:cs="Arial"/>
          <w:sz w:val="22"/>
          <w:szCs w:val="22"/>
        </w:rPr>
      </w:pPr>
      <w:r w:rsidRPr="55E95815">
        <w:rPr>
          <w:rFonts w:ascii="Arial" w:hAnsi="Arial" w:eastAsia="Arial" w:cs="Arial"/>
          <w:b/>
          <w:bCs/>
          <w:color w:val="000000" w:themeColor="text1"/>
          <w:sz w:val="32"/>
          <w:szCs w:val="32"/>
        </w:rPr>
        <w:t>Stakeholder Mapping Using the Power-Interest Grid</w:t>
      </w:r>
    </w:p>
    <w:p w:rsidR="434410A8" w:rsidP="55E95815" w:rsidRDefault="434410A8" w14:paraId="1FD29BCB" w14:textId="32BDFE4E">
      <w:pPr>
        <w:rPr>
          <w:rFonts w:ascii="Arial" w:hAnsi="Arial" w:eastAsia="Arial" w:cs="Arial"/>
          <w:sz w:val="22"/>
          <w:szCs w:val="22"/>
        </w:rPr>
      </w:pPr>
      <w:r w:rsidRPr="55E95815">
        <w:rPr>
          <w:rFonts w:ascii="Arial" w:hAnsi="Arial" w:eastAsia="Arial" w:cs="Arial"/>
          <w:color w:val="000000" w:themeColor="text1"/>
          <w:sz w:val="22"/>
          <w:szCs w:val="22"/>
        </w:rPr>
        <w:t>Based on Johnson et al. (2008), stakeholders can be plotted in a Power-Interest Grid to determine the appropriate engagement strategy.</w:t>
      </w:r>
    </w:p>
    <w:p w:rsidR="55E95815" w:rsidP="55E95815" w:rsidRDefault="55E95815" w14:paraId="3F7A3165" w14:textId="33C360C9">
      <w:pPr>
        <w:rPr>
          <w:rFonts w:ascii="Arial Nova" w:hAnsi="Arial Nova" w:eastAsia="Arial Nova" w:cs="Arial Nova"/>
          <w:color w:val="242130"/>
          <w:sz w:val="22"/>
          <w:szCs w:val="22"/>
        </w:rPr>
      </w:pPr>
    </w:p>
    <w:tbl>
      <w:tblPr>
        <w:tblStyle w:val="TableGrid"/>
        <w:tblW w:w="0" w:type="auto"/>
        <w:jc w:val="center"/>
        <w:tblLayout w:type="fixed"/>
        <w:tblLook w:val="06A0" w:firstRow="1" w:lastRow="0" w:firstColumn="1" w:lastColumn="0" w:noHBand="1" w:noVBand="1"/>
      </w:tblPr>
      <w:tblGrid>
        <w:gridCol w:w="1800"/>
        <w:gridCol w:w="1980"/>
        <w:gridCol w:w="2768"/>
        <w:gridCol w:w="2468"/>
      </w:tblGrid>
      <w:tr w:rsidR="55E95815" w:rsidTr="55E95815" w14:paraId="01F1513E" w14:textId="77777777">
        <w:trPr>
          <w:trHeight w:val="420"/>
          <w:jc w:val="center"/>
        </w:trPr>
        <w:tc>
          <w:tcPr>
            <w:tcW w:w="1800" w:type="dxa"/>
          </w:tcPr>
          <w:p w:rsidR="613D1087" w:rsidP="55E95815" w:rsidRDefault="613D1087" w14:paraId="76981BDA" w14:textId="3253E6B0">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Power </w:t>
            </w:r>
          </w:p>
        </w:tc>
        <w:tc>
          <w:tcPr>
            <w:tcW w:w="1980" w:type="dxa"/>
          </w:tcPr>
          <w:p w:rsidR="613D1087" w:rsidP="55E95815" w:rsidRDefault="613D1087" w14:paraId="6312C757" w14:textId="48C95F89">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Interest </w:t>
            </w:r>
          </w:p>
        </w:tc>
        <w:tc>
          <w:tcPr>
            <w:tcW w:w="2768" w:type="dxa"/>
          </w:tcPr>
          <w:p w:rsidR="613D1087" w:rsidP="55E95815" w:rsidRDefault="613D1087" w14:paraId="435549D6" w14:textId="386BE66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Stakeholder </w:t>
            </w:r>
          </w:p>
        </w:tc>
        <w:tc>
          <w:tcPr>
            <w:tcW w:w="2468" w:type="dxa"/>
          </w:tcPr>
          <w:p w:rsidR="613D1087" w:rsidP="55E95815" w:rsidRDefault="613D1087" w14:paraId="119185ED" w14:textId="773948AC">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Engagement Strategy </w:t>
            </w:r>
          </w:p>
        </w:tc>
      </w:tr>
      <w:tr w:rsidR="55E95815" w:rsidTr="55E95815" w14:paraId="3913CA5C" w14:textId="77777777">
        <w:trPr>
          <w:trHeight w:val="300"/>
          <w:jc w:val="center"/>
        </w:trPr>
        <w:tc>
          <w:tcPr>
            <w:tcW w:w="1800" w:type="dxa"/>
          </w:tcPr>
          <w:p w:rsidR="613D1087" w:rsidP="55E95815" w:rsidRDefault="613D1087" w14:paraId="322C92C2" w14:textId="6DB807AC">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1980" w:type="dxa"/>
          </w:tcPr>
          <w:p w:rsidR="613D1087" w:rsidP="55E95815" w:rsidRDefault="613D1087" w14:paraId="7FC518B8" w14:textId="5DB3F1D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2768" w:type="dxa"/>
          </w:tcPr>
          <w:p w:rsidR="613D1087" w:rsidP="55E95815" w:rsidRDefault="613D1087" w14:paraId="22E962DE" w14:textId="7BB66DA9">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Project Sponsor, NHS Cl</w:t>
            </w:r>
            <w:r w:rsidRPr="55E95815" w:rsidR="696F2809">
              <w:rPr>
                <w:rFonts w:ascii="Arial Nova" w:hAnsi="Arial Nova" w:eastAsia="Arial Nova" w:cs="Arial Nova"/>
                <w:b/>
                <w:bCs/>
                <w:color w:val="242130"/>
                <w:sz w:val="22"/>
                <w:szCs w:val="22"/>
              </w:rPr>
              <w:t xml:space="preserve">inicians, Procurement </w:t>
            </w:r>
            <w:r w:rsidRPr="55E95815" w:rsidR="2588ACFD">
              <w:rPr>
                <w:rFonts w:ascii="Arial Nova" w:hAnsi="Arial Nova" w:eastAsia="Arial Nova" w:cs="Arial Nova"/>
                <w:b/>
                <w:bCs/>
                <w:color w:val="242130"/>
                <w:sz w:val="22"/>
                <w:szCs w:val="22"/>
              </w:rPr>
              <w:t>Bodies, Regulatory Affa</w:t>
            </w:r>
            <w:r w:rsidRPr="55E95815" w:rsidR="2751975A">
              <w:rPr>
                <w:rFonts w:ascii="Arial Nova" w:hAnsi="Arial Nova" w:eastAsia="Arial Nova" w:cs="Arial Nova"/>
                <w:b/>
                <w:bCs/>
                <w:color w:val="242130"/>
                <w:sz w:val="22"/>
                <w:szCs w:val="22"/>
              </w:rPr>
              <w:t>irs Team</w:t>
            </w:r>
            <w:r w:rsidRPr="55E95815" w:rsidR="696F2809">
              <w:rPr>
                <w:rFonts w:ascii="Arial Nova" w:hAnsi="Arial Nova" w:eastAsia="Arial Nova" w:cs="Arial Nova"/>
                <w:b/>
                <w:bCs/>
                <w:color w:val="242130"/>
                <w:sz w:val="22"/>
                <w:szCs w:val="22"/>
              </w:rPr>
              <w:t xml:space="preserve"> </w:t>
            </w:r>
            <w:r w:rsidRPr="55E95815">
              <w:rPr>
                <w:rFonts w:ascii="Arial Nova" w:hAnsi="Arial Nova" w:eastAsia="Arial Nova" w:cs="Arial Nova"/>
                <w:b/>
                <w:bCs/>
                <w:color w:val="242130"/>
                <w:sz w:val="22"/>
                <w:szCs w:val="22"/>
              </w:rPr>
              <w:t xml:space="preserve"> </w:t>
            </w:r>
          </w:p>
        </w:tc>
        <w:tc>
          <w:tcPr>
            <w:tcW w:w="2468" w:type="dxa"/>
          </w:tcPr>
          <w:p w:rsidR="50422B4F" w:rsidP="55E95815" w:rsidRDefault="50422B4F" w14:paraId="056B36B1" w14:textId="656D797D">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Manage Closely</w:t>
            </w:r>
          </w:p>
        </w:tc>
      </w:tr>
      <w:tr w:rsidR="55E95815" w:rsidTr="55E95815" w14:paraId="694F7DA3" w14:textId="77777777">
        <w:trPr>
          <w:trHeight w:val="300"/>
          <w:jc w:val="center"/>
        </w:trPr>
        <w:tc>
          <w:tcPr>
            <w:tcW w:w="1800" w:type="dxa"/>
          </w:tcPr>
          <w:p w:rsidR="613D1087" w:rsidP="55E95815" w:rsidRDefault="613D1087" w14:paraId="474D46C2" w14:textId="5F72DAB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1980" w:type="dxa"/>
          </w:tcPr>
          <w:p w:rsidR="613D1087" w:rsidP="55E95815" w:rsidRDefault="613D1087" w14:paraId="796C6676" w14:textId="684C50C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2768" w:type="dxa"/>
          </w:tcPr>
          <w:p w:rsidR="6970F79B" w:rsidP="55E95815" w:rsidRDefault="6970F79B" w14:paraId="09718B6F" w14:textId="31BFC04E">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MHRA, HTA Bodies, Policy Advis</w:t>
            </w:r>
            <w:r w:rsidRPr="55E95815" w:rsidR="2E7677FE">
              <w:rPr>
                <w:rFonts w:ascii="Arial Nova" w:hAnsi="Arial Nova" w:eastAsia="Arial Nova" w:cs="Arial Nova"/>
                <w:b/>
                <w:bCs/>
                <w:color w:val="242130"/>
                <w:sz w:val="22"/>
                <w:szCs w:val="22"/>
              </w:rPr>
              <w:t>ors</w:t>
            </w:r>
          </w:p>
        </w:tc>
        <w:tc>
          <w:tcPr>
            <w:tcW w:w="2468" w:type="dxa"/>
          </w:tcPr>
          <w:p w:rsidR="3BB74217" w:rsidP="55E95815" w:rsidRDefault="3BB74217" w14:paraId="35C3828C" w14:textId="6E6A0212">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Keep Satisfied</w:t>
            </w:r>
          </w:p>
        </w:tc>
      </w:tr>
      <w:tr w:rsidR="55E95815" w:rsidTr="55E95815" w14:paraId="4880F032" w14:textId="77777777">
        <w:trPr>
          <w:trHeight w:val="300"/>
          <w:jc w:val="center"/>
        </w:trPr>
        <w:tc>
          <w:tcPr>
            <w:tcW w:w="1800" w:type="dxa"/>
          </w:tcPr>
          <w:p w:rsidR="613D1087" w:rsidP="55E95815" w:rsidRDefault="613D1087" w14:paraId="444D28F2" w14:textId="71B56AE8">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1980" w:type="dxa"/>
          </w:tcPr>
          <w:p w:rsidR="613D1087" w:rsidP="55E95815" w:rsidRDefault="613D1087" w14:paraId="4457546C" w14:textId="21C18804">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High </w:t>
            </w:r>
          </w:p>
        </w:tc>
        <w:tc>
          <w:tcPr>
            <w:tcW w:w="2768" w:type="dxa"/>
          </w:tcPr>
          <w:p w:rsidR="543E9674" w:rsidP="55E95815" w:rsidRDefault="543E9674" w14:paraId="0AC72E16" w14:textId="7C5A829A">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Patients, R&amp;D Team, Data Privacy</w:t>
            </w:r>
            <w:r w:rsidRPr="55E95815" w:rsidR="6F8B6121">
              <w:rPr>
                <w:rFonts w:ascii="Arial Nova" w:hAnsi="Arial Nova" w:eastAsia="Arial Nova" w:cs="Arial Nova"/>
                <w:b/>
                <w:bCs/>
                <w:color w:val="242130"/>
                <w:sz w:val="22"/>
                <w:szCs w:val="22"/>
              </w:rPr>
              <w:t xml:space="preserve"> Specialists </w:t>
            </w:r>
            <w:r w:rsidRPr="55E95815">
              <w:rPr>
                <w:rFonts w:ascii="Arial Nova" w:hAnsi="Arial Nova" w:eastAsia="Arial Nova" w:cs="Arial Nova"/>
                <w:b/>
                <w:bCs/>
                <w:color w:val="242130"/>
                <w:sz w:val="22"/>
                <w:szCs w:val="22"/>
              </w:rPr>
              <w:t xml:space="preserve"> </w:t>
            </w:r>
          </w:p>
        </w:tc>
        <w:tc>
          <w:tcPr>
            <w:tcW w:w="2468" w:type="dxa"/>
          </w:tcPr>
          <w:p w:rsidR="6E3C98DB" w:rsidP="55E95815" w:rsidRDefault="6E3C98DB" w14:paraId="0D742188" w14:textId="4DE00B8F">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Keep Informed</w:t>
            </w:r>
          </w:p>
        </w:tc>
      </w:tr>
      <w:tr w:rsidR="55E95815" w:rsidTr="55E95815" w14:paraId="536BCFE5" w14:textId="77777777">
        <w:trPr>
          <w:trHeight w:val="300"/>
          <w:jc w:val="center"/>
        </w:trPr>
        <w:tc>
          <w:tcPr>
            <w:tcW w:w="1800" w:type="dxa"/>
          </w:tcPr>
          <w:p w:rsidR="613D1087" w:rsidP="55E95815" w:rsidRDefault="613D1087" w14:paraId="3EF41473" w14:textId="55AA8E53">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1980" w:type="dxa"/>
          </w:tcPr>
          <w:p w:rsidR="613D1087" w:rsidP="55E95815" w:rsidRDefault="613D1087" w14:paraId="70D8E486" w14:textId="25F93E27">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 xml:space="preserve">Low </w:t>
            </w:r>
          </w:p>
        </w:tc>
        <w:tc>
          <w:tcPr>
            <w:tcW w:w="2768" w:type="dxa"/>
          </w:tcPr>
          <w:p w:rsidR="23456408" w:rsidP="55E95815" w:rsidRDefault="23456408" w14:paraId="76078470" w14:textId="508C82F4">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General Public (at early stages), Media</w:t>
            </w:r>
          </w:p>
        </w:tc>
        <w:tc>
          <w:tcPr>
            <w:tcW w:w="2468" w:type="dxa"/>
          </w:tcPr>
          <w:p w:rsidR="09E5D23E" w:rsidP="55E95815" w:rsidRDefault="09E5D23E" w14:paraId="0067690E" w14:textId="1C9400C8">
            <w:pPr>
              <w:jc w:val="center"/>
              <w:rPr>
                <w:rFonts w:ascii="Arial Nova" w:hAnsi="Arial Nova" w:eastAsia="Arial Nova" w:cs="Arial Nova"/>
                <w:b/>
                <w:bCs/>
                <w:color w:val="242130"/>
                <w:sz w:val="22"/>
                <w:szCs w:val="22"/>
              </w:rPr>
            </w:pPr>
            <w:r w:rsidRPr="55E95815">
              <w:rPr>
                <w:rFonts w:ascii="Arial Nova" w:hAnsi="Arial Nova" w:eastAsia="Arial Nova" w:cs="Arial Nova"/>
                <w:b/>
                <w:bCs/>
                <w:color w:val="242130"/>
                <w:sz w:val="22"/>
                <w:szCs w:val="22"/>
              </w:rPr>
              <w:t>Monitor with Minimum Effort</w:t>
            </w:r>
          </w:p>
        </w:tc>
      </w:tr>
    </w:tbl>
    <w:p w:rsidR="55E95815" w:rsidP="55E95815" w:rsidRDefault="55E95815" w14:paraId="45152BAF" w14:textId="47DCCDB0">
      <w:pPr>
        <w:rPr>
          <w:rFonts w:ascii="Arial" w:hAnsi="Arial" w:eastAsia="Arial" w:cs="Arial"/>
          <w:color w:val="000000" w:themeColor="text1"/>
          <w:sz w:val="22"/>
          <w:szCs w:val="22"/>
        </w:rPr>
      </w:pPr>
    </w:p>
    <w:p w:rsidR="58FD5A7A" w:rsidP="55E95815" w:rsidRDefault="58FD5A7A" w14:paraId="6ED4AA80" w14:textId="79DB5270">
      <w:pPr>
        <w:rPr>
          <w:rFonts w:ascii="Arial Nova" w:hAnsi="Arial Nova" w:eastAsia="Arial Nova" w:cs="Arial Nova"/>
          <w:sz w:val="22"/>
          <w:szCs w:val="22"/>
        </w:rPr>
      </w:pPr>
      <w:r w:rsidRPr="55E95815">
        <w:rPr>
          <w:rFonts w:ascii="Arial" w:hAnsi="Arial" w:eastAsia="Arial" w:cs="Arial"/>
          <w:color w:val="000000" w:themeColor="text1"/>
          <w:sz w:val="22"/>
          <w:szCs w:val="22"/>
        </w:rPr>
        <w:t>This model allows the project team to allocate communication efforts and tailor stakeholder engagement activities according to influence and interest levels.</w:t>
      </w:r>
    </w:p>
    <w:p w:rsidR="09A0B338" w:rsidP="55E95815" w:rsidRDefault="09A0B338" w14:paraId="33484787" w14:textId="40EA365B">
      <w:pPr>
        <w:rPr>
          <w:rFonts w:ascii="Arial" w:hAnsi="Arial" w:eastAsia="Arial" w:cs="Arial"/>
          <w:b/>
          <w:bCs/>
          <w:color w:val="000000" w:themeColor="text1"/>
          <w:sz w:val="31"/>
          <w:szCs w:val="31"/>
        </w:rPr>
      </w:pPr>
      <w:r w:rsidRPr="55E95815">
        <w:rPr>
          <w:rFonts w:ascii="Arial" w:hAnsi="Arial" w:eastAsia="Arial" w:cs="Arial"/>
          <w:b/>
          <w:bCs/>
          <w:color w:val="000000" w:themeColor="text1"/>
          <w:sz w:val="32"/>
          <w:szCs w:val="32"/>
        </w:rPr>
        <w:t>Stakeholder Salience Analysis</w:t>
      </w:r>
    </w:p>
    <w:p w:rsidR="7CF50C20" w:rsidP="55E95815" w:rsidRDefault="7CF50C20" w14:paraId="3BF025CA" w14:textId="352C08A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Mitchell et al. (1997) developed the Stakeholder Salience Model to classify stakeholders based on three attributes: power, legitimacy, and urgency. Using this model: </w:t>
      </w:r>
    </w:p>
    <w:p w:rsidR="7CF50C20" w:rsidP="55E95815" w:rsidRDefault="7CF50C20" w14:paraId="7F010AB0" w14:textId="07CD87D8">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Definitive stakeholders</w:t>
      </w:r>
      <w:r w:rsidRPr="55E95815">
        <w:rPr>
          <w:rFonts w:ascii="Arial" w:hAnsi="Arial" w:eastAsia="Arial" w:cs="Arial"/>
          <w:color w:val="000000" w:themeColor="text1"/>
          <w:sz w:val="22"/>
          <w:szCs w:val="22"/>
        </w:rPr>
        <w:t xml:space="preserve"> include the project sponsor, MHRA, and NHS procurement leads, who possess all three attributes. </w:t>
      </w:r>
    </w:p>
    <w:p w:rsidR="7CF50C20" w:rsidP="55E95815" w:rsidRDefault="7CF50C20" w14:paraId="70E14D18" w14:textId="763B2584">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Dominant stakeholders</w:t>
      </w:r>
      <w:r w:rsidRPr="55E95815">
        <w:rPr>
          <w:rFonts w:ascii="Arial" w:hAnsi="Arial" w:eastAsia="Arial" w:cs="Arial"/>
          <w:color w:val="000000" w:themeColor="text1"/>
          <w:sz w:val="22"/>
          <w:szCs w:val="22"/>
        </w:rPr>
        <w:t xml:space="preserve"> include the regulatory affairs and quality assurance teams who have power and legitimacy. </w:t>
      </w:r>
    </w:p>
    <w:p w:rsidR="7CF50C20" w:rsidP="55E95815" w:rsidRDefault="7CF50C20" w14:paraId="3599BD02" w14:textId="03194FD9">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Dependent stakeholders</w:t>
      </w:r>
      <w:r w:rsidRPr="55E95815">
        <w:rPr>
          <w:rFonts w:ascii="Arial" w:hAnsi="Arial" w:eastAsia="Arial" w:cs="Arial"/>
          <w:color w:val="000000" w:themeColor="text1"/>
          <w:sz w:val="22"/>
          <w:szCs w:val="22"/>
        </w:rPr>
        <w:t xml:space="preserve"> include patients who possess legitimacy and urgency but may lack formal power. </w:t>
      </w:r>
    </w:p>
    <w:p w:rsidR="7CF50C20" w:rsidP="55E95815" w:rsidRDefault="7CF50C20" w14:paraId="34BF7C18" w14:textId="0EB11ACB">
      <w:pPr>
        <w:rPr>
          <w:rFonts w:ascii="Arial" w:hAnsi="Arial" w:eastAsia="Arial" w:cs="Arial"/>
          <w:color w:val="000000" w:themeColor="text1"/>
          <w:sz w:val="22"/>
          <w:szCs w:val="22"/>
        </w:rPr>
      </w:pPr>
      <w:r w:rsidRPr="55E95815">
        <w:rPr>
          <w:rFonts w:ascii="Arial" w:hAnsi="Arial" w:eastAsia="Arial" w:cs="Arial"/>
          <w:b/>
          <w:bCs/>
          <w:color w:val="000000" w:themeColor="text1"/>
          <w:sz w:val="22"/>
          <w:szCs w:val="22"/>
        </w:rPr>
        <w:t>Dangerous stakeholders</w:t>
      </w:r>
      <w:r w:rsidRPr="55E95815">
        <w:rPr>
          <w:rFonts w:ascii="Arial" w:hAnsi="Arial" w:eastAsia="Arial" w:cs="Arial"/>
          <w:color w:val="000000" w:themeColor="text1"/>
          <w:sz w:val="22"/>
          <w:szCs w:val="22"/>
        </w:rPr>
        <w:t xml:space="preserve"> (those with power and urgency but low legitimacy) are not present in this project but could emerge if data privacy issues are mishandled. </w:t>
      </w:r>
    </w:p>
    <w:p w:rsidR="7CF50C20" w:rsidP="55E95815" w:rsidRDefault="7CF50C20" w14:paraId="7703F7EB" w14:textId="00C4B5AA">
      <w:pPr>
        <w:rPr>
          <w:rFonts w:ascii="Arial" w:hAnsi="Arial" w:eastAsia="Arial" w:cs="Arial"/>
          <w:sz w:val="22"/>
          <w:szCs w:val="22"/>
        </w:rPr>
      </w:pPr>
      <w:r w:rsidRPr="55E95815">
        <w:rPr>
          <w:rFonts w:ascii="Arial" w:hAnsi="Arial" w:eastAsia="Arial" w:cs="Arial"/>
          <w:color w:val="000000" w:themeColor="text1"/>
          <w:sz w:val="22"/>
          <w:szCs w:val="22"/>
        </w:rPr>
        <w:t>This classification further refines the engagement strategy by indicating which stakeholders must be prioritised in communication, collaboration, and risk management plans.</w:t>
      </w:r>
    </w:p>
    <w:p w:rsidR="596BC2BF" w:rsidP="55E95815" w:rsidRDefault="596BC2BF" w14:paraId="2524FAB9" w14:textId="023DD7FD">
      <w:pPr>
        <w:rPr>
          <w:rFonts w:ascii="Arial" w:hAnsi="Arial" w:eastAsia="Arial" w:cs="Arial"/>
          <w:sz w:val="32"/>
          <w:szCs w:val="32"/>
        </w:rPr>
      </w:pPr>
      <w:r w:rsidRPr="55E95815">
        <w:rPr>
          <w:rFonts w:ascii="Arial" w:hAnsi="Arial" w:eastAsia="Arial" w:cs="Arial"/>
          <w:b/>
          <w:bCs/>
          <w:color w:val="000000" w:themeColor="text1"/>
          <w:sz w:val="32"/>
          <w:szCs w:val="32"/>
        </w:rPr>
        <w:t>Roles, Benefits, and Challenges of Stakeholder Involvement</w:t>
      </w:r>
    </w:p>
    <w:p w:rsidR="4419453E" w:rsidP="55E95815" w:rsidRDefault="4419453E" w14:paraId="4D1A2DFB" w14:textId="0E5B649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Engaging stakeholders in the development and launch of a wearable biosensor health device is essential not only for project completion but also for long-term success, user adoption, and regulatory compliance. Each stakeholder brings unique roles, perspectives, and expertise to the project. However, their involvement can also introduce potential barriers, such as misaligned priorities, communication gaps, or resistance to change. This section explores the specific roles, benefits, and challenges associated with the key internal and external stakeholders previously identified in Section 3</w:t>
      </w:r>
      <w:r w:rsidRPr="55E95815" w:rsidR="69103646">
        <w:rPr>
          <w:rFonts w:ascii="Arial" w:hAnsi="Arial" w:eastAsia="Arial" w:cs="Arial"/>
          <w:color w:val="000000" w:themeColor="text1"/>
          <w:sz w:val="22"/>
          <w:szCs w:val="22"/>
        </w:rPr>
        <w:t>.</w:t>
      </w:r>
    </w:p>
    <w:p w:rsidR="1B37856C" w:rsidP="55E95815" w:rsidRDefault="1B37856C" w14:paraId="71623C4B" w14:textId="3FD9F1F5">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Roles of Key Stakeholders</w:t>
      </w:r>
    </w:p>
    <w:p w:rsidR="64FD3AC1" w:rsidP="55E95815" w:rsidRDefault="64FD3AC1" w14:paraId="77E254D0" w14:textId="2D432960">
      <w:pPr>
        <w:rPr>
          <w:rFonts w:ascii="Arial" w:hAnsi="Arial" w:eastAsia="Arial" w:cs="Arial"/>
          <w:color w:val="000000" w:themeColor="text1"/>
          <w:sz w:val="32"/>
          <w:szCs w:val="32"/>
        </w:rPr>
      </w:pPr>
      <w:r w:rsidRPr="55E95815">
        <w:rPr>
          <w:rFonts w:ascii="Arial" w:hAnsi="Arial" w:eastAsia="Arial" w:cs="Arial"/>
          <w:color w:val="000000" w:themeColor="text1"/>
          <w:sz w:val="22"/>
          <w:szCs w:val="22"/>
        </w:rPr>
        <w:t>Stakeholders involved in this project take on functional, strategic, and advisory roles. Internally, the Project Sponsor serves as the strategic leader responsible for ensuring that sufficient resources are allocated to the project. The sponsor supports decision-making and resolves escalated issues that affect the project’s progress or direction.</w:t>
      </w:r>
    </w:p>
    <w:p w:rsidR="64FD3AC1" w:rsidP="55E95815" w:rsidRDefault="64FD3AC1" w14:paraId="64B00DA5" w14:textId="3964341E">
      <w:pPr>
        <w:rPr>
          <w:rFonts w:ascii="Arial" w:hAnsi="Arial" w:eastAsia="Arial" w:cs="Arial"/>
          <w:color w:val="000000" w:themeColor="text1"/>
          <w:sz w:val="22"/>
          <w:szCs w:val="22"/>
        </w:rPr>
      </w:pPr>
      <w:r w:rsidRPr="2112F2AD" w:rsidR="3C871A5C">
        <w:rPr>
          <w:rFonts w:ascii="Arial" w:hAnsi="Arial" w:eastAsia="Arial" w:cs="Arial"/>
          <w:color w:val="000000" w:themeColor="text1" w:themeTint="FF" w:themeShade="FF"/>
          <w:sz w:val="22"/>
          <w:szCs w:val="22"/>
        </w:rPr>
        <w:t xml:space="preserve">The R&amp;D team is tasked with designing, developing, testing, and refining the wearable biosensor. Their role is technical in nature, involving iterative product development, software integration, and hardware testing. The Quality Assurance and Regulatory Affairs team </w:t>
      </w:r>
      <w:bookmarkStart w:name="_Int_ProKAbvB" w:id="1633775878"/>
      <w:r w:rsidRPr="2112F2AD" w:rsidR="3C871A5C">
        <w:rPr>
          <w:rFonts w:ascii="Arial" w:hAnsi="Arial" w:eastAsia="Arial" w:cs="Arial"/>
          <w:color w:val="000000" w:themeColor="text1" w:themeTint="FF" w:themeShade="FF"/>
          <w:sz w:val="22"/>
          <w:szCs w:val="22"/>
        </w:rPr>
        <w:t>monitors</w:t>
      </w:r>
      <w:bookmarkEnd w:id="1633775878"/>
      <w:r w:rsidRPr="2112F2AD" w:rsidR="3C871A5C">
        <w:rPr>
          <w:rFonts w:ascii="Arial" w:hAnsi="Arial" w:eastAsia="Arial" w:cs="Arial"/>
          <w:color w:val="000000" w:themeColor="text1" w:themeTint="FF" w:themeShade="FF"/>
          <w:sz w:val="22"/>
          <w:szCs w:val="22"/>
        </w:rPr>
        <w:t xml:space="preserve"> regulatory compliance throughout the development lifecycle, preparing documentation for MHRA approval and managing risk assessments.</w:t>
      </w:r>
    </w:p>
    <w:p w:rsidR="5C8B9108" w:rsidP="55E95815" w:rsidRDefault="5C8B9108" w14:paraId="18F92794" w14:textId="20CCE99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Marketing and Commercial Strategy team defines the product’s market positioning, creates value propositions for NHS procurement, and plans promotional campaigns. The Cybersecurity and Data Protection team ensures that the biosensor complies with UK data laws and builds secure systems for managing sensitive patient data.</w:t>
      </w:r>
    </w:p>
    <w:p w:rsidR="5C8B9108" w:rsidP="55E95815" w:rsidRDefault="5C8B9108" w14:paraId="6F50B5B5" w14:textId="2792754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Externally, NHS clinicians and healthcare providers function as clinical evaluators and potential champions of the product. Their feedback helps tailor the device for real-world clinical settings. Patients, as end-users, are critical contributors to usability testing and product acceptance. Their experiences and feedback help shape product improvements.</w:t>
      </w:r>
    </w:p>
    <w:p w:rsidR="4B90E456" w:rsidP="55E95815" w:rsidRDefault="4B90E456" w14:paraId="2B4EA92C" w14:textId="3F9CB382">
      <w:pPr>
        <w:rPr>
          <w:rFonts w:ascii="Arial" w:hAnsi="Arial" w:eastAsia="Arial" w:cs="Arial"/>
          <w:sz w:val="22"/>
          <w:szCs w:val="22"/>
        </w:rPr>
      </w:pPr>
      <w:r w:rsidRPr="55E95815">
        <w:rPr>
          <w:rFonts w:ascii="Arial" w:hAnsi="Arial" w:eastAsia="Arial" w:cs="Arial"/>
          <w:color w:val="000000" w:themeColor="text1"/>
          <w:sz w:val="22"/>
          <w:szCs w:val="22"/>
        </w:rPr>
        <w:t>Regulators</w:t>
      </w:r>
      <w:r w:rsidRPr="55E95815" w:rsidR="5C8B9108">
        <w:rPr>
          <w:rFonts w:ascii="Arial" w:hAnsi="Arial" w:eastAsia="Arial" w:cs="Arial"/>
          <w:color w:val="000000" w:themeColor="text1"/>
          <w:sz w:val="22"/>
          <w:szCs w:val="22"/>
        </w:rPr>
        <w:t xml:space="preserve"> such as the MHRA oversee device approval and classification, ensuring the biosensor meets safety, efficacy, and ethical standards. NHS procurement and commissionin</w:t>
      </w:r>
      <w:r w:rsidRPr="55E95815" w:rsidR="09D004F3">
        <w:rPr>
          <w:rFonts w:ascii="Arial" w:hAnsi="Arial" w:eastAsia="Arial" w:cs="Arial"/>
          <w:color w:val="000000" w:themeColor="text1"/>
          <w:sz w:val="22"/>
          <w:szCs w:val="22"/>
        </w:rPr>
        <w:t>g</w:t>
      </w:r>
      <w:r w:rsidRPr="55E95815" w:rsidR="7C399338">
        <w:rPr>
          <w:rFonts w:ascii="Arial" w:hAnsi="Arial" w:eastAsia="Arial" w:cs="Arial"/>
          <w:color w:val="000000" w:themeColor="text1"/>
          <w:sz w:val="22"/>
          <w:szCs w:val="22"/>
        </w:rPr>
        <w:t xml:space="preserve"> bodies assess the device’s cost-effectiveness and decide whether it will be adopted within clinical pathways. Academic partners offer research collaboration and clinical trial support, while policy advisors and HTA bodies contribute to shaping the long-term strategic landscape for healthcare innovation.</w:t>
      </w:r>
    </w:p>
    <w:p w:rsidR="55E95815" w:rsidP="55E95815" w:rsidRDefault="55E95815" w14:paraId="606FFED4" w14:textId="6078FD58">
      <w:pPr>
        <w:rPr>
          <w:rFonts w:ascii="Arial" w:hAnsi="Arial" w:eastAsia="Arial" w:cs="Arial"/>
          <w:b/>
          <w:bCs/>
          <w:color w:val="000000" w:themeColor="text1"/>
          <w:sz w:val="32"/>
          <w:szCs w:val="32"/>
        </w:rPr>
      </w:pPr>
    </w:p>
    <w:p w:rsidR="3762ECBC" w:rsidP="55E95815" w:rsidRDefault="3762ECBC" w14:paraId="2409A9BB" w14:textId="3F0F702B">
      <w:pPr>
        <w:rPr>
          <w:rFonts w:ascii="Arial" w:hAnsi="Arial" w:eastAsia="Arial" w:cs="Arial"/>
          <w:b/>
          <w:bCs/>
          <w:sz w:val="32"/>
          <w:szCs w:val="32"/>
        </w:rPr>
      </w:pPr>
      <w:r w:rsidRPr="55E95815">
        <w:rPr>
          <w:rFonts w:ascii="Arial" w:hAnsi="Arial" w:eastAsia="Arial" w:cs="Arial"/>
          <w:b/>
          <w:bCs/>
          <w:color w:val="000000" w:themeColor="text1"/>
          <w:sz w:val="32"/>
          <w:szCs w:val="32"/>
        </w:rPr>
        <w:t>Benefits of Stakeholder Involvement</w:t>
      </w:r>
    </w:p>
    <w:p w:rsidR="507E030B" w:rsidP="55E95815" w:rsidRDefault="507E030B" w14:paraId="067B563D" w14:textId="0E4E4012">
      <w:pPr>
        <w:rPr>
          <w:rFonts w:ascii="Arial" w:hAnsi="Arial" w:eastAsia="Arial" w:cs="Arial"/>
          <w:sz w:val="22"/>
          <w:szCs w:val="22"/>
        </w:rPr>
      </w:pPr>
      <w:r w:rsidRPr="55E95815">
        <w:rPr>
          <w:rFonts w:ascii="Arial" w:hAnsi="Arial" w:eastAsia="Arial" w:cs="Arial"/>
          <w:color w:val="000000" w:themeColor="text1"/>
          <w:sz w:val="22"/>
          <w:szCs w:val="22"/>
        </w:rPr>
        <w:t>Stakeholder participation provides numerous benefits, particularly when managed effectively. Internally, involving multidisciplinary teams fosters innovation through the integration of diverse perspectives. For example, engineers gain insights from marketing experts about customer needs, while regulatory specialists help avoid costly compliance errors. According to Bourne (2015), early cross-functional engagement is associated with improved product quality and reduced time to market.</w:t>
      </w:r>
    </w:p>
    <w:p w:rsidR="507E030B" w:rsidP="55E95815" w:rsidRDefault="507E030B" w14:paraId="5D94F2D1" w14:textId="72AFF641">
      <w:pPr>
        <w:rPr>
          <w:rFonts w:ascii="Arial" w:hAnsi="Arial" w:eastAsia="Arial" w:cs="Arial"/>
          <w:sz w:val="22"/>
          <w:szCs w:val="22"/>
        </w:rPr>
      </w:pPr>
      <w:r w:rsidRPr="55E95815">
        <w:rPr>
          <w:rFonts w:ascii="Arial" w:hAnsi="Arial" w:eastAsia="Arial" w:cs="Arial"/>
          <w:color w:val="000000" w:themeColor="text1"/>
          <w:sz w:val="22"/>
          <w:szCs w:val="22"/>
        </w:rPr>
        <w:t>Engaging clinicians and NHS professionals early in the development process builds trust and improves product relevance. When clinicians are involved in co-design and pilot testing, they are more likely to support the technology’s integration into clinical routines. This clinical endorsement can also strengthen the product’s value proposition during procurement evaluations.</w:t>
      </w:r>
    </w:p>
    <w:p w:rsidR="507E030B" w:rsidP="55E95815" w:rsidRDefault="507E030B" w14:paraId="003F2ED3" w14:textId="5C893F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Patient engagement offers direct insights into user experience, acceptability, and accessibility. According to Bate and Robert (2007), patient co-design not only improves device functionality but also enhances health equity, ensuring the device meets the needs of diverse user groups.</w:t>
      </w:r>
    </w:p>
    <w:p w:rsidR="507E030B" w:rsidP="55E95815" w:rsidRDefault="507E030B" w14:paraId="2CEAABF7" w14:textId="3E10B550">
      <w:pPr>
        <w:rPr>
          <w:rFonts w:ascii="Arial" w:hAnsi="Arial" w:eastAsia="Arial" w:cs="Arial"/>
          <w:sz w:val="22"/>
          <w:szCs w:val="22"/>
        </w:rPr>
      </w:pPr>
      <w:r w:rsidRPr="55E95815">
        <w:rPr>
          <w:rFonts w:ascii="Arial" w:hAnsi="Arial" w:eastAsia="Arial" w:cs="Arial"/>
          <w:color w:val="000000" w:themeColor="text1"/>
          <w:sz w:val="22"/>
          <w:szCs w:val="22"/>
        </w:rPr>
        <w:t>Involving regulators and data privacy experts from the outset reduces the risk of non-compliance and delays. It also helps the project team design data architectures that are both secure and user-friendly. Collaborative input from research partners further enhances the scientific credibility of the device and facilitates access to funding, trial networks, and publication opportunities.</w:t>
      </w:r>
    </w:p>
    <w:p w:rsidR="507E030B" w:rsidP="55E95815" w:rsidRDefault="507E030B" w14:paraId="38E004FB" w14:textId="292E5900">
      <w:pPr>
        <w:rPr>
          <w:rFonts w:ascii="Arial" w:hAnsi="Arial" w:eastAsia="Arial" w:cs="Arial"/>
          <w:sz w:val="22"/>
          <w:szCs w:val="22"/>
        </w:rPr>
      </w:pPr>
      <w:r w:rsidRPr="55E95815">
        <w:rPr>
          <w:rFonts w:ascii="Arial" w:hAnsi="Arial" w:eastAsia="Arial" w:cs="Arial"/>
          <w:color w:val="000000" w:themeColor="text1"/>
          <w:sz w:val="22"/>
          <w:szCs w:val="22"/>
        </w:rPr>
        <w:t>Finally, stakeholder involvement strengthens communication pathways, improves transparency, and builds long-term relationships. As argued by Aaltonen and Kujala (2016), sustained engagement improves project resilience and helps manage uncertainty.</w:t>
      </w:r>
    </w:p>
    <w:p w:rsidR="507E030B" w:rsidP="55E95815" w:rsidRDefault="507E030B" w14:paraId="5720D570" w14:textId="1A23FD3B">
      <w:pPr>
        <w:rPr>
          <w:rFonts w:ascii="Arial" w:hAnsi="Arial" w:eastAsia="Arial" w:cs="Arial"/>
          <w:b/>
          <w:bCs/>
          <w:sz w:val="32"/>
          <w:szCs w:val="32"/>
        </w:rPr>
      </w:pPr>
      <w:r w:rsidRPr="55E95815">
        <w:rPr>
          <w:rFonts w:ascii="Arial" w:hAnsi="Arial" w:eastAsia="Arial" w:cs="Arial"/>
          <w:b/>
          <w:bCs/>
          <w:color w:val="000000" w:themeColor="text1"/>
          <w:sz w:val="32"/>
          <w:szCs w:val="32"/>
        </w:rPr>
        <w:t>Challenges of Stakeholder Involvement</w:t>
      </w:r>
    </w:p>
    <w:p w:rsidR="1EA546F3" w:rsidP="55E95815" w:rsidRDefault="1EA546F3" w14:paraId="24634F1C" w14:textId="4980C4ED">
      <w:pPr>
        <w:rPr>
          <w:rFonts w:ascii="Arial" w:hAnsi="Arial" w:eastAsia="Arial" w:cs="Arial"/>
          <w:sz w:val="32"/>
          <w:szCs w:val="32"/>
        </w:rPr>
      </w:pPr>
      <w:r w:rsidRPr="55E95815">
        <w:rPr>
          <w:rFonts w:ascii="Arial" w:hAnsi="Arial" w:eastAsia="Arial" w:cs="Arial"/>
          <w:color w:val="000000" w:themeColor="text1"/>
          <w:sz w:val="22"/>
          <w:szCs w:val="22"/>
        </w:rPr>
        <w:t>Despite its benefits, stakeholder engagement can introduce complexity and tension. One major challenge is conflicting priorities. For example, R&amp;D teams may prioritise innovation and speed, while clinicians focus on usability and risk mitigation. If these viewpoints are not harmonised through regular engagement, the result may be a technically sound product that lacks real-world applicability.</w:t>
      </w:r>
    </w:p>
    <w:p w:rsidR="1EA546F3" w:rsidP="55E95815" w:rsidRDefault="1EA546F3" w14:paraId="59808687" w14:textId="6041E6D5">
      <w:pPr>
        <w:rPr>
          <w:rFonts w:ascii="Arial" w:hAnsi="Arial" w:eastAsia="Arial" w:cs="Arial"/>
          <w:sz w:val="22"/>
          <w:szCs w:val="22"/>
        </w:rPr>
      </w:pPr>
      <w:r w:rsidRPr="55E95815">
        <w:rPr>
          <w:rFonts w:ascii="Arial" w:hAnsi="Arial" w:eastAsia="Arial" w:cs="Arial"/>
          <w:color w:val="000000" w:themeColor="text1"/>
          <w:sz w:val="22"/>
          <w:szCs w:val="22"/>
        </w:rPr>
        <w:t xml:space="preserve">Another challenge lies in managing power imbalances. High-power stakeholders such as regulators or procurement managers may dominate decision-making, while </w:t>
      </w:r>
      <w:r w:rsidRPr="55E95815" w:rsidR="5777C50A">
        <w:rPr>
          <w:rFonts w:ascii="Arial" w:hAnsi="Arial" w:eastAsia="Arial" w:cs="Arial"/>
          <w:color w:val="000000" w:themeColor="text1"/>
          <w:sz w:val="22"/>
          <w:szCs w:val="22"/>
        </w:rPr>
        <w:t>l</w:t>
      </w:r>
      <w:r w:rsidRPr="55E95815">
        <w:rPr>
          <w:rFonts w:ascii="Arial" w:hAnsi="Arial" w:eastAsia="Arial" w:cs="Arial"/>
          <w:color w:val="000000" w:themeColor="text1"/>
          <w:sz w:val="22"/>
          <w:szCs w:val="22"/>
        </w:rPr>
        <w:t>ower</w:t>
      </w:r>
      <w:r w:rsidRPr="55E95815" w:rsidR="3D9EA15F">
        <w:rPr>
          <w:rFonts w:ascii="Arial" w:hAnsi="Arial" w:eastAsia="Arial" w:cs="Arial"/>
          <w:color w:val="000000" w:themeColor="text1"/>
          <w:sz w:val="22"/>
          <w:szCs w:val="22"/>
        </w:rPr>
        <w:t xml:space="preserve"> </w:t>
      </w:r>
      <w:r w:rsidRPr="55E95815">
        <w:rPr>
          <w:rFonts w:ascii="Arial" w:hAnsi="Arial" w:eastAsia="Arial" w:cs="Arial"/>
          <w:color w:val="000000" w:themeColor="text1"/>
          <w:sz w:val="22"/>
          <w:szCs w:val="22"/>
        </w:rPr>
        <w:t>power yet critical stakeholders such as patients may feel excluded. Ensuring that all voices are heard requires intentional design of inclusive engagement processes.</w:t>
      </w:r>
    </w:p>
    <w:p w:rsidR="01B8C42E" w:rsidP="55E95815" w:rsidRDefault="01B8C42E" w14:paraId="246B6021" w14:textId="32391EF8">
      <w:pPr>
        <w:rPr>
          <w:rFonts w:ascii="Arial" w:hAnsi="Arial" w:eastAsia="Arial" w:cs="Arial"/>
          <w:sz w:val="22"/>
          <w:szCs w:val="22"/>
        </w:rPr>
      </w:pPr>
      <w:r w:rsidRPr="55E95815">
        <w:rPr>
          <w:rFonts w:ascii="Arial" w:hAnsi="Arial" w:eastAsia="Arial" w:cs="Arial"/>
          <w:color w:val="000000" w:themeColor="text1"/>
          <w:sz w:val="22"/>
          <w:szCs w:val="22"/>
        </w:rPr>
        <w:t>Communication breakdowns can also hinder collaboration. TTP plc’s engineers may use highly technical language unfamiliar to NHS staff, while clinicians may struggle to articulate specific design feedback without structured prompts. Bridging these communication gaps is essential to maintaining alignment.</w:t>
      </w:r>
    </w:p>
    <w:p w:rsidR="01B8C42E" w:rsidP="55E95815" w:rsidRDefault="01B8C42E" w14:paraId="503D49E9" w14:textId="0380E4F8">
      <w:pPr>
        <w:rPr>
          <w:rFonts w:ascii="Arial" w:hAnsi="Arial" w:eastAsia="Arial" w:cs="Arial"/>
          <w:sz w:val="22"/>
          <w:szCs w:val="22"/>
        </w:rPr>
      </w:pPr>
      <w:r w:rsidRPr="55E95815">
        <w:rPr>
          <w:rFonts w:ascii="Arial" w:hAnsi="Arial" w:eastAsia="Arial" w:cs="Arial"/>
          <w:color w:val="000000" w:themeColor="text1"/>
          <w:sz w:val="22"/>
          <w:szCs w:val="22"/>
        </w:rPr>
        <w:t>Resistance to change is another potential barrier, particularly among frontline healthcare workers who already experience workload pressures. If the wearable device is perceived as adding complexity rather than improving efficiency, adoption may be delayed. Addressing this challenge requires targeted training, clear value demonstration, and ongoing support during implementation.</w:t>
      </w:r>
    </w:p>
    <w:p w:rsidR="01B8C42E" w:rsidP="55E95815" w:rsidRDefault="01B8C42E" w14:paraId="3CF6198B" w14:textId="0F5CBD5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Finally, there are risks related to over-engagement or stakeholder fatigue. While involvement is crucial, excessive meetings or unclear roles may lead to disengagement or frustration. To avoid this, the project must establish clear boundaries, prioritise meaningful involvement, and tailor engagement levels based on each stakeholder’s influence and interest.</w:t>
      </w:r>
    </w:p>
    <w:p w:rsidR="55E95815" w:rsidP="55E95815" w:rsidRDefault="55E95815" w14:paraId="3E4E526C" w14:textId="387BBD76">
      <w:pPr>
        <w:rPr>
          <w:rFonts w:ascii="Arial" w:hAnsi="Arial" w:eastAsia="Arial" w:cs="Arial"/>
          <w:color w:val="000000" w:themeColor="text1"/>
          <w:sz w:val="22"/>
          <w:szCs w:val="22"/>
        </w:rPr>
      </w:pPr>
    </w:p>
    <w:p w:rsidR="55E95815" w:rsidP="55E95815" w:rsidRDefault="55E95815" w14:paraId="19BF92F2" w14:textId="03A52866">
      <w:pPr>
        <w:rPr>
          <w:rFonts w:ascii="Arial" w:hAnsi="Arial" w:eastAsia="Arial" w:cs="Arial"/>
          <w:color w:val="000000" w:themeColor="text1"/>
          <w:sz w:val="22"/>
          <w:szCs w:val="22"/>
        </w:rPr>
      </w:pPr>
    </w:p>
    <w:p w:rsidR="2C525599" w:rsidP="55E95815" w:rsidRDefault="2C525599" w14:paraId="55E6BED0" w14:textId="6E9D53B9">
      <w:pPr>
        <w:rPr>
          <w:rFonts w:ascii="Arial" w:hAnsi="Arial" w:eastAsia="Arial" w:cs="Arial"/>
          <w:sz w:val="32"/>
          <w:szCs w:val="32"/>
        </w:rPr>
      </w:pPr>
      <w:r w:rsidRPr="55E95815">
        <w:rPr>
          <w:rFonts w:ascii="Arial" w:hAnsi="Arial" w:eastAsia="Arial" w:cs="Arial"/>
          <w:b/>
          <w:bCs/>
          <w:color w:val="000000" w:themeColor="text1"/>
          <w:sz w:val="32"/>
          <w:szCs w:val="32"/>
        </w:rPr>
        <w:t>Engagement Frameworks and Tools</w:t>
      </w:r>
    </w:p>
    <w:p w:rsidR="55E95815" w:rsidP="55E95815" w:rsidRDefault="55E95815" w14:paraId="2BCEE029" w14:textId="16A8B842">
      <w:pPr>
        <w:rPr>
          <w:rFonts w:ascii="Arial" w:hAnsi="Arial" w:eastAsia="Arial" w:cs="Arial"/>
          <w:color w:val="000000" w:themeColor="text1"/>
          <w:sz w:val="22"/>
          <w:szCs w:val="22"/>
        </w:rPr>
      </w:pPr>
    </w:p>
    <w:p w:rsidR="325745B6" w:rsidP="55E95815" w:rsidRDefault="325745B6" w14:paraId="709BA815" w14:textId="6B920C30">
      <w:pPr>
        <w:rPr>
          <w:rFonts w:ascii="Arial" w:hAnsi="Arial" w:eastAsia="Arial" w:cs="Arial"/>
          <w:sz w:val="32"/>
          <w:szCs w:val="32"/>
        </w:rPr>
      </w:pPr>
      <w:r w:rsidRPr="55E95815">
        <w:rPr>
          <w:rFonts w:ascii="Arial" w:hAnsi="Arial" w:eastAsia="Arial" w:cs="Arial"/>
          <w:color w:val="000000" w:themeColor="text1"/>
          <w:sz w:val="22"/>
          <w:szCs w:val="22"/>
        </w:rPr>
        <w:t>Effective stakeholder engagement requires more than identification and mapping. To deliver a successful product launch, a structured approach is essential to coordinate stakeholder roles, responsibilities, communication styles, and timing. Engagement tools provide the project manager with a practical framework to maintain clarity, minimise conflict, and maximise participation throughout the project lifecycle.</w:t>
      </w:r>
    </w:p>
    <w:p w:rsidR="0EDCA008" w:rsidP="55E95815" w:rsidRDefault="0EDCA008" w14:paraId="50D3E763" w14:textId="44C416F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This section applies several well-established tools to the TTP plc wearable biosensor project, including the RACI matrix, a stakeholder communication plan, and the 4Cs Model (communication, coordination, cooperation, and collaboration) developed by Ellis et al. (1991). These models provide a foundation for proactive stakeholder management within a regulated and multi-disciplinary healthcare setting.</w:t>
      </w:r>
    </w:p>
    <w:p w:rsidR="55E95815" w:rsidP="55E95815" w:rsidRDefault="55E95815" w14:paraId="7C832E4F" w14:textId="1F16578D">
      <w:pPr>
        <w:rPr>
          <w:rFonts w:ascii="Arial" w:hAnsi="Arial" w:eastAsia="Arial" w:cs="Arial"/>
          <w:color w:val="000000" w:themeColor="text1"/>
          <w:sz w:val="22"/>
          <w:szCs w:val="22"/>
        </w:rPr>
      </w:pPr>
    </w:p>
    <w:p w:rsidR="00488F8F" w:rsidP="55E95815" w:rsidRDefault="00488F8F" w14:paraId="034E7221" w14:textId="07CC3C09">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The RACI Matrix</w:t>
      </w:r>
    </w:p>
    <w:p w:rsidR="008314BA" w:rsidP="55E95815" w:rsidRDefault="008314BA" w14:paraId="55A338F7" w14:textId="64BC5B4F">
      <w:pPr>
        <w:rPr>
          <w:rFonts w:ascii="Arial" w:hAnsi="Arial" w:eastAsia="Arial" w:cs="Arial"/>
          <w:b/>
          <w:bCs/>
          <w:color w:val="000000" w:themeColor="text1"/>
          <w:sz w:val="32"/>
          <w:szCs w:val="32"/>
        </w:rPr>
      </w:pPr>
      <w:r w:rsidRPr="55E95815">
        <w:rPr>
          <w:rFonts w:ascii="Arial" w:hAnsi="Arial" w:eastAsia="Arial" w:cs="Arial"/>
          <w:color w:val="000000" w:themeColor="text1"/>
          <w:sz w:val="22"/>
          <w:szCs w:val="22"/>
        </w:rPr>
        <w:t>The RACI matrix is a project management tool used to clarify who is Responsible, Accountable, Consulted, and Informed for each key activity. This framework is especially valuable in cross-functional environments where confusion over roles can delay decision-making or reduce stakeholder confidence.</w:t>
      </w:r>
    </w:p>
    <w:p w:rsidR="008314BA" w:rsidP="55E95815" w:rsidRDefault="008314BA" w14:paraId="233AFCD2" w14:textId="127F542F">
      <w:pPr>
        <w:rPr>
          <w:rFonts w:ascii="Arial" w:hAnsi="Arial" w:eastAsia="Arial" w:cs="Arial"/>
          <w:sz w:val="22"/>
          <w:szCs w:val="22"/>
        </w:rPr>
      </w:pPr>
      <w:r w:rsidRPr="55E95815">
        <w:rPr>
          <w:rFonts w:ascii="Arial" w:hAnsi="Arial" w:eastAsia="Arial" w:cs="Arial"/>
          <w:color w:val="000000" w:themeColor="text1"/>
          <w:sz w:val="22"/>
          <w:szCs w:val="22"/>
        </w:rPr>
        <w:t>Below is a simplified version of the RACI matrix for the wearable device launch:</w:t>
      </w:r>
    </w:p>
    <w:p w:rsidR="55E95815" w:rsidP="55E95815" w:rsidRDefault="55E95815" w14:paraId="2F413247" w14:textId="49C99811">
      <w:pPr>
        <w:rPr>
          <w:rFonts w:ascii="Arial" w:hAnsi="Arial" w:eastAsia="Arial" w:cs="Arial"/>
          <w:color w:val="000000" w:themeColor="text1"/>
          <w:sz w:val="22"/>
          <w:szCs w:val="22"/>
        </w:rPr>
      </w:pPr>
    </w:p>
    <w:tbl>
      <w:tblPr>
        <w:tblStyle w:val="TableGrid"/>
        <w:tblW w:w="9825" w:type="dxa"/>
        <w:tblLayout w:type="fixed"/>
        <w:tblLook w:val="06A0" w:firstRow="1" w:lastRow="0" w:firstColumn="1" w:lastColumn="0" w:noHBand="1" w:noVBand="1"/>
      </w:tblPr>
      <w:tblGrid>
        <w:gridCol w:w="1575"/>
        <w:gridCol w:w="1080"/>
        <w:gridCol w:w="810"/>
        <w:gridCol w:w="1320"/>
        <w:gridCol w:w="1260"/>
        <w:gridCol w:w="1215"/>
        <w:gridCol w:w="1080"/>
        <w:gridCol w:w="1485"/>
      </w:tblGrid>
      <w:tr w:rsidR="55E95815" w:rsidTr="067B28D4" w14:paraId="28E5AC2A" w14:textId="77777777">
        <w:trPr>
          <w:trHeight w:val="300"/>
        </w:trPr>
        <w:tc>
          <w:tcPr>
            <w:tcW w:w="1575" w:type="dxa"/>
            <w:tcMar/>
          </w:tcPr>
          <w:p w:rsidR="1DE5490C" w:rsidP="55E95815" w:rsidRDefault="1DE5490C" w14:paraId="6115B367" w14:textId="4E1CAC9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Activity</w:t>
            </w:r>
          </w:p>
        </w:tc>
        <w:tc>
          <w:tcPr>
            <w:tcW w:w="1080" w:type="dxa"/>
            <w:tcMar/>
          </w:tcPr>
          <w:p w:rsidR="1DE5490C" w:rsidP="55E95815" w:rsidRDefault="1DE5490C" w14:paraId="4BBA7069" w14:textId="1581358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Sponsor</w:t>
            </w:r>
          </w:p>
        </w:tc>
        <w:tc>
          <w:tcPr>
            <w:tcW w:w="810" w:type="dxa"/>
            <w:tcMar/>
          </w:tcPr>
          <w:p w:rsidR="1DE5490C" w:rsidP="55E95815" w:rsidRDefault="1DE5490C" w14:paraId="5AE7CB78" w14:textId="3DF2FB4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Team</w:t>
            </w:r>
          </w:p>
        </w:tc>
        <w:tc>
          <w:tcPr>
            <w:tcW w:w="1320" w:type="dxa"/>
            <w:tcMar/>
          </w:tcPr>
          <w:p w:rsidR="1DE5490C" w:rsidP="55E95815" w:rsidRDefault="1DE5490C" w14:paraId="6719D4FA" w14:textId="373FD68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Regulatory Affairs </w:t>
            </w:r>
          </w:p>
        </w:tc>
        <w:tc>
          <w:tcPr>
            <w:tcW w:w="1260" w:type="dxa"/>
            <w:tcMar/>
          </w:tcPr>
          <w:p w:rsidR="1DE5490C" w:rsidP="55E95815" w:rsidRDefault="1DE5490C" w14:paraId="2487E933" w14:textId="2019341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Marketing Team</w:t>
            </w:r>
          </w:p>
        </w:tc>
        <w:tc>
          <w:tcPr>
            <w:tcW w:w="1215" w:type="dxa"/>
            <w:tcMar/>
          </w:tcPr>
          <w:p w:rsidR="1DE5490C" w:rsidP="55E95815" w:rsidRDefault="1DE5490C" w14:paraId="6114B145" w14:textId="75AF59A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NHS Clinicians</w:t>
            </w:r>
          </w:p>
        </w:tc>
        <w:tc>
          <w:tcPr>
            <w:tcW w:w="1080" w:type="dxa"/>
            <w:tcMar/>
          </w:tcPr>
          <w:p w:rsidR="1DE5490C" w:rsidP="55E95815" w:rsidRDefault="1DE5490C" w14:paraId="4FC84015" w14:textId="2F49C49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Patients </w:t>
            </w:r>
          </w:p>
        </w:tc>
        <w:tc>
          <w:tcPr>
            <w:tcW w:w="1485" w:type="dxa"/>
            <w:tcMar/>
          </w:tcPr>
          <w:p w:rsidR="1DE5490C" w:rsidP="55E95815" w:rsidRDefault="1DE5490C" w14:paraId="411532E0" w14:textId="12A40C3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Procurement </w:t>
            </w:r>
          </w:p>
        </w:tc>
      </w:tr>
      <w:tr w:rsidR="55E95815" w:rsidTr="067B28D4" w14:paraId="50F6F2D8" w14:textId="77777777">
        <w:trPr>
          <w:trHeight w:val="300"/>
        </w:trPr>
        <w:tc>
          <w:tcPr>
            <w:tcW w:w="1575" w:type="dxa"/>
            <w:tcMar/>
          </w:tcPr>
          <w:p w:rsidR="1DE5490C" w:rsidP="55E95815" w:rsidRDefault="1DE5490C" w14:paraId="620CB0D9" w14:textId="6B18566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Define product specifications</w:t>
            </w:r>
          </w:p>
        </w:tc>
        <w:tc>
          <w:tcPr>
            <w:tcW w:w="1080" w:type="dxa"/>
            <w:tcMar/>
          </w:tcPr>
          <w:p w:rsidR="55E95815" w:rsidP="55E95815" w:rsidRDefault="55E95815" w14:paraId="205C8C52" w14:textId="6C6B0A30">
            <w:pPr>
              <w:jc w:val="center"/>
              <w:rPr>
                <w:rFonts w:ascii="Arial" w:hAnsi="Arial" w:eastAsia="Arial" w:cs="Arial"/>
                <w:color w:val="000000" w:themeColor="text1"/>
                <w:sz w:val="22"/>
                <w:szCs w:val="22"/>
              </w:rPr>
            </w:pPr>
          </w:p>
          <w:p w:rsidR="5DEFFA11" w:rsidP="55E95815" w:rsidRDefault="5DEFFA11" w14:paraId="67023088" w14:textId="339F7B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55E95815" w:rsidP="55E95815" w:rsidRDefault="55E95815" w14:paraId="56612B8E" w14:textId="2D5EED53">
            <w:pPr>
              <w:jc w:val="center"/>
              <w:rPr>
                <w:rFonts w:ascii="Arial" w:hAnsi="Arial" w:eastAsia="Arial" w:cs="Arial"/>
                <w:color w:val="000000" w:themeColor="text1"/>
                <w:sz w:val="22"/>
                <w:szCs w:val="22"/>
              </w:rPr>
            </w:pPr>
          </w:p>
          <w:p w:rsidR="1B5DC1A6" w:rsidP="55E95815" w:rsidRDefault="1B5DC1A6" w14:paraId="33B9B16E" w14:textId="4FADDF2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475EB768" w14:textId="7825FFDC">
            <w:pPr>
              <w:jc w:val="center"/>
              <w:rPr>
                <w:rFonts w:ascii="Arial" w:hAnsi="Arial" w:eastAsia="Arial" w:cs="Arial"/>
                <w:color w:val="000000" w:themeColor="text1"/>
                <w:sz w:val="22"/>
                <w:szCs w:val="22"/>
              </w:rPr>
            </w:pPr>
          </w:p>
          <w:p w:rsidR="5EF25A69" w:rsidP="55E95815" w:rsidRDefault="5EF25A69" w14:paraId="48158039" w14:textId="636B9C4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2F2D5BB6" w14:textId="22CCFDA0">
            <w:pPr>
              <w:jc w:val="center"/>
              <w:rPr>
                <w:rFonts w:ascii="Arial" w:hAnsi="Arial" w:eastAsia="Arial" w:cs="Arial"/>
                <w:color w:val="000000" w:themeColor="text1"/>
                <w:sz w:val="22"/>
                <w:szCs w:val="22"/>
              </w:rPr>
            </w:pPr>
          </w:p>
          <w:p w:rsidR="5EF25A69" w:rsidP="55E95815" w:rsidRDefault="5EF25A69" w14:paraId="21A080B4" w14:textId="2623F80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15" w:type="dxa"/>
            <w:tcMar/>
          </w:tcPr>
          <w:p w:rsidR="55E95815" w:rsidP="55E95815" w:rsidRDefault="55E95815" w14:paraId="63D531E6" w14:textId="46D542C8">
            <w:pPr>
              <w:jc w:val="center"/>
              <w:rPr>
                <w:rFonts w:ascii="Arial" w:hAnsi="Arial" w:eastAsia="Arial" w:cs="Arial"/>
                <w:color w:val="000000" w:themeColor="text1"/>
                <w:sz w:val="22"/>
                <w:szCs w:val="22"/>
              </w:rPr>
            </w:pPr>
          </w:p>
          <w:p w:rsidR="32C6825E" w:rsidP="55E95815" w:rsidRDefault="32C6825E" w14:paraId="6F4C740E" w14:textId="47CD6085">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4F8D2BD" w14:textId="40985248">
            <w:pPr>
              <w:jc w:val="center"/>
              <w:rPr>
                <w:rFonts w:ascii="Arial" w:hAnsi="Arial" w:eastAsia="Arial" w:cs="Arial"/>
                <w:color w:val="000000" w:themeColor="text1"/>
                <w:sz w:val="22"/>
                <w:szCs w:val="22"/>
              </w:rPr>
            </w:pPr>
          </w:p>
          <w:p w:rsidR="32C6825E" w:rsidP="55E95815" w:rsidRDefault="32C6825E" w14:paraId="55004438" w14:textId="3A02AC6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4DA88854" w14:textId="38C2FF4F">
            <w:pPr>
              <w:jc w:val="center"/>
              <w:rPr>
                <w:rFonts w:ascii="Arial" w:hAnsi="Arial" w:eastAsia="Arial" w:cs="Arial"/>
                <w:color w:val="000000" w:themeColor="text1"/>
                <w:sz w:val="22"/>
                <w:szCs w:val="22"/>
              </w:rPr>
            </w:pPr>
          </w:p>
          <w:p w:rsidR="32C6825E" w:rsidP="55E95815" w:rsidRDefault="32C6825E" w14:paraId="0ACEB061" w14:textId="5E5595E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69433622" w14:textId="77777777">
        <w:trPr>
          <w:trHeight w:val="300"/>
        </w:trPr>
        <w:tc>
          <w:tcPr>
            <w:tcW w:w="1575" w:type="dxa"/>
            <w:tcMar/>
          </w:tcPr>
          <w:p w:rsidR="0697B020" w:rsidP="55E95815" w:rsidRDefault="0697B020" w14:paraId="25EB8BF4" w14:textId="438A92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Develop and test prototypes </w:t>
            </w:r>
          </w:p>
        </w:tc>
        <w:tc>
          <w:tcPr>
            <w:tcW w:w="1080" w:type="dxa"/>
            <w:tcMar/>
          </w:tcPr>
          <w:p w:rsidR="55E95815" w:rsidP="55E95815" w:rsidRDefault="55E95815" w14:paraId="506BF137" w14:textId="36B20FCB">
            <w:pPr>
              <w:jc w:val="center"/>
              <w:rPr>
                <w:rFonts w:ascii="Arial" w:hAnsi="Arial" w:eastAsia="Arial" w:cs="Arial"/>
                <w:color w:val="000000" w:themeColor="text1"/>
                <w:sz w:val="22"/>
                <w:szCs w:val="22"/>
              </w:rPr>
            </w:pPr>
          </w:p>
          <w:p w:rsidR="313D2796" w:rsidP="55E95815" w:rsidRDefault="313D2796" w14:paraId="54C7B3F8" w14:textId="658265E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4297BB0C" w14:textId="2309C081">
            <w:pPr>
              <w:jc w:val="center"/>
              <w:rPr>
                <w:rFonts w:ascii="Arial" w:hAnsi="Arial" w:eastAsia="Arial" w:cs="Arial"/>
                <w:color w:val="000000" w:themeColor="text1"/>
                <w:sz w:val="22"/>
                <w:szCs w:val="22"/>
              </w:rPr>
            </w:pPr>
          </w:p>
          <w:p w:rsidR="0600958F" w:rsidP="55E95815" w:rsidRDefault="0600958F" w14:paraId="46DE7970" w14:textId="3B01049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5356A45C" w14:textId="1612B724">
            <w:pPr>
              <w:jc w:val="center"/>
              <w:rPr>
                <w:rFonts w:ascii="Arial" w:hAnsi="Arial" w:eastAsia="Arial" w:cs="Arial"/>
                <w:color w:val="000000" w:themeColor="text1"/>
                <w:sz w:val="22"/>
                <w:szCs w:val="22"/>
              </w:rPr>
            </w:pPr>
          </w:p>
          <w:p w:rsidR="5B89A213" w:rsidP="55E95815" w:rsidRDefault="5B89A213" w14:paraId="63B00BE3" w14:textId="138BFBB7">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272D3A9B" w14:textId="6D95FE8D">
            <w:pPr>
              <w:jc w:val="center"/>
              <w:rPr>
                <w:rFonts w:ascii="Arial" w:hAnsi="Arial" w:eastAsia="Arial" w:cs="Arial"/>
                <w:color w:val="000000" w:themeColor="text1"/>
                <w:sz w:val="22"/>
                <w:szCs w:val="22"/>
              </w:rPr>
            </w:pPr>
          </w:p>
          <w:p w:rsidR="293B0D98" w:rsidP="55E95815" w:rsidRDefault="293B0D98" w14:paraId="233F980D" w14:textId="0C32A7B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15" w:type="dxa"/>
            <w:tcMar/>
          </w:tcPr>
          <w:p w:rsidR="55E95815" w:rsidP="55E95815" w:rsidRDefault="55E95815" w14:paraId="3B1506EC" w14:textId="58BAA7CC">
            <w:pPr>
              <w:jc w:val="center"/>
              <w:rPr>
                <w:rFonts w:ascii="Arial" w:hAnsi="Arial" w:eastAsia="Arial" w:cs="Arial"/>
                <w:color w:val="000000" w:themeColor="text1"/>
                <w:sz w:val="22"/>
                <w:szCs w:val="22"/>
              </w:rPr>
            </w:pPr>
          </w:p>
          <w:p w:rsidR="77253F31" w:rsidP="55E95815" w:rsidRDefault="77253F31" w14:paraId="280A38D1" w14:textId="0372A0A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3C74ACE" w14:textId="721872B1">
            <w:pPr>
              <w:jc w:val="center"/>
              <w:rPr>
                <w:rFonts w:ascii="Arial" w:hAnsi="Arial" w:eastAsia="Arial" w:cs="Arial"/>
                <w:color w:val="000000" w:themeColor="text1"/>
                <w:sz w:val="22"/>
                <w:szCs w:val="22"/>
              </w:rPr>
            </w:pPr>
          </w:p>
          <w:p w:rsidR="337DBA12" w:rsidP="55E95815" w:rsidRDefault="337DBA12" w14:paraId="20924258" w14:textId="7C83EF7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0BA964AD" w14:textId="6817146C">
            <w:pPr>
              <w:jc w:val="center"/>
              <w:rPr>
                <w:rFonts w:ascii="Arial" w:hAnsi="Arial" w:eastAsia="Arial" w:cs="Arial"/>
                <w:color w:val="000000" w:themeColor="text1"/>
                <w:sz w:val="22"/>
                <w:szCs w:val="22"/>
              </w:rPr>
            </w:pPr>
          </w:p>
          <w:p w:rsidR="337DBA12" w:rsidP="55E95815" w:rsidRDefault="337DBA12" w14:paraId="32CB0A75" w14:textId="2590BF8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5BDC1FC5" w14:textId="77777777">
        <w:trPr>
          <w:trHeight w:val="300"/>
        </w:trPr>
        <w:tc>
          <w:tcPr>
            <w:tcW w:w="1575" w:type="dxa"/>
            <w:tcMar/>
          </w:tcPr>
          <w:p w:rsidR="7E40DD51" w:rsidP="55E95815" w:rsidRDefault="7E40DD51" w14:paraId="1DE57320" w14:textId="58BC1F2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Manage MHRA approval </w:t>
            </w:r>
            <w:r w:rsidRPr="55E95815" w:rsidR="60C7A60E">
              <w:rPr>
                <w:rFonts w:ascii="Arial" w:hAnsi="Arial" w:eastAsia="Arial" w:cs="Arial"/>
                <w:color w:val="000000" w:themeColor="text1"/>
                <w:sz w:val="22"/>
                <w:szCs w:val="22"/>
              </w:rPr>
              <w:t>process</w:t>
            </w:r>
          </w:p>
        </w:tc>
        <w:tc>
          <w:tcPr>
            <w:tcW w:w="1080" w:type="dxa"/>
            <w:tcMar/>
          </w:tcPr>
          <w:p w:rsidR="55E95815" w:rsidP="55E95815" w:rsidRDefault="55E95815" w14:paraId="14072AE4" w14:textId="4AC2D564">
            <w:pPr>
              <w:jc w:val="center"/>
              <w:rPr>
                <w:rFonts w:ascii="Arial" w:hAnsi="Arial" w:eastAsia="Arial" w:cs="Arial"/>
                <w:color w:val="000000" w:themeColor="text1"/>
                <w:sz w:val="22"/>
                <w:szCs w:val="22"/>
              </w:rPr>
            </w:pPr>
          </w:p>
          <w:p w:rsidR="3D3C395F" w:rsidP="55E95815" w:rsidRDefault="3D3C395F" w14:paraId="443958D6" w14:textId="7B9B2E9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33D96333" w14:textId="496C751D">
            <w:pPr>
              <w:jc w:val="center"/>
              <w:rPr>
                <w:rFonts w:ascii="Arial" w:hAnsi="Arial" w:eastAsia="Arial" w:cs="Arial"/>
                <w:color w:val="000000" w:themeColor="text1"/>
                <w:sz w:val="22"/>
                <w:szCs w:val="22"/>
              </w:rPr>
            </w:pPr>
          </w:p>
          <w:p w:rsidR="5AEC3F6D" w:rsidP="55E95815" w:rsidRDefault="5AEC3F6D" w14:paraId="1C75458C" w14:textId="5A5162E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308C7D12" w14:textId="1D899064">
            <w:pPr>
              <w:jc w:val="center"/>
              <w:rPr>
                <w:rFonts w:ascii="Arial" w:hAnsi="Arial" w:eastAsia="Arial" w:cs="Arial"/>
                <w:color w:val="000000" w:themeColor="text1"/>
                <w:sz w:val="22"/>
                <w:szCs w:val="22"/>
              </w:rPr>
            </w:pPr>
          </w:p>
          <w:p w:rsidR="6D24E1DE" w:rsidP="55E95815" w:rsidRDefault="6D24E1DE" w14:paraId="79BE9243" w14:textId="475AB6C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w:t>
            </w:r>
          </w:p>
        </w:tc>
        <w:tc>
          <w:tcPr>
            <w:tcW w:w="1260" w:type="dxa"/>
            <w:tcMar/>
          </w:tcPr>
          <w:p w:rsidR="55E95815" w:rsidP="55E95815" w:rsidRDefault="55E95815" w14:paraId="6CD4EA41" w14:textId="45DF64B2">
            <w:pPr>
              <w:jc w:val="center"/>
              <w:rPr>
                <w:rFonts w:ascii="Arial" w:hAnsi="Arial" w:eastAsia="Arial" w:cs="Arial"/>
                <w:color w:val="000000" w:themeColor="text1"/>
                <w:sz w:val="22"/>
                <w:szCs w:val="22"/>
              </w:rPr>
            </w:pPr>
          </w:p>
          <w:p w:rsidR="78CE6620" w:rsidP="55E95815" w:rsidRDefault="78CE6620" w14:paraId="7C759A33" w14:textId="79890C1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15" w:type="dxa"/>
            <w:tcMar/>
          </w:tcPr>
          <w:p w:rsidR="55E95815" w:rsidP="55E95815" w:rsidRDefault="55E95815" w14:paraId="168E9740" w14:textId="321CA26F">
            <w:pPr>
              <w:jc w:val="center"/>
              <w:rPr>
                <w:rFonts w:ascii="Arial" w:hAnsi="Arial" w:eastAsia="Arial" w:cs="Arial"/>
                <w:color w:val="000000" w:themeColor="text1"/>
                <w:sz w:val="22"/>
                <w:szCs w:val="22"/>
              </w:rPr>
            </w:pPr>
          </w:p>
          <w:p w:rsidR="5E8484AB" w:rsidP="55E95815" w:rsidRDefault="5E8484AB" w14:paraId="3C2A4774" w14:textId="34914D2B">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080" w:type="dxa"/>
            <w:tcMar/>
          </w:tcPr>
          <w:p w:rsidR="55E95815" w:rsidP="55E95815" w:rsidRDefault="55E95815" w14:paraId="1145AC3B" w14:textId="26D3394D">
            <w:pPr>
              <w:jc w:val="center"/>
              <w:rPr>
                <w:rFonts w:ascii="Arial" w:hAnsi="Arial" w:eastAsia="Arial" w:cs="Arial"/>
                <w:color w:val="000000" w:themeColor="text1"/>
                <w:sz w:val="22"/>
                <w:szCs w:val="22"/>
              </w:rPr>
            </w:pPr>
          </w:p>
          <w:p w:rsidR="4DEB1AA6" w:rsidP="55E95815" w:rsidRDefault="4DEB1AA6" w14:paraId="72C4FF65" w14:textId="55F4CD8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485" w:type="dxa"/>
            <w:tcMar/>
          </w:tcPr>
          <w:p w:rsidR="55E95815" w:rsidP="55E95815" w:rsidRDefault="55E95815" w14:paraId="4F73E67C" w14:textId="34EFCE66">
            <w:pPr>
              <w:jc w:val="center"/>
              <w:rPr>
                <w:rFonts w:ascii="Arial" w:hAnsi="Arial" w:eastAsia="Arial" w:cs="Arial"/>
                <w:color w:val="000000" w:themeColor="text1"/>
                <w:sz w:val="22"/>
                <w:szCs w:val="22"/>
              </w:rPr>
            </w:pPr>
          </w:p>
          <w:p w:rsidR="4DEB1AA6" w:rsidP="55E95815" w:rsidRDefault="4DEB1AA6" w14:paraId="5924902F" w14:textId="6414A0C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6B386FB3" w14:textId="77777777">
        <w:trPr>
          <w:trHeight w:val="300"/>
        </w:trPr>
        <w:tc>
          <w:tcPr>
            <w:tcW w:w="1575" w:type="dxa"/>
            <w:tcMar/>
          </w:tcPr>
          <w:p w:rsidR="60C7A60E" w:rsidP="55E95815" w:rsidRDefault="60C7A60E" w14:paraId="4E4E2ECB" w14:textId="1433F3B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Develop marketing strategy</w:t>
            </w:r>
          </w:p>
        </w:tc>
        <w:tc>
          <w:tcPr>
            <w:tcW w:w="1080" w:type="dxa"/>
            <w:tcMar/>
          </w:tcPr>
          <w:p w:rsidR="55E95815" w:rsidP="55E95815" w:rsidRDefault="55E95815" w14:paraId="5C8F0D5F" w14:textId="68D823E4">
            <w:pPr>
              <w:jc w:val="center"/>
              <w:rPr>
                <w:rFonts w:ascii="Arial" w:hAnsi="Arial" w:eastAsia="Arial" w:cs="Arial"/>
                <w:color w:val="000000" w:themeColor="text1"/>
                <w:sz w:val="22"/>
                <w:szCs w:val="22"/>
              </w:rPr>
            </w:pPr>
          </w:p>
          <w:p w:rsidR="6676C194" w:rsidP="55E95815" w:rsidRDefault="6676C194" w14:paraId="00665B2F" w14:textId="374C354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810" w:type="dxa"/>
            <w:tcMar/>
          </w:tcPr>
          <w:p w:rsidR="55E95815" w:rsidP="55E95815" w:rsidRDefault="55E95815" w14:paraId="122F1881" w14:textId="007A08AE">
            <w:pPr>
              <w:jc w:val="center"/>
              <w:rPr>
                <w:rFonts w:ascii="Arial" w:hAnsi="Arial" w:eastAsia="Arial" w:cs="Arial"/>
                <w:color w:val="000000" w:themeColor="text1"/>
                <w:sz w:val="22"/>
                <w:szCs w:val="22"/>
              </w:rPr>
            </w:pPr>
          </w:p>
          <w:p w:rsidR="1F24C90F" w:rsidP="55E95815" w:rsidRDefault="1F24C90F" w14:paraId="2F091FC2" w14:textId="42EABC7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538E212A" w14:textId="6C0AC973">
            <w:pPr>
              <w:jc w:val="center"/>
              <w:rPr>
                <w:rFonts w:ascii="Arial" w:hAnsi="Arial" w:eastAsia="Arial" w:cs="Arial"/>
                <w:color w:val="000000" w:themeColor="text1"/>
                <w:sz w:val="22"/>
                <w:szCs w:val="22"/>
              </w:rPr>
            </w:pPr>
          </w:p>
          <w:p w:rsidR="6067FE10" w:rsidP="55E95815" w:rsidRDefault="6067FE10" w14:paraId="52D1A7FB" w14:textId="299828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60" w:type="dxa"/>
            <w:tcMar/>
          </w:tcPr>
          <w:p w:rsidR="55E95815" w:rsidP="55E95815" w:rsidRDefault="55E95815" w14:paraId="37C5D1D0" w14:textId="43FF4366">
            <w:pPr>
              <w:jc w:val="center"/>
              <w:rPr>
                <w:rFonts w:ascii="Arial" w:hAnsi="Arial" w:eastAsia="Arial" w:cs="Arial"/>
                <w:color w:val="000000" w:themeColor="text1"/>
                <w:sz w:val="22"/>
                <w:szCs w:val="22"/>
              </w:rPr>
            </w:pPr>
          </w:p>
          <w:p w:rsidR="7E753034" w:rsidP="55E95815" w:rsidRDefault="7E753034" w14:paraId="17B91BD5" w14:textId="4FD6449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w:t>
            </w:r>
          </w:p>
        </w:tc>
        <w:tc>
          <w:tcPr>
            <w:tcW w:w="1215" w:type="dxa"/>
            <w:tcMar/>
          </w:tcPr>
          <w:p w:rsidR="55E95815" w:rsidP="55E95815" w:rsidRDefault="55E95815" w14:paraId="2BF14C2C" w14:textId="59A76742">
            <w:pPr>
              <w:jc w:val="center"/>
              <w:rPr>
                <w:rFonts w:ascii="Arial" w:hAnsi="Arial" w:eastAsia="Arial" w:cs="Arial"/>
                <w:color w:val="000000" w:themeColor="text1"/>
                <w:sz w:val="22"/>
                <w:szCs w:val="22"/>
              </w:rPr>
            </w:pPr>
          </w:p>
          <w:p w:rsidR="04217A7F" w:rsidP="55E95815" w:rsidRDefault="04217A7F" w14:paraId="2BF313DD" w14:textId="1EDFEC7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3BDD42C1" w14:textId="6C1009BA">
            <w:pPr>
              <w:jc w:val="center"/>
              <w:rPr>
                <w:rFonts w:ascii="Arial" w:hAnsi="Arial" w:eastAsia="Arial" w:cs="Arial"/>
                <w:color w:val="000000" w:themeColor="text1"/>
                <w:sz w:val="22"/>
                <w:szCs w:val="22"/>
              </w:rPr>
            </w:pPr>
          </w:p>
          <w:p w:rsidR="10892788" w:rsidP="55E95815" w:rsidRDefault="10892788" w14:paraId="79F7AD8B" w14:textId="3F448A0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451C612F" w14:textId="126A5249">
            <w:pPr>
              <w:jc w:val="center"/>
              <w:rPr>
                <w:rFonts w:ascii="Arial" w:hAnsi="Arial" w:eastAsia="Arial" w:cs="Arial"/>
                <w:color w:val="000000" w:themeColor="text1"/>
                <w:sz w:val="22"/>
                <w:szCs w:val="22"/>
              </w:rPr>
            </w:pPr>
          </w:p>
          <w:p w:rsidR="10892788" w:rsidP="55E95815" w:rsidRDefault="10892788" w14:paraId="17E2668C" w14:textId="71BE801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r>
      <w:tr w:rsidR="55E95815" w:rsidTr="067B28D4" w14:paraId="5613FACE" w14:textId="77777777">
        <w:trPr>
          <w:trHeight w:val="300"/>
        </w:trPr>
        <w:tc>
          <w:tcPr>
            <w:tcW w:w="1575" w:type="dxa"/>
            <w:tcMar/>
          </w:tcPr>
          <w:p w:rsidR="60C7A60E" w:rsidP="55E95815" w:rsidRDefault="60C7A60E" w14:paraId="4117D95E" w14:textId="6153F1F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Conduct user testing and feedback </w:t>
            </w:r>
          </w:p>
        </w:tc>
        <w:tc>
          <w:tcPr>
            <w:tcW w:w="1080" w:type="dxa"/>
            <w:tcMar/>
          </w:tcPr>
          <w:p w:rsidR="55E95815" w:rsidP="55E95815" w:rsidRDefault="55E95815" w14:paraId="30C3BB7B" w14:textId="632311FF">
            <w:pPr>
              <w:jc w:val="center"/>
              <w:rPr>
                <w:rFonts w:ascii="Arial" w:hAnsi="Arial" w:eastAsia="Arial" w:cs="Arial"/>
                <w:color w:val="000000" w:themeColor="text1"/>
                <w:sz w:val="22"/>
                <w:szCs w:val="22"/>
              </w:rPr>
            </w:pPr>
          </w:p>
          <w:p w:rsidR="1AB005E3" w:rsidP="55E95815" w:rsidRDefault="1AB005E3" w14:paraId="3C7714D5" w14:textId="11B3386D">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810" w:type="dxa"/>
            <w:tcMar/>
          </w:tcPr>
          <w:p w:rsidR="55E95815" w:rsidP="55E95815" w:rsidRDefault="55E95815" w14:paraId="2A3C7205" w14:textId="5872040F">
            <w:pPr>
              <w:jc w:val="center"/>
              <w:rPr>
                <w:rFonts w:ascii="Arial" w:hAnsi="Arial" w:eastAsia="Arial" w:cs="Arial"/>
                <w:color w:val="000000" w:themeColor="text1"/>
                <w:sz w:val="22"/>
                <w:szCs w:val="22"/>
              </w:rPr>
            </w:pPr>
          </w:p>
          <w:p w:rsidR="7A16A3F7" w:rsidP="55E95815" w:rsidRDefault="7A16A3F7" w14:paraId="3B5B398D" w14:textId="3391D25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55E95815" w:rsidP="55E95815" w:rsidRDefault="55E95815" w14:paraId="0D50B683" w14:textId="2CE16D8A">
            <w:pPr>
              <w:jc w:val="center"/>
              <w:rPr>
                <w:rFonts w:ascii="Arial" w:hAnsi="Arial" w:eastAsia="Arial" w:cs="Arial"/>
                <w:color w:val="000000" w:themeColor="text1"/>
                <w:sz w:val="22"/>
                <w:szCs w:val="22"/>
              </w:rPr>
            </w:pPr>
          </w:p>
          <w:p w:rsidR="63650CB5" w:rsidP="55E95815" w:rsidRDefault="63650CB5" w14:paraId="207D734F" w14:textId="32F0091A">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c>
          <w:tcPr>
            <w:tcW w:w="1260" w:type="dxa"/>
            <w:tcMar/>
          </w:tcPr>
          <w:p w:rsidR="55E95815" w:rsidP="55E95815" w:rsidRDefault="55E95815" w14:paraId="4A5B7ED1" w14:textId="2F3BEB8D">
            <w:pPr>
              <w:jc w:val="center"/>
              <w:rPr>
                <w:rFonts w:ascii="Arial" w:hAnsi="Arial" w:eastAsia="Arial" w:cs="Arial"/>
                <w:color w:val="000000" w:themeColor="text1"/>
                <w:sz w:val="22"/>
                <w:szCs w:val="22"/>
              </w:rPr>
            </w:pPr>
          </w:p>
          <w:p w:rsidR="28729219" w:rsidP="55E95815" w:rsidRDefault="28729219" w14:paraId="2582C87D" w14:textId="5274A5A6">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15" w:type="dxa"/>
            <w:tcMar/>
          </w:tcPr>
          <w:p w:rsidR="55E95815" w:rsidP="55E95815" w:rsidRDefault="55E95815" w14:paraId="4A3C5C75" w14:textId="11A1B8DB">
            <w:pPr>
              <w:jc w:val="center"/>
              <w:rPr>
                <w:rFonts w:ascii="Arial" w:hAnsi="Arial" w:eastAsia="Arial" w:cs="Arial"/>
                <w:color w:val="000000" w:themeColor="text1"/>
                <w:sz w:val="22"/>
                <w:szCs w:val="22"/>
              </w:rPr>
            </w:pPr>
          </w:p>
          <w:p w:rsidR="2D60DCCA" w:rsidP="55E95815" w:rsidRDefault="2D60DCCA" w14:paraId="1FA6C335" w14:textId="7BBB030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0C499D58" w14:textId="654FD68C">
            <w:pPr>
              <w:jc w:val="center"/>
              <w:rPr>
                <w:rFonts w:ascii="Arial" w:hAnsi="Arial" w:eastAsia="Arial" w:cs="Arial"/>
                <w:color w:val="000000" w:themeColor="text1"/>
                <w:sz w:val="22"/>
                <w:szCs w:val="22"/>
              </w:rPr>
            </w:pPr>
          </w:p>
          <w:p w:rsidR="4CEFAFA6" w:rsidP="55E95815" w:rsidRDefault="4CEFAFA6" w14:paraId="4EEFCCE9" w14:textId="4AAD50B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485" w:type="dxa"/>
            <w:tcMar/>
          </w:tcPr>
          <w:p w:rsidR="55E95815" w:rsidP="55E95815" w:rsidRDefault="55E95815" w14:paraId="32D903DF" w14:textId="168D2EE1">
            <w:pPr>
              <w:jc w:val="center"/>
              <w:rPr>
                <w:rFonts w:ascii="Arial" w:hAnsi="Arial" w:eastAsia="Arial" w:cs="Arial"/>
                <w:color w:val="000000" w:themeColor="text1"/>
                <w:sz w:val="22"/>
                <w:szCs w:val="22"/>
              </w:rPr>
            </w:pPr>
          </w:p>
          <w:p w:rsidR="4CEFAFA6" w:rsidP="55E95815" w:rsidRDefault="4CEFAFA6" w14:paraId="4943E430" w14:textId="7F5D780C">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w:t>
            </w:r>
          </w:p>
        </w:tc>
      </w:tr>
      <w:tr w:rsidR="55E95815" w:rsidTr="067B28D4" w14:paraId="5DFB06C1" w14:textId="77777777">
        <w:trPr>
          <w:trHeight w:val="300"/>
        </w:trPr>
        <w:tc>
          <w:tcPr>
            <w:tcW w:w="1575" w:type="dxa"/>
            <w:tcMar/>
          </w:tcPr>
          <w:p w:rsidR="60C7A60E" w:rsidP="55E95815" w:rsidRDefault="60C7A60E" w14:paraId="056D6906" w14:textId="34BCA76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Oversee stakeholder engagement</w:t>
            </w:r>
          </w:p>
        </w:tc>
        <w:tc>
          <w:tcPr>
            <w:tcW w:w="1080" w:type="dxa"/>
            <w:tcMar/>
          </w:tcPr>
          <w:p w:rsidR="55E95815" w:rsidP="55E95815" w:rsidRDefault="55E95815" w14:paraId="4A2DD40E" w14:textId="64E5C146">
            <w:pPr>
              <w:jc w:val="center"/>
              <w:rPr>
                <w:rFonts w:ascii="Arial" w:hAnsi="Arial" w:eastAsia="Arial" w:cs="Arial"/>
                <w:color w:val="000000" w:themeColor="text1"/>
                <w:sz w:val="22"/>
                <w:szCs w:val="22"/>
              </w:rPr>
            </w:pPr>
          </w:p>
          <w:p w:rsidR="6FA07FC3" w:rsidP="55E95815" w:rsidRDefault="6FA07FC3" w14:paraId="1FADEFA7" w14:textId="440D14E3">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55E95815" w:rsidP="55E95815" w:rsidRDefault="55E95815" w14:paraId="5638A226" w14:textId="274C6A8D">
            <w:pPr>
              <w:jc w:val="center"/>
              <w:rPr>
                <w:rFonts w:ascii="Arial" w:hAnsi="Arial" w:eastAsia="Arial" w:cs="Arial"/>
                <w:color w:val="000000" w:themeColor="text1"/>
                <w:sz w:val="22"/>
                <w:szCs w:val="22"/>
              </w:rPr>
            </w:pPr>
          </w:p>
          <w:p w:rsidR="7DAA9CFF" w:rsidP="55E95815" w:rsidRDefault="7DAA9CFF" w14:paraId="691A61E7" w14:textId="4336D59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320" w:type="dxa"/>
            <w:tcMar/>
          </w:tcPr>
          <w:p w:rsidR="55E95815" w:rsidP="55E95815" w:rsidRDefault="55E95815" w14:paraId="56822A26" w14:textId="40997FA0">
            <w:pPr>
              <w:jc w:val="center"/>
              <w:rPr>
                <w:rFonts w:ascii="Arial" w:hAnsi="Arial" w:eastAsia="Arial" w:cs="Arial"/>
                <w:color w:val="000000" w:themeColor="text1"/>
                <w:sz w:val="22"/>
                <w:szCs w:val="22"/>
              </w:rPr>
            </w:pPr>
          </w:p>
          <w:p w:rsidR="1FB382A7" w:rsidP="55E95815" w:rsidRDefault="1FB382A7" w14:paraId="1EB3F7D0" w14:textId="30EA85A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55E95815" w:rsidP="55E95815" w:rsidRDefault="55E95815" w14:paraId="07920121" w14:textId="4683C2DB">
            <w:pPr>
              <w:jc w:val="center"/>
              <w:rPr>
                <w:rFonts w:ascii="Arial" w:hAnsi="Arial" w:eastAsia="Arial" w:cs="Arial"/>
                <w:color w:val="000000" w:themeColor="text1"/>
                <w:sz w:val="22"/>
                <w:szCs w:val="22"/>
              </w:rPr>
            </w:pPr>
          </w:p>
          <w:p w:rsidR="4554D6D0" w:rsidP="55E95815" w:rsidRDefault="4554D6D0" w14:paraId="19FD02DD" w14:textId="18E10B2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215" w:type="dxa"/>
            <w:tcMar/>
          </w:tcPr>
          <w:p w:rsidR="55E95815" w:rsidP="55E95815" w:rsidRDefault="55E95815" w14:paraId="53B9A22B" w14:textId="657B3CEF">
            <w:pPr>
              <w:jc w:val="center"/>
              <w:rPr>
                <w:rFonts w:ascii="Arial" w:hAnsi="Arial" w:eastAsia="Arial" w:cs="Arial"/>
                <w:color w:val="000000" w:themeColor="text1"/>
                <w:sz w:val="22"/>
                <w:szCs w:val="22"/>
              </w:rPr>
            </w:pPr>
          </w:p>
          <w:p w:rsidR="44FABFC4" w:rsidP="55E95815" w:rsidRDefault="44FABFC4" w14:paraId="3C4BD076" w14:textId="69F8B344">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E95815" w:rsidP="55E95815" w:rsidRDefault="55E95815" w14:paraId="1B14AD7E" w14:textId="0220CCBE">
            <w:pPr>
              <w:jc w:val="center"/>
              <w:rPr>
                <w:rFonts w:ascii="Arial" w:hAnsi="Arial" w:eastAsia="Arial" w:cs="Arial"/>
                <w:color w:val="000000" w:themeColor="text1"/>
                <w:sz w:val="22"/>
                <w:szCs w:val="22"/>
              </w:rPr>
            </w:pPr>
          </w:p>
          <w:p w:rsidR="78E10BBE" w:rsidP="55E95815" w:rsidRDefault="78E10BBE" w14:paraId="36654C28" w14:textId="513A49D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E95815" w:rsidP="55E95815" w:rsidRDefault="55E95815" w14:paraId="0CF00F73" w14:textId="471493B0">
            <w:pPr>
              <w:jc w:val="center"/>
              <w:rPr>
                <w:rFonts w:ascii="Arial" w:hAnsi="Arial" w:eastAsia="Arial" w:cs="Arial"/>
                <w:color w:val="000000" w:themeColor="text1"/>
                <w:sz w:val="22"/>
                <w:szCs w:val="22"/>
              </w:rPr>
            </w:pPr>
          </w:p>
          <w:p w:rsidR="78E10BBE" w:rsidP="55E95815" w:rsidRDefault="78E10BBE" w14:paraId="43906893" w14:textId="468DB042">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r>
      <w:tr w:rsidR="55E95815" w:rsidTr="067B28D4" w14:paraId="0F311D0A" w14:textId="77777777">
        <w:trPr>
          <w:trHeight w:val="300"/>
        </w:trPr>
        <w:tc>
          <w:tcPr>
            <w:tcW w:w="1575" w:type="dxa"/>
            <w:tcMar/>
          </w:tcPr>
          <w:p w:rsidR="60C7A60E" w:rsidP="55E95815" w:rsidRDefault="60C7A60E" w14:paraId="451A3962" w14:textId="49BF49BA">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Final launch and rollout</w:t>
            </w:r>
          </w:p>
        </w:tc>
        <w:tc>
          <w:tcPr>
            <w:tcW w:w="1080" w:type="dxa"/>
            <w:tcMar/>
          </w:tcPr>
          <w:p w:rsidR="7989E1C7" w:rsidP="55E95815" w:rsidRDefault="7989E1C7" w14:paraId="69CAEADE" w14:textId="6D5FDA23">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c>
          <w:tcPr>
            <w:tcW w:w="810" w:type="dxa"/>
            <w:tcMar/>
          </w:tcPr>
          <w:p w:rsidR="26AAC193" w:rsidP="55E95815" w:rsidRDefault="26AAC193" w14:paraId="6DE27482" w14:textId="549BD35F">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320" w:type="dxa"/>
            <w:tcMar/>
          </w:tcPr>
          <w:p w:rsidR="26AAC193" w:rsidP="55E95815" w:rsidRDefault="26AAC193" w14:paraId="0400CF01" w14:textId="4339C3E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260" w:type="dxa"/>
            <w:tcMar/>
          </w:tcPr>
          <w:p w:rsidR="252BE16C" w:rsidP="55E95815" w:rsidRDefault="252BE16C" w14:paraId="60C36812" w14:textId="609A477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w:t>
            </w:r>
          </w:p>
        </w:tc>
        <w:tc>
          <w:tcPr>
            <w:tcW w:w="1215" w:type="dxa"/>
            <w:tcMar/>
          </w:tcPr>
          <w:p w:rsidR="252BE16C" w:rsidP="55E95815" w:rsidRDefault="252BE16C" w14:paraId="34EA16A0" w14:textId="54E01E6E">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080" w:type="dxa"/>
            <w:tcMar/>
          </w:tcPr>
          <w:p w:rsidR="554F2199" w:rsidP="55E95815" w:rsidRDefault="554F2199" w14:paraId="4E2A9834" w14:textId="3E0FAEB9">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w:t>
            </w:r>
          </w:p>
        </w:tc>
        <w:tc>
          <w:tcPr>
            <w:tcW w:w="1485" w:type="dxa"/>
            <w:tcMar/>
          </w:tcPr>
          <w:p w:rsidR="554F2199" w:rsidP="55E95815" w:rsidRDefault="554F2199" w14:paraId="50A49655" w14:textId="13D86CC1">
            <w:pPr>
              <w:jc w:val="cente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w:t>
            </w:r>
          </w:p>
        </w:tc>
      </w:tr>
    </w:tbl>
    <w:p w:rsidR="55E95815" w:rsidP="55E95815" w:rsidRDefault="55E95815" w14:paraId="09E22750" w14:textId="4EA870A1">
      <w:pPr>
        <w:rPr>
          <w:rFonts w:ascii="Arial" w:hAnsi="Arial" w:eastAsia="Arial" w:cs="Arial"/>
          <w:color w:val="000000" w:themeColor="text1"/>
          <w:sz w:val="22"/>
          <w:szCs w:val="22"/>
        </w:rPr>
      </w:pPr>
    </w:p>
    <w:p w:rsidR="467D605A" w:rsidP="2112F2AD" w:rsidRDefault="467D605A" w14:paraId="52CAE098" w14:textId="0FAAC077">
      <w:pPr>
        <w:rPr>
          <w:rFonts w:ascii="Arial" w:hAnsi="Arial" w:eastAsia="Arial" w:cs="Arial"/>
          <w:b w:val="1"/>
          <w:bCs w:val="1"/>
          <w:color w:val="000000" w:themeColor="text1"/>
          <w:sz w:val="32"/>
          <w:szCs w:val="32"/>
        </w:rPr>
      </w:pPr>
      <w:r w:rsidRPr="2112F2AD" w:rsidR="25ADEF94">
        <w:rPr>
          <w:rFonts w:ascii="Arial" w:hAnsi="Arial" w:eastAsia="Arial" w:cs="Arial"/>
          <w:b w:val="1"/>
          <w:bCs w:val="1"/>
          <w:color w:val="000000" w:themeColor="text1" w:themeTint="FF" w:themeShade="FF"/>
          <w:sz w:val="32"/>
          <w:szCs w:val="32"/>
        </w:rPr>
        <w:t>Key:</w:t>
      </w:r>
    </w:p>
    <w:p w:rsidR="467D605A" w:rsidP="55E95815" w:rsidRDefault="467D605A" w14:paraId="0C15C6F6" w14:textId="580A3720">
      <w:pPr>
        <w:pStyle w:val="ListParagraph"/>
        <w:numPr>
          <w:ilvl w:val="0"/>
          <w:numId w:val="2"/>
        </w:numPr>
        <w:rPr>
          <w:rFonts w:ascii="Arial" w:hAnsi="Arial" w:eastAsia="Arial" w:cs="Arial"/>
          <w:color w:val="000000" w:themeColor="text1"/>
        </w:rPr>
      </w:pPr>
      <w:r w:rsidRPr="55E95815">
        <w:rPr>
          <w:rFonts w:ascii="Arial" w:hAnsi="Arial" w:eastAsia="Arial" w:cs="Arial"/>
          <w:color w:val="000000" w:themeColor="text1"/>
          <w:sz w:val="22"/>
          <w:szCs w:val="22"/>
        </w:rPr>
        <w:t>R: Responsible (</w:t>
      </w:r>
      <w:r w:rsidRPr="55E95815" w:rsidR="3111809D">
        <w:rPr>
          <w:rFonts w:ascii="Arial" w:hAnsi="Arial" w:eastAsia="Arial" w:cs="Arial"/>
          <w:color w:val="000000" w:themeColor="text1"/>
          <w:sz w:val="22"/>
          <w:szCs w:val="22"/>
        </w:rPr>
        <w:t>performs the work)</w:t>
      </w:r>
    </w:p>
    <w:p w:rsidR="3111809D" w:rsidP="55E95815" w:rsidRDefault="3111809D" w14:paraId="0D3AB41A" w14:textId="00993D5C">
      <w:pPr>
        <w:pStyle w:val="ListParagraph"/>
        <w:numPr>
          <w:ilvl w:val="0"/>
          <w:numId w:val="2"/>
        </w:numPr>
        <w:rPr>
          <w:rFonts w:ascii="Arial" w:hAnsi="Arial" w:eastAsia="Arial" w:cs="Arial"/>
          <w:color w:val="000000" w:themeColor="text1"/>
        </w:rPr>
      </w:pPr>
      <w:r w:rsidRPr="2112F2AD" w:rsidR="5E3F9E89">
        <w:rPr>
          <w:rFonts w:ascii="Arial" w:hAnsi="Arial" w:eastAsia="Arial" w:cs="Arial"/>
          <w:color w:val="000000" w:themeColor="text1" w:themeTint="FF" w:themeShade="FF"/>
          <w:sz w:val="22"/>
          <w:szCs w:val="22"/>
        </w:rPr>
        <w:t xml:space="preserve">A: Accountable (owns the </w:t>
      </w:r>
      <w:bookmarkStart w:name="_Int_ETpIGOX7" w:id="0"/>
      <w:r w:rsidRPr="2112F2AD" w:rsidR="5E3F9E89">
        <w:rPr>
          <w:rFonts w:ascii="Arial" w:hAnsi="Arial" w:eastAsia="Arial" w:cs="Arial"/>
          <w:color w:val="000000" w:themeColor="text1" w:themeTint="FF" w:themeShade="FF"/>
          <w:sz w:val="22"/>
          <w:szCs w:val="22"/>
        </w:rPr>
        <w:t>final</w:t>
      </w:r>
      <w:r w:rsidRPr="2112F2AD" w:rsidR="3D10A4B0">
        <w:rPr>
          <w:rFonts w:ascii="Arial" w:hAnsi="Arial" w:eastAsia="Arial" w:cs="Arial"/>
          <w:color w:val="000000" w:themeColor="text1" w:themeTint="FF" w:themeShade="FF"/>
          <w:sz w:val="22"/>
          <w:szCs w:val="22"/>
        </w:rPr>
        <w:t xml:space="preserve"> </w:t>
      </w:r>
      <w:r w:rsidRPr="2112F2AD" w:rsidR="5E3F9E89">
        <w:rPr>
          <w:rFonts w:ascii="Arial" w:hAnsi="Arial" w:eastAsia="Arial" w:cs="Arial"/>
          <w:color w:val="000000" w:themeColor="text1" w:themeTint="FF" w:themeShade="FF"/>
          <w:sz w:val="22"/>
          <w:szCs w:val="22"/>
        </w:rPr>
        <w:t>outcome</w:t>
      </w:r>
      <w:bookmarkEnd w:id="0"/>
      <w:r w:rsidRPr="2112F2AD" w:rsidR="5E3F9E89">
        <w:rPr>
          <w:rFonts w:ascii="Arial" w:hAnsi="Arial" w:eastAsia="Arial" w:cs="Arial"/>
          <w:color w:val="000000" w:themeColor="text1" w:themeTint="FF" w:themeShade="FF"/>
          <w:sz w:val="22"/>
          <w:szCs w:val="22"/>
        </w:rPr>
        <w:t>)</w:t>
      </w:r>
      <w:r w:rsidRPr="2112F2AD" w:rsidR="4D17F62B">
        <w:rPr>
          <w:rFonts w:ascii="Arial" w:hAnsi="Arial" w:eastAsia="Arial" w:cs="Arial"/>
          <w:color w:val="000000" w:themeColor="text1" w:themeTint="FF" w:themeShade="FF"/>
          <w:sz w:val="22"/>
          <w:szCs w:val="22"/>
        </w:rPr>
        <w:t xml:space="preserve"> </w:t>
      </w:r>
    </w:p>
    <w:p w:rsidR="51F7F805" w:rsidP="55E95815" w:rsidRDefault="51F7F805" w14:paraId="3E9BCABB" w14:textId="5B66F86B">
      <w:pPr>
        <w:pStyle w:val="ListParagraph"/>
        <w:numPr>
          <w:ilvl w:val="0"/>
          <w:numId w:val="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 Consulted (provides input)</w:t>
      </w:r>
    </w:p>
    <w:p w:rsidR="676678EC" w:rsidP="55E95815" w:rsidRDefault="676678EC" w14:paraId="7392506A" w14:textId="28F0613A">
      <w:pPr>
        <w:pStyle w:val="ListParagraph"/>
        <w:numPr>
          <w:ilvl w:val="0"/>
          <w:numId w:val="2"/>
        </w:num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 Informed (kept up to date)</w:t>
      </w:r>
    </w:p>
    <w:p w:rsidR="55E95815" w:rsidP="55E95815" w:rsidRDefault="55E95815" w14:paraId="0091DB54" w14:textId="5B83D884">
      <w:pPr>
        <w:rPr>
          <w:rFonts w:ascii="Arial" w:hAnsi="Arial" w:eastAsia="Arial" w:cs="Arial"/>
          <w:color w:val="000000" w:themeColor="text1"/>
          <w:sz w:val="22"/>
          <w:szCs w:val="22"/>
        </w:rPr>
      </w:pPr>
    </w:p>
    <w:p w:rsidR="1BE754A6" w:rsidP="55E95815" w:rsidRDefault="1BE754A6" w14:paraId="3F45A7E0" w14:textId="19E1F785">
      <w:pPr>
        <w:rPr>
          <w:rFonts w:ascii="Arial" w:hAnsi="Arial" w:eastAsia="Arial" w:cs="Arial"/>
          <w:sz w:val="22"/>
          <w:szCs w:val="22"/>
        </w:rPr>
      </w:pPr>
      <w:r w:rsidRPr="55E95815">
        <w:rPr>
          <w:rFonts w:ascii="Arial" w:hAnsi="Arial" w:eastAsia="Arial" w:cs="Arial"/>
          <w:color w:val="000000" w:themeColor="text1"/>
          <w:sz w:val="22"/>
          <w:szCs w:val="22"/>
        </w:rPr>
        <w:t>This matrix helps to prevent duplicated efforts, clarify responsibilities, and reduce confusion when multiple departments or organisations are involved. It also ensures that patient voices and clinical perspectives are meaningfully included in relevant stages such as design, user testing, and rollout planning.</w:t>
      </w:r>
    </w:p>
    <w:p w:rsidR="55E95815" w:rsidP="55E95815" w:rsidRDefault="55E95815" w14:paraId="086AD84C" w14:textId="1A9FA7F3">
      <w:pPr>
        <w:rPr>
          <w:rFonts w:ascii="Arial" w:hAnsi="Arial" w:eastAsia="Arial" w:cs="Arial"/>
          <w:color w:val="000000" w:themeColor="text1"/>
          <w:sz w:val="22"/>
          <w:szCs w:val="22"/>
        </w:rPr>
      </w:pPr>
    </w:p>
    <w:p w:rsidR="09359B66" w:rsidP="55E95815" w:rsidRDefault="09359B66" w14:paraId="55D3FD77" w14:textId="2C51B95A">
      <w:pPr>
        <w:rPr>
          <w:rFonts w:ascii="Arial" w:hAnsi="Arial" w:eastAsia="Arial" w:cs="Arial"/>
          <w:sz w:val="22"/>
          <w:szCs w:val="22"/>
        </w:rPr>
      </w:pPr>
      <w:r w:rsidRPr="55E95815">
        <w:rPr>
          <w:rFonts w:ascii="Arial" w:hAnsi="Arial" w:eastAsia="Arial" w:cs="Arial"/>
          <w:b/>
          <w:bCs/>
          <w:color w:val="000000" w:themeColor="text1"/>
          <w:sz w:val="31"/>
          <w:szCs w:val="31"/>
        </w:rPr>
        <w:t>Stakeholder Communication Plan</w:t>
      </w:r>
    </w:p>
    <w:p w:rsidR="4BFACA67" w:rsidP="55E95815" w:rsidRDefault="4BFACA67" w14:paraId="5594623F" w14:textId="5454BCDA">
      <w:pPr>
        <w:rPr>
          <w:rFonts w:ascii="Arial" w:hAnsi="Arial" w:eastAsia="Arial" w:cs="Arial"/>
          <w:sz w:val="31"/>
          <w:szCs w:val="31"/>
        </w:rPr>
      </w:pPr>
      <w:r w:rsidRPr="55E95815">
        <w:rPr>
          <w:rFonts w:ascii="Arial" w:hAnsi="Arial" w:eastAsia="Arial" w:cs="Arial"/>
          <w:color w:val="000000" w:themeColor="text1"/>
          <w:sz w:val="22"/>
          <w:szCs w:val="22"/>
        </w:rPr>
        <w:t>A stakeholder communication plan outlines what information will be shared, how frequently, through which channels, and with which stakeholder groups. In complex healthcare projects, tailored communication is essential to address the differing levels of technical knowledge, interest, and engagement among stakeholders.</w:t>
      </w:r>
    </w:p>
    <w:p w:rsidR="55E95815" w:rsidP="55E95815" w:rsidRDefault="55E95815" w14:paraId="7B8298E0" w14:textId="4043BD91">
      <w:pPr>
        <w:rPr>
          <w:rFonts w:ascii="Arial" w:hAnsi="Arial" w:eastAsia="Arial" w:cs="Arial"/>
          <w:color w:val="000000" w:themeColor="text1"/>
          <w:sz w:val="22"/>
          <w:szCs w:val="22"/>
        </w:rPr>
      </w:pPr>
    </w:p>
    <w:tbl>
      <w:tblPr>
        <w:tblStyle w:val="TableGrid"/>
        <w:tblW w:w="0" w:type="auto"/>
        <w:tblLayout w:type="fixed"/>
        <w:tblLook w:val="06A0" w:firstRow="1" w:lastRow="0" w:firstColumn="1" w:lastColumn="0" w:noHBand="1" w:noVBand="1"/>
      </w:tblPr>
      <w:tblGrid>
        <w:gridCol w:w="1515"/>
        <w:gridCol w:w="2100"/>
        <w:gridCol w:w="1881"/>
        <w:gridCol w:w="2013"/>
        <w:gridCol w:w="1506"/>
      </w:tblGrid>
      <w:tr w:rsidR="55E95815" w:rsidTr="55E95815" w14:paraId="7A7BBA09" w14:textId="77777777">
        <w:trPr>
          <w:trHeight w:val="300"/>
        </w:trPr>
        <w:tc>
          <w:tcPr>
            <w:tcW w:w="1515" w:type="dxa"/>
          </w:tcPr>
          <w:p w:rsidR="2B12F2FF" w:rsidP="55E95815" w:rsidRDefault="2B12F2FF" w14:paraId="52A89F31" w14:textId="45C9299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Stakeholder </w:t>
            </w:r>
          </w:p>
        </w:tc>
        <w:tc>
          <w:tcPr>
            <w:tcW w:w="2100" w:type="dxa"/>
          </w:tcPr>
          <w:p w:rsidR="2B12F2FF" w:rsidP="55E95815" w:rsidRDefault="2B12F2FF" w14:paraId="7A3312D0" w14:textId="02CB49B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Purpose of Communication</w:t>
            </w:r>
          </w:p>
        </w:tc>
        <w:tc>
          <w:tcPr>
            <w:tcW w:w="1881" w:type="dxa"/>
          </w:tcPr>
          <w:p w:rsidR="2B12F2FF" w:rsidP="55E95815" w:rsidRDefault="2B12F2FF" w14:paraId="1A9AE862" w14:textId="22D50BA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Channel </w:t>
            </w:r>
          </w:p>
        </w:tc>
        <w:tc>
          <w:tcPr>
            <w:tcW w:w="2013" w:type="dxa"/>
          </w:tcPr>
          <w:p w:rsidR="2B12F2FF" w:rsidP="55E95815" w:rsidRDefault="2B12F2FF" w14:paraId="5456D736" w14:textId="0490CDF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Frequency </w:t>
            </w:r>
          </w:p>
        </w:tc>
        <w:tc>
          <w:tcPr>
            <w:tcW w:w="1506" w:type="dxa"/>
          </w:tcPr>
          <w:p w:rsidR="2B12F2FF" w:rsidP="55E95815" w:rsidRDefault="2B12F2FF" w14:paraId="6E398F33" w14:textId="2DF284C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Responsible</w:t>
            </w:r>
          </w:p>
          <w:p w:rsidR="2B12F2FF" w:rsidP="55E95815" w:rsidRDefault="2B12F2FF" w14:paraId="04D26C95" w14:textId="0F8CBCA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Party</w:t>
            </w:r>
          </w:p>
        </w:tc>
      </w:tr>
      <w:tr w:rsidR="55E95815" w:rsidTr="55E95815" w14:paraId="60E601AB" w14:textId="77777777">
        <w:trPr>
          <w:trHeight w:val="300"/>
        </w:trPr>
        <w:tc>
          <w:tcPr>
            <w:tcW w:w="1515" w:type="dxa"/>
          </w:tcPr>
          <w:p w:rsidR="2B12F2FF" w:rsidP="55E95815" w:rsidRDefault="2B12F2FF" w14:paraId="346E3ECA" w14:textId="3160FA4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Sponsor</w:t>
            </w:r>
          </w:p>
        </w:tc>
        <w:tc>
          <w:tcPr>
            <w:tcW w:w="2100" w:type="dxa"/>
          </w:tcPr>
          <w:p w:rsidR="21D688A5" w:rsidP="55E95815" w:rsidRDefault="21D688A5" w14:paraId="4DA8B7FA" w14:textId="7D29E41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Strategic updates, budget status</w:t>
            </w:r>
          </w:p>
        </w:tc>
        <w:tc>
          <w:tcPr>
            <w:tcW w:w="1881" w:type="dxa"/>
          </w:tcPr>
          <w:p w:rsidR="519AA46D" w:rsidP="55E95815" w:rsidRDefault="519AA46D" w14:paraId="70030313" w14:textId="05E3D50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Email + Monthly Re</w:t>
            </w:r>
            <w:r w:rsidRPr="55E95815" w:rsidR="3A8F45AC">
              <w:rPr>
                <w:rFonts w:ascii="Arial" w:hAnsi="Arial" w:eastAsia="Arial" w:cs="Arial"/>
                <w:color w:val="000000" w:themeColor="text1"/>
                <w:sz w:val="22"/>
                <w:szCs w:val="22"/>
              </w:rPr>
              <w:t>port</w:t>
            </w:r>
            <w:r w:rsidRPr="55E95815">
              <w:rPr>
                <w:rFonts w:ascii="Arial" w:hAnsi="Arial" w:eastAsia="Arial" w:cs="Arial"/>
                <w:color w:val="000000" w:themeColor="text1"/>
                <w:sz w:val="22"/>
                <w:szCs w:val="22"/>
              </w:rPr>
              <w:t xml:space="preserve"> </w:t>
            </w:r>
          </w:p>
        </w:tc>
        <w:tc>
          <w:tcPr>
            <w:tcW w:w="2013" w:type="dxa"/>
          </w:tcPr>
          <w:p w:rsidR="0493A3D2" w:rsidP="55E95815" w:rsidRDefault="0493A3D2" w14:paraId="001C897C" w14:textId="6D03EE1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Monthly </w:t>
            </w:r>
          </w:p>
        </w:tc>
        <w:tc>
          <w:tcPr>
            <w:tcW w:w="1506" w:type="dxa"/>
          </w:tcPr>
          <w:p w:rsidR="46F7212D" w:rsidP="55E95815" w:rsidRDefault="46F7212D" w14:paraId="76FC8F0D" w14:textId="16E0D1A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Project Manager</w:t>
            </w:r>
          </w:p>
        </w:tc>
      </w:tr>
      <w:tr w:rsidR="55E95815" w:rsidTr="55E95815" w14:paraId="6DAB4AEE" w14:textId="77777777">
        <w:trPr>
          <w:trHeight w:val="300"/>
        </w:trPr>
        <w:tc>
          <w:tcPr>
            <w:tcW w:w="1515" w:type="dxa"/>
          </w:tcPr>
          <w:p w:rsidR="2B12F2FF" w:rsidP="55E95815" w:rsidRDefault="2B12F2FF" w14:paraId="7278F409" w14:textId="116A22E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Team</w:t>
            </w:r>
          </w:p>
        </w:tc>
        <w:tc>
          <w:tcPr>
            <w:tcW w:w="2100" w:type="dxa"/>
          </w:tcPr>
          <w:p w:rsidR="18794AE9" w:rsidP="55E95815" w:rsidRDefault="18794AE9" w14:paraId="1FF06537" w14:textId="2E932C0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Technical coordination, design feedback </w:t>
            </w:r>
          </w:p>
        </w:tc>
        <w:tc>
          <w:tcPr>
            <w:tcW w:w="1881" w:type="dxa"/>
          </w:tcPr>
          <w:p w:rsidR="2AC3C7F1" w:rsidP="55E95815" w:rsidRDefault="2AC3C7F1" w14:paraId="71560139" w14:textId="6769215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Project Meetings </w:t>
            </w:r>
          </w:p>
        </w:tc>
        <w:tc>
          <w:tcPr>
            <w:tcW w:w="2013" w:type="dxa"/>
          </w:tcPr>
          <w:p w:rsidR="04D6E919" w:rsidP="55E95815" w:rsidRDefault="04D6E919" w14:paraId="0CB8B9C5" w14:textId="529393B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Weekly </w:t>
            </w:r>
          </w:p>
        </w:tc>
        <w:tc>
          <w:tcPr>
            <w:tcW w:w="1506" w:type="dxa"/>
          </w:tcPr>
          <w:p w:rsidR="2222A49E" w:rsidP="55E95815" w:rsidRDefault="2222A49E" w14:paraId="78021F0B" w14:textId="5B31E070">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R&amp;D Lead</w:t>
            </w:r>
          </w:p>
        </w:tc>
      </w:tr>
      <w:tr w:rsidR="55E95815" w:rsidTr="55E95815" w14:paraId="12E99440" w14:textId="77777777">
        <w:trPr>
          <w:trHeight w:val="300"/>
        </w:trPr>
        <w:tc>
          <w:tcPr>
            <w:tcW w:w="1515" w:type="dxa"/>
          </w:tcPr>
          <w:p w:rsidR="2B12F2FF" w:rsidP="55E95815" w:rsidRDefault="2B12F2FF" w14:paraId="1406CFC2" w14:textId="77ED75E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Regulatory Affairs</w:t>
            </w:r>
          </w:p>
        </w:tc>
        <w:tc>
          <w:tcPr>
            <w:tcW w:w="2100" w:type="dxa"/>
          </w:tcPr>
          <w:p w:rsidR="5401AED1" w:rsidP="55E95815" w:rsidRDefault="5401AED1" w14:paraId="6B61E60E" w14:textId="30D275D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Compliance milestones, documentation </w:t>
            </w:r>
          </w:p>
        </w:tc>
        <w:tc>
          <w:tcPr>
            <w:tcW w:w="1881" w:type="dxa"/>
          </w:tcPr>
          <w:p w:rsidR="7F87D867" w:rsidP="55E95815" w:rsidRDefault="7F87D867" w14:paraId="37A30092" w14:textId="16E2842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Secure</w:t>
            </w:r>
            <w:r w:rsidRPr="55E95815" w:rsidR="02338334">
              <w:rPr>
                <w:rFonts w:ascii="Arial" w:hAnsi="Arial" w:eastAsia="Arial" w:cs="Arial"/>
                <w:color w:val="000000" w:themeColor="text1"/>
                <w:sz w:val="22"/>
                <w:szCs w:val="22"/>
              </w:rPr>
              <w:t xml:space="preserve"> </w:t>
            </w:r>
            <w:r w:rsidRPr="55E95815">
              <w:rPr>
                <w:rFonts w:ascii="Arial" w:hAnsi="Arial" w:eastAsia="Arial" w:cs="Arial"/>
                <w:color w:val="000000" w:themeColor="text1"/>
                <w:sz w:val="22"/>
                <w:szCs w:val="22"/>
              </w:rPr>
              <w:t>Document Portal</w:t>
            </w:r>
          </w:p>
        </w:tc>
        <w:tc>
          <w:tcPr>
            <w:tcW w:w="2013" w:type="dxa"/>
          </w:tcPr>
          <w:p w:rsidR="1E75AEE6" w:rsidP="55E95815" w:rsidRDefault="1E75AEE6" w14:paraId="4FD7E226" w14:textId="01502B3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As needed</w:t>
            </w:r>
          </w:p>
        </w:tc>
        <w:tc>
          <w:tcPr>
            <w:tcW w:w="1506" w:type="dxa"/>
          </w:tcPr>
          <w:p w:rsidR="1ACF1F4E" w:rsidP="55E95815" w:rsidRDefault="1ACF1F4E" w14:paraId="43557976" w14:textId="76C4EB4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QA/RA Manager</w:t>
            </w:r>
          </w:p>
        </w:tc>
      </w:tr>
      <w:tr w:rsidR="55E95815" w:rsidTr="55E95815" w14:paraId="75A74B15" w14:textId="77777777">
        <w:trPr>
          <w:trHeight w:val="300"/>
        </w:trPr>
        <w:tc>
          <w:tcPr>
            <w:tcW w:w="1515" w:type="dxa"/>
          </w:tcPr>
          <w:p w:rsidR="6349A465" w:rsidP="55E95815" w:rsidRDefault="6349A465" w14:paraId="75064FEA" w14:textId="75AF59A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NHS Clinicians</w:t>
            </w:r>
          </w:p>
          <w:p w:rsidR="55E95815" w:rsidP="55E95815" w:rsidRDefault="55E95815" w14:paraId="650CB7B1" w14:textId="2B892C32">
            <w:pPr>
              <w:rPr>
                <w:rFonts w:ascii="Arial" w:hAnsi="Arial" w:eastAsia="Arial" w:cs="Arial"/>
                <w:color w:val="000000" w:themeColor="text1"/>
                <w:sz w:val="22"/>
                <w:szCs w:val="22"/>
              </w:rPr>
            </w:pPr>
          </w:p>
        </w:tc>
        <w:tc>
          <w:tcPr>
            <w:tcW w:w="2100" w:type="dxa"/>
          </w:tcPr>
          <w:p w:rsidR="3BF01553" w:rsidP="55E95815" w:rsidRDefault="3BF01553" w14:paraId="5C2FE728" w14:textId="32CD8D8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Clinical integration feedback</w:t>
            </w:r>
          </w:p>
        </w:tc>
        <w:tc>
          <w:tcPr>
            <w:tcW w:w="1881" w:type="dxa"/>
          </w:tcPr>
          <w:p w:rsidR="262B6660" w:rsidP="55E95815" w:rsidRDefault="262B6660" w14:paraId="22A94837" w14:textId="0D9FB9C6">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Workshops, Survey</w:t>
            </w:r>
          </w:p>
        </w:tc>
        <w:tc>
          <w:tcPr>
            <w:tcW w:w="2013" w:type="dxa"/>
          </w:tcPr>
          <w:p w:rsidR="1201F3AC" w:rsidP="55E95815" w:rsidRDefault="1201F3AC" w14:paraId="0DA2EFE7" w14:textId="42FC1E1B">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Bi-monthly </w:t>
            </w:r>
          </w:p>
        </w:tc>
        <w:tc>
          <w:tcPr>
            <w:tcW w:w="1506" w:type="dxa"/>
          </w:tcPr>
          <w:p w:rsidR="027EBCBE" w:rsidP="55E95815" w:rsidRDefault="027EBCBE" w14:paraId="4A4883CA" w14:textId="2CC6991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Engagement Coordinator </w:t>
            </w:r>
          </w:p>
        </w:tc>
      </w:tr>
      <w:tr w:rsidR="55E95815" w:rsidTr="55E95815" w14:paraId="5ED6B273" w14:textId="77777777">
        <w:trPr>
          <w:trHeight w:val="300"/>
        </w:trPr>
        <w:tc>
          <w:tcPr>
            <w:tcW w:w="1515" w:type="dxa"/>
          </w:tcPr>
          <w:p w:rsidR="6349A465" w:rsidP="55E95815" w:rsidRDefault="6349A465" w14:paraId="6192014D" w14:textId="7D1EF2F9">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w:t>
            </w:r>
            <w:r w:rsidRPr="55E95815" w:rsidR="5DD88745">
              <w:rPr>
                <w:rFonts w:ascii="Arial" w:hAnsi="Arial" w:eastAsia="Arial" w:cs="Arial"/>
                <w:color w:val="000000" w:themeColor="text1"/>
                <w:sz w:val="22"/>
                <w:szCs w:val="22"/>
              </w:rPr>
              <w:t>atients</w:t>
            </w:r>
          </w:p>
        </w:tc>
        <w:tc>
          <w:tcPr>
            <w:tcW w:w="2100" w:type="dxa"/>
          </w:tcPr>
          <w:p w:rsidR="3A1B7630" w:rsidP="55E95815" w:rsidRDefault="3A1B7630" w14:paraId="60F1F696" w14:textId="7C4E7168">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Usability feedback, data concerns</w:t>
            </w:r>
          </w:p>
        </w:tc>
        <w:tc>
          <w:tcPr>
            <w:tcW w:w="1881" w:type="dxa"/>
          </w:tcPr>
          <w:p w:rsidR="3B50CB2F" w:rsidP="55E95815" w:rsidRDefault="3B50CB2F" w14:paraId="0CC77A1C" w14:textId="009163F7">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Interviews, Surveys</w:t>
            </w:r>
          </w:p>
        </w:tc>
        <w:tc>
          <w:tcPr>
            <w:tcW w:w="2013" w:type="dxa"/>
          </w:tcPr>
          <w:p w:rsidR="5137BE15" w:rsidP="55E95815" w:rsidRDefault="5137BE15" w14:paraId="6FC1FC08" w14:textId="79D092D1">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Pilot phases only</w:t>
            </w:r>
          </w:p>
        </w:tc>
        <w:tc>
          <w:tcPr>
            <w:tcW w:w="1506" w:type="dxa"/>
          </w:tcPr>
          <w:p w:rsidR="02B2D027" w:rsidP="55E95815" w:rsidRDefault="02B2D027" w14:paraId="1DA1A2FE" w14:textId="3A523ED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Research Lead</w:t>
            </w:r>
          </w:p>
        </w:tc>
      </w:tr>
      <w:tr w:rsidR="55E95815" w:rsidTr="55E95815" w14:paraId="1EDEDC6C" w14:textId="77777777">
        <w:trPr>
          <w:trHeight w:val="300"/>
        </w:trPr>
        <w:tc>
          <w:tcPr>
            <w:tcW w:w="1515" w:type="dxa"/>
          </w:tcPr>
          <w:p w:rsidR="5DD88745" w:rsidP="55E95815" w:rsidRDefault="5DD88745" w14:paraId="196939D2" w14:textId="2299047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Procurement Teams</w:t>
            </w:r>
          </w:p>
          <w:p w:rsidR="55E95815" w:rsidP="55E95815" w:rsidRDefault="55E95815" w14:paraId="71C3D307" w14:textId="3222EC54">
            <w:pPr>
              <w:rPr>
                <w:rFonts w:ascii="Arial" w:hAnsi="Arial" w:eastAsia="Arial" w:cs="Arial"/>
                <w:color w:val="000000" w:themeColor="text1"/>
                <w:sz w:val="22"/>
                <w:szCs w:val="22"/>
              </w:rPr>
            </w:pPr>
          </w:p>
        </w:tc>
        <w:tc>
          <w:tcPr>
            <w:tcW w:w="2100" w:type="dxa"/>
          </w:tcPr>
          <w:p w:rsidR="1083C141" w:rsidP="55E95815" w:rsidRDefault="1083C141" w14:paraId="050FA9D3" w14:textId="5BBF283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Value proposition, ROI justification</w:t>
            </w:r>
          </w:p>
        </w:tc>
        <w:tc>
          <w:tcPr>
            <w:tcW w:w="1881" w:type="dxa"/>
          </w:tcPr>
          <w:p w:rsidR="64639AEF" w:rsidP="55E95815" w:rsidRDefault="64639AEF" w14:paraId="08E043F9" w14:textId="7E1A3EDC">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Pitch Decks, Emails</w:t>
            </w:r>
          </w:p>
        </w:tc>
        <w:tc>
          <w:tcPr>
            <w:tcW w:w="2013" w:type="dxa"/>
          </w:tcPr>
          <w:p w:rsidR="61F5FB03" w:rsidP="55E95815" w:rsidRDefault="61F5FB03" w14:paraId="13EB5E3C" w14:textId="2631D79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Mid-project &amp; Launch</w:t>
            </w:r>
          </w:p>
        </w:tc>
        <w:tc>
          <w:tcPr>
            <w:tcW w:w="1506" w:type="dxa"/>
          </w:tcPr>
          <w:p w:rsidR="5ADCD344" w:rsidP="55E95815" w:rsidRDefault="5ADCD344" w14:paraId="2AD97B64" w14:textId="36A428A2">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Commercial Manager </w:t>
            </w:r>
          </w:p>
        </w:tc>
      </w:tr>
      <w:tr w:rsidR="55E95815" w:rsidTr="55E95815" w14:paraId="542B9D28" w14:textId="77777777">
        <w:trPr>
          <w:trHeight w:val="300"/>
        </w:trPr>
        <w:tc>
          <w:tcPr>
            <w:tcW w:w="1515" w:type="dxa"/>
          </w:tcPr>
          <w:p w:rsidR="5DD88745" w:rsidP="55E95815" w:rsidRDefault="5DD88745" w14:paraId="0B0B5C65" w14:textId="15EBC90D">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General Public</w:t>
            </w:r>
          </w:p>
        </w:tc>
        <w:tc>
          <w:tcPr>
            <w:tcW w:w="2100" w:type="dxa"/>
          </w:tcPr>
          <w:p w:rsidR="4FEF0568" w:rsidP="55E95815" w:rsidRDefault="4FEF0568" w14:paraId="570C49EE" w14:textId="597585AF">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Awareness and trust-building </w:t>
            </w:r>
          </w:p>
        </w:tc>
        <w:tc>
          <w:tcPr>
            <w:tcW w:w="1881" w:type="dxa"/>
          </w:tcPr>
          <w:p w:rsidR="06A06B7E" w:rsidP="55E95815" w:rsidRDefault="06A06B7E" w14:paraId="2BEACEF0" w14:textId="4F5723E5">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Website, Social Media</w:t>
            </w:r>
          </w:p>
        </w:tc>
        <w:tc>
          <w:tcPr>
            <w:tcW w:w="2013" w:type="dxa"/>
          </w:tcPr>
          <w:p w:rsidR="26F8E5A4" w:rsidP="55E95815" w:rsidRDefault="26F8E5A4" w14:paraId="6F24F527" w14:textId="58CEE62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Pre-launch phase</w:t>
            </w:r>
          </w:p>
        </w:tc>
        <w:tc>
          <w:tcPr>
            <w:tcW w:w="1506" w:type="dxa"/>
          </w:tcPr>
          <w:p w:rsidR="3B00D8FC" w:rsidP="55E95815" w:rsidRDefault="3B00D8FC" w14:paraId="49AEF31B" w14:textId="6F185B24">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 xml:space="preserve">Marketing Team </w:t>
            </w:r>
          </w:p>
        </w:tc>
      </w:tr>
    </w:tbl>
    <w:p w:rsidR="55E95815" w:rsidP="55E95815" w:rsidRDefault="55E95815" w14:paraId="53173D1D" w14:textId="371C18B4">
      <w:pPr>
        <w:rPr>
          <w:rFonts w:ascii="Arial" w:hAnsi="Arial" w:eastAsia="Arial" w:cs="Arial"/>
          <w:color w:val="000000" w:themeColor="text1"/>
          <w:sz w:val="22"/>
          <w:szCs w:val="22"/>
        </w:rPr>
      </w:pPr>
    </w:p>
    <w:p w:rsidR="091414A2" w:rsidP="55E95815" w:rsidRDefault="091414A2" w14:paraId="47610DFD" w14:textId="6FB53805">
      <w:pPr>
        <w:rPr>
          <w:rFonts w:ascii="Arial" w:hAnsi="Arial" w:eastAsia="Arial" w:cs="Arial"/>
          <w:b/>
          <w:bCs/>
          <w:color w:val="000000" w:themeColor="text1"/>
          <w:sz w:val="31"/>
          <w:szCs w:val="31"/>
        </w:rPr>
      </w:pPr>
      <w:r w:rsidRPr="55E95815">
        <w:rPr>
          <w:rFonts w:ascii="Arial" w:hAnsi="Arial" w:eastAsia="Arial" w:cs="Arial"/>
          <w:color w:val="000000" w:themeColor="text1"/>
          <w:sz w:val="22"/>
          <w:szCs w:val="22"/>
        </w:rPr>
        <w:t>By adopting a multi-channel, stakeholder-specific communication approach, TTP plc can maintain transparency, reduce misunderstandings, and build lasting relationships. For example, clinicians may prefer in-person workshops where they can interact with the product, while patients may prefer surveys or one-on-one interviews to express concerns privately.</w:t>
      </w:r>
    </w:p>
    <w:p w:rsidR="55E95815" w:rsidP="55E95815" w:rsidRDefault="55E95815" w14:paraId="3447DFF5" w14:textId="67FA60A8">
      <w:pPr>
        <w:rPr>
          <w:rFonts w:ascii="Arial" w:hAnsi="Arial" w:eastAsia="Arial" w:cs="Arial"/>
          <w:b/>
          <w:bCs/>
          <w:color w:val="000000" w:themeColor="text1"/>
          <w:sz w:val="32"/>
          <w:szCs w:val="32"/>
        </w:rPr>
      </w:pPr>
    </w:p>
    <w:p w:rsidR="091414A2" w:rsidP="55E95815" w:rsidRDefault="091414A2" w14:paraId="591023FD" w14:textId="705D2BE5">
      <w:pPr>
        <w:rPr>
          <w:rFonts w:ascii="Arial" w:hAnsi="Arial" w:eastAsia="Arial" w:cs="Arial"/>
          <w:b/>
          <w:bCs/>
          <w:color w:val="000000" w:themeColor="text1"/>
          <w:sz w:val="32"/>
          <w:szCs w:val="32"/>
        </w:rPr>
      </w:pPr>
      <w:r w:rsidRPr="55E95815">
        <w:rPr>
          <w:rFonts w:ascii="Arial" w:hAnsi="Arial" w:eastAsia="Arial" w:cs="Arial"/>
          <w:b/>
          <w:bCs/>
          <w:color w:val="000000" w:themeColor="text1"/>
          <w:sz w:val="32"/>
          <w:szCs w:val="32"/>
        </w:rPr>
        <w:t>The 4Cs Model of Stakeholder Engagement</w:t>
      </w:r>
    </w:p>
    <w:p w:rsidR="40A6009D" w:rsidP="55E95815" w:rsidRDefault="40A6009D" w14:paraId="201EE9A7" w14:textId="7D3EB38E">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The 4Cs Model (Ellis et al., 1991) is a widely used approach in project and relationship management. It provides a dynamic progression through four stages of engagement:</w:t>
      </w:r>
    </w:p>
    <w:p w:rsidR="13539FFA" w:rsidP="067B28D4" w:rsidRDefault="13539FFA" w14:paraId="46F69F84" w14:textId="758F9AB9">
      <w:pPr>
        <w:pStyle w:val="ListParagraph"/>
        <w:numPr>
          <w:ilvl w:val="0"/>
          <w:numId w:val="7"/>
        </w:numPr>
        <w:rPr>
          <w:rFonts w:ascii="Arial" w:hAnsi="Arial" w:eastAsia="Arial" w:cs="Arial"/>
          <w:b w:val="1"/>
          <w:bCs w:val="1"/>
          <w:color w:val="000000" w:themeColor="text1"/>
        </w:rPr>
      </w:pPr>
      <w:r w:rsidRPr="067B28D4" w:rsidR="13539FFA">
        <w:rPr>
          <w:rFonts w:ascii="Arial" w:hAnsi="Arial" w:eastAsia="Arial" w:cs="Arial"/>
          <w:b w:val="1"/>
          <w:bCs w:val="1"/>
          <w:color w:val="000000" w:themeColor="text1" w:themeTint="FF" w:themeShade="FF"/>
          <w:sz w:val="22"/>
          <w:szCs w:val="22"/>
        </w:rPr>
        <w:t>Communication</w:t>
      </w:r>
    </w:p>
    <w:p w:rsidR="13539FFA" w:rsidP="55E95815" w:rsidRDefault="13539FFA" w14:paraId="19C0B0F1" w14:textId="1A062076">
      <w:pPr>
        <w:pStyle w:val="ListParagraph"/>
      </w:pPr>
      <w:r w:rsidRPr="55E95815">
        <w:rPr>
          <w:rFonts w:ascii="Arial" w:hAnsi="Arial" w:eastAsia="Arial" w:cs="Arial"/>
          <w:color w:val="000000" w:themeColor="text1"/>
          <w:sz w:val="22"/>
          <w:szCs w:val="22"/>
        </w:rPr>
        <w:t>At this stage, stakeholders receive and provide essential information about the project. For the wearable device, this includes introductory sessions, marketing materials, and product specifications. Communication must be clear, culturally sensitive, and jargon-free, particularly for non-technical stakeholders.</w:t>
      </w:r>
    </w:p>
    <w:p w:rsidR="13539FFA" w:rsidP="55E95815" w:rsidRDefault="13539FFA" w14:paraId="13559191" w14:textId="2BE57030">
      <w:pPr>
        <w:pStyle w:val="ListParagraph"/>
        <w:numPr>
          <w:ilvl w:val="0"/>
          <w:numId w:val="7"/>
        </w:numPr>
        <w:rPr>
          <w:rFonts w:ascii="Arial" w:hAnsi="Arial" w:eastAsia="Arial" w:cs="Arial"/>
          <w:b/>
          <w:bCs/>
        </w:rPr>
      </w:pPr>
      <w:r w:rsidRPr="55E95815">
        <w:rPr>
          <w:rFonts w:ascii="Arial" w:hAnsi="Arial" w:eastAsia="Arial" w:cs="Arial"/>
          <w:b/>
          <w:bCs/>
          <w:color w:val="000000" w:themeColor="text1"/>
          <w:sz w:val="22"/>
          <w:szCs w:val="22"/>
        </w:rPr>
        <w:t>Coordination</w:t>
      </w:r>
    </w:p>
    <w:p w:rsidR="55E95815" w:rsidP="55E95815" w:rsidRDefault="55E95815" w14:paraId="3EF53CD6" w14:textId="1AF718A7">
      <w:pPr>
        <w:pStyle w:val="ListParagraph"/>
        <w:rPr>
          <w:rFonts w:ascii="Arial" w:hAnsi="Arial" w:eastAsia="Arial" w:cs="Arial"/>
        </w:rPr>
      </w:pPr>
    </w:p>
    <w:p w:rsidR="13539FFA" w:rsidP="55E95815" w:rsidRDefault="13539FFA" w14:paraId="16DC555D" w14:textId="61D48F62">
      <w:pPr>
        <w:pStyle w:val="ListParagraph"/>
      </w:pPr>
      <w:r w:rsidRPr="55E95815">
        <w:rPr>
          <w:rFonts w:ascii="Arial" w:hAnsi="Arial" w:eastAsia="Arial" w:cs="Arial"/>
          <w:color w:val="000000" w:themeColor="text1"/>
          <w:sz w:val="22"/>
          <w:szCs w:val="22"/>
        </w:rPr>
        <w:t>Once initial communication has occurred, activities and timelines are coordinated. Coordination ensures that stakeholder actions are sequenced, resources are aligned, and responsibilities are distributed. For example, coordinating clinical trials with NHS partners requires aligning medical staff, patient recruitment, and data collection protocols.</w:t>
      </w:r>
    </w:p>
    <w:p w:rsidR="55E95815" w:rsidP="55E95815" w:rsidRDefault="55E95815" w14:paraId="14694A0E" w14:textId="06654DEE">
      <w:pPr>
        <w:pStyle w:val="ListParagraph"/>
        <w:rPr>
          <w:rFonts w:ascii="Arial" w:hAnsi="Arial" w:eastAsia="Arial" w:cs="Arial"/>
          <w:color w:val="000000" w:themeColor="text1"/>
          <w:sz w:val="22"/>
          <w:szCs w:val="22"/>
        </w:rPr>
      </w:pPr>
    </w:p>
    <w:p w:rsidR="13539FFA" w:rsidP="55E95815" w:rsidRDefault="13539FFA" w14:paraId="14CF4B4B" w14:textId="766BD419">
      <w:pPr>
        <w:pStyle w:val="ListParagraph"/>
        <w:numPr>
          <w:ilvl w:val="0"/>
          <w:numId w:val="7"/>
        </w:numPr>
        <w:rPr>
          <w:b/>
          <w:bCs/>
        </w:rPr>
      </w:pPr>
      <w:r w:rsidRPr="55E95815">
        <w:rPr>
          <w:rFonts w:ascii="Arial" w:hAnsi="Arial" w:eastAsia="Arial" w:cs="Arial"/>
          <w:b/>
          <w:bCs/>
          <w:color w:val="000000" w:themeColor="text1"/>
          <w:sz w:val="22"/>
          <w:szCs w:val="22"/>
        </w:rPr>
        <w:t>Cooperation</w:t>
      </w:r>
    </w:p>
    <w:p w:rsidR="55E95815" w:rsidP="55E95815" w:rsidRDefault="55E95815" w14:paraId="0405B6CC" w14:textId="17FD393D">
      <w:pPr>
        <w:pStyle w:val="ListParagraph"/>
        <w:rPr>
          <w:b/>
          <w:bCs/>
        </w:rPr>
      </w:pPr>
    </w:p>
    <w:p w:rsidR="13539FFA" w:rsidP="55E95815" w:rsidRDefault="13539FFA" w14:paraId="5CFC0A14" w14:textId="6431CB81">
      <w:pPr>
        <w:pStyle w:val="ListParagraph"/>
      </w:pPr>
      <w:r w:rsidRPr="55E95815">
        <w:rPr>
          <w:rFonts w:ascii="Arial" w:hAnsi="Arial" w:eastAsia="Arial" w:cs="Arial"/>
          <w:color w:val="000000" w:themeColor="text1"/>
          <w:sz w:val="22"/>
          <w:szCs w:val="22"/>
        </w:rPr>
        <w:t>Cooperation involves stakeholders willingly working together towards shared objectives. At this stage, trust begins to develop. For example, clinicians may offer to co-design digital interfaces, or patients may participate in pilot testing. Cooperation enhances the quality of outcomes and creates shared ownership.</w:t>
      </w:r>
    </w:p>
    <w:p w:rsidR="55E95815" w:rsidP="55E95815" w:rsidRDefault="55E95815" w14:paraId="2BDDC418" w14:textId="7884D3EE">
      <w:pPr>
        <w:pStyle w:val="ListParagraph"/>
        <w:rPr>
          <w:rFonts w:ascii="Arial" w:hAnsi="Arial" w:eastAsia="Arial" w:cs="Arial"/>
          <w:color w:val="000000" w:themeColor="text1"/>
          <w:sz w:val="22"/>
          <w:szCs w:val="22"/>
        </w:rPr>
      </w:pPr>
    </w:p>
    <w:p w:rsidR="13539FFA" w:rsidP="55E95815" w:rsidRDefault="13539FFA" w14:paraId="1BC06BFD" w14:textId="4F107E18">
      <w:pPr>
        <w:pStyle w:val="ListParagraph"/>
        <w:numPr>
          <w:ilvl w:val="0"/>
          <w:numId w:val="7"/>
        </w:numPr>
        <w:rPr>
          <w:b/>
          <w:bCs/>
        </w:rPr>
      </w:pPr>
      <w:r w:rsidRPr="55E95815">
        <w:rPr>
          <w:rFonts w:ascii="Arial" w:hAnsi="Arial" w:eastAsia="Arial" w:cs="Arial"/>
          <w:b/>
          <w:bCs/>
          <w:color w:val="000000" w:themeColor="text1"/>
          <w:sz w:val="22"/>
          <w:szCs w:val="22"/>
        </w:rPr>
        <w:t>Collaboration</w:t>
      </w:r>
    </w:p>
    <w:p w:rsidR="55E95815" w:rsidP="55E95815" w:rsidRDefault="55E95815" w14:paraId="69D180A3" w14:textId="0D16FD67">
      <w:pPr>
        <w:pStyle w:val="ListParagraph"/>
        <w:rPr>
          <w:b/>
          <w:bCs/>
        </w:rPr>
      </w:pPr>
    </w:p>
    <w:p w:rsidR="13539FFA" w:rsidP="55E95815" w:rsidRDefault="13539FFA" w14:paraId="2716A222" w14:textId="477D8ACE">
      <w:pPr>
        <w:pStyle w:val="ListParagraph"/>
        <w:rPr>
          <w:rFonts w:ascii="Arial" w:hAnsi="Arial" w:eastAsia="Arial" w:cs="Arial"/>
          <w:color w:val="000000" w:themeColor="text1"/>
          <w:sz w:val="22"/>
          <w:szCs w:val="22"/>
        </w:rPr>
      </w:pPr>
      <w:r w:rsidRPr="55E95815">
        <w:rPr>
          <w:rFonts w:ascii="Arial" w:hAnsi="Arial" w:eastAsia="Arial" w:cs="Arial"/>
          <w:color w:val="000000" w:themeColor="text1"/>
          <w:sz w:val="22"/>
          <w:szCs w:val="22"/>
        </w:rPr>
        <w:t>Collaboration is the highest level of stakeholder engagement, where partners co-create value and make joint decisions. This may involve formal partnerships, research publications, or co-authored funding proposals. Collaboration with regulators or research institutions may also help the device gain legitimacy and wider support.</w:t>
      </w:r>
    </w:p>
    <w:p w:rsidR="13539FFA" w:rsidP="55E95815" w:rsidRDefault="13539FFA" w14:paraId="1A1DB4B2" w14:textId="119A2033">
      <w:pPr>
        <w:rPr>
          <w:rFonts w:ascii="Arial" w:hAnsi="Arial" w:eastAsia="Arial" w:cs="Arial"/>
          <w:color w:val="000000" w:themeColor="text1"/>
          <w:sz w:val="22"/>
          <w:szCs w:val="22"/>
        </w:rPr>
      </w:pPr>
      <w:r w:rsidRPr="55E95815">
        <w:rPr>
          <w:rFonts w:ascii="Arial" w:hAnsi="Arial" w:eastAsia="Arial" w:cs="Arial"/>
          <w:color w:val="000000" w:themeColor="text1"/>
          <w:sz w:val="22"/>
          <w:szCs w:val="22"/>
        </w:rPr>
        <w:t>Applying the 4Cs model ensures that stakeholder engagement moves beyond simple information-sharing. It becomes an active, value-driven process that contributes to innovation and sustained adoption. It also supports the creation of long-term stakeholder relationships that extend beyond the initial product launch.</w:t>
      </w:r>
    </w:p>
    <w:p w:rsidR="55E95815" w:rsidP="55E95815" w:rsidRDefault="55E95815" w14:paraId="2B6AD1FB" w14:textId="7C3A6E9B">
      <w:pPr>
        <w:pStyle w:val="ListParagraph"/>
        <w:rPr>
          <w:rFonts w:ascii="Arial" w:hAnsi="Arial" w:eastAsia="Arial" w:cs="Arial"/>
          <w:color w:val="000000" w:themeColor="text1"/>
          <w:sz w:val="22"/>
          <w:szCs w:val="22"/>
        </w:rPr>
      </w:pPr>
    </w:p>
    <w:p w:rsidR="2E3D56EF" w:rsidP="55E95815" w:rsidRDefault="2E3D56EF" w14:paraId="6FAA58B6" w14:textId="56903728">
      <w:pPr>
        <w:rPr>
          <w:rFonts w:ascii="Arial" w:hAnsi="Arial" w:eastAsia="Arial" w:cs="Arial"/>
          <w:sz w:val="22"/>
          <w:szCs w:val="22"/>
        </w:rPr>
      </w:pPr>
      <w:r w:rsidRPr="55E95815">
        <w:rPr>
          <w:rFonts w:ascii="Arial" w:hAnsi="Arial" w:eastAsia="Arial" w:cs="Arial"/>
          <w:b/>
          <w:bCs/>
          <w:color w:val="000000" w:themeColor="text1"/>
          <w:sz w:val="31"/>
          <w:szCs w:val="31"/>
        </w:rPr>
        <w:t>Integration of Engagement Tools</w:t>
      </w:r>
    </w:p>
    <w:p w:rsidR="216FCC18" w:rsidP="55E95815" w:rsidRDefault="216FCC18" w14:paraId="47575A57" w14:textId="24089A7C">
      <w:pPr>
        <w:rPr>
          <w:rFonts w:ascii="Arial" w:hAnsi="Arial" w:eastAsia="Arial" w:cs="Arial"/>
          <w:sz w:val="31"/>
          <w:szCs w:val="31"/>
        </w:rPr>
      </w:pPr>
      <w:r w:rsidRPr="55E95815">
        <w:rPr>
          <w:rFonts w:ascii="Arial" w:hAnsi="Arial" w:eastAsia="Arial" w:cs="Arial"/>
          <w:color w:val="000000" w:themeColor="text1"/>
          <w:sz w:val="22"/>
          <w:szCs w:val="22"/>
        </w:rPr>
        <w:t>The combined use of the RACI matrix, communication plan, and 4Cs model ensures that stakeholder roles are clearly defined, communication is purposeful, and engagement deepens over time. When integrated properly, these frameworks promote accountability, encourage transparency, and reduce stakeholder resistance.</w:t>
      </w:r>
    </w:p>
    <w:p w:rsidR="216FCC18" w:rsidP="55E95815" w:rsidRDefault="216FCC18" w14:paraId="62E25F7A" w14:textId="0FF51333">
      <w:pPr>
        <w:rPr>
          <w:rFonts w:ascii="Arial" w:hAnsi="Arial" w:eastAsia="Arial" w:cs="Arial"/>
          <w:sz w:val="22"/>
          <w:szCs w:val="22"/>
        </w:rPr>
      </w:pPr>
      <w:r w:rsidRPr="55E95815">
        <w:rPr>
          <w:rFonts w:ascii="Arial" w:hAnsi="Arial" w:eastAsia="Arial" w:cs="Arial"/>
          <w:color w:val="000000" w:themeColor="text1"/>
          <w:sz w:val="22"/>
          <w:szCs w:val="22"/>
        </w:rPr>
        <w:t>As TTP plc moves through the six-month development and launch phase of the biosensor project, these tools offer a roadmap for managing complexity. They also help the project manager monitor engagement levels, identify emerging risks, and adjust strategies in real time based on feedback and evolving stakeholder expectations.</w:t>
      </w:r>
    </w:p>
    <w:p w:rsidR="4C67F586" w:rsidP="55E95815" w:rsidRDefault="4C67F586" w14:paraId="13F93FD1" w14:textId="74746AD2">
      <w:pPr>
        <w:rPr>
          <w:rFonts w:ascii="Arial" w:hAnsi="Arial" w:eastAsia="Arial" w:cs="Arial"/>
          <w:sz w:val="22"/>
          <w:szCs w:val="22"/>
        </w:rPr>
      </w:pPr>
      <w:r w:rsidRPr="55E95815">
        <w:rPr>
          <w:rFonts w:ascii="Arial" w:hAnsi="Arial" w:eastAsia="Arial" w:cs="Arial"/>
          <w:b/>
          <w:bCs/>
          <w:color w:val="000000" w:themeColor="text1"/>
          <w:sz w:val="32"/>
          <w:szCs w:val="32"/>
        </w:rPr>
        <w:t>Ethical and Regulatory Considerations</w:t>
      </w:r>
    </w:p>
    <w:p w:rsidR="133A5ACA" w:rsidP="5335A2D9" w:rsidRDefault="133A5ACA" w14:paraId="6C4DC893" w14:textId="3D1384B6">
      <w:pPr>
        <w:rPr>
          <w:rFonts w:ascii="Arial" w:hAnsi="Arial" w:eastAsia="Arial" w:cs="Arial"/>
          <w:color w:val="000000" w:themeColor="text1" w:themeTint="FF" w:themeShade="FF"/>
          <w:sz w:val="22"/>
          <w:szCs w:val="22"/>
        </w:rPr>
      </w:pPr>
      <w:r w:rsidRPr="5335A2D9" w:rsidR="442C0168">
        <w:rPr>
          <w:rFonts w:ascii="Arial" w:hAnsi="Arial" w:eastAsia="Arial" w:cs="Arial"/>
          <w:color w:val="000000" w:themeColor="text1" w:themeTint="FF" w:themeShade="FF"/>
          <w:sz w:val="22"/>
          <w:szCs w:val="22"/>
        </w:rPr>
        <w:t>Ethical and regularity requirements</w:t>
      </w:r>
      <w:r w:rsidRPr="5335A2D9" w:rsidR="6FD457C9">
        <w:rPr>
          <w:rFonts w:ascii="Arial" w:hAnsi="Arial" w:eastAsia="Arial" w:cs="Arial"/>
          <w:color w:val="000000" w:themeColor="text1" w:themeTint="FF" w:themeShade="FF"/>
          <w:sz w:val="22"/>
          <w:szCs w:val="22"/>
        </w:rPr>
        <w:t xml:space="preserve"> significantly shape stakeholder engagement in the development</w:t>
      </w:r>
      <w:r w:rsidRPr="5335A2D9" w:rsidR="42E03CB0">
        <w:rPr>
          <w:rFonts w:ascii="Arial" w:hAnsi="Arial" w:eastAsia="Arial" w:cs="Arial"/>
          <w:color w:val="000000" w:themeColor="text1" w:themeTint="FF" w:themeShade="FF"/>
          <w:sz w:val="22"/>
          <w:szCs w:val="22"/>
        </w:rPr>
        <w:t xml:space="preserve"> of wearable health devices. For TTP p</w:t>
      </w:r>
      <w:r w:rsidRPr="5335A2D9" w:rsidR="74D1E296">
        <w:rPr>
          <w:rFonts w:ascii="Arial" w:hAnsi="Arial" w:eastAsia="Arial" w:cs="Arial"/>
          <w:color w:val="000000" w:themeColor="text1" w:themeTint="FF" w:themeShade="FF"/>
          <w:sz w:val="22"/>
          <w:szCs w:val="22"/>
        </w:rPr>
        <w:t>lc, strong governance around data protection (</w:t>
      </w:r>
      <w:r w:rsidRPr="5335A2D9" w:rsidR="25BC072A">
        <w:rPr>
          <w:rFonts w:ascii="Arial" w:hAnsi="Arial" w:eastAsia="Arial" w:cs="Arial"/>
          <w:color w:val="000000" w:themeColor="text1" w:themeTint="FF" w:themeShade="FF"/>
          <w:sz w:val="22"/>
          <w:szCs w:val="22"/>
        </w:rPr>
        <w:t>UK GDPR) is essential to secure stakeholder confidence</w:t>
      </w:r>
      <w:r w:rsidRPr="5335A2D9" w:rsidR="64A49A30">
        <w:rPr>
          <w:rFonts w:ascii="Arial" w:hAnsi="Arial" w:eastAsia="Arial" w:cs="Arial"/>
          <w:color w:val="000000" w:themeColor="text1" w:themeTint="FF" w:themeShade="FF"/>
          <w:sz w:val="22"/>
          <w:szCs w:val="22"/>
        </w:rPr>
        <w:t xml:space="preserve">, as patients and clinicians demand assurance </w:t>
      </w:r>
      <w:r w:rsidRPr="5335A2D9" w:rsidR="1F0C3427">
        <w:rPr>
          <w:rFonts w:ascii="Arial" w:hAnsi="Arial" w:eastAsia="Arial" w:cs="Arial"/>
          <w:color w:val="000000" w:themeColor="text1" w:themeTint="FF" w:themeShade="FF"/>
          <w:sz w:val="22"/>
          <w:szCs w:val="22"/>
        </w:rPr>
        <w:t>that sensitive health data is stored and used</w:t>
      </w:r>
      <w:r w:rsidRPr="5335A2D9" w:rsidR="5A337CB9">
        <w:rPr>
          <w:rFonts w:ascii="Arial" w:hAnsi="Arial" w:eastAsia="Arial" w:cs="Arial"/>
          <w:color w:val="000000" w:themeColor="text1" w:themeTint="FF" w:themeShade="FF"/>
          <w:sz w:val="22"/>
          <w:szCs w:val="22"/>
        </w:rPr>
        <w:t xml:space="preserve"> responsibly. </w:t>
      </w:r>
      <w:r w:rsidRPr="5335A2D9" w:rsidR="5A337CB9">
        <w:rPr>
          <w:rFonts w:ascii="Arial" w:hAnsi="Arial" w:eastAsia="Arial" w:cs="Arial"/>
          <w:color w:val="000000" w:themeColor="text1" w:themeTint="FF" w:themeShade="FF"/>
          <w:sz w:val="22"/>
          <w:szCs w:val="22"/>
        </w:rPr>
        <w:t>Failing to uphold</w:t>
      </w:r>
      <w:r w:rsidRPr="5335A2D9" w:rsidR="5A337CB9">
        <w:rPr>
          <w:rFonts w:ascii="Arial" w:hAnsi="Arial" w:eastAsia="Arial" w:cs="Arial"/>
          <w:color w:val="000000" w:themeColor="text1" w:themeTint="FF" w:themeShade="FF"/>
          <w:sz w:val="22"/>
          <w:szCs w:val="22"/>
        </w:rPr>
        <w:t xml:space="preserve"> GDPR risks leg</w:t>
      </w:r>
      <w:r w:rsidRPr="5335A2D9" w:rsidR="59CBAA8A">
        <w:rPr>
          <w:rFonts w:ascii="Arial" w:hAnsi="Arial" w:eastAsia="Arial" w:cs="Arial"/>
          <w:color w:val="000000" w:themeColor="text1" w:themeTint="FF" w:themeShade="FF"/>
          <w:sz w:val="22"/>
          <w:szCs w:val="22"/>
        </w:rPr>
        <w:t xml:space="preserve">al penalties and loss of trust, </w:t>
      </w:r>
      <w:r w:rsidRPr="5335A2D9" w:rsidR="736141C1">
        <w:rPr>
          <w:rFonts w:ascii="Arial" w:hAnsi="Arial" w:eastAsia="Arial" w:cs="Arial"/>
          <w:color w:val="000000" w:themeColor="text1" w:themeTint="FF" w:themeShade="FF"/>
          <w:sz w:val="22"/>
          <w:szCs w:val="22"/>
        </w:rPr>
        <w:t>which would negatively affect adoption.</w:t>
      </w:r>
      <w:r w:rsidRPr="5335A2D9" w:rsidR="77FBC258">
        <w:rPr>
          <w:rFonts w:ascii="Arial" w:hAnsi="Arial" w:eastAsia="Arial" w:cs="Arial"/>
          <w:color w:val="000000" w:themeColor="text1" w:themeTint="FF" w:themeShade="FF"/>
          <w:sz w:val="22"/>
          <w:szCs w:val="22"/>
        </w:rPr>
        <w:t xml:space="preserve"> </w:t>
      </w:r>
    </w:p>
    <w:p w:rsidR="133A5ACA" w:rsidP="5335A2D9" w:rsidRDefault="133A5ACA" w14:paraId="7256CC46" w14:textId="76DBEFEC">
      <w:pPr>
        <w:rPr>
          <w:rFonts w:ascii="Arial" w:hAnsi="Arial" w:eastAsia="Arial" w:cs="Arial"/>
          <w:color w:val="000000" w:themeColor="text1" w:themeTint="FF" w:themeShade="FF"/>
          <w:sz w:val="22"/>
          <w:szCs w:val="22"/>
        </w:rPr>
      </w:pPr>
      <w:r w:rsidRPr="5335A2D9" w:rsidR="77FBC258">
        <w:rPr>
          <w:rFonts w:ascii="Arial" w:hAnsi="Arial" w:eastAsia="Arial" w:cs="Arial"/>
          <w:color w:val="000000" w:themeColor="text1" w:themeTint="FF" w:themeShade="FF"/>
          <w:sz w:val="22"/>
          <w:szCs w:val="22"/>
        </w:rPr>
        <w:t>Informed consent further strengthens stakeholder</w:t>
      </w:r>
      <w:r w:rsidRPr="5335A2D9" w:rsidR="3DDA585C">
        <w:rPr>
          <w:rFonts w:ascii="Arial" w:hAnsi="Arial" w:eastAsia="Arial" w:cs="Arial"/>
          <w:color w:val="000000" w:themeColor="text1" w:themeTint="FF" w:themeShade="FF"/>
          <w:sz w:val="22"/>
          <w:szCs w:val="22"/>
        </w:rPr>
        <w:t xml:space="preserve"> relationships by ensuring users understand how</w:t>
      </w:r>
      <w:r w:rsidRPr="5335A2D9" w:rsidR="59B0049E">
        <w:rPr>
          <w:rFonts w:ascii="Arial" w:hAnsi="Arial" w:eastAsia="Arial" w:cs="Arial"/>
          <w:color w:val="000000" w:themeColor="text1" w:themeTint="FF" w:themeShade="FF"/>
          <w:sz w:val="22"/>
          <w:szCs w:val="22"/>
        </w:rPr>
        <w:t xml:space="preserve"> their data will be collected and used. Clear communication</w:t>
      </w:r>
      <w:r w:rsidRPr="5335A2D9" w:rsidR="1FC0AA87">
        <w:rPr>
          <w:rFonts w:ascii="Arial" w:hAnsi="Arial" w:eastAsia="Arial" w:cs="Arial"/>
          <w:color w:val="000000" w:themeColor="text1" w:themeTint="FF" w:themeShade="FF"/>
          <w:sz w:val="22"/>
          <w:szCs w:val="22"/>
        </w:rPr>
        <w:t xml:space="preserve"> prevents misunderstandings and supports t</w:t>
      </w:r>
      <w:r w:rsidRPr="5335A2D9" w:rsidR="22A494FF">
        <w:rPr>
          <w:rFonts w:ascii="Arial" w:hAnsi="Arial" w:eastAsia="Arial" w:cs="Arial"/>
          <w:color w:val="000000" w:themeColor="text1" w:themeTint="FF" w:themeShade="FF"/>
          <w:sz w:val="22"/>
          <w:szCs w:val="22"/>
        </w:rPr>
        <w:t xml:space="preserve">ransparency, which increases willingness to engage with the </w:t>
      </w:r>
      <w:r w:rsidRPr="5335A2D9" w:rsidR="3607BDE8">
        <w:rPr>
          <w:rFonts w:ascii="Arial" w:hAnsi="Arial" w:eastAsia="Arial" w:cs="Arial"/>
          <w:color w:val="000000" w:themeColor="text1" w:themeTint="FF" w:themeShade="FF"/>
          <w:sz w:val="22"/>
          <w:szCs w:val="22"/>
        </w:rPr>
        <w:t>technology.</w:t>
      </w:r>
    </w:p>
    <w:p w:rsidR="133A5ACA" w:rsidP="5335A2D9" w:rsidRDefault="133A5ACA" w14:paraId="6E3DF0AC" w14:textId="6DDD2941">
      <w:pPr>
        <w:rPr>
          <w:rFonts w:ascii="Arial" w:hAnsi="Arial" w:eastAsia="Arial" w:cs="Arial"/>
          <w:color w:val="000000" w:themeColor="text1" w:themeTint="FF" w:themeShade="FF"/>
          <w:sz w:val="22"/>
          <w:szCs w:val="22"/>
        </w:rPr>
      </w:pPr>
      <w:r w:rsidRPr="5335A2D9" w:rsidR="3607BDE8">
        <w:rPr>
          <w:rFonts w:ascii="Arial" w:hAnsi="Arial" w:eastAsia="Arial" w:cs="Arial"/>
          <w:color w:val="000000" w:themeColor="text1" w:themeTint="FF" w:themeShade="FF"/>
          <w:sz w:val="22"/>
          <w:szCs w:val="22"/>
        </w:rPr>
        <w:t xml:space="preserve">Compliance with MHRA regulation ensures device </w:t>
      </w:r>
      <w:r w:rsidRPr="5335A2D9" w:rsidR="1C3F6F86">
        <w:rPr>
          <w:rFonts w:ascii="Arial" w:hAnsi="Arial" w:eastAsia="Arial" w:cs="Arial"/>
          <w:color w:val="000000" w:themeColor="text1" w:themeTint="FF" w:themeShade="FF"/>
          <w:sz w:val="22"/>
          <w:szCs w:val="22"/>
        </w:rPr>
        <w:t>safety and quality. Early collaboration</w:t>
      </w:r>
      <w:r w:rsidRPr="5335A2D9" w:rsidR="1A299C60">
        <w:rPr>
          <w:rFonts w:ascii="Arial" w:hAnsi="Arial" w:eastAsia="Arial" w:cs="Arial"/>
          <w:color w:val="000000" w:themeColor="text1" w:themeTint="FF" w:themeShade="FF"/>
          <w:sz w:val="22"/>
          <w:szCs w:val="22"/>
        </w:rPr>
        <w:t xml:space="preserve"> with regulators reduces delays, builds</w:t>
      </w:r>
      <w:r w:rsidRPr="5335A2D9" w:rsidR="21974BDC">
        <w:rPr>
          <w:rFonts w:ascii="Arial" w:hAnsi="Arial" w:eastAsia="Arial" w:cs="Arial"/>
          <w:color w:val="000000" w:themeColor="text1" w:themeTint="FF" w:themeShade="FF"/>
          <w:sz w:val="22"/>
          <w:szCs w:val="22"/>
        </w:rPr>
        <w:t xml:space="preserve"> credibility with healthcare organisations,</w:t>
      </w:r>
      <w:r w:rsidRPr="5335A2D9" w:rsidR="4A85F830">
        <w:rPr>
          <w:rFonts w:ascii="Arial" w:hAnsi="Arial" w:eastAsia="Arial" w:cs="Arial"/>
          <w:color w:val="000000" w:themeColor="text1" w:themeTint="FF" w:themeShade="FF"/>
          <w:sz w:val="22"/>
          <w:szCs w:val="22"/>
        </w:rPr>
        <w:t xml:space="preserve"> and supports smoother market access. </w:t>
      </w:r>
      <w:r w:rsidRPr="5335A2D9" w:rsidR="38F04D63">
        <w:rPr>
          <w:rFonts w:ascii="Arial" w:hAnsi="Arial" w:eastAsia="Arial" w:cs="Arial"/>
          <w:color w:val="000000" w:themeColor="text1" w:themeTint="FF" w:themeShade="FF"/>
          <w:sz w:val="22"/>
          <w:szCs w:val="22"/>
        </w:rPr>
        <w:t>A</w:t>
      </w:r>
      <w:r w:rsidRPr="5335A2D9" w:rsidR="4A85F830">
        <w:rPr>
          <w:rFonts w:ascii="Arial" w:hAnsi="Arial" w:eastAsia="Arial" w:cs="Arial"/>
          <w:color w:val="000000" w:themeColor="text1" w:themeTint="FF" w:themeShade="FF"/>
          <w:sz w:val="22"/>
          <w:szCs w:val="22"/>
        </w:rPr>
        <w:t>ddit</w:t>
      </w:r>
      <w:r w:rsidRPr="5335A2D9" w:rsidR="4A009945">
        <w:rPr>
          <w:rFonts w:ascii="Arial" w:hAnsi="Arial" w:eastAsia="Arial" w:cs="Arial"/>
          <w:color w:val="000000" w:themeColor="text1" w:themeTint="FF" w:themeShade="FF"/>
          <w:sz w:val="22"/>
          <w:szCs w:val="22"/>
        </w:rPr>
        <w:t>i</w:t>
      </w:r>
      <w:r w:rsidRPr="5335A2D9" w:rsidR="25D6D41F">
        <w:rPr>
          <w:rFonts w:ascii="Arial" w:hAnsi="Arial" w:eastAsia="Arial" w:cs="Arial"/>
          <w:color w:val="000000" w:themeColor="text1" w:themeTint="FF" w:themeShade="FF"/>
          <w:sz w:val="22"/>
          <w:szCs w:val="22"/>
        </w:rPr>
        <w:t>onally</w:t>
      </w:r>
      <w:r w:rsidRPr="5335A2D9" w:rsidR="09E073F9">
        <w:rPr>
          <w:rFonts w:ascii="Arial" w:hAnsi="Arial" w:eastAsia="Arial" w:cs="Arial"/>
          <w:color w:val="000000" w:themeColor="text1" w:themeTint="FF" w:themeShade="FF"/>
          <w:sz w:val="22"/>
          <w:szCs w:val="22"/>
        </w:rPr>
        <w:t>, inclusion and accessibility en</w:t>
      </w:r>
      <w:r w:rsidRPr="5335A2D9" w:rsidR="40E52268">
        <w:rPr>
          <w:rFonts w:ascii="Arial" w:hAnsi="Arial" w:eastAsia="Arial" w:cs="Arial"/>
          <w:color w:val="000000" w:themeColor="text1" w:themeTint="FF" w:themeShade="FF"/>
          <w:sz w:val="22"/>
          <w:szCs w:val="22"/>
        </w:rPr>
        <w:t xml:space="preserve">sure diverse populations such as older adults </w:t>
      </w:r>
      <w:r w:rsidRPr="5335A2D9" w:rsidR="618F51CF">
        <w:rPr>
          <w:rFonts w:ascii="Arial" w:hAnsi="Arial" w:eastAsia="Arial" w:cs="Arial"/>
          <w:color w:val="000000" w:themeColor="text1" w:themeTint="FF" w:themeShade="FF"/>
          <w:sz w:val="22"/>
          <w:szCs w:val="22"/>
        </w:rPr>
        <w:t xml:space="preserve">or users with disabilities are not </w:t>
      </w:r>
      <w:r w:rsidRPr="5335A2D9" w:rsidR="08F86CA6">
        <w:rPr>
          <w:rFonts w:ascii="Arial" w:hAnsi="Arial" w:eastAsia="Arial" w:cs="Arial"/>
          <w:color w:val="000000" w:themeColor="text1" w:themeTint="FF" w:themeShade="FF"/>
          <w:sz w:val="22"/>
          <w:szCs w:val="22"/>
        </w:rPr>
        <w:t>excluded, which increases product</w:t>
      </w:r>
      <w:r w:rsidRPr="5335A2D9" w:rsidR="37F90B0F">
        <w:rPr>
          <w:rFonts w:ascii="Arial" w:hAnsi="Arial" w:eastAsia="Arial" w:cs="Arial"/>
          <w:color w:val="000000" w:themeColor="text1" w:themeTint="FF" w:themeShade="FF"/>
          <w:sz w:val="22"/>
          <w:szCs w:val="22"/>
        </w:rPr>
        <w:t xml:space="preserve"> acceptance and market reach.</w:t>
      </w:r>
    </w:p>
    <w:p w:rsidR="133A5ACA" w:rsidP="5335A2D9" w:rsidRDefault="133A5ACA" w14:paraId="53BE178F" w14:textId="4D53F03D">
      <w:pPr>
        <w:rPr>
          <w:rFonts w:ascii="Arial" w:hAnsi="Arial" w:eastAsia="Arial" w:cs="Arial"/>
          <w:color w:val="000000" w:themeColor="text1" w:themeTint="FF" w:themeShade="FF"/>
          <w:sz w:val="22"/>
          <w:szCs w:val="22"/>
        </w:rPr>
      </w:pPr>
      <w:r w:rsidRPr="5335A2D9" w:rsidR="37F90B0F">
        <w:rPr>
          <w:rFonts w:ascii="Arial" w:hAnsi="Arial" w:eastAsia="Arial" w:cs="Arial"/>
          <w:color w:val="000000" w:themeColor="text1" w:themeTint="FF" w:themeShade="FF"/>
          <w:sz w:val="22"/>
          <w:szCs w:val="22"/>
        </w:rPr>
        <w:t xml:space="preserve">Overall ethical and regulatory </w:t>
      </w:r>
      <w:r w:rsidRPr="5335A2D9" w:rsidR="4A50823F">
        <w:rPr>
          <w:rFonts w:ascii="Arial" w:hAnsi="Arial" w:eastAsia="Arial" w:cs="Arial"/>
          <w:color w:val="000000" w:themeColor="text1" w:themeTint="FF" w:themeShade="FF"/>
          <w:sz w:val="22"/>
          <w:szCs w:val="22"/>
        </w:rPr>
        <w:t>practices are not proce</w:t>
      </w:r>
      <w:r w:rsidRPr="5335A2D9" w:rsidR="148FA1D3">
        <w:rPr>
          <w:rFonts w:ascii="Arial" w:hAnsi="Arial" w:eastAsia="Arial" w:cs="Arial"/>
          <w:color w:val="000000" w:themeColor="text1" w:themeTint="FF" w:themeShade="FF"/>
          <w:sz w:val="22"/>
          <w:szCs w:val="22"/>
        </w:rPr>
        <w:t xml:space="preserve">dural obligations; they actively enhance </w:t>
      </w:r>
      <w:r w:rsidRPr="5335A2D9" w:rsidR="6952A70A">
        <w:rPr>
          <w:rFonts w:ascii="Arial" w:hAnsi="Arial" w:eastAsia="Arial" w:cs="Arial"/>
          <w:color w:val="000000" w:themeColor="text1" w:themeTint="FF" w:themeShade="FF"/>
          <w:sz w:val="22"/>
          <w:szCs w:val="22"/>
        </w:rPr>
        <w:t>stakeholder trust, minimise risk, su</w:t>
      </w:r>
      <w:r w:rsidRPr="5335A2D9" w:rsidR="583336C5">
        <w:rPr>
          <w:rFonts w:ascii="Arial" w:hAnsi="Arial" w:eastAsia="Arial" w:cs="Arial"/>
          <w:color w:val="000000" w:themeColor="text1" w:themeTint="FF" w:themeShade="FF"/>
          <w:sz w:val="22"/>
          <w:szCs w:val="22"/>
        </w:rPr>
        <w:t>pport device approval, and</w:t>
      </w:r>
      <w:r w:rsidRPr="5335A2D9" w:rsidR="544E41C6">
        <w:rPr>
          <w:rFonts w:ascii="Arial" w:hAnsi="Arial" w:eastAsia="Arial" w:cs="Arial"/>
          <w:color w:val="000000" w:themeColor="text1" w:themeTint="FF" w:themeShade="FF"/>
          <w:sz w:val="22"/>
          <w:szCs w:val="22"/>
        </w:rPr>
        <w:t xml:space="preserve"> strengthen b</w:t>
      </w:r>
      <w:r w:rsidRPr="5335A2D9" w:rsidR="58A72C39">
        <w:rPr>
          <w:rFonts w:ascii="Arial" w:hAnsi="Arial" w:eastAsia="Arial" w:cs="Arial"/>
          <w:color w:val="000000" w:themeColor="text1" w:themeTint="FF" w:themeShade="FF"/>
          <w:sz w:val="22"/>
          <w:szCs w:val="22"/>
        </w:rPr>
        <w:t xml:space="preserve">usiness sustainability for TTP’s future </w:t>
      </w:r>
      <w:r w:rsidRPr="5335A2D9" w:rsidR="652657B1">
        <w:rPr>
          <w:rFonts w:ascii="Arial" w:hAnsi="Arial" w:eastAsia="Arial" w:cs="Arial"/>
          <w:color w:val="000000" w:themeColor="text1" w:themeTint="FF" w:themeShade="FF"/>
          <w:sz w:val="22"/>
          <w:szCs w:val="22"/>
        </w:rPr>
        <w:t>innovation.</w:t>
      </w:r>
      <w:r w:rsidRPr="5335A2D9" w:rsidR="544E41C6">
        <w:rPr>
          <w:rFonts w:ascii="Arial" w:hAnsi="Arial" w:eastAsia="Arial" w:cs="Arial"/>
          <w:color w:val="000000" w:themeColor="text1" w:themeTint="FF" w:themeShade="FF"/>
          <w:sz w:val="22"/>
          <w:szCs w:val="22"/>
        </w:rPr>
        <w:t xml:space="preserve"> </w:t>
      </w:r>
      <w:r w:rsidRPr="5335A2D9" w:rsidR="25D6D41F">
        <w:rPr>
          <w:rFonts w:ascii="Arial" w:hAnsi="Arial" w:eastAsia="Arial" w:cs="Arial"/>
          <w:color w:val="000000" w:themeColor="text1" w:themeTint="FF" w:themeShade="FF"/>
          <w:sz w:val="22"/>
          <w:szCs w:val="22"/>
        </w:rPr>
        <w:t xml:space="preserve"> </w:t>
      </w:r>
    </w:p>
    <w:p w:rsidR="133A5ACA" w:rsidP="5335A2D9" w:rsidRDefault="133A5ACA" w14:paraId="30B2EBE1" w14:textId="4CC52DE0">
      <w:pPr>
        <w:pStyle w:val="Normal"/>
        <w:rPr>
          <w:rFonts w:ascii="Arial" w:hAnsi="Arial" w:eastAsia="Arial" w:cs="Arial"/>
          <w:b w:val="1"/>
          <w:bCs w:val="1"/>
          <w:color w:val="000000" w:themeColor="text1"/>
          <w:sz w:val="31"/>
          <w:szCs w:val="31"/>
        </w:rPr>
      </w:pPr>
      <w:r w:rsidRPr="5335A2D9" w:rsidR="133A5ACA">
        <w:rPr>
          <w:rFonts w:ascii="Arial" w:hAnsi="Arial" w:eastAsia="Arial" w:cs="Arial"/>
          <w:b w:val="1"/>
          <w:bCs w:val="1"/>
          <w:color w:val="000000" w:themeColor="text1" w:themeTint="FF" w:themeShade="FF"/>
          <w:sz w:val="31"/>
          <w:szCs w:val="31"/>
        </w:rPr>
        <w:t>Recommendations and Conclusion</w:t>
      </w:r>
    </w:p>
    <w:p w:rsidR="133A5ACA" w:rsidP="5335A2D9" w:rsidRDefault="133A5ACA" w14:paraId="358F4B8B" w14:textId="6610CF75">
      <w:pPr>
        <w:pStyle w:val="Normal"/>
        <w:rPr>
          <w:rFonts w:ascii="Arial" w:hAnsi="Arial" w:eastAsia="Arial" w:cs="Arial"/>
          <w:b w:val="0"/>
          <w:bCs w:val="0"/>
          <w:color w:val="000000" w:themeColor="text1" w:themeTint="FF" w:themeShade="FF"/>
          <w:sz w:val="22"/>
          <w:szCs w:val="22"/>
        </w:rPr>
      </w:pPr>
      <w:r w:rsidRPr="5335A2D9" w:rsidR="15A5FA91">
        <w:rPr>
          <w:rFonts w:ascii="Arial" w:hAnsi="Arial" w:eastAsia="Arial" w:cs="Arial"/>
          <w:b w:val="0"/>
          <w:bCs w:val="0"/>
          <w:color w:val="000000" w:themeColor="text1" w:themeTint="FF" w:themeShade="FF"/>
          <w:sz w:val="22"/>
          <w:szCs w:val="22"/>
        </w:rPr>
        <w:t>Stakeholder engagement strongly influences organis</w:t>
      </w:r>
      <w:r w:rsidRPr="5335A2D9" w:rsidR="346CA674">
        <w:rPr>
          <w:rFonts w:ascii="Arial" w:hAnsi="Arial" w:eastAsia="Arial" w:cs="Arial"/>
          <w:b w:val="0"/>
          <w:bCs w:val="0"/>
          <w:color w:val="000000" w:themeColor="text1" w:themeTint="FF" w:themeShade="FF"/>
          <w:sz w:val="22"/>
          <w:szCs w:val="22"/>
        </w:rPr>
        <w:t>ational performance at TTP</w:t>
      </w:r>
      <w:r w:rsidRPr="5335A2D9" w:rsidR="03A6E866">
        <w:rPr>
          <w:rFonts w:ascii="Arial" w:hAnsi="Arial" w:eastAsia="Arial" w:cs="Arial"/>
          <w:b w:val="0"/>
          <w:bCs w:val="0"/>
          <w:color w:val="000000" w:themeColor="text1" w:themeTint="FF" w:themeShade="FF"/>
          <w:sz w:val="22"/>
          <w:szCs w:val="22"/>
        </w:rPr>
        <w:t xml:space="preserve"> plc, particularly in terms of user trust</w:t>
      </w:r>
      <w:r w:rsidRPr="5335A2D9" w:rsidR="6A92756F">
        <w:rPr>
          <w:rFonts w:ascii="Arial" w:hAnsi="Arial" w:eastAsia="Arial" w:cs="Arial"/>
          <w:b w:val="0"/>
          <w:bCs w:val="0"/>
          <w:color w:val="000000" w:themeColor="text1" w:themeTint="FF" w:themeShade="FF"/>
          <w:sz w:val="22"/>
          <w:szCs w:val="22"/>
        </w:rPr>
        <w:t>, regulatory approval, and commercial s</w:t>
      </w:r>
      <w:r w:rsidRPr="5335A2D9" w:rsidR="5F617663">
        <w:rPr>
          <w:rFonts w:ascii="Arial" w:hAnsi="Arial" w:eastAsia="Arial" w:cs="Arial"/>
          <w:b w:val="0"/>
          <w:bCs w:val="0"/>
          <w:color w:val="000000" w:themeColor="text1" w:themeTint="FF" w:themeShade="FF"/>
          <w:sz w:val="22"/>
          <w:szCs w:val="22"/>
        </w:rPr>
        <w:t>uccess. Effective communication</w:t>
      </w:r>
      <w:r w:rsidRPr="5335A2D9" w:rsidR="10176E01">
        <w:rPr>
          <w:rFonts w:ascii="Arial" w:hAnsi="Arial" w:eastAsia="Arial" w:cs="Arial"/>
          <w:b w:val="0"/>
          <w:bCs w:val="0"/>
          <w:color w:val="000000" w:themeColor="text1" w:themeTint="FF" w:themeShade="FF"/>
          <w:sz w:val="22"/>
          <w:szCs w:val="22"/>
        </w:rPr>
        <w:t xml:space="preserve"> and early involvement of patients, cli</w:t>
      </w:r>
      <w:r w:rsidRPr="5335A2D9" w:rsidR="426D39DC">
        <w:rPr>
          <w:rFonts w:ascii="Arial" w:hAnsi="Arial" w:eastAsia="Arial" w:cs="Arial"/>
          <w:b w:val="0"/>
          <w:bCs w:val="0"/>
          <w:color w:val="000000" w:themeColor="text1" w:themeTint="FF" w:themeShade="FF"/>
          <w:sz w:val="22"/>
          <w:szCs w:val="22"/>
        </w:rPr>
        <w:t>nicians</w:t>
      </w:r>
      <w:r w:rsidRPr="5335A2D9" w:rsidR="1AF3B953">
        <w:rPr>
          <w:rFonts w:ascii="Arial" w:hAnsi="Arial" w:eastAsia="Arial" w:cs="Arial"/>
          <w:b w:val="0"/>
          <w:bCs w:val="0"/>
          <w:color w:val="000000" w:themeColor="text1" w:themeTint="FF" w:themeShade="FF"/>
          <w:sz w:val="22"/>
          <w:szCs w:val="22"/>
        </w:rPr>
        <w:t xml:space="preserve"> and regulators result in better product u</w:t>
      </w:r>
      <w:r w:rsidRPr="5335A2D9" w:rsidR="71C5E386">
        <w:rPr>
          <w:rFonts w:ascii="Arial" w:hAnsi="Arial" w:eastAsia="Arial" w:cs="Arial"/>
          <w:b w:val="0"/>
          <w:bCs w:val="0"/>
          <w:color w:val="000000" w:themeColor="text1" w:themeTint="FF" w:themeShade="FF"/>
          <w:sz w:val="22"/>
          <w:szCs w:val="22"/>
        </w:rPr>
        <w:t xml:space="preserve">sability, fewer compliance </w:t>
      </w:r>
      <w:r w:rsidRPr="5335A2D9" w:rsidR="71C5E386">
        <w:rPr>
          <w:rFonts w:ascii="Arial" w:hAnsi="Arial" w:eastAsia="Arial" w:cs="Arial"/>
          <w:b w:val="0"/>
          <w:bCs w:val="0"/>
          <w:color w:val="000000" w:themeColor="text1" w:themeTint="FF" w:themeShade="FF"/>
          <w:sz w:val="22"/>
          <w:szCs w:val="22"/>
        </w:rPr>
        <w:t>issues</w:t>
      </w:r>
      <w:r w:rsidRPr="5335A2D9" w:rsidR="7FFA7E93">
        <w:rPr>
          <w:rFonts w:ascii="Arial" w:hAnsi="Arial" w:eastAsia="Arial" w:cs="Arial"/>
          <w:b w:val="0"/>
          <w:bCs w:val="0"/>
          <w:color w:val="000000" w:themeColor="text1" w:themeTint="FF" w:themeShade="FF"/>
          <w:sz w:val="22"/>
          <w:szCs w:val="22"/>
        </w:rPr>
        <w:t xml:space="preserve"> and increased market adoption.</w:t>
      </w:r>
      <w:r w:rsidRPr="5335A2D9" w:rsidR="426D39DC">
        <w:rPr>
          <w:rFonts w:ascii="Arial" w:hAnsi="Arial" w:eastAsia="Arial" w:cs="Arial"/>
          <w:b w:val="0"/>
          <w:bCs w:val="0"/>
          <w:color w:val="000000" w:themeColor="text1" w:themeTint="FF" w:themeShade="FF"/>
          <w:sz w:val="22"/>
          <w:szCs w:val="22"/>
        </w:rPr>
        <w:t xml:space="preserve"> </w:t>
      </w:r>
    </w:p>
    <w:p w:rsidR="133A5ACA" w:rsidP="5335A2D9" w:rsidRDefault="133A5ACA" w14:paraId="14DE2355" w14:textId="64DE7A43">
      <w:pPr>
        <w:pStyle w:val="Normal"/>
        <w:rPr>
          <w:rFonts w:ascii="Arial" w:hAnsi="Arial" w:eastAsia="Arial" w:cs="Arial"/>
          <w:sz w:val="32"/>
          <w:szCs w:val="32"/>
        </w:rPr>
      </w:pPr>
      <w:r w:rsidRPr="5335A2D9" w:rsidR="133A5ACA">
        <w:rPr>
          <w:rFonts w:ascii="Arial" w:hAnsi="Arial" w:eastAsia="Arial" w:cs="Arial"/>
          <w:b w:val="1"/>
          <w:bCs w:val="1"/>
          <w:color w:val="000000" w:themeColor="text1" w:themeTint="FF" w:themeShade="FF"/>
          <w:sz w:val="32"/>
          <w:szCs w:val="32"/>
        </w:rPr>
        <w:t>Recommendations</w:t>
      </w:r>
    </w:p>
    <w:p w:rsidR="55E95815" w:rsidP="5335A2D9" w:rsidRDefault="55E95815" w14:paraId="164A89DD" w14:textId="55BCAF34">
      <w:pPr>
        <w:pStyle w:val="ListParagraph"/>
        <w:numPr>
          <w:ilvl w:val="0"/>
          <w:numId w:val="14"/>
        </w:numPr>
        <w:rPr>
          <w:rFonts w:ascii="Arial" w:hAnsi="Arial" w:eastAsia="Arial" w:cs="Arial"/>
          <w:color w:val="000000" w:themeColor="text1"/>
          <w:sz w:val="22"/>
          <w:szCs w:val="22"/>
        </w:rPr>
      </w:pPr>
      <w:r w:rsidRPr="5335A2D9" w:rsidR="39C85AEA">
        <w:rPr>
          <w:rFonts w:ascii="Arial" w:hAnsi="Arial" w:eastAsia="Arial" w:cs="Arial"/>
          <w:color w:val="000000" w:themeColor="text1" w:themeTint="FF" w:themeShade="FF"/>
          <w:sz w:val="22"/>
          <w:szCs w:val="22"/>
        </w:rPr>
        <w:t xml:space="preserve">Strengthen continuous stakeholder feedback </w:t>
      </w:r>
      <w:r w:rsidRPr="5335A2D9" w:rsidR="24C23994">
        <w:rPr>
          <w:rFonts w:ascii="Arial" w:hAnsi="Arial" w:eastAsia="Arial" w:cs="Arial"/>
          <w:color w:val="000000" w:themeColor="text1" w:themeTint="FF" w:themeShade="FF"/>
          <w:sz w:val="22"/>
          <w:szCs w:val="22"/>
        </w:rPr>
        <w:t>through patient panels and clinician</w:t>
      </w:r>
      <w:r w:rsidRPr="5335A2D9" w:rsidR="2B2660C4">
        <w:rPr>
          <w:rFonts w:ascii="Arial" w:hAnsi="Arial" w:eastAsia="Arial" w:cs="Arial"/>
          <w:color w:val="000000" w:themeColor="text1" w:themeTint="FF" w:themeShade="FF"/>
          <w:sz w:val="22"/>
          <w:szCs w:val="22"/>
        </w:rPr>
        <w:t xml:space="preserve"> workshops to improve device functionality and user </w:t>
      </w:r>
      <w:r w:rsidRPr="5335A2D9" w:rsidR="58701367">
        <w:rPr>
          <w:rFonts w:ascii="Arial" w:hAnsi="Arial" w:eastAsia="Arial" w:cs="Arial"/>
          <w:color w:val="000000" w:themeColor="text1" w:themeTint="FF" w:themeShade="FF"/>
          <w:sz w:val="22"/>
          <w:szCs w:val="22"/>
        </w:rPr>
        <w:t>experience.</w:t>
      </w:r>
    </w:p>
    <w:p w:rsidR="2C864622" w:rsidP="5335A2D9" w:rsidRDefault="2C864622" w14:paraId="1D446BD6" w14:textId="74C35ADD">
      <w:pPr>
        <w:pStyle w:val="ListParagraph"/>
        <w:numPr>
          <w:ilvl w:val="0"/>
          <w:numId w:val="14"/>
        </w:numPr>
        <w:rPr>
          <w:rFonts w:ascii="Arial" w:hAnsi="Arial" w:eastAsia="Arial" w:cs="Arial"/>
          <w:color w:val="000000" w:themeColor="text1" w:themeTint="FF" w:themeShade="FF"/>
          <w:sz w:val="22"/>
          <w:szCs w:val="22"/>
        </w:rPr>
      </w:pPr>
      <w:r w:rsidRPr="5335A2D9" w:rsidR="58701367">
        <w:rPr>
          <w:rFonts w:ascii="Arial" w:hAnsi="Arial" w:eastAsia="Arial" w:cs="Arial"/>
          <w:color w:val="000000" w:themeColor="text1" w:themeTint="FF" w:themeShade="FF"/>
          <w:sz w:val="22"/>
          <w:szCs w:val="22"/>
        </w:rPr>
        <w:t xml:space="preserve">Embed ethical and regulatory communication early, </w:t>
      </w:r>
      <w:r w:rsidRPr="5335A2D9" w:rsidR="072D9BF9">
        <w:rPr>
          <w:rFonts w:ascii="Arial" w:hAnsi="Arial" w:eastAsia="Arial" w:cs="Arial"/>
          <w:color w:val="000000" w:themeColor="text1" w:themeTint="FF" w:themeShade="FF"/>
          <w:sz w:val="22"/>
          <w:szCs w:val="22"/>
        </w:rPr>
        <w:t>ensuring clarity on data use</w:t>
      </w:r>
      <w:r w:rsidRPr="5335A2D9" w:rsidR="4A5E9890">
        <w:rPr>
          <w:rFonts w:ascii="Arial" w:hAnsi="Arial" w:eastAsia="Arial" w:cs="Arial"/>
          <w:color w:val="000000" w:themeColor="text1" w:themeTint="FF" w:themeShade="FF"/>
          <w:sz w:val="22"/>
          <w:szCs w:val="22"/>
        </w:rPr>
        <w:t xml:space="preserve">, </w:t>
      </w:r>
      <w:r w:rsidRPr="5335A2D9" w:rsidR="4A5E9890">
        <w:rPr>
          <w:rFonts w:ascii="Arial" w:hAnsi="Arial" w:eastAsia="Arial" w:cs="Arial"/>
          <w:color w:val="000000" w:themeColor="text1" w:themeTint="FF" w:themeShade="FF"/>
          <w:sz w:val="22"/>
          <w:szCs w:val="22"/>
        </w:rPr>
        <w:t>consent</w:t>
      </w:r>
      <w:r w:rsidRPr="5335A2D9" w:rsidR="4A5E9890">
        <w:rPr>
          <w:rFonts w:ascii="Arial" w:hAnsi="Arial" w:eastAsia="Arial" w:cs="Arial"/>
          <w:color w:val="000000" w:themeColor="text1" w:themeTint="FF" w:themeShade="FF"/>
          <w:sz w:val="22"/>
          <w:szCs w:val="22"/>
        </w:rPr>
        <w:t xml:space="preserve"> and safety to</w:t>
      </w:r>
      <w:r w:rsidRPr="5335A2D9" w:rsidR="33990836">
        <w:rPr>
          <w:rFonts w:ascii="Arial" w:hAnsi="Arial" w:eastAsia="Arial" w:cs="Arial"/>
          <w:color w:val="000000" w:themeColor="text1" w:themeTint="FF" w:themeShade="FF"/>
          <w:sz w:val="22"/>
          <w:szCs w:val="22"/>
        </w:rPr>
        <w:t xml:space="preserve"> build transparency and trust. </w:t>
      </w:r>
    </w:p>
    <w:p w:rsidR="2C864622" w:rsidP="5335A2D9" w:rsidRDefault="2C864622" w14:paraId="15B3EB3C" w14:textId="22630F71">
      <w:pPr>
        <w:pStyle w:val="ListParagraph"/>
        <w:numPr>
          <w:ilvl w:val="0"/>
          <w:numId w:val="14"/>
        </w:numPr>
        <w:rPr>
          <w:rFonts w:ascii="Arial" w:hAnsi="Arial" w:eastAsia="Arial" w:cs="Arial"/>
          <w:color w:val="000000" w:themeColor="text1" w:themeTint="FF" w:themeShade="FF"/>
          <w:sz w:val="22"/>
          <w:szCs w:val="22"/>
        </w:rPr>
      </w:pPr>
      <w:r w:rsidRPr="5335A2D9" w:rsidR="33990836">
        <w:rPr>
          <w:rFonts w:ascii="Arial" w:hAnsi="Arial" w:eastAsia="Arial" w:cs="Arial"/>
          <w:color w:val="000000" w:themeColor="text1" w:themeTint="FF" w:themeShade="FF"/>
          <w:sz w:val="22"/>
          <w:szCs w:val="22"/>
        </w:rPr>
        <w:t>Invest in inclusive co-design, particul</w:t>
      </w:r>
      <w:r w:rsidRPr="5335A2D9" w:rsidR="08081FDF">
        <w:rPr>
          <w:rFonts w:ascii="Arial" w:hAnsi="Arial" w:eastAsia="Arial" w:cs="Arial"/>
          <w:color w:val="000000" w:themeColor="text1" w:themeTint="FF" w:themeShade="FF"/>
          <w:sz w:val="22"/>
          <w:szCs w:val="22"/>
        </w:rPr>
        <w:t>arly with u</w:t>
      </w:r>
      <w:r w:rsidRPr="5335A2D9" w:rsidR="1FBCF3E9">
        <w:rPr>
          <w:rFonts w:ascii="Arial" w:hAnsi="Arial" w:eastAsia="Arial" w:cs="Arial"/>
          <w:color w:val="000000" w:themeColor="text1" w:themeTint="FF" w:themeShade="FF"/>
          <w:sz w:val="22"/>
          <w:szCs w:val="22"/>
        </w:rPr>
        <w:t>nderrepresented or vuln</w:t>
      </w:r>
      <w:r w:rsidRPr="5335A2D9" w:rsidR="2796568C">
        <w:rPr>
          <w:rFonts w:ascii="Arial" w:hAnsi="Arial" w:eastAsia="Arial" w:cs="Arial"/>
          <w:color w:val="000000" w:themeColor="text1" w:themeTint="FF" w:themeShade="FF"/>
          <w:sz w:val="22"/>
          <w:szCs w:val="22"/>
        </w:rPr>
        <w:t xml:space="preserve">erable groups, to expand </w:t>
      </w:r>
      <w:r w:rsidRPr="5335A2D9" w:rsidR="46A71652">
        <w:rPr>
          <w:rFonts w:ascii="Arial" w:hAnsi="Arial" w:eastAsia="Arial" w:cs="Arial"/>
          <w:color w:val="000000" w:themeColor="text1" w:themeTint="FF" w:themeShade="FF"/>
          <w:sz w:val="22"/>
          <w:szCs w:val="22"/>
        </w:rPr>
        <w:t xml:space="preserve">adoption and meet NHS equality </w:t>
      </w:r>
      <w:r w:rsidRPr="5335A2D9" w:rsidR="66AC1E4F">
        <w:rPr>
          <w:rFonts w:ascii="Arial" w:hAnsi="Arial" w:eastAsia="Arial" w:cs="Arial"/>
          <w:color w:val="000000" w:themeColor="text1" w:themeTint="FF" w:themeShade="FF"/>
          <w:sz w:val="22"/>
          <w:szCs w:val="22"/>
        </w:rPr>
        <w:t>requirements</w:t>
      </w:r>
      <w:r w:rsidRPr="5335A2D9" w:rsidR="66AC1E4F">
        <w:rPr>
          <w:rFonts w:ascii="Arial" w:hAnsi="Arial" w:eastAsia="Arial" w:cs="Arial"/>
          <w:color w:val="000000" w:themeColor="text1" w:themeTint="FF" w:themeShade="FF"/>
          <w:sz w:val="22"/>
          <w:szCs w:val="22"/>
        </w:rPr>
        <w:t>.</w:t>
      </w:r>
    </w:p>
    <w:p w:rsidR="2C864622" w:rsidP="5335A2D9" w:rsidRDefault="2C864622" w14:paraId="78D5CFC2" w14:textId="1B9D6F3A">
      <w:pPr>
        <w:pStyle w:val="ListParagraph"/>
        <w:numPr>
          <w:ilvl w:val="0"/>
          <w:numId w:val="14"/>
        </w:numPr>
        <w:rPr>
          <w:rFonts w:ascii="Arial" w:hAnsi="Arial" w:eastAsia="Arial" w:cs="Arial"/>
          <w:color w:val="000000" w:themeColor="text1" w:themeTint="FF" w:themeShade="FF"/>
          <w:sz w:val="22"/>
          <w:szCs w:val="22"/>
        </w:rPr>
      </w:pPr>
      <w:r w:rsidRPr="5335A2D9" w:rsidR="66AC1E4F">
        <w:rPr>
          <w:rFonts w:ascii="Arial" w:hAnsi="Arial" w:eastAsia="Arial" w:cs="Arial"/>
          <w:color w:val="000000" w:themeColor="text1" w:themeTint="FF" w:themeShade="FF"/>
          <w:sz w:val="22"/>
          <w:szCs w:val="22"/>
        </w:rPr>
        <w:t>Use digital engagement tools such dashboa</w:t>
      </w:r>
      <w:r w:rsidRPr="5335A2D9" w:rsidR="70C47D63">
        <w:rPr>
          <w:rFonts w:ascii="Arial" w:hAnsi="Arial" w:eastAsia="Arial" w:cs="Arial"/>
          <w:color w:val="000000" w:themeColor="text1" w:themeTint="FF" w:themeShade="FF"/>
          <w:sz w:val="22"/>
          <w:szCs w:val="22"/>
        </w:rPr>
        <w:t xml:space="preserve">rds and update reports to </w:t>
      </w:r>
      <w:r w:rsidRPr="5335A2D9" w:rsidR="70C47D63">
        <w:rPr>
          <w:rFonts w:ascii="Arial" w:hAnsi="Arial" w:eastAsia="Arial" w:cs="Arial"/>
          <w:color w:val="000000" w:themeColor="text1" w:themeTint="FF" w:themeShade="FF"/>
          <w:sz w:val="22"/>
          <w:szCs w:val="22"/>
        </w:rPr>
        <w:t>maint</w:t>
      </w:r>
      <w:r w:rsidRPr="5335A2D9" w:rsidR="2B75AFD8">
        <w:rPr>
          <w:rFonts w:ascii="Arial" w:hAnsi="Arial" w:eastAsia="Arial" w:cs="Arial"/>
          <w:color w:val="000000" w:themeColor="text1" w:themeTint="FF" w:themeShade="FF"/>
          <w:sz w:val="22"/>
          <w:szCs w:val="22"/>
        </w:rPr>
        <w:t>ain</w:t>
      </w:r>
      <w:r w:rsidRPr="5335A2D9" w:rsidR="2B75AFD8">
        <w:rPr>
          <w:rFonts w:ascii="Arial" w:hAnsi="Arial" w:eastAsia="Arial" w:cs="Arial"/>
          <w:color w:val="000000" w:themeColor="text1" w:themeTint="FF" w:themeShade="FF"/>
          <w:sz w:val="22"/>
          <w:szCs w:val="22"/>
        </w:rPr>
        <w:t xml:space="preserve"> consistent communication with key pa</w:t>
      </w:r>
      <w:r w:rsidRPr="5335A2D9" w:rsidR="4AFBADA4">
        <w:rPr>
          <w:rFonts w:ascii="Arial" w:hAnsi="Arial" w:eastAsia="Arial" w:cs="Arial"/>
          <w:color w:val="000000" w:themeColor="text1" w:themeTint="FF" w:themeShade="FF"/>
          <w:sz w:val="22"/>
          <w:szCs w:val="22"/>
        </w:rPr>
        <w:t xml:space="preserve">rtners and regulators. </w:t>
      </w:r>
      <w:r w:rsidRPr="5335A2D9" w:rsidR="1FBCF3E9">
        <w:rPr>
          <w:rFonts w:ascii="Arial" w:hAnsi="Arial" w:eastAsia="Arial" w:cs="Arial"/>
          <w:color w:val="000000" w:themeColor="text1" w:themeTint="FF" w:themeShade="FF"/>
          <w:sz w:val="22"/>
          <w:szCs w:val="22"/>
        </w:rPr>
        <w:t xml:space="preserve">  </w:t>
      </w:r>
    </w:p>
    <w:p w:rsidR="2C864622" w:rsidP="5335A2D9" w:rsidRDefault="2C864622" w14:paraId="21177E9B" w14:textId="4DCA96F5">
      <w:pPr>
        <w:pStyle w:val="Normal"/>
        <w:rPr>
          <w:rFonts w:ascii="Arial" w:hAnsi="Arial" w:eastAsia="Arial" w:cs="Arial"/>
          <w:sz w:val="22"/>
          <w:szCs w:val="22"/>
        </w:rPr>
      </w:pPr>
      <w:r w:rsidRPr="5335A2D9" w:rsidR="2C864622">
        <w:rPr>
          <w:rFonts w:ascii="Arial" w:hAnsi="Arial" w:eastAsia="Arial" w:cs="Arial"/>
          <w:b w:val="1"/>
          <w:bCs w:val="1"/>
          <w:color w:val="000000" w:themeColor="text1" w:themeTint="FF" w:themeShade="FF"/>
          <w:sz w:val="31"/>
          <w:szCs w:val="31"/>
        </w:rPr>
        <w:t>Conclusion</w:t>
      </w:r>
    </w:p>
    <w:p w:rsidR="067B28D4" w:rsidP="5335A2D9" w:rsidRDefault="067B28D4" w14:paraId="08F5E8C5" w14:textId="34911502">
      <w:pPr>
        <w:rPr>
          <w:rFonts w:ascii="Arial" w:hAnsi="Arial" w:eastAsia="Arial" w:cs="Arial"/>
          <w:sz w:val="31"/>
          <w:szCs w:val="31"/>
        </w:rPr>
      </w:pPr>
      <w:r w:rsidRPr="5335A2D9" w:rsidR="1018C754">
        <w:rPr>
          <w:rFonts w:ascii="Arial" w:hAnsi="Arial" w:eastAsia="Arial" w:cs="Arial"/>
          <w:color w:val="000000" w:themeColor="text1" w:themeTint="FF" w:themeShade="FF"/>
          <w:sz w:val="22"/>
          <w:szCs w:val="22"/>
        </w:rPr>
        <w:t>Stakeholder engagement is</w:t>
      </w:r>
      <w:r w:rsidRPr="5335A2D9" w:rsidR="45A7278E">
        <w:rPr>
          <w:rFonts w:ascii="Arial" w:hAnsi="Arial" w:eastAsia="Arial" w:cs="Arial"/>
          <w:color w:val="000000" w:themeColor="text1" w:themeTint="FF" w:themeShade="FF"/>
          <w:sz w:val="22"/>
          <w:szCs w:val="22"/>
        </w:rPr>
        <w:t xml:space="preserve"> central to TTP’s commercial and</w:t>
      </w:r>
      <w:r w:rsidRPr="5335A2D9" w:rsidR="3866BBEC">
        <w:rPr>
          <w:rFonts w:ascii="Arial" w:hAnsi="Arial" w:eastAsia="Arial" w:cs="Arial"/>
          <w:color w:val="000000" w:themeColor="text1" w:themeTint="FF" w:themeShade="FF"/>
          <w:sz w:val="22"/>
          <w:szCs w:val="22"/>
        </w:rPr>
        <w:t xml:space="preserve"> ethical success. By prioritising</w:t>
      </w:r>
      <w:r w:rsidRPr="5335A2D9" w:rsidR="573260B7">
        <w:rPr>
          <w:rFonts w:ascii="Arial" w:hAnsi="Arial" w:eastAsia="Arial" w:cs="Arial"/>
          <w:color w:val="000000" w:themeColor="text1" w:themeTint="FF" w:themeShade="FF"/>
          <w:sz w:val="22"/>
          <w:szCs w:val="22"/>
        </w:rPr>
        <w:t xml:space="preserve"> transparent communication, inclusive </w:t>
      </w:r>
      <w:r w:rsidRPr="5335A2D9" w:rsidR="573260B7">
        <w:rPr>
          <w:rFonts w:ascii="Arial" w:hAnsi="Arial" w:eastAsia="Arial" w:cs="Arial"/>
          <w:color w:val="000000" w:themeColor="text1" w:themeTint="FF" w:themeShade="FF"/>
          <w:sz w:val="22"/>
          <w:szCs w:val="22"/>
        </w:rPr>
        <w:t>design</w:t>
      </w:r>
      <w:r w:rsidRPr="5335A2D9" w:rsidR="573260B7">
        <w:rPr>
          <w:rFonts w:ascii="Arial" w:hAnsi="Arial" w:eastAsia="Arial" w:cs="Arial"/>
          <w:color w:val="000000" w:themeColor="text1" w:themeTint="FF" w:themeShade="FF"/>
          <w:sz w:val="22"/>
          <w:szCs w:val="22"/>
        </w:rPr>
        <w:t xml:space="preserve"> and regul</w:t>
      </w:r>
      <w:r w:rsidRPr="5335A2D9" w:rsidR="79C32E8B">
        <w:rPr>
          <w:rFonts w:ascii="Arial" w:hAnsi="Arial" w:eastAsia="Arial" w:cs="Arial"/>
          <w:color w:val="000000" w:themeColor="text1" w:themeTint="FF" w:themeShade="FF"/>
          <w:sz w:val="22"/>
          <w:szCs w:val="22"/>
        </w:rPr>
        <w:t xml:space="preserve">atory collaboration, TTP can increase </w:t>
      </w:r>
      <w:r w:rsidRPr="5335A2D9" w:rsidR="32F0A2CA">
        <w:rPr>
          <w:rFonts w:ascii="Arial" w:hAnsi="Arial" w:eastAsia="Arial" w:cs="Arial"/>
          <w:color w:val="000000" w:themeColor="text1" w:themeTint="FF" w:themeShade="FF"/>
          <w:sz w:val="22"/>
          <w:szCs w:val="22"/>
        </w:rPr>
        <w:t xml:space="preserve">trust, reduce risk, accelerate </w:t>
      </w:r>
      <w:r w:rsidRPr="5335A2D9" w:rsidR="3BA68918">
        <w:rPr>
          <w:rFonts w:ascii="Arial" w:hAnsi="Arial" w:eastAsia="Arial" w:cs="Arial"/>
          <w:color w:val="000000" w:themeColor="text1" w:themeTint="FF" w:themeShade="FF"/>
          <w:sz w:val="22"/>
          <w:szCs w:val="22"/>
        </w:rPr>
        <w:t xml:space="preserve">device </w:t>
      </w:r>
      <w:r w:rsidRPr="5335A2D9" w:rsidR="3BA68918">
        <w:rPr>
          <w:rFonts w:ascii="Arial" w:hAnsi="Arial" w:eastAsia="Arial" w:cs="Arial"/>
          <w:color w:val="000000" w:themeColor="text1" w:themeTint="FF" w:themeShade="FF"/>
          <w:sz w:val="22"/>
          <w:szCs w:val="22"/>
        </w:rPr>
        <w:t>deployment</w:t>
      </w:r>
      <w:r w:rsidRPr="5335A2D9" w:rsidR="3BA68918">
        <w:rPr>
          <w:rFonts w:ascii="Arial" w:hAnsi="Arial" w:eastAsia="Arial" w:cs="Arial"/>
          <w:color w:val="000000" w:themeColor="text1" w:themeTint="FF" w:themeShade="FF"/>
          <w:sz w:val="22"/>
          <w:szCs w:val="22"/>
        </w:rPr>
        <w:t xml:space="preserve"> and strengthen long-term </w:t>
      </w:r>
      <w:r w:rsidRPr="5335A2D9" w:rsidR="1FD22636">
        <w:rPr>
          <w:rFonts w:ascii="Arial" w:hAnsi="Arial" w:eastAsia="Arial" w:cs="Arial"/>
          <w:color w:val="000000" w:themeColor="text1" w:themeTint="FF" w:themeShade="FF"/>
          <w:sz w:val="22"/>
          <w:szCs w:val="22"/>
        </w:rPr>
        <w:t>competitiveness in the healthcare technology sector.</w:t>
      </w:r>
      <w:r w:rsidRPr="5335A2D9" w:rsidR="45A7278E">
        <w:rPr>
          <w:rFonts w:ascii="Arial" w:hAnsi="Arial" w:eastAsia="Arial" w:cs="Arial"/>
          <w:color w:val="000000" w:themeColor="text1" w:themeTint="FF" w:themeShade="FF"/>
          <w:sz w:val="22"/>
          <w:szCs w:val="22"/>
        </w:rPr>
        <w:t xml:space="preserve"> </w:t>
      </w:r>
      <w:r w:rsidRPr="5335A2D9" w:rsidR="1018C754">
        <w:rPr>
          <w:rFonts w:ascii="Arial" w:hAnsi="Arial" w:eastAsia="Arial" w:cs="Arial"/>
          <w:color w:val="000000" w:themeColor="text1" w:themeTint="FF" w:themeShade="FF"/>
          <w:sz w:val="22"/>
          <w:szCs w:val="22"/>
        </w:rPr>
        <w:t xml:space="preserve"> </w:t>
      </w:r>
    </w:p>
    <w:p w:rsidR="673FDE5C" w:rsidP="5335A2D9" w:rsidRDefault="673FDE5C" w14:paraId="531DE40E" w14:textId="4ED43405">
      <w:pPr>
        <w:pStyle w:val="Normal"/>
        <w:rPr>
          <w:rFonts w:ascii="Arial" w:hAnsi="Arial" w:eastAsia="Arial" w:cs="Arial"/>
          <w:b w:val="1"/>
          <w:bCs w:val="1"/>
          <w:color w:val="000000" w:themeColor="text1" w:themeTint="FF" w:themeShade="FF"/>
          <w:sz w:val="32"/>
          <w:szCs w:val="32"/>
        </w:rPr>
      </w:pPr>
    </w:p>
    <w:p w:rsidR="673FDE5C" w:rsidP="5335A2D9" w:rsidRDefault="673FDE5C" w14:paraId="6475D18A" w14:textId="79E9EF65">
      <w:pPr>
        <w:pStyle w:val="Normal"/>
        <w:rPr>
          <w:rFonts w:ascii="Arial" w:hAnsi="Arial" w:eastAsia="Arial" w:cs="Arial"/>
          <w:sz w:val="31"/>
          <w:szCs w:val="31"/>
        </w:rPr>
      </w:pPr>
      <w:r w:rsidRPr="5335A2D9" w:rsidR="673FDE5C">
        <w:rPr>
          <w:rFonts w:ascii="Arial" w:hAnsi="Arial" w:eastAsia="Arial" w:cs="Arial"/>
          <w:b w:val="1"/>
          <w:bCs w:val="1"/>
          <w:color w:val="000000" w:themeColor="text1" w:themeTint="FF" w:themeShade="FF"/>
          <w:sz w:val="32"/>
          <w:szCs w:val="32"/>
        </w:rPr>
        <w:t>References</w:t>
      </w:r>
      <w:r w:rsidRPr="5335A2D9" w:rsidR="673FDE5C">
        <w:rPr>
          <w:rFonts w:ascii="Arial" w:hAnsi="Arial" w:eastAsia="Arial" w:cs="Arial"/>
          <w:b w:val="1"/>
          <w:bCs w:val="1"/>
          <w:color w:val="000000" w:themeColor="text1" w:themeTint="FF" w:themeShade="FF"/>
          <w:sz w:val="31"/>
          <w:szCs w:val="31"/>
        </w:rPr>
        <w:t xml:space="preserve"> </w:t>
      </w:r>
    </w:p>
    <w:p w:rsidR="673FDE5C" w:rsidP="5335A2D9" w:rsidRDefault="673FDE5C" w14:paraId="65F6E8CC" w14:textId="2F3E420C">
      <w:pPr>
        <w:pStyle w:val="Normal"/>
        <w:rPr>
          <w:rFonts w:ascii="Arial" w:hAnsi="Arial" w:eastAsia="Arial" w:cs="Arial"/>
          <w:sz w:val="31"/>
          <w:szCs w:val="31"/>
        </w:rPr>
      </w:pPr>
      <w:r w:rsidRPr="5335A2D9" w:rsidR="673FDE5C">
        <w:rPr>
          <w:rFonts w:ascii="Arial" w:hAnsi="Arial" w:eastAsia="Arial" w:cs="Arial"/>
          <w:color w:val="000000" w:themeColor="text1" w:themeTint="FF" w:themeShade="FF"/>
          <w:sz w:val="22"/>
          <w:szCs w:val="22"/>
        </w:rPr>
        <w:t>Aaltonen, K. And Kujala, J., 2016. Towards an improved understanding of project stakeholder landscapes. International Journal of Project Management, 34(8), pp.1537–1552.</w:t>
      </w:r>
    </w:p>
    <w:p w:rsidR="673FDE5C" w:rsidP="55E95815" w:rsidRDefault="673FDE5C" w14:paraId="5E7D3545" w14:textId="0D9C3E67">
      <w:pPr>
        <w:rPr>
          <w:rFonts w:ascii="Arial" w:hAnsi="Arial" w:eastAsia="Arial" w:cs="Arial"/>
          <w:sz w:val="22"/>
          <w:szCs w:val="22"/>
        </w:rPr>
      </w:pPr>
      <w:r w:rsidRPr="55E95815">
        <w:rPr>
          <w:rFonts w:ascii="Arial" w:hAnsi="Arial" w:eastAsia="Arial" w:cs="Arial"/>
          <w:color w:val="000000" w:themeColor="text1"/>
          <w:sz w:val="22"/>
          <w:szCs w:val="22"/>
        </w:rPr>
        <w:t>Barrow, C. And Brown, R., 2012. The Business Plan Workbook: A Step-by-Step Guide to Creating and Developing a Successful Business. 7</w:t>
      </w:r>
      <w:r w:rsidRPr="55E95815">
        <w:rPr>
          <w:rFonts w:ascii="Arial" w:hAnsi="Arial" w:eastAsia="Arial" w:cs="Arial"/>
          <w:color w:val="000000" w:themeColor="text1"/>
          <w:sz w:val="22"/>
          <w:szCs w:val="22"/>
          <w:vertAlign w:val="superscript"/>
        </w:rPr>
        <w:t>th</w:t>
      </w:r>
      <w:r w:rsidRPr="55E95815">
        <w:rPr>
          <w:rFonts w:ascii="Arial" w:hAnsi="Arial" w:eastAsia="Arial" w:cs="Arial"/>
          <w:color w:val="000000" w:themeColor="text1"/>
          <w:sz w:val="22"/>
          <w:szCs w:val="22"/>
        </w:rPr>
        <w:t xml:space="preserve"> ed. London: Kogan Page.</w:t>
      </w:r>
    </w:p>
    <w:p w:rsidR="673FDE5C" w:rsidP="55E95815" w:rsidRDefault="673FDE5C" w14:paraId="10937944" w14:textId="60C75617">
      <w:pPr>
        <w:rPr>
          <w:rFonts w:ascii="Arial" w:hAnsi="Arial" w:eastAsia="Arial" w:cs="Arial"/>
          <w:sz w:val="22"/>
          <w:szCs w:val="22"/>
        </w:rPr>
      </w:pPr>
      <w:r w:rsidRPr="55E95815">
        <w:rPr>
          <w:rFonts w:ascii="Arial" w:hAnsi="Arial" w:eastAsia="Arial" w:cs="Arial"/>
          <w:color w:val="000000" w:themeColor="text1"/>
          <w:sz w:val="22"/>
          <w:szCs w:val="22"/>
        </w:rPr>
        <w:t>Bate, P. And Robert, G., 2007. Bringing User Experience to Healthcare Improvement: The Concepts, Methods and Practices of Experience-Based Design. Oxford: Radcliffe Publishing.</w:t>
      </w:r>
    </w:p>
    <w:p w:rsidR="673FDE5C" w:rsidP="55E95815" w:rsidRDefault="673FDE5C" w14:paraId="285BEA36" w14:textId="5291A8C7">
      <w:pPr>
        <w:rPr>
          <w:rFonts w:ascii="Arial" w:hAnsi="Arial" w:eastAsia="Arial" w:cs="Arial"/>
          <w:sz w:val="22"/>
          <w:szCs w:val="22"/>
        </w:rPr>
      </w:pPr>
      <w:r w:rsidRPr="55E95815">
        <w:rPr>
          <w:rFonts w:ascii="Arial" w:hAnsi="Arial" w:eastAsia="Arial" w:cs="Arial"/>
          <w:color w:val="000000" w:themeColor="text1"/>
          <w:sz w:val="22"/>
          <w:szCs w:val="22"/>
        </w:rPr>
        <w:t>Beauchamp, T.L. and Childress, J.F., 2019. Principles of Biomedical Ethics. 8</w:t>
      </w:r>
      <w:r w:rsidRPr="55E95815">
        <w:rPr>
          <w:rFonts w:ascii="Arial" w:hAnsi="Arial" w:eastAsia="Arial" w:cs="Arial"/>
          <w:color w:val="000000" w:themeColor="text1"/>
          <w:sz w:val="22"/>
          <w:szCs w:val="22"/>
          <w:vertAlign w:val="superscript"/>
        </w:rPr>
        <w:t>th</w:t>
      </w:r>
      <w:r w:rsidRPr="55E95815">
        <w:rPr>
          <w:rFonts w:ascii="Arial" w:hAnsi="Arial" w:eastAsia="Arial" w:cs="Arial"/>
          <w:color w:val="000000" w:themeColor="text1"/>
          <w:sz w:val="22"/>
          <w:szCs w:val="22"/>
        </w:rPr>
        <w:t xml:space="preserve"> ed. Oxford: Oxford University Press.</w:t>
      </w:r>
    </w:p>
    <w:p w:rsidR="673FDE5C" w:rsidP="55E95815" w:rsidRDefault="673FDE5C" w14:paraId="582E4EBF" w14:textId="2DD7F6D6">
      <w:pPr>
        <w:rPr>
          <w:rFonts w:ascii="Arial" w:hAnsi="Arial" w:eastAsia="Arial" w:cs="Arial"/>
          <w:sz w:val="22"/>
          <w:szCs w:val="22"/>
        </w:rPr>
      </w:pPr>
      <w:r w:rsidRPr="55E95815">
        <w:rPr>
          <w:rFonts w:ascii="Arial" w:hAnsi="Arial" w:eastAsia="Arial" w:cs="Arial"/>
          <w:color w:val="000000" w:themeColor="text1"/>
          <w:sz w:val="22"/>
          <w:szCs w:val="22"/>
        </w:rPr>
        <w:t>Bourne, L., 2015. Stakeholder Relationship Management: A Maturity Model for Organisational Implementation. 2</w:t>
      </w:r>
      <w:r w:rsidRPr="55E95815">
        <w:rPr>
          <w:rFonts w:ascii="Arial" w:hAnsi="Arial" w:eastAsia="Arial" w:cs="Arial"/>
          <w:color w:val="000000" w:themeColor="text1"/>
          <w:sz w:val="22"/>
          <w:szCs w:val="22"/>
          <w:vertAlign w:val="superscript"/>
        </w:rPr>
        <w:t>nd</w:t>
      </w:r>
      <w:r w:rsidRPr="55E95815">
        <w:rPr>
          <w:rFonts w:ascii="Arial" w:hAnsi="Arial" w:eastAsia="Arial" w:cs="Arial"/>
          <w:color w:val="000000" w:themeColor="text1"/>
          <w:sz w:val="22"/>
          <w:szCs w:val="22"/>
        </w:rPr>
        <w:t xml:space="preserve"> ed. Farnham: Gower Publishing.</w:t>
      </w:r>
    </w:p>
    <w:p w:rsidR="673FDE5C" w:rsidP="55E95815" w:rsidRDefault="673FDE5C" w14:paraId="5EC61272" w14:textId="73CF366A">
      <w:pPr>
        <w:rPr>
          <w:rFonts w:ascii="Arial" w:hAnsi="Arial" w:eastAsia="Arial" w:cs="Arial"/>
          <w:sz w:val="22"/>
          <w:szCs w:val="22"/>
        </w:rPr>
      </w:pPr>
      <w:r w:rsidRPr="55E95815">
        <w:rPr>
          <w:rFonts w:ascii="Arial" w:hAnsi="Arial" w:eastAsia="Arial" w:cs="Arial"/>
          <w:color w:val="000000" w:themeColor="text1"/>
          <w:sz w:val="22"/>
          <w:szCs w:val="22"/>
        </w:rPr>
        <w:t>Department of Health and Social Care, 2023. Data Saves Lives: Reshaping Health and Care with Data. London: UK Government.</w:t>
      </w:r>
    </w:p>
    <w:p w:rsidR="673FDE5C" w:rsidP="55E95815" w:rsidRDefault="673FDE5C" w14:paraId="2D331AB6" w14:textId="13B35000">
      <w:pPr>
        <w:rPr>
          <w:rFonts w:ascii="Arial" w:hAnsi="Arial" w:eastAsia="Arial" w:cs="Arial"/>
          <w:sz w:val="22"/>
          <w:szCs w:val="22"/>
        </w:rPr>
      </w:pPr>
      <w:r w:rsidRPr="55E95815">
        <w:rPr>
          <w:rFonts w:ascii="Arial" w:hAnsi="Arial" w:eastAsia="Arial" w:cs="Arial"/>
          <w:color w:val="000000" w:themeColor="text1"/>
          <w:sz w:val="22"/>
          <w:szCs w:val="22"/>
        </w:rPr>
        <w:t>Ellis, N., Mambilly, A. And Robertson, A., 1991. The 4Cs: A framework for stakeholder engagement. Journal of Strategic Communication, 5(2), pp.45–56.</w:t>
      </w:r>
    </w:p>
    <w:p w:rsidR="673FDE5C" w:rsidP="55E95815" w:rsidRDefault="673FDE5C" w14:paraId="2155362F" w14:textId="74ED32FC">
      <w:pPr>
        <w:rPr>
          <w:rFonts w:ascii="Arial" w:hAnsi="Arial" w:eastAsia="Arial" w:cs="Arial"/>
          <w:sz w:val="22"/>
          <w:szCs w:val="22"/>
        </w:rPr>
      </w:pPr>
      <w:r w:rsidRPr="55E95815">
        <w:rPr>
          <w:rFonts w:ascii="Arial" w:hAnsi="Arial" w:eastAsia="Arial" w:cs="Arial"/>
          <w:color w:val="000000" w:themeColor="text1"/>
          <w:sz w:val="22"/>
          <w:szCs w:val="22"/>
        </w:rPr>
        <w:t>Freeman, R.E., 1984. Strategic Management: A Stakeholder Approach. Boston: Pitman.</w:t>
      </w:r>
    </w:p>
    <w:p w:rsidR="00456B2A" w:rsidP="55E95815" w:rsidRDefault="00456B2A" w14:paraId="5FDD9C36" w14:textId="1C6E8C5B">
      <w:pPr>
        <w:rPr>
          <w:rFonts w:ascii="Arial" w:hAnsi="Arial" w:eastAsia="Arial" w:cs="Arial"/>
          <w:color w:val="000000" w:themeColor="text1"/>
          <w:sz w:val="22"/>
          <w:szCs w:val="22"/>
        </w:rPr>
      </w:pPr>
      <w:r>
        <w:rPr>
          <w:rFonts w:ascii="Arial" w:hAnsi="Arial" w:eastAsia="Arial" w:cs="Arial"/>
          <w:color w:val="000000" w:themeColor="text1"/>
          <w:sz w:val="22"/>
          <w:szCs w:val="22"/>
        </w:rPr>
        <w:t>Information Commissioner’s Office (ICO), 2023. Guide to the UK General Data Protection Regulation (UK GDPR). London: ICO.</w:t>
      </w:r>
    </w:p>
    <w:p w:rsidR="00456B2A" w:rsidP="55E95815" w:rsidRDefault="00456B2A" w14:paraId="2C17201C" w14:textId="2DE98539">
      <w:pPr>
        <w:rPr>
          <w:rFonts w:ascii="Arial" w:hAnsi="Arial" w:eastAsia="Arial" w:cs="Arial"/>
          <w:color w:val="000000" w:themeColor="text1"/>
          <w:sz w:val="22"/>
          <w:szCs w:val="22"/>
        </w:rPr>
      </w:pPr>
      <w:r>
        <w:rPr>
          <w:rFonts w:ascii="Arial" w:hAnsi="Arial" w:eastAsia="Arial" w:cs="Arial"/>
          <w:color w:val="000000" w:themeColor="text1"/>
          <w:sz w:val="22"/>
          <w:szCs w:val="22"/>
        </w:rPr>
        <w:t>Johnson, G., Scholes, K. And Whittington, R., 2008. Exploring Corporate Strategy: Text and Cases. 8</w:t>
      </w:r>
      <w:r w:rsidRPr="00456B2A">
        <w:rPr>
          <w:rFonts w:ascii="Arial" w:hAnsi="Arial" w:eastAsia="Arial" w:cs="Arial"/>
          <w:color w:val="000000" w:themeColor="text1"/>
          <w:sz w:val="22"/>
          <w:szCs w:val="22"/>
          <w:vertAlign w:val="superscript"/>
        </w:rPr>
        <w:t>th</w:t>
      </w:r>
      <w:r>
        <w:rPr>
          <w:rFonts w:ascii="Arial" w:hAnsi="Arial" w:eastAsia="Arial" w:cs="Arial"/>
          <w:color w:val="000000" w:themeColor="text1"/>
          <w:sz w:val="22"/>
          <w:szCs w:val="22"/>
        </w:rPr>
        <w:t xml:space="preserve"> ed. Harlow: Pearson Education.</w:t>
      </w:r>
    </w:p>
    <w:p w:rsidR="00456B2A" w:rsidP="55E95815" w:rsidRDefault="00456B2A" w14:paraId="5A7EBC62" w14:textId="7199B5C8">
      <w:pPr>
        <w:rPr>
          <w:rFonts w:ascii="Arial" w:hAnsi="Arial" w:eastAsia="Arial" w:cs="Arial"/>
          <w:color w:val="000000" w:themeColor="text1"/>
          <w:sz w:val="22"/>
          <w:szCs w:val="22"/>
        </w:rPr>
      </w:pPr>
      <w:r>
        <w:rPr>
          <w:rFonts w:ascii="Arial" w:hAnsi="Arial" w:eastAsia="Arial" w:cs="Arial"/>
          <w:color w:val="000000" w:themeColor="text1"/>
          <w:sz w:val="22"/>
          <w:szCs w:val="22"/>
        </w:rPr>
        <w:t>Mariotti, S. And Glackin, C., 2017. Entrepreneurship: Starting and Operating a Small Business. 4</w:t>
      </w:r>
      <w:r w:rsidRPr="00456B2A">
        <w:rPr>
          <w:rFonts w:ascii="Arial" w:hAnsi="Arial" w:eastAsia="Arial" w:cs="Arial"/>
          <w:color w:val="000000" w:themeColor="text1"/>
          <w:sz w:val="22"/>
          <w:szCs w:val="22"/>
          <w:vertAlign w:val="superscript"/>
        </w:rPr>
        <w:t>th</w:t>
      </w:r>
      <w:r>
        <w:rPr>
          <w:rFonts w:ascii="Arial" w:hAnsi="Arial" w:eastAsia="Arial" w:cs="Arial"/>
          <w:color w:val="000000" w:themeColor="text1"/>
          <w:sz w:val="22"/>
          <w:szCs w:val="22"/>
        </w:rPr>
        <w:t xml:space="preserve"> ed. Boston: Pearson.</w:t>
      </w:r>
    </w:p>
    <w:p w:rsidR="00456B2A" w:rsidP="55E95815" w:rsidRDefault="00456B2A" w14:paraId="4C8C280D" w14:textId="5D9E82B7">
      <w:pPr>
        <w:rPr>
          <w:rFonts w:ascii="Arial" w:hAnsi="Arial" w:eastAsia="Arial" w:cs="Arial"/>
          <w:color w:val="000000" w:themeColor="text1"/>
          <w:sz w:val="22"/>
          <w:szCs w:val="22"/>
        </w:rPr>
      </w:pPr>
      <w:r>
        <w:rPr>
          <w:rFonts w:ascii="Arial" w:hAnsi="Arial" w:eastAsia="Arial" w:cs="Arial"/>
          <w:color w:val="000000" w:themeColor="text1"/>
          <w:sz w:val="22"/>
          <w:szCs w:val="22"/>
        </w:rPr>
        <w:t>Medicines and Healthcare products Regulatory Agency (MHRA), 2023. Medical Devices Regulations. London: UK Government.</w:t>
      </w:r>
    </w:p>
    <w:p w:rsidR="00456B2A" w:rsidP="55E95815" w:rsidRDefault="00456B2A" w14:paraId="2704D3BA" w14:textId="1571488C">
      <w:pPr>
        <w:rPr>
          <w:rFonts w:ascii="Arial" w:hAnsi="Arial" w:eastAsia="Arial" w:cs="Arial"/>
          <w:color w:val="000000" w:themeColor="text1"/>
          <w:sz w:val="22"/>
          <w:szCs w:val="22"/>
        </w:rPr>
      </w:pPr>
      <w:r>
        <w:rPr>
          <w:rFonts w:ascii="Arial" w:hAnsi="Arial" w:eastAsia="Arial" w:cs="Arial"/>
          <w:color w:val="000000" w:themeColor="text1"/>
          <w:sz w:val="22"/>
          <w:szCs w:val="22"/>
        </w:rPr>
        <w:t>Mitchell, R.K., Agle, B.R. and Wood, D.J., 1997. Toward a theory of stakeholder identification and salience: Defining the principle of who and what really counts. Academy of Management Review, 22(4), pp.853–886.</w:t>
      </w:r>
    </w:p>
    <w:p w:rsidR="00456B2A" w:rsidP="55E95815" w:rsidRDefault="00456B2A" w14:paraId="4D71D022" w14:textId="32503084">
      <w:pPr>
        <w:rPr>
          <w:rFonts w:ascii="Arial" w:hAnsi="Arial" w:eastAsia="Arial" w:cs="Arial"/>
          <w:color w:val="000000" w:themeColor="text1"/>
          <w:sz w:val="22"/>
          <w:szCs w:val="22"/>
        </w:rPr>
      </w:pPr>
      <w:r>
        <w:rPr>
          <w:rFonts w:ascii="Arial" w:hAnsi="Arial" w:eastAsia="Arial" w:cs="Arial"/>
          <w:color w:val="000000" w:themeColor="text1"/>
          <w:sz w:val="22"/>
          <w:szCs w:val="22"/>
        </w:rPr>
        <w:t>NHS England, 2023. What good looks like: Digital transformation in health and care. London: NHS Digital.</w:t>
      </w:r>
    </w:p>
    <w:p w:rsidR="00456B2A" w:rsidP="5335A2D9" w:rsidRDefault="00456B2A" w14:paraId="74CF18B1" w14:textId="7DC0E84E">
      <w:pPr>
        <w:rPr>
          <w:rFonts w:ascii="Arial" w:hAnsi="Arial" w:eastAsia="Arial" w:cs="Arial"/>
          <w:color w:val="000000" w:themeColor="text1" w:themeTint="FF" w:themeShade="FF"/>
          <w:sz w:val="22"/>
          <w:szCs w:val="22"/>
        </w:rPr>
      </w:pPr>
      <w:r w:rsidRPr="5335A2D9" w:rsidR="00456B2A">
        <w:rPr>
          <w:rFonts w:ascii="Arial" w:hAnsi="Arial" w:eastAsia="Arial" w:cs="Arial"/>
          <w:color w:val="000000" w:themeColor="text1" w:themeTint="FF" w:themeShade="FF"/>
          <w:sz w:val="22"/>
          <w:szCs w:val="22"/>
        </w:rPr>
        <w:t>Office for National Statistics (ONS), 2024. Health data and digital infrastructure in the UK. London: UK Government.</w:t>
      </w:r>
    </w:p>
    <w:sectPr w:rsidR="55E9581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altName w:val="Arial"/>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nhBEQye3tTez9T" int2:id="lcMNS7dS">
      <int2:state int2:type="spell" int2:value="Rejected"/>
    </int2:textHash>
    <int2:textHash int2:hashCode="un3Q1R1p8qOA/p" int2:id="ZmhG9BJM">
      <int2:state int2:type="spell" int2:value="Rejected"/>
    </int2:textHash>
    <int2:textHash int2:hashCode="EF5LKSCsygSpwS" int2:id="NO1H82Rc">
      <int2:state int2:type="spell" int2:value="Rejected"/>
    </int2:textHash>
    <int2:textHash int2:hashCode="nBmWtH8FtNaVpR" int2:id="zgBF6ycR">
      <int2:state int2:type="spell" int2:value="Rejected"/>
    </int2:textHash>
    <int2:bookmark int2:bookmarkName="_Int_iC12pYyS" int2:invalidationBookmarkName="" int2:hashCode="b0kxACN2sT9WYw" int2:id="dyIi8BPd">
      <int2:state int2:type="style" int2:value="Rejected"/>
    </int2:bookmark>
    <int2:bookmark int2:bookmarkName="_Int_ETpIGOX7" int2:invalidationBookmarkName="" int2:hashCode="hwFrgo4Hg7BPIR" int2:id="iBvLX5Go">
      <int2:state int2:type="style" int2:value="Rejected"/>
    </int2:bookmark>
    <int2:bookmark int2:bookmarkName="_Int_ProKAbvB" int2:invalidationBookmarkName="" int2:hashCode="xWoEyP9GgOQmSR" int2:id="n7VcFLwv">
      <int2:state int2:type="gram" int2:value="Rejected"/>
    </int2:bookmark>
    <int2:bookmark int2:bookmarkName="_Int_YdMp1vPF" int2:invalidationBookmarkName="" int2:hashCode="pgLsGgC71ET5UO" int2:id="GanLP4FL">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cc5f1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FD03AA"/>
    <w:multiLevelType w:val="hybridMultilevel"/>
    <w:tmpl w:val="FFFFFFFF"/>
    <w:lvl w:ilvl="0" w:tplc="2488B97A">
      <w:start w:val="1"/>
      <w:numFmt w:val="bullet"/>
      <w:lvlText w:val=""/>
      <w:lvlJc w:val="left"/>
      <w:pPr>
        <w:ind w:left="720" w:hanging="360"/>
      </w:pPr>
      <w:rPr>
        <w:rFonts w:hint="default" w:ascii="Symbol" w:hAnsi="Symbol"/>
      </w:rPr>
    </w:lvl>
    <w:lvl w:ilvl="1" w:tplc="2B803040">
      <w:start w:val="1"/>
      <w:numFmt w:val="bullet"/>
      <w:lvlText w:val="o"/>
      <w:lvlJc w:val="left"/>
      <w:pPr>
        <w:ind w:left="1440" w:hanging="360"/>
      </w:pPr>
      <w:rPr>
        <w:rFonts w:hint="default" w:ascii="Courier New" w:hAnsi="Courier New"/>
      </w:rPr>
    </w:lvl>
    <w:lvl w:ilvl="2" w:tplc="5EC08572">
      <w:start w:val="1"/>
      <w:numFmt w:val="bullet"/>
      <w:lvlText w:val=""/>
      <w:lvlJc w:val="left"/>
      <w:pPr>
        <w:ind w:left="2160" w:hanging="360"/>
      </w:pPr>
      <w:rPr>
        <w:rFonts w:hint="default" w:ascii="Wingdings" w:hAnsi="Wingdings"/>
      </w:rPr>
    </w:lvl>
    <w:lvl w:ilvl="3" w:tplc="DF0EBBE0">
      <w:start w:val="1"/>
      <w:numFmt w:val="bullet"/>
      <w:lvlText w:val=""/>
      <w:lvlJc w:val="left"/>
      <w:pPr>
        <w:ind w:left="2880" w:hanging="360"/>
      </w:pPr>
      <w:rPr>
        <w:rFonts w:hint="default" w:ascii="Symbol" w:hAnsi="Symbol"/>
      </w:rPr>
    </w:lvl>
    <w:lvl w:ilvl="4" w:tplc="F4786B96">
      <w:start w:val="1"/>
      <w:numFmt w:val="bullet"/>
      <w:lvlText w:val="o"/>
      <w:lvlJc w:val="left"/>
      <w:pPr>
        <w:ind w:left="3600" w:hanging="360"/>
      </w:pPr>
      <w:rPr>
        <w:rFonts w:hint="default" w:ascii="Courier New" w:hAnsi="Courier New"/>
      </w:rPr>
    </w:lvl>
    <w:lvl w:ilvl="5" w:tplc="D9DC5906">
      <w:start w:val="1"/>
      <w:numFmt w:val="bullet"/>
      <w:lvlText w:val=""/>
      <w:lvlJc w:val="left"/>
      <w:pPr>
        <w:ind w:left="4320" w:hanging="360"/>
      </w:pPr>
      <w:rPr>
        <w:rFonts w:hint="default" w:ascii="Wingdings" w:hAnsi="Wingdings"/>
      </w:rPr>
    </w:lvl>
    <w:lvl w:ilvl="6" w:tplc="A098507E">
      <w:start w:val="1"/>
      <w:numFmt w:val="bullet"/>
      <w:lvlText w:val=""/>
      <w:lvlJc w:val="left"/>
      <w:pPr>
        <w:ind w:left="5040" w:hanging="360"/>
      </w:pPr>
      <w:rPr>
        <w:rFonts w:hint="default" w:ascii="Symbol" w:hAnsi="Symbol"/>
      </w:rPr>
    </w:lvl>
    <w:lvl w:ilvl="7" w:tplc="67DCC19C">
      <w:start w:val="1"/>
      <w:numFmt w:val="bullet"/>
      <w:lvlText w:val="o"/>
      <w:lvlJc w:val="left"/>
      <w:pPr>
        <w:ind w:left="5760" w:hanging="360"/>
      </w:pPr>
      <w:rPr>
        <w:rFonts w:hint="default" w:ascii="Courier New" w:hAnsi="Courier New"/>
      </w:rPr>
    </w:lvl>
    <w:lvl w:ilvl="8" w:tplc="2A8A6156">
      <w:start w:val="1"/>
      <w:numFmt w:val="bullet"/>
      <w:lvlText w:val=""/>
      <w:lvlJc w:val="left"/>
      <w:pPr>
        <w:ind w:left="6480" w:hanging="360"/>
      </w:pPr>
      <w:rPr>
        <w:rFonts w:hint="default" w:ascii="Wingdings" w:hAnsi="Wingdings"/>
      </w:rPr>
    </w:lvl>
  </w:abstractNum>
  <w:abstractNum w:abstractNumId="1" w15:restartNumberingAfterBreak="0">
    <w:nsid w:val="2A17E045"/>
    <w:multiLevelType w:val="hybridMultilevel"/>
    <w:tmpl w:val="FFFFFFFF"/>
    <w:lvl w:ilvl="0" w:tplc="CD22392A">
      <w:start w:val="1"/>
      <w:numFmt w:val="bullet"/>
      <w:lvlText w:val=""/>
      <w:lvlJc w:val="left"/>
      <w:pPr>
        <w:ind w:left="720" w:hanging="360"/>
      </w:pPr>
      <w:rPr>
        <w:rFonts w:hint="default" w:ascii="Symbol" w:hAnsi="Symbol"/>
      </w:rPr>
    </w:lvl>
    <w:lvl w:ilvl="1" w:tplc="8AD454CC">
      <w:start w:val="1"/>
      <w:numFmt w:val="bullet"/>
      <w:lvlText w:val="o"/>
      <w:lvlJc w:val="left"/>
      <w:pPr>
        <w:ind w:left="1440" w:hanging="360"/>
      </w:pPr>
      <w:rPr>
        <w:rFonts w:hint="default" w:ascii="Courier New" w:hAnsi="Courier New"/>
      </w:rPr>
    </w:lvl>
    <w:lvl w:ilvl="2" w:tplc="912AA2D0">
      <w:start w:val="1"/>
      <w:numFmt w:val="bullet"/>
      <w:lvlText w:val=""/>
      <w:lvlJc w:val="left"/>
      <w:pPr>
        <w:ind w:left="2160" w:hanging="360"/>
      </w:pPr>
      <w:rPr>
        <w:rFonts w:hint="default" w:ascii="Wingdings" w:hAnsi="Wingdings"/>
      </w:rPr>
    </w:lvl>
    <w:lvl w:ilvl="3" w:tplc="90B29D4E">
      <w:start w:val="1"/>
      <w:numFmt w:val="bullet"/>
      <w:lvlText w:val=""/>
      <w:lvlJc w:val="left"/>
      <w:pPr>
        <w:ind w:left="2880" w:hanging="360"/>
      </w:pPr>
      <w:rPr>
        <w:rFonts w:hint="default" w:ascii="Symbol" w:hAnsi="Symbol"/>
      </w:rPr>
    </w:lvl>
    <w:lvl w:ilvl="4" w:tplc="3ADC715A">
      <w:start w:val="1"/>
      <w:numFmt w:val="bullet"/>
      <w:lvlText w:val="o"/>
      <w:lvlJc w:val="left"/>
      <w:pPr>
        <w:ind w:left="3600" w:hanging="360"/>
      </w:pPr>
      <w:rPr>
        <w:rFonts w:hint="default" w:ascii="Courier New" w:hAnsi="Courier New"/>
      </w:rPr>
    </w:lvl>
    <w:lvl w:ilvl="5" w:tplc="0C14D19A">
      <w:start w:val="1"/>
      <w:numFmt w:val="bullet"/>
      <w:lvlText w:val=""/>
      <w:lvlJc w:val="left"/>
      <w:pPr>
        <w:ind w:left="4320" w:hanging="360"/>
      </w:pPr>
      <w:rPr>
        <w:rFonts w:hint="default" w:ascii="Wingdings" w:hAnsi="Wingdings"/>
      </w:rPr>
    </w:lvl>
    <w:lvl w:ilvl="6" w:tplc="ADEA8DD6">
      <w:start w:val="1"/>
      <w:numFmt w:val="bullet"/>
      <w:lvlText w:val=""/>
      <w:lvlJc w:val="left"/>
      <w:pPr>
        <w:ind w:left="5040" w:hanging="360"/>
      </w:pPr>
      <w:rPr>
        <w:rFonts w:hint="default" w:ascii="Symbol" w:hAnsi="Symbol"/>
      </w:rPr>
    </w:lvl>
    <w:lvl w:ilvl="7" w:tplc="C4069334">
      <w:start w:val="1"/>
      <w:numFmt w:val="bullet"/>
      <w:lvlText w:val="o"/>
      <w:lvlJc w:val="left"/>
      <w:pPr>
        <w:ind w:left="5760" w:hanging="360"/>
      </w:pPr>
      <w:rPr>
        <w:rFonts w:hint="default" w:ascii="Courier New" w:hAnsi="Courier New"/>
      </w:rPr>
    </w:lvl>
    <w:lvl w:ilvl="8" w:tplc="A356C57A">
      <w:start w:val="1"/>
      <w:numFmt w:val="bullet"/>
      <w:lvlText w:val=""/>
      <w:lvlJc w:val="left"/>
      <w:pPr>
        <w:ind w:left="6480" w:hanging="360"/>
      </w:pPr>
      <w:rPr>
        <w:rFonts w:hint="default" w:ascii="Wingdings" w:hAnsi="Wingdings"/>
      </w:rPr>
    </w:lvl>
  </w:abstractNum>
  <w:abstractNum w:abstractNumId="2" w15:restartNumberingAfterBreak="0">
    <w:nsid w:val="346F6AF0"/>
    <w:multiLevelType w:val="hybridMultilevel"/>
    <w:tmpl w:val="FFFFFFFF"/>
    <w:lvl w:ilvl="0" w:tplc="2E82B248">
      <w:start w:val="1"/>
      <w:numFmt w:val="bullet"/>
      <w:lvlText w:val=""/>
      <w:lvlJc w:val="left"/>
      <w:pPr>
        <w:ind w:left="720" w:hanging="360"/>
      </w:pPr>
      <w:rPr>
        <w:rFonts w:hint="default" w:ascii="Symbol" w:hAnsi="Symbol"/>
      </w:rPr>
    </w:lvl>
    <w:lvl w:ilvl="1" w:tplc="2854642C">
      <w:start w:val="1"/>
      <w:numFmt w:val="bullet"/>
      <w:lvlText w:val="o"/>
      <w:lvlJc w:val="left"/>
      <w:pPr>
        <w:ind w:left="1440" w:hanging="360"/>
      </w:pPr>
      <w:rPr>
        <w:rFonts w:hint="default" w:ascii="Courier New" w:hAnsi="Courier New"/>
      </w:rPr>
    </w:lvl>
    <w:lvl w:ilvl="2" w:tplc="5226D46C">
      <w:start w:val="1"/>
      <w:numFmt w:val="bullet"/>
      <w:lvlText w:val=""/>
      <w:lvlJc w:val="left"/>
      <w:pPr>
        <w:ind w:left="2160" w:hanging="360"/>
      </w:pPr>
      <w:rPr>
        <w:rFonts w:hint="default" w:ascii="Wingdings" w:hAnsi="Wingdings"/>
      </w:rPr>
    </w:lvl>
    <w:lvl w:ilvl="3" w:tplc="B70E407E">
      <w:start w:val="1"/>
      <w:numFmt w:val="bullet"/>
      <w:lvlText w:val=""/>
      <w:lvlJc w:val="left"/>
      <w:pPr>
        <w:ind w:left="2880" w:hanging="360"/>
      </w:pPr>
      <w:rPr>
        <w:rFonts w:hint="default" w:ascii="Symbol" w:hAnsi="Symbol"/>
      </w:rPr>
    </w:lvl>
    <w:lvl w:ilvl="4" w:tplc="A498DF2C">
      <w:start w:val="1"/>
      <w:numFmt w:val="bullet"/>
      <w:lvlText w:val="o"/>
      <w:lvlJc w:val="left"/>
      <w:pPr>
        <w:ind w:left="3600" w:hanging="360"/>
      </w:pPr>
      <w:rPr>
        <w:rFonts w:hint="default" w:ascii="Courier New" w:hAnsi="Courier New"/>
      </w:rPr>
    </w:lvl>
    <w:lvl w:ilvl="5" w:tplc="4ADEA602">
      <w:start w:val="1"/>
      <w:numFmt w:val="bullet"/>
      <w:lvlText w:val=""/>
      <w:lvlJc w:val="left"/>
      <w:pPr>
        <w:ind w:left="4320" w:hanging="360"/>
      </w:pPr>
      <w:rPr>
        <w:rFonts w:hint="default" w:ascii="Wingdings" w:hAnsi="Wingdings"/>
      </w:rPr>
    </w:lvl>
    <w:lvl w:ilvl="6" w:tplc="15E2E72A">
      <w:start w:val="1"/>
      <w:numFmt w:val="bullet"/>
      <w:lvlText w:val=""/>
      <w:lvlJc w:val="left"/>
      <w:pPr>
        <w:ind w:left="5040" w:hanging="360"/>
      </w:pPr>
      <w:rPr>
        <w:rFonts w:hint="default" w:ascii="Symbol" w:hAnsi="Symbol"/>
      </w:rPr>
    </w:lvl>
    <w:lvl w:ilvl="7" w:tplc="CF6AC9C2">
      <w:start w:val="1"/>
      <w:numFmt w:val="bullet"/>
      <w:lvlText w:val="o"/>
      <w:lvlJc w:val="left"/>
      <w:pPr>
        <w:ind w:left="5760" w:hanging="360"/>
      </w:pPr>
      <w:rPr>
        <w:rFonts w:hint="default" w:ascii="Courier New" w:hAnsi="Courier New"/>
      </w:rPr>
    </w:lvl>
    <w:lvl w:ilvl="8" w:tplc="C1100EBA">
      <w:start w:val="1"/>
      <w:numFmt w:val="bullet"/>
      <w:lvlText w:val=""/>
      <w:lvlJc w:val="left"/>
      <w:pPr>
        <w:ind w:left="6480" w:hanging="360"/>
      </w:pPr>
      <w:rPr>
        <w:rFonts w:hint="default" w:ascii="Wingdings" w:hAnsi="Wingdings"/>
      </w:rPr>
    </w:lvl>
  </w:abstractNum>
  <w:abstractNum w:abstractNumId="3" w15:restartNumberingAfterBreak="0">
    <w:nsid w:val="476D23A2"/>
    <w:multiLevelType w:val="hybridMultilevel"/>
    <w:tmpl w:val="FFFFFFFF"/>
    <w:lvl w:ilvl="0" w:tplc="5DAADEC2">
      <w:start w:val="1"/>
      <w:numFmt w:val="decimal"/>
      <w:lvlText w:val="%1."/>
      <w:lvlJc w:val="left"/>
      <w:pPr>
        <w:ind w:left="720" w:hanging="360"/>
      </w:pPr>
    </w:lvl>
    <w:lvl w:ilvl="1" w:tplc="7774201A">
      <w:start w:val="1"/>
      <w:numFmt w:val="lowerLetter"/>
      <w:lvlText w:val="%2."/>
      <w:lvlJc w:val="left"/>
      <w:pPr>
        <w:ind w:left="1440" w:hanging="360"/>
      </w:pPr>
    </w:lvl>
    <w:lvl w:ilvl="2" w:tplc="CA98BA06">
      <w:start w:val="1"/>
      <w:numFmt w:val="lowerRoman"/>
      <w:lvlText w:val="%3."/>
      <w:lvlJc w:val="right"/>
      <w:pPr>
        <w:ind w:left="2160" w:hanging="180"/>
      </w:pPr>
    </w:lvl>
    <w:lvl w:ilvl="3" w:tplc="08D66AEC">
      <w:start w:val="1"/>
      <w:numFmt w:val="decimal"/>
      <w:lvlText w:val="%4."/>
      <w:lvlJc w:val="left"/>
      <w:pPr>
        <w:ind w:left="2880" w:hanging="360"/>
      </w:pPr>
    </w:lvl>
    <w:lvl w:ilvl="4" w:tplc="5AA8556C">
      <w:start w:val="1"/>
      <w:numFmt w:val="lowerLetter"/>
      <w:lvlText w:val="%5."/>
      <w:lvlJc w:val="left"/>
      <w:pPr>
        <w:ind w:left="3600" w:hanging="360"/>
      </w:pPr>
    </w:lvl>
    <w:lvl w:ilvl="5" w:tplc="A624221E">
      <w:start w:val="1"/>
      <w:numFmt w:val="lowerRoman"/>
      <w:lvlText w:val="%6."/>
      <w:lvlJc w:val="right"/>
      <w:pPr>
        <w:ind w:left="4320" w:hanging="180"/>
      </w:pPr>
    </w:lvl>
    <w:lvl w:ilvl="6" w:tplc="3B3847E8">
      <w:start w:val="1"/>
      <w:numFmt w:val="decimal"/>
      <w:lvlText w:val="%7."/>
      <w:lvlJc w:val="left"/>
      <w:pPr>
        <w:ind w:left="5040" w:hanging="360"/>
      </w:pPr>
    </w:lvl>
    <w:lvl w:ilvl="7" w:tplc="0E344840">
      <w:start w:val="1"/>
      <w:numFmt w:val="lowerLetter"/>
      <w:lvlText w:val="%8."/>
      <w:lvlJc w:val="left"/>
      <w:pPr>
        <w:ind w:left="5760" w:hanging="360"/>
      </w:pPr>
    </w:lvl>
    <w:lvl w:ilvl="8" w:tplc="4BD6D4D8">
      <w:start w:val="1"/>
      <w:numFmt w:val="lowerRoman"/>
      <w:lvlText w:val="%9."/>
      <w:lvlJc w:val="right"/>
      <w:pPr>
        <w:ind w:left="6480" w:hanging="180"/>
      </w:pPr>
    </w:lvl>
  </w:abstractNum>
  <w:abstractNum w:abstractNumId="4" w15:restartNumberingAfterBreak="0">
    <w:nsid w:val="52819A26"/>
    <w:multiLevelType w:val="hybridMultilevel"/>
    <w:tmpl w:val="FFFFFFFF"/>
    <w:lvl w:ilvl="0" w:tplc="FA02E32A">
      <w:start w:val="1"/>
      <w:numFmt w:val="decimal"/>
      <w:lvlText w:val="%1."/>
      <w:lvlJc w:val="left"/>
      <w:pPr>
        <w:ind w:left="720" w:hanging="360"/>
      </w:pPr>
    </w:lvl>
    <w:lvl w:ilvl="1" w:tplc="7FAE955C">
      <w:start w:val="1"/>
      <w:numFmt w:val="lowerLetter"/>
      <w:lvlText w:val="%2."/>
      <w:lvlJc w:val="left"/>
      <w:pPr>
        <w:ind w:left="1440" w:hanging="360"/>
      </w:pPr>
    </w:lvl>
    <w:lvl w:ilvl="2" w:tplc="58226B76">
      <w:start w:val="1"/>
      <w:numFmt w:val="lowerRoman"/>
      <w:lvlText w:val="%3."/>
      <w:lvlJc w:val="right"/>
      <w:pPr>
        <w:ind w:left="2160" w:hanging="180"/>
      </w:pPr>
    </w:lvl>
    <w:lvl w:ilvl="3" w:tplc="2572ECDC">
      <w:start w:val="1"/>
      <w:numFmt w:val="decimal"/>
      <w:lvlText w:val="%4."/>
      <w:lvlJc w:val="left"/>
      <w:pPr>
        <w:ind w:left="2880" w:hanging="360"/>
      </w:pPr>
    </w:lvl>
    <w:lvl w:ilvl="4" w:tplc="42C29B62">
      <w:start w:val="1"/>
      <w:numFmt w:val="lowerLetter"/>
      <w:lvlText w:val="%5."/>
      <w:lvlJc w:val="left"/>
      <w:pPr>
        <w:ind w:left="3600" w:hanging="360"/>
      </w:pPr>
    </w:lvl>
    <w:lvl w:ilvl="5" w:tplc="9EF83FAE">
      <w:start w:val="1"/>
      <w:numFmt w:val="lowerRoman"/>
      <w:lvlText w:val="%6."/>
      <w:lvlJc w:val="right"/>
      <w:pPr>
        <w:ind w:left="4320" w:hanging="180"/>
      </w:pPr>
    </w:lvl>
    <w:lvl w:ilvl="6" w:tplc="40C642AA">
      <w:start w:val="1"/>
      <w:numFmt w:val="decimal"/>
      <w:lvlText w:val="%7."/>
      <w:lvlJc w:val="left"/>
      <w:pPr>
        <w:ind w:left="5040" w:hanging="360"/>
      </w:pPr>
    </w:lvl>
    <w:lvl w:ilvl="7" w:tplc="D992506A">
      <w:start w:val="1"/>
      <w:numFmt w:val="lowerLetter"/>
      <w:lvlText w:val="%8."/>
      <w:lvlJc w:val="left"/>
      <w:pPr>
        <w:ind w:left="5760" w:hanging="360"/>
      </w:pPr>
    </w:lvl>
    <w:lvl w:ilvl="8" w:tplc="55028774">
      <w:start w:val="1"/>
      <w:numFmt w:val="lowerRoman"/>
      <w:lvlText w:val="%9."/>
      <w:lvlJc w:val="right"/>
      <w:pPr>
        <w:ind w:left="6480" w:hanging="180"/>
      </w:pPr>
    </w:lvl>
  </w:abstractNum>
  <w:abstractNum w:abstractNumId="5" w15:restartNumberingAfterBreak="0">
    <w:nsid w:val="53543D8A"/>
    <w:multiLevelType w:val="hybridMultilevel"/>
    <w:tmpl w:val="FFFFFFFF"/>
    <w:lvl w:ilvl="0" w:tplc="53A2D13A">
      <w:start w:val="1"/>
      <w:numFmt w:val="bullet"/>
      <w:lvlText w:val=""/>
      <w:lvlJc w:val="left"/>
      <w:pPr>
        <w:ind w:left="720" w:hanging="360"/>
      </w:pPr>
      <w:rPr>
        <w:rFonts w:hint="default" w:ascii="Symbol" w:hAnsi="Symbol"/>
      </w:rPr>
    </w:lvl>
    <w:lvl w:ilvl="1" w:tplc="162E5328">
      <w:start w:val="1"/>
      <w:numFmt w:val="bullet"/>
      <w:lvlText w:val="o"/>
      <w:lvlJc w:val="left"/>
      <w:pPr>
        <w:ind w:left="1440" w:hanging="360"/>
      </w:pPr>
      <w:rPr>
        <w:rFonts w:hint="default" w:ascii="Courier New" w:hAnsi="Courier New"/>
      </w:rPr>
    </w:lvl>
    <w:lvl w:ilvl="2" w:tplc="9E0E2912">
      <w:start w:val="1"/>
      <w:numFmt w:val="bullet"/>
      <w:lvlText w:val=""/>
      <w:lvlJc w:val="left"/>
      <w:pPr>
        <w:ind w:left="2160" w:hanging="360"/>
      </w:pPr>
      <w:rPr>
        <w:rFonts w:hint="default" w:ascii="Wingdings" w:hAnsi="Wingdings"/>
      </w:rPr>
    </w:lvl>
    <w:lvl w:ilvl="3" w:tplc="0E60C94A">
      <w:start w:val="1"/>
      <w:numFmt w:val="bullet"/>
      <w:lvlText w:val=""/>
      <w:lvlJc w:val="left"/>
      <w:pPr>
        <w:ind w:left="2880" w:hanging="360"/>
      </w:pPr>
      <w:rPr>
        <w:rFonts w:hint="default" w:ascii="Symbol" w:hAnsi="Symbol"/>
      </w:rPr>
    </w:lvl>
    <w:lvl w:ilvl="4" w:tplc="BF329438">
      <w:start w:val="1"/>
      <w:numFmt w:val="bullet"/>
      <w:lvlText w:val="o"/>
      <w:lvlJc w:val="left"/>
      <w:pPr>
        <w:ind w:left="3600" w:hanging="360"/>
      </w:pPr>
      <w:rPr>
        <w:rFonts w:hint="default" w:ascii="Courier New" w:hAnsi="Courier New"/>
      </w:rPr>
    </w:lvl>
    <w:lvl w:ilvl="5" w:tplc="A0AEB08E">
      <w:start w:val="1"/>
      <w:numFmt w:val="bullet"/>
      <w:lvlText w:val=""/>
      <w:lvlJc w:val="left"/>
      <w:pPr>
        <w:ind w:left="4320" w:hanging="360"/>
      </w:pPr>
      <w:rPr>
        <w:rFonts w:hint="default" w:ascii="Wingdings" w:hAnsi="Wingdings"/>
      </w:rPr>
    </w:lvl>
    <w:lvl w:ilvl="6" w:tplc="E26E531A">
      <w:start w:val="1"/>
      <w:numFmt w:val="bullet"/>
      <w:lvlText w:val=""/>
      <w:lvlJc w:val="left"/>
      <w:pPr>
        <w:ind w:left="5040" w:hanging="360"/>
      </w:pPr>
      <w:rPr>
        <w:rFonts w:hint="default" w:ascii="Symbol" w:hAnsi="Symbol"/>
      </w:rPr>
    </w:lvl>
    <w:lvl w:ilvl="7" w:tplc="A482B4F4">
      <w:start w:val="1"/>
      <w:numFmt w:val="bullet"/>
      <w:lvlText w:val="o"/>
      <w:lvlJc w:val="left"/>
      <w:pPr>
        <w:ind w:left="5760" w:hanging="360"/>
      </w:pPr>
      <w:rPr>
        <w:rFonts w:hint="default" w:ascii="Courier New" w:hAnsi="Courier New"/>
      </w:rPr>
    </w:lvl>
    <w:lvl w:ilvl="8" w:tplc="6BAE624E">
      <w:start w:val="1"/>
      <w:numFmt w:val="bullet"/>
      <w:lvlText w:val=""/>
      <w:lvlJc w:val="left"/>
      <w:pPr>
        <w:ind w:left="6480" w:hanging="360"/>
      </w:pPr>
      <w:rPr>
        <w:rFonts w:hint="default" w:ascii="Wingdings" w:hAnsi="Wingdings"/>
      </w:rPr>
    </w:lvl>
  </w:abstractNum>
  <w:abstractNum w:abstractNumId="6" w15:restartNumberingAfterBreak="0">
    <w:nsid w:val="60AE3A24"/>
    <w:multiLevelType w:val="hybridMultilevel"/>
    <w:tmpl w:val="FFFFFFFF"/>
    <w:lvl w:ilvl="0" w:tplc="BBC88A94">
      <w:start w:val="1"/>
      <w:numFmt w:val="decimal"/>
      <w:lvlText w:val="%1."/>
      <w:lvlJc w:val="left"/>
      <w:pPr>
        <w:ind w:left="720" w:hanging="360"/>
      </w:pPr>
    </w:lvl>
    <w:lvl w:ilvl="1" w:tplc="EAA8AE86">
      <w:start w:val="1"/>
      <w:numFmt w:val="lowerLetter"/>
      <w:lvlText w:val="%2."/>
      <w:lvlJc w:val="left"/>
      <w:pPr>
        <w:ind w:left="1440" w:hanging="360"/>
      </w:pPr>
    </w:lvl>
    <w:lvl w:ilvl="2" w:tplc="F57A04C0">
      <w:start w:val="1"/>
      <w:numFmt w:val="lowerRoman"/>
      <w:lvlText w:val="%3."/>
      <w:lvlJc w:val="right"/>
      <w:pPr>
        <w:ind w:left="2160" w:hanging="180"/>
      </w:pPr>
    </w:lvl>
    <w:lvl w:ilvl="3" w:tplc="A35CA90E">
      <w:start w:val="1"/>
      <w:numFmt w:val="decimal"/>
      <w:lvlText w:val="%4."/>
      <w:lvlJc w:val="left"/>
      <w:pPr>
        <w:ind w:left="2880" w:hanging="360"/>
      </w:pPr>
    </w:lvl>
    <w:lvl w:ilvl="4" w:tplc="2B0A7FE6">
      <w:start w:val="1"/>
      <w:numFmt w:val="lowerLetter"/>
      <w:lvlText w:val="%5."/>
      <w:lvlJc w:val="left"/>
      <w:pPr>
        <w:ind w:left="3600" w:hanging="360"/>
      </w:pPr>
    </w:lvl>
    <w:lvl w:ilvl="5" w:tplc="3FE6B5F4">
      <w:start w:val="1"/>
      <w:numFmt w:val="lowerRoman"/>
      <w:lvlText w:val="%6."/>
      <w:lvlJc w:val="right"/>
      <w:pPr>
        <w:ind w:left="4320" w:hanging="180"/>
      </w:pPr>
    </w:lvl>
    <w:lvl w:ilvl="6" w:tplc="F716ACD2">
      <w:start w:val="1"/>
      <w:numFmt w:val="decimal"/>
      <w:lvlText w:val="%7."/>
      <w:lvlJc w:val="left"/>
      <w:pPr>
        <w:ind w:left="5040" w:hanging="360"/>
      </w:pPr>
    </w:lvl>
    <w:lvl w:ilvl="7" w:tplc="7DF244CA">
      <w:start w:val="1"/>
      <w:numFmt w:val="lowerLetter"/>
      <w:lvlText w:val="%8."/>
      <w:lvlJc w:val="left"/>
      <w:pPr>
        <w:ind w:left="5760" w:hanging="360"/>
      </w:pPr>
    </w:lvl>
    <w:lvl w:ilvl="8" w:tplc="4DAA0708">
      <w:start w:val="1"/>
      <w:numFmt w:val="lowerRoman"/>
      <w:lvlText w:val="%9."/>
      <w:lvlJc w:val="right"/>
      <w:pPr>
        <w:ind w:left="6480" w:hanging="180"/>
      </w:pPr>
    </w:lvl>
  </w:abstractNum>
  <w:abstractNum w:abstractNumId="7" w15:restartNumberingAfterBreak="0">
    <w:nsid w:val="60E2EF43"/>
    <w:multiLevelType w:val="hybridMultilevel"/>
    <w:tmpl w:val="FFFFFFFF"/>
    <w:lvl w:ilvl="0" w:tplc="13C61B0A">
      <w:start w:val="1"/>
      <w:numFmt w:val="bullet"/>
      <w:lvlText w:val=""/>
      <w:lvlJc w:val="left"/>
      <w:pPr>
        <w:ind w:left="720" w:hanging="360"/>
      </w:pPr>
      <w:rPr>
        <w:rFonts w:hint="default" w:ascii="Symbol" w:hAnsi="Symbol"/>
      </w:rPr>
    </w:lvl>
    <w:lvl w:ilvl="1" w:tplc="D84EC84C">
      <w:start w:val="1"/>
      <w:numFmt w:val="bullet"/>
      <w:lvlText w:val="o"/>
      <w:lvlJc w:val="left"/>
      <w:pPr>
        <w:ind w:left="1440" w:hanging="360"/>
      </w:pPr>
      <w:rPr>
        <w:rFonts w:hint="default" w:ascii="Courier New" w:hAnsi="Courier New"/>
      </w:rPr>
    </w:lvl>
    <w:lvl w:ilvl="2" w:tplc="93F46480">
      <w:start w:val="1"/>
      <w:numFmt w:val="bullet"/>
      <w:lvlText w:val=""/>
      <w:lvlJc w:val="left"/>
      <w:pPr>
        <w:ind w:left="2160" w:hanging="360"/>
      </w:pPr>
      <w:rPr>
        <w:rFonts w:hint="default" w:ascii="Wingdings" w:hAnsi="Wingdings"/>
      </w:rPr>
    </w:lvl>
    <w:lvl w:ilvl="3" w:tplc="1E80930C">
      <w:start w:val="1"/>
      <w:numFmt w:val="bullet"/>
      <w:lvlText w:val=""/>
      <w:lvlJc w:val="left"/>
      <w:pPr>
        <w:ind w:left="2880" w:hanging="360"/>
      </w:pPr>
      <w:rPr>
        <w:rFonts w:hint="default" w:ascii="Symbol" w:hAnsi="Symbol"/>
      </w:rPr>
    </w:lvl>
    <w:lvl w:ilvl="4" w:tplc="BC048CCA">
      <w:start w:val="1"/>
      <w:numFmt w:val="bullet"/>
      <w:lvlText w:val="o"/>
      <w:lvlJc w:val="left"/>
      <w:pPr>
        <w:ind w:left="3600" w:hanging="360"/>
      </w:pPr>
      <w:rPr>
        <w:rFonts w:hint="default" w:ascii="Courier New" w:hAnsi="Courier New"/>
      </w:rPr>
    </w:lvl>
    <w:lvl w:ilvl="5" w:tplc="C87CC90A">
      <w:start w:val="1"/>
      <w:numFmt w:val="bullet"/>
      <w:lvlText w:val=""/>
      <w:lvlJc w:val="left"/>
      <w:pPr>
        <w:ind w:left="4320" w:hanging="360"/>
      </w:pPr>
      <w:rPr>
        <w:rFonts w:hint="default" w:ascii="Wingdings" w:hAnsi="Wingdings"/>
      </w:rPr>
    </w:lvl>
    <w:lvl w:ilvl="6" w:tplc="381E3918">
      <w:start w:val="1"/>
      <w:numFmt w:val="bullet"/>
      <w:lvlText w:val=""/>
      <w:lvlJc w:val="left"/>
      <w:pPr>
        <w:ind w:left="5040" w:hanging="360"/>
      </w:pPr>
      <w:rPr>
        <w:rFonts w:hint="default" w:ascii="Symbol" w:hAnsi="Symbol"/>
      </w:rPr>
    </w:lvl>
    <w:lvl w:ilvl="7" w:tplc="B38A4336">
      <w:start w:val="1"/>
      <w:numFmt w:val="bullet"/>
      <w:lvlText w:val="o"/>
      <w:lvlJc w:val="left"/>
      <w:pPr>
        <w:ind w:left="5760" w:hanging="360"/>
      </w:pPr>
      <w:rPr>
        <w:rFonts w:hint="default" w:ascii="Courier New" w:hAnsi="Courier New"/>
      </w:rPr>
    </w:lvl>
    <w:lvl w:ilvl="8" w:tplc="CB68E5BA">
      <w:start w:val="1"/>
      <w:numFmt w:val="bullet"/>
      <w:lvlText w:val=""/>
      <w:lvlJc w:val="left"/>
      <w:pPr>
        <w:ind w:left="6480" w:hanging="360"/>
      </w:pPr>
      <w:rPr>
        <w:rFonts w:hint="default" w:ascii="Wingdings" w:hAnsi="Wingdings"/>
      </w:rPr>
    </w:lvl>
  </w:abstractNum>
  <w:abstractNum w:abstractNumId="8" w15:restartNumberingAfterBreak="0">
    <w:nsid w:val="6716CA22"/>
    <w:multiLevelType w:val="hybridMultilevel"/>
    <w:tmpl w:val="FFFFFFFF"/>
    <w:lvl w:ilvl="0" w:tplc="31785054">
      <w:start w:val="1"/>
      <w:numFmt w:val="bullet"/>
      <w:lvlText w:val=""/>
      <w:lvlJc w:val="left"/>
      <w:pPr>
        <w:ind w:left="720" w:hanging="360"/>
      </w:pPr>
      <w:rPr>
        <w:rFonts w:hint="default" w:ascii="Symbol" w:hAnsi="Symbol"/>
      </w:rPr>
    </w:lvl>
    <w:lvl w:ilvl="1" w:tplc="2312F43E">
      <w:start w:val="1"/>
      <w:numFmt w:val="bullet"/>
      <w:lvlText w:val="o"/>
      <w:lvlJc w:val="left"/>
      <w:pPr>
        <w:ind w:left="1440" w:hanging="360"/>
      </w:pPr>
      <w:rPr>
        <w:rFonts w:hint="default" w:ascii="Courier New" w:hAnsi="Courier New"/>
      </w:rPr>
    </w:lvl>
    <w:lvl w:ilvl="2" w:tplc="890891CC">
      <w:start w:val="1"/>
      <w:numFmt w:val="bullet"/>
      <w:lvlText w:val=""/>
      <w:lvlJc w:val="left"/>
      <w:pPr>
        <w:ind w:left="2160" w:hanging="360"/>
      </w:pPr>
      <w:rPr>
        <w:rFonts w:hint="default" w:ascii="Wingdings" w:hAnsi="Wingdings"/>
      </w:rPr>
    </w:lvl>
    <w:lvl w:ilvl="3" w:tplc="D53053D2">
      <w:start w:val="1"/>
      <w:numFmt w:val="bullet"/>
      <w:lvlText w:val=""/>
      <w:lvlJc w:val="left"/>
      <w:pPr>
        <w:ind w:left="2880" w:hanging="360"/>
      </w:pPr>
      <w:rPr>
        <w:rFonts w:hint="default" w:ascii="Symbol" w:hAnsi="Symbol"/>
      </w:rPr>
    </w:lvl>
    <w:lvl w:ilvl="4" w:tplc="0F1869BA">
      <w:start w:val="1"/>
      <w:numFmt w:val="bullet"/>
      <w:lvlText w:val="o"/>
      <w:lvlJc w:val="left"/>
      <w:pPr>
        <w:ind w:left="3600" w:hanging="360"/>
      </w:pPr>
      <w:rPr>
        <w:rFonts w:hint="default" w:ascii="Courier New" w:hAnsi="Courier New"/>
      </w:rPr>
    </w:lvl>
    <w:lvl w:ilvl="5" w:tplc="A53431D6">
      <w:start w:val="1"/>
      <w:numFmt w:val="bullet"/>
      <w:lvlText w:val=""/>
      <w:lvlJc w:val="left"/>
      <w:pPr>
        <w:ind w:left="4320" w:hanging="360"/>
      </w:pPr>
      <w:rPr>
        <w:rFonts w:hint="default" w:ascii="Wingdings" w:hAnsi="Wingdings"/>
      </w:rPr>
    </w:lvl>
    <w:lvl w:ilvl="6" w:tplc="6B7E235C">
      <w:start w:val="1"/>
      <w:numFmt w:val="bullet"/>
      <w:lvlText w:val=""/>
      <w:lvlJc w:val="left"/>
      <w:pPr>
        <w:ind w:left="5040" w:hanging="360"/>
      </w:pPr>
      <w:rPr>
        <w:rFonts w:hint="default" w:ascii="Symbol" w:hAnsi="Symbol"/>
      </w:rPr>
    </w:lvl>
    <w:lvl w:ilvl="7" w:tplc="012C5A5C">
      <w:start w:val="1"/>
      <w:numFmt w:val="bullet"/>
      <w:lvlText w:val="o"/>
      <w:lvlJc w:val="left"/>
      <w:pPr>
        <w:ind w:left="5760" w:hanging="360"/>
      </w:pPr>
      <w:rPr>
        <w:rFonts w:hint="default" w:ascii="Courier New" w:hAnsi="Courier New"/>
      </w:rPr>
    </w:lvl>
    <w:lvl w:ilvl="8" w:tplc="EE0E3886">
      <w:start w:val="1"/>
      <w:numFmt w:val="bullet"/>
      <w:lvlText w:val=""/>
      <w:lvlJc w:val="left"/>
      <w:pPr>
        <w:ind w:left="6480" w:hanging="360"/>
      </w:pPr>
      <w:rPr>
        <w:rFonts w:hint="default" w:ascii="Wingdings" w:hAnsi="Wingdings"/>
      </w:rPr>
    </w:lvl>
  </w:abstractNum>
  <w:abstractNum w:abstractNumId="9" w15:restartNumberingAfterBreak="0">
    <w:nsid w:val="736D1219"/>
    <w:multiLevelType w:val="hybridMultilevel"/>
    <w:tmpl w:val="FFFFFFFF"/>
    <w:lvl w:ilvl="0" w:tplc="90F4503A">
      <w:start w:val="1"/>
      <w:numFmt w:val="bullet"/>
      <w:lvlText w:val=""/>
      <w:lvlJc w:val="left"/>
      <w:pPr>
        <w:ind w:left="720" w:hanging="360"/>
      </w:pPr>
      <w:rPr>
        <w:rFonts w:hint="default" w:ascii="Symbol" w:hAnsi="Symbol"/>
      </w:rPr>
    </w:lvl>
    <w:lvl w:ilvl="1" w:tplc="53F69C6C">
      <w:start w:val="1"/>
      <w:numFmt w:val="bullet"/>
      <w:lvlText w:val="o"/>
      <w:lvlJc w:val="left"/>
      <w:pPr>
        <w:ind w:left="1440" w:hanging="360"/>
      </w:pPr>
      <w:rPr>
        <w:rFonts w:hint="default" w:ascii="Courier New" w:hAnsi="Courier New"/>
      </w:rPr>
    </w:lvl>
    <w:lvl w:ilvl="2" w:tplc="85661130">
      <w:start w:val="1"/>
      <w:numFmt w:val="bullet"/>
      <w:lvlText w:val=""/>
      <w:lvlJc w:val="left"/>
      <w:pPr>
        <w:ind w:left="2160" w:hanging="360"/>
      </w:pPr>
      <w:rPr>
        <w:rFonts w:hint="default" w:ascii="Wingdings" w:hAnsi="Wingdings"/>
      </w:rPr>
    </w:lvl>
    <w:lvl w:ilvl="3" w:tplc="A8C05818">
      <w:start w:val="1"/>
      <w:numFmt w:val="bullet"/>
      <w:lvlText w:val=""/>
      <w:lvlJc w:val="left"/>
      <w:pPr>
        <w:ind w:left="2880" w:hanging="360"/>
      </w:pPr>
      <w:rPr>
        <w:rFonts w:hint="default" w:ascii="Symbol" w:hAnsi="Symbol"/>
      </w:rPr>
    </w:lvl>
    <w:lvl w:ilvl="4" w:tplc="0590CEBA">
      <w:start w:val="1"/>
      <w:numFmt w:val="bullet"/>
      <w:lvlText w:val="o"/>
      <w:lvlJc w:val="left"/>
      <w:pPr>
        <w:ind w:left="3600" w:hanging="360"/>
      </w:pPr>
      <w:rPr>
        <w:rFonts w:hint="default" w:ascii="Courier New" w:hAnsi="Courier New"/>
      </w:rPr>
    </w:lvl>
    <w:lvl w:ilvl="5" w:tplc="37A086AA">
      <w:start w:val="1"/>
      <w:numFmt w:val="bullet"/>
      <w:lvlText w:val=""/>
      <w:lvlJc w:val="left"/>
      <w:pPr>
        <w:ind w:left="4320" w:hanging="360"/>
      </w:pPr>
      <w:rPr>
        <w:rFonts w:hint="default" w:ascii="Wingdings" w:hAnsi="Wingdings"/>
      </w:rPr>
    </w:lvl>
    <w:lvl w:ilvl="6" w:tplc="BF3AB386">
      <w:start w:val="1"/>
      <w:numFmt w:val="bullet"/>
      <w:lvlText w:val=""/>
      <w:lvlJc w:val="left"/>
      <w:pPr>
        <w:ind w:left="5040" w:hanging="360"/>
      </w:pPr>
      <w:rPr>
        <w:rFonts w:hint="default" w:ascii="Symbol" w:hAnsi="Symbol"/>
      </w:rPr>
    </w:lvl>
    <w:lvl w:ilvl="7" w:tplc="8E40ACAA">
      <w:start w:val="1"/>
      <w:numFmt w:val="bullet"/>
      <w:lvlText w:val="o"/>
      <w:lvlJc w:val="left"/>
      <w:pPr>
        <w:ind w:left="5760" w:hanging="360"/>
      </w:pPr>
      <w:rPr>
        <w:rFonts w:hint="default" w:ascii="Courier New" w:hAnsi="Courier New"/>
      </w:rPr>
    </w:lvl>
    <w:lvl w:ilvl="8" w:tplc="82EAED9C">
      <w:start w:val="1"/>
      <w:numFmt w:val="bullet"/>
      <w:lvlText w:val=""/>
      <w:lvlJc w:val="left"/>
      <w:pPr>
        <w:ind w:left="6480" w:hanging="360"/>
      </w:pPr>
      <w:rPr>
        <w:rFonts w:hint="default" w:ascii="Wingdings" w:hAnsi="Wingdings"/>
      </w:rPr>
    </w:lvl>
  </w:abstractNum>
  <w:abstractNum w:abstractNumId="10" w15:restartNumberingAfterBreak="0">
    <w:nsid w:val="7516FB2C"/>
    <w:multiLevelType w:val="hybridMultilevel"/>
    <w:tmpl w:val="FFFFFFFF"/>
    <w:lvl w:ilvl="0" w:tplc="F942EEE4">
      <w:start w:val="1"/>
      <w:numFmt w:val="bullet"/>
      <w:lvlText w:val=""/>
      <w:lvlJc w:val="left"/>
      <w:pPr>
        <w:ind w:left="720" w:hanging="360"/>
      </w:pPr>
      <w:rPr>
        <w:rFonts w:hint="default" w:ascii="Symbol" w:hAnsi="Symbol"/>
      </w:rPr>
    </w:lvl>
    <w:lvl w:ilvl="1" w:tplc="61AA1DA0">
      <w:start w:val="1"/>
      <w:numFmt w:val="bullet"/>
      <w:lvlText w:val="o"/>
      <w:lvlJc w:val="left"/>
      <w:pPr>
        <w:ind w:left="1440" w:hanging="360"/>
      </w:pPr>
      <w:rPr>
        <w:rFonts w:hint="default" w:ascii="Courier New" w:hAnsi="Courier New"/>
      </w:rPr>
    </w:lvl>
    <w:lvl w:ilvl="2" w:tplc="E2BE509C">
      <w:start w:val="1"/>
      <w:numFmt w:val="bullet"/>
      <w:lvlText w:val=""/>
      <w:lvlJc w:val="left"/>
      <w:pPr>
        <w:ind w:left="2160" w:hanging="360"/>
      </w:pPr>
      <w:rPr>
        <w:rFonts w:hint="default" w:ascii="Wingdings" w:hAnsi="Wingdings"/>
      </w:rPr>
    </w:lvl>
    <w:lvl w:ilvl="3" w:tplc="F38E1ED6">
      <w:start w:val="1"/>
      <w:numFmt w:val="bullet"/>
      <w:lvlText w:val=""/>
      <w:lvlJc w:val="left"/>
      <w:pPr>
        <w:ind w:left="2880" w:hanging="360"/>
      </w:pPr>
      <w:rPr>
        <w:rFonts w:hint="default" w:ascii="Symbol" w:hAnsi="Symbol"/>
      </w:rPr>
    </w:lvl>
    <w:lvl w:ilvl="4" w:tplc="546C3E7E">
      <w:start w:val="1"/>
      <w:numFmt w:val="bullet"/>
      <w:lvlText w:val="o"/>
      <w:lvlJc w:val="left"/>
      <w:pPr>
        <w:ind w:left="3600" w:hanging="360"/>
      </w:pPr>
      <w:rPr>
        <w:rFonts w:hint="default" w:ascii="Courier New" w:hAnsi="Courier New"/>
      </w:rPr>
    </w:lvl>
    <w:lvl w:ilvl="5" w:tplc="C2E07F58">
      <w:start w:val="1"/>
      <w:numFmt w:val="bullet"/>
      <w:lvlText w:val=""/>
      <w:lvlJc w:val="left"/>
      <w:pPr>
        <w:ind w:left="4320" w:hanging="360"/>
      </w:pPr>
      <w:rPr>
        <w:rFonts w:hint="default" w:ascii="Wingdings" w:hAnsi="Wingdings"/>
      </w:rPr>
    </w:lvl>
    <w:lvl w:ilvl="6" w:tplc="F50675B0">
      <w:start w:val="1"/>
      <w:numFmt w:val="bullet"/>
      <w:lvlText w:val=""/>
      <w:lvlJc w:val="left"/>
      <w:pPr>
        <w:ind w:left="5040" w:hanging="360"/>
      </w:pPr>
      <w:rPr>
        <w:rFonts w:hint="default" w:ascii="Symbol" w:hAnsi="Symbol"/>
      </w:rPr>
    </w:lvl>
    <w:lvl w:ilvl="7" w:tplc="692EA1C6">
      <w:start w:val="1"/>
      <w:numFmt w:val="bullet"/>
      <w:lvlText w:val="o"/>
      <w:lvlJc w:val="left"/>
      <w:pPr>
        <w:ind w:left="5760" w:hanging="360"/>
      </w:pPr>
      <w:rPr>
        <w:rFonts w:hint="default" w:ascii="Courier New" w:hAnsi="Courier New"/>
      </w:rPr>
    </w:lvl>
    <w:lvl w:ilvl="8" w:tplc="C2528010">
      <w:start w:val="1"/>
      <w:numFmt w:val="bullet"/>
      <w:lvlText w:val=""/>
      <w:lvlJc w:val="left"/>
      <w:pPr>
        <w:ind w:left="6480" w:hanging="360"/>
      </w:pPr>
      <w:rPr>
        <w:rFonts w:hint="default" w:ascii="Wingdings" w:hAnsi="Wingdings"/>
      </w:rPr>
    </w:lvl>
  </w:abstractNum>
  <w:abstractNum w:abstractNumId="11" w15:restartNumberingAfterBreak="0">
    <w:nsid w:val="7D029FFF"/>
    <w:multiLevelType w:val="hybridMultilevel"/>
    <w:tmpl w:val="FFFFFFFF"/>
    <w:lvl w:ilvl="0" w:tplc="6C6E482C">
      <w:start w:val="1"/>
      <w:numFmt w:val="decimal"/>
      <w:lvlText w:val="%1."/>
      <w:lvlJc w:val="left"/>
      <w:pPr>
        <w:ind w:left="720" w:hanging="360"/>
      </w:pPr>
    </w:lvl>
    <w:lvl w:ilvl="1" w:tplc="559E0478">
      <w:start w:val="1"/>
      <w:numFmt w:val="lowerLetter"/>
      <w:lvlText w:val="%2."/>
      <w:lvlJc w:val="left"/>
      <w:pPr>
        <w:ind w:left="1440" w:hanging="360"/>
      </w:pPr>
    </w:lvl>
    <w:lvl w:ilvl="2" w:tplc="BEDC9B5C">
      <w:start w:val="1"/>
      <w:numFmt w:val="lowerRoman"/>
      <w:lvlText w:val="%3."/>
      <w:lvlJc w:val="right"/>
      <w:pPr>
        <w:ind w:left="2160" w:hanging="180"/>
      </w:pPr>
    </w:lvl>
    <w:lvl w:ilvl="3" w:tplc="AD0E8EAE">
      <w:start w:val="1"/>
      <w:numFmt w:val="decimal"/>
      <w:lvlText w:val="%4."/>
      <w:lvlJc w:val="left"/>
      <w:pPr>
        <w:ind w:left="2880" w:hanging="360"/>
      </w:pPr>
    </w:lvl>
    <w:lvl w:ilvl="4" w:tplc="5372C282">
      <w:start w:val="1"/>
      <w:numFmt w:val="lowerLetter"/>
      <w:lvlText w:val="%5."/>
      <w:lvlJc w:val="left"/>
      <w:pPr>
        <w:ind w:left="3600" w:hanging="360"/>
      </w:pPr>
    </w:lvl>
    <w:lvl w:ilvl="5" w:tplc="96302820">
      <w:start w:val="1"/>
      <w:numFmt w:val="lowerRoman"/>
      <w:lvlText w:val="%6."/>
      <w:lvlJc w:val="right"/>
      <w:pPr>
        <w:ind w:left="4320" w:hanging="180"/>
      </w:pPr>
    </w:lvl>
    <w:lvl w:ilvl="6" w:tplc="9924A1F2">
      <w:start w:val="1"/>
      <w:numFmt w:val="decimal"/>
      <w:lvlText w:val="%7."/>
      <w:lvlJc w:val="left"/>
      <w:pPr>
        <w:ind w:left="5040" w:hanging="360"/>
      </w:pPr>
    </w:lvl>
    <w:lvl w:ilvl="7" w:tplc="2A046986">
      <w:start w:val="1"/>
      <w:numFmt w:val="lowerLetter"/>
      <w:lvlText w:val="%8."/>
      <w:lvlJc w:val="left"/>
      <w:pPr>
        <w:ind w:left="5760" w:hanging="360"/>
      </w:pPr>
    </w:lvl>
    <w:lvl w:ilvl="8" w:tplc="C3204490">
      <w:start w:val="1"/>
      <w:numFmt w:val="lowerRoman"/>
      <w:lvlText w:val="%9."/>
      <w:lvlJc w:val="right"/>
      <w:pPr>
        <w:ind w:left="6480" w:hanging="180"/>
      </w:pPr>
    </w:lvl>
  </w:abstractNum>
  <w:abstractNum w:abstractNumId="12" w15:restartNumberingAfterBreak="0">
    <w:nsid w:val="7ECE0339"/>
    <w:multiLevelType w:val="hybridMultilevel"/>
    <w:tmpl w:val="FFFFFFFF"/>
    <w:lvl w:ilvl="0" w:tplc="5694CC0C">
      <w:start w:val="1"/>
      <w:numFmt w:val="decimal"/>
      <w:lvlText w:val="%1."/>
      <w:lvlJc w:val="left"/>
      <w:pPr>
        <w:ind w:left="720" w:hanging="360"/>
      </w:pPr>
    </w:lvl>
    <w:lvl w:ilvl="1" w:tplc="5CB6436A">
      <w:start w:val="1"/>
      <w:numFmt w:val="lowerLetter"/>
      <w:lvlText w:val="%2."/>
      <w:lvlJc w:val="left"/>
      <w:pPr>
        <w:ind w:left="1440" w:hanging="360"/>
      </w:pPr>
    </w:lvl>
    <w:lvl w:ilvl="2" w:tplc="9C260292">
      <w:start w:val="1"/>
      <w:numFmt w:val="lowerRoman"/>
      <w:lvlText w:val="%3."/>
      <w:lvlJc w:val="right"/>
      <w:pPr>
        <w:ind w:left="2160" w:hanging="180"/>
      </w:pPr>
    </w:lvl>
    <w:lvl w:ilvl="3" w:tplc="08B0B8B0">
      <w:start w:val="1"/>
      <w:numFmt w:val="decimal"/>
      <w:lvlText w:val="%4."/>
      <w:lvlJc w:val="left"/>
      <w:pPr>
        <w:ind w:left="2880" w:hanging="360"/>
      </w:pPr>
    </w:lvl>
    <w:lvl w:ilvl="4" w:tplc="F1BC6442">
      <w:start w:val="1"/>
      <w:numFmt w:val="lowerLetter"/>
      <w:lvlText w:val="%5."/>
      <w:lvlJc w:val="left"/>
      <w:pPr>
        <w:ind w:left="3600" w:hanging="360"/>
      </w:pPr>
    </w:lvl>
    <w:lvl w:ilvl="5" w:tplc="C9A42DD0">
      <w:start w:val="1"/>
      <w:numFmt w:val="lowerRoman"/>
      <w:lvlText w:val="%6."/>
      <w:lvlJc w:val="right"/>
      <w:pPr>
        <w:ind w:left="4320" w:hanging="180"/>
      </w:pPr>
    </w:lvl>
    <w:lvl w:ilvl="6" w:tplc="0BCE24A0">
      <w:start w:val="1"/>
      <w:numFmt w:val="decimal"/>
      <w:lvlText w:val="%7."/>
      <w:lvlJc w:val="left"/>
      <w:pPr>
        <w:ind w:left="5040" w:hanging="360"/>
      </w:pPr>
    </w:lvl>
    <w:lvl w:ilvl="7" w:tplc="94C82870">
      <w:start w:val="1"/>
      <w:numFmt w:val="lowerLetter"/>
      <w:lvlText w:val="%8."/>
      <w:lvlJc w:val="left"/>
      <w:pPr>
        <w:ind w:left="5760" w:hanging="360"/>
      </w:pPr>
    </w:lvl>
    <w:lvl w:ilvl="8" w:tplc="A6D24588">
      <w:start w:val="1"/>
      <w:numFmt w:val="lowerRoman"/>
      <w:lvlText w:val="%9."/>
      <w:lvlJc w:val="right"/>
      <w:pPr>
        <w:ind w:left="6480" w:hanging="180"/>
      </w:pPr>
    </w:lvl>
  </w:abstractNum>
  <w:num w:numId="14">
    <w:abstractNumId w:val="13"/>
  </w:num>
  <w:num w:numId="1" w16cid:durableId="1095975351">
    <w:abstractNumId w:val="12"/>
  </w:num>
  <w:num w:numId="2" w16cid:durableId="1317996394">
    <w:abstractNumId w:val="2"/>
  </w:num>
  <w:num w:numId="3" w16cid:durableId="138809024">
    <w:abstractNumId w:val="4"/>
  </w:num>
  <w:num w:numId="4" w16cid:durableId="1639534328">
    <w:abstractNumId w:val="5"/>
  </w:num>
  <w:num w:numId="5" w16cid:durableId="1701588905">
    <w:abstractNumId w:val="3"/>
  </w:num>
  <w:num w:numId="6" w16cid:durableId="189951264">
    <w:abstractNumId w:val="9"/>
  </w:num>
  <w:num w:numId="7" w16cid:durableId="243731751">
    <w:abstractNumId w:val="6"/>
  </w:num>
  <w:num w:numId="8" w16cid:durableId="310134557">
    <w:abstractNumId w:val="0"/>
  </w:num>
  <w:num w:numId="9" w16cid:durableId="405493273">
    <w:abstractNumId w:val="1"/>
  </w:num>
  <w:num w:numId="10" w16cid:durableId="445394665">
    <w:abstractNumId w:val="7"/>
  </w:num>
  <w:num w:numId="11" w16cid:durableId="459110276">
    <w:abstractNumId w:val="11"/>
  </w:num>
  <w:num w:numId="12" w16cid:durableId="681320879">
    <w:abstractNumId w:val="10"/>
  </w:num>
  <w:num w:numId="13" w16cid:durableId="8706115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E7F1F2"/>
    <w:rsid w:val="000439CD"/>
    <w:rsid w:val="00095587"/>
    <w:rsid w:val="000A2DB7"/>
    <w:rsid w:val="000D42AB"/>
    <w:rsid w:val="000E141C"/>
    <w:rsid w:val="00143313"/>
    <w:rsid w:val="0016382D"/>
    <w:rsid w:val="001E20B9"/>
    <w:rsid w:val="0022303A"/>
    <w:rsid w:val="002F27B8"/>
    <w:rsid w:val="00314817"/>
    <w:rsid w:val="00341C82"/>
    <w:rsid w:val="003E5A55"/>
    <w:rsid w:val="004267B7"/>
    <w:rsid w:val="00443FA0"/>
    <w:rsid w:val="0045006D"/>
    <w:rsid w:val="0045426E"/>
    <w:rsid w:val="00456B2A"/>
    <w:rsid w:val="004666BA"/>
    <w:rsid w:val="00474E70"/>
    <w:rsid w:val="00488F8F"/>
    <w:rsid w:val="004B15B5"/>
    <w:rsid w:val="004F21DF"/>
    <w:rsid w:val="004F66C1"/>
    <w:rsid w:val="00531B01"/>
    <w:rsid w:val="00574613"/>
    <w:rsid w:val="00631CCE"/>
    <w:rsid w:val="006D16DA"/>
    <w:rsid w:val="007F18B9"/>
    <w:rsid w:val="008314BA"/>
    <w:rsid w:val="00867D47"/>
    <w:rsid w:val="0087DD33"/>
    <w:rsid w:val="0088121E"/>
    <w:rsid w:val="00897D70"/>
    <w:rsid w:val="008A58AF"/>
    <w:rsid w:val="008D7BAC"/>
    <w:rsid w:val="0091588A"/>
    <w:rsid w:val="0099D7B2"/>
    <w:rsid w:val="00A66272"/>
    <w:rsid w:val="00AF0145"/>
    <w:rsid w:val="00B03240"/>
    <w:rsid w:val="00B2576E"/>
    <w:rsid w:val="00BC6ABB"/>
    <w:rsid w:val="00C51B71"/>
    <w:rsid w:val="00C7640B"/>
    <w:rsid w:val="00CD00D2"/>
    <w:rsid w:val="00DA0B89"/>
    <w:rsid w:val="00E16B2D"/>
    <w:rsid w:val="00E8135F"/>
    <w:rsid w:val="00EF76D8"/>
    <w:rsid w:val="00F57B26"/>
    <w:rsid w:val="00F77E09"/>
    <w:rsid w:val="00F8583E"/>
    <w:rsid w:val="01013B15"/>
    <w:rsid w:val="010B1C2E"/>
    <w:rsid w:val="0114AB39"/>
    <w:rsid w:val="011A9B87"/>
    <w:rsid w:val="016E0AD2"/>
    <w:rsid w:val="01750FB9"/>
    <w:rsid w:val="019F54DD"/>
    <w:rsid w:val="01A29D58"/>
    <w:rsid w:val="01B8C42E"/>
    <w:rsid w:val="021AF55F"/>
    <w:rsid w:val="021B29D3"/>
    <w:rsid w:val="02338334"/>
    <w:rsid w:val="0277B889"/>
    <w:rsid w:val="027EBCBE"/>
    <w:rsid w:val="02823652"/>
    <w:rsid w:val="02B2D027"/>
    <w:rsid w:val="0319BE1E"/>
    <w:rsid w:val="0371BA16"/>
    <w:rsid w:val="03A6E866"/>
    <w:rsid w:val="03CC45F3"/>
    <w:rsid w:val="03D64F4F"/>
    <w:rsid w:val="04217A7F"/>
    <w:rsid w:val="0493A3D2"/>
    <w:rsid w:val="04A34502"/>
    <w:rsid w:val="04D6E919"/>
    <w:rsid w:val="04F96EAF"/>
    <w:rsid w:val="04FABD5A"/>
    <w:rsid w:val="05454446"/>
    <w:rsid w:val="054987FA"/>
    <w:rsid w:val="05624319"/>
    <w:rsid w:val="05AB13D0"/>
    <w:rsid w:val="05F94C0D"/>
    <w:rsid w:val="0600958F"/>
    <w:rsid w:val="067B28D4"/>
    <w:rsid w:val="0697B020"/>
    <w:rsid w:val="06A06B7E"/>
    <w:rsid w:val="072D9BF9"/>
    <w:rsid w:val="073FD6CD"/>
    <w:rsid w:val="074BB4FA"/>
    <w:rsid w:val="07751153"/>
    <w:rsid w:val="07932B3B"/>
    <w:rsid w:val="07B6187D"/>
    <w:rsid w:val="07DCB050"/>
    <w:rsid w:val="07F4C181"/>
    <w:rsid w:val="08081FDF"/>
    <w:rsid w:val="08139BD7"/>
    <w:rsid w:val="08A51E87"/>
    <w:rsid w:val="08D89A80"/>
    <w:rsid w:val="08DE5024"/>
    <w:rsid w:val="08F86CA6"/>
    <w:rsid w:val="08FEFCA0"/>
    <w:rsid w:val="091414A2"/>
    <w:rsid w:val="0934DE7E"/>
    <w:rsid w:val="09359B66"/>
    <w:rsid w:val="09617A93"/>
    <w:rsid w:val="09651BF2"/>
    <w:rsid w:val="0984FAB2"/>
    <w:rsid w:val="09A0B338"/>
    <w:rsid w:val="09D004F3"/>
    <w:rsid w:val="09E073F9"/>
    <w:rsid w:val="09E5D23E"/>
    <w:rsid w:val="0A0E940E"/>
    <w:rsid w:val="0A39FC19"/>
    <w:rsid w:val="0A509D1A"/>
    <w:rsid w:val="0A88EF84"/>
    <w:rsid w:val="0A96268B"/>
    <w:rsid w:val="0AC2F233"/>
    <w:rsid w:val="0AC67922"/>
    <w:rsid w:val="0ACE0360"/>
    <w:rsid w:val="0B0B638E"/>
    <w:rsid w:val="0BA9C8B3"/>
    <w:rsid w:val="0BE4168A"/>
    <w:rsid w:val="0C13E7D1"/>
    <w:rsid w:val="0C5430C9"/>
    <w:rsid w:val="0C5B8CFF"/>
    <w:rsid w:val="0C7A194E"/>
    <w:rsid w:val="0D192102"/>
    <w:rsid w:val="0D21B1F4"/>
    <w:rsid w:val="0D91A8AF"/>
    <w:rsid w:val="0DEC8B0D"/>
    <w:rsid w:val="0E015AB6"/>
    <w:rsid w:val="0E62D200"/>
    <w:rsid w:val="0E91C354"/>
    <w:rsid w:val="0EDCA008"/>
    <w:rsid w:val="0EE9F31C"/>
    <w:rsid w:val="0F0F795B"/>
    <w:rsid w:val="0F420A03"/>
    <w:rsid w:val="0F625856"/>
    <w:rsid w:val="0F96D8F0"/>
    <w:rsid w:val="0FB6A248"/>
    <w:rsid w:val="0FC0A372"/>
    <w:rsid w:val="0FE75820"/>
    <w:rsid w:val="0FF256C2"/>
    <w:rsid w:val="1005F48F"/>
    <w:rsid w:val="10176E01"/>
    <w:rsid w:val="1018C754"/>
    <w:rsid w:val="105AC48C"/>
    <w:rsid w:val="10666E14"/>
    <w:rsid w:val="108228E3"/>
    <w:rsid w:val="10834478"/>
    <w:rsid w:val="1083C141"/>
    <w:rsid w:val="10867A96"/>
    <w:rsid w:val="10892788"/>
    <w:rsid w:val="10E8584F"/>
    <w:rsid w:val="1108F031"/>
    <w:rsid w:val="11139A7D"/>
    <w:rsid w:val="111F4ADA"/>
    <w:rsid w:val="1141138C"/>
    <w:rsid w:val="114DD68B"/>
    <w:rsid w:val="11C79AA5"/>
    <w:rsid w:val="1201F3AC"/>
    <w:rsid w:val="124A87BB"/>
    <w:rsid w:val="1284CF3C"/>
    <w:rsid w:val="12BE0CBB"/>
    <w:rsid w:val="12BFD695"/>
    <w:rsid w:val="12CFAA2C"/>
    <w:rsid w:val="1303A17A"/>
    <w:rsid w:val="13067DEA"/>
    <w:rsid w:val="133A5ACA"/>
    <w:rsid w:val="133FD838"/>
    <w:rsid w:val="13508779"/>
    <w:rsid w:val="13539FFA"/>
    <w:rsid w:val="138FF192"/>
    <w:rsid w:val="13C36D3A"/>
    <w:rsid w:val="13E24630"/>
    <w:rsid w:val="13E3EEE3"/>
    <w:rsid w:val="13FCD104"/>
    <w:rsid w:val="1468347E"/>
    <w:rsid w:val="146899DE"/>
    <w:rsid w:val="146E9E77"/>
    <w:rsid w:val="148FA1D3"/>
    <w:rsid w:val="14CB61A1"/>
    <w:rsid w:val="14D0B126"/>
    <w:rsid w:val="14DDE63F"/>
    <w:rsid w:val="14F50F58"/>
    <w:rsid w:val="153DA753"/>
    <w:rsid w:val="153FC9DB"/>
    <w:rsid w:val="1540DA82"/>
    <w:rsid w:val="155D001C"/>
    <w:rsid w:val="15732891"/>
    <w:rsid w:val="15913CEF"/>
    <w:rsid w:val="1595536B"/>
    <w:rsid w:val="15A5FA91"/>
    <w:rsid w:val="15B0333F"/>
    <w:rsid w:val="1640B46E"/>
    <w:rsid w:val="164692DD"/>
    <w:rsid w:val="166CEE71"/>
    <w:rsid w:val="168D1C32"/>
    <w:rsid w:val="175829D6"/>
    <w:rsid w:val="17893BD2"/>
    <w:rsid w:val="17A1A8E8"/>
    <w:rsid w:val="17BB6780"/>
    <w:rsid w:val="17E82ECE"/>
    <w:rsid w:val="1812FA42"/>
    <w:rsid w:val="183EDED0"/>
    <w:rsid w:val="186F0E11"/>
    <w:rsid w:val="18794AE9"/>
    <w:rsid w:val="188E0E2E"/>
    <w:rsid w:val="189505ED"/>
    <w:rsid w:val="18A46912"/>
    <w:rsid w:val="18D121B6"/>
    <w:rsid w:val="191304D6"/>
    <w:rsid w:val="19142789"/>
    <w:rsid w:val="19167ED7"/>
    <w:rsid w:val="191C686E"/>
    <w:rsid w:val="196C99BF"/>
    <w:rsid w:val="196EB194"/>
    <w:rsid w:val="19A00EA7"/>
    <w:rsid w:val="19D96EBF"/>
    <w:rsid w:val="19EB1823"/>
    <w:rsid w:val="1A299C60"/>
    <w:rsid w:val="1A358B65"/>
    <w:rsid w:val="1A4074FB"/>
    <w:rsid w:val="1A569945"/>
    <w:rsid w:val="1AB005E3"/>
    <w:rsid w:val="1ACF1F4E"/>
    <w:rsid w:val="1AF3B953"/>
    <w:rsid w:val="1AFB11A7"/>
    <w:rsid w:val="1B37856C"/>
    <w:rsid w:val="1B4E885E"/>
    <w:rsid w:val="1B5DC1A6"/>
    <w:rsid w:val="1B71CD99"/>
    <w:rsid w:val="1B8F88BA"/>
    <w:rsid w:val="1BE754A6"/>
    <w:rsid w:val="1BFB66A5"/>
    <w:rsid w:val="1C0ECEB7"/>
    <w:rsid w:val="1C371C29"/>
    <w:rsid w:val="1C3E6E5B"/>
    <w:rsid w:val="1C3F6F86"/>
    <w:rsid w:val="1C583028"/>
    <w:rsid w:val="1CB0FD22"/>
    <w:rsid w:val="1CBF9750"/>
    <w:rsid w:val="1D184A95"/>
    <w:rsid w:val="1D1B6331"/>
    <w:rsid w:val="1D30512A"/>
    <w:rsid w:val="1D3A4DD4"/>
    <w:rsid w:val="1D44B0BF"/>
    <w:rsid w:val="1D7B7EDE"/>
    <w:rsid w:val="1DE09438"/>
    <w:rsid w:val="1DE5490C"/>
    <w:rsid w:val="1DF6313B"/>
    <w:rsid w:val="1E2D50F2"/>
    <w:rsid w:val="1E43646C"/>
    <w:rsid w:val="1E5C48F2"/>
    <w:rsid w:val="1E6C4B97"/>
    <w:rsid w:val="1E748FC2"/>
    <w:rsid w:val="1E75AEE6"/>
    <w:rsid w:val="1EA546F3"/>
    <w:rsid w:val="1EB16FD9"/>
    <w:rsid w:val="1ED82974"/>
    <w:rsid w:val="1EE05469"/>
    <w:rsid w:val="1F0C3427"/>
    <w:rsid w:val="1F24C90F"/>
    <w:rsid w:val="1F4B9EAF"/>
    <w:rsid w:val="1FA623A8"/>
    <w:rsid w:val="1FB382A7"/>
    <w:rsid w:val="1FB3C9C9"/>
    <w:rsid w:val="1FBCF3E9"/>
    <w:rsid w:val="1FC0AA87"/>
    <w:rsid w:val="1FD22636"/>
    <w:rsid w:val="1FEA263E"/>
    <w:rsid w:val="1FEF54B5"/>
    <w:rsid w:val="2026600A"/>
    <w:rsid w:val="207C44C3"/>
    <w:rsid w:val="20BB5B7C"/>
    <w:rsid w:val="20D522D9"/>
    <w:rsid w:val="2112F2AD"/>
    <w:rsid w:val="2117EAD6"/>
    <w:rsid w:val="2161590C"/>
    <w:rsid w:val="2162A90E"/>
    <w:rsid w:val="216FCC18"/>
    <w:rsid w:val="21789B67"/>
    <w:rsid w:val="218411ED"/>
    <w:rsid w:val="21974BDC"/>
    <w:rsid w:val="21BF2E70"/>
    <w:rsid w:val="21D688A5"/>
    <w:rsid w:val="2219497A"/>
    <w:rsid w:val="221BE712"/>
    <w:rsid w:val="2222A49E"/>
    <w:rsid w:val="22A494FF"/>
    <w:rsid w:val="22CDC097"/>
    <w:rsid w:val="22FB058F"/>
    <w:rsid w:val="233F8CBC"/>
    <w:rsid w:val="23456408"/>
    <w:rsid w:val="236BAEE3"/>
    <w:rsid w:val="236C1E19"/>
    <w:rsid w:val="23701002"/>
    <w:rsid w:val="23C6D415"/>
    <w:rsid w:val="241FE257"/>
    <w:rsid w:val="243C690F"/>
    <w:rsid w:val="24468158"/>
    <w:rsid w:val="2456088A"/>
    <w:rsid w:val="248AD4D1"/>
    <w:rsid w:val="248F6022"/>
    <w:rsid w:val="24A564C8"/>
    <w:rsid w:val="24BA4BA5"/>
    <w:rsid w:val="24C23994"/>
    <w:rsid w:val="24DA38D9"/>
    <w:rsid w:val="25016313"/>
    <w:rsid w:val="25235E73"/>
    <w:rsid w:val="252BE16C"/>
    <w:rsid w:val="25317287"/>
    <w:rsid w:val="2572D376"/>
    <w:rsid w:val="2588ACFD"/>
    <w:rsid w:val="259F0B52"/>
    <w:rsid w:val="25ADEF94"/>
    <w:rsid w:val="25B57336"/>
    <w:rsid w:val="25BC072A"/>
    <w:rsid w:val="25D6D41F"/>
    <w:rsid w:val="25EAE165"/>
    <w:rsid w:val="262B6660"/>
    <w:rsid w:val="2647E3A1"/>
    <w:rsid w:val="265ACE68"/>
    <w:rsid w:val="2696149B"/>
    <w:rsid w:val="26AAC193"/>
    <w:rsid w:val="26F8E5A4"/>
    <w:rsid w:val="2734C9C6"/>
    <w:rsid w:val="2743B940"/>
    <w:rsid w:val="2751975A"/>
    <w:rsid w:val="277A22EE"/>
    <w:rsid w:val="2796568C"/>
    <w:rsid w:val="27BAF003"/>
    <w:rsid w:val="27C642F2"/>
    <w:rsid w:val="27D0F93A"/>
    <w:rsid w:val="27EEC4C7"/>
    <w:rsid w:val="27FF722B"/>
    <w:rsid w:val="2807A4B0"/>
    <w:rsid w:val="2827FB3B"/>
    <w:rsid w:val="28321EC8"/>
    <w:rsid w:val="284266D1"/>
    <w:rsid w:val="28672EFA"/>
    <w:rsid w:val="28729219"/>
    <w:rsid w:val="2879517E"/>
    <w:rsid w:val="289B1BBE"/>
    <w:rsid w:val="289F2DCA"/>
    <w:rsid w:val="2908EF3E"/>
    <w:rsid w:val="29208C2D"/>
    <w:rsid w:val="293B0D98"/>
    <w:rsid w:val="29757196"/>
    <w:rsid w:val="2975F8D9"/>
    <w:rsid w:val="2A1BD48D"/>
    <w:rsid w:val="2A24A051"/>
    <w:rsid w:val="2A5F84F7"/>
    <w:rsid w:val="2AC3C7F1"/>
    <w:rsid w:val="2AF14844"/>
    <w:rsid w:val="2B12F2FF"/>
    <w:rsid w:val="2B2660C4"/>
    <w:rsid w:val="2B2AC769"/>
    <w:rsid w:val="2B2D4147"/>
    <w:rsid w:val="2B3BE3D9"/>
    <w:rsid w:val="2B75AFD8"/>
    <w:rsid w:val="2BACA908"/>
    <w:rsid w:val="2BCC7440"/>
    <w:rsid w:val="2C05E784"/>
    <w:rsid w:val="2C0F5AB7"/>
    <w:rsid w:val="2C3C96E3"/>
    <w:rsid w:val="2C525599"/>
    <w:rsid w:val="2C76D6AB"/>
    <w:rsid w:val="2C864622"/>
    <w:rsid w:val="2C8A64B5"/>
    <w:rsid w:val="2C8D61F3"/>
    <w:rsid w:val="2CB368A6"/>
    <w:rsid w:val="2CE8CB52"/>
    <w:rsid w:val="2CFF19A7"/>
    <w:rsid w:val="2D4CFF66"/>
    <w:rsid w:val="2D4ECEDE"/>
    <w:rsid w:val="2D60DCCA"/>
    <w:rsid w:val="2D876334"/>
    <w:rsid w:val="2DC96D9C"/>
    <w:rsid w:val="2DD79778"/>
    <w:rsid w:val="2DFAF737"/>
    <w:rsid w:val="2E092518"/>
    <w:rsid w:val="2E3D56EF"/>
    <w:rsid w:val="2E7677FE"/>
    <w:rsid w:val="2F42AC9D"/>
    <w:rsid w:val="2F94CD34"/>
    <w:rsid w:val="3080FFE7"/>
    <w:rsid w:val="308F1157"/>
    <w:rsid w:val="3094EAA2"/>
    <w:rsid w:val="30996DF4"/>
    <w:rsid w:val="3102B07B"/>
    <w:rsid w:val="3111809D"/>
    <w:rsid w:val="311EB972"/>
    <w:rsid w:val="3124D66B"/>
    <w:rsid w:val="313D2796"/>
    <w:rsid w:val="3152AA16"/>
    <w:rsid w:val="315DA968"/>
    <w:rsid w:val="31660998"/>
    <w:rsid w:val="3171A2DC"/>
    <w:rsid w:val="31C15E75"/>
    <w:rsid w:val="31CD365C"/>
    <w:rsid w:val="31D101EA"/>
    <w:rsid w:val="31D3930D"/>
    <w:rsid w:val="31FD5B1F"/>
    <w:rsid w:val="3210DA5F"/>
    <w:rsid w:val="323CFF17"/>
    <w:rsid w:val="325745B6"/>
    <w:rsid w:val="32635248"/>
    <w:rsid w:val="32BE5084"/>
    <w:rsid w:val="32C2783C"/>
    <w:rsid w:val="32C6825E"/>
    <w:rsid w:val="32CA33B6"/>
    <w:rsid w:val="32D4CCF6"/>
    <w:rsid w:val="32E76C67"/>
    <w:rsid w:val="32F0A2CA"/>
    <w:rsid w:val="33132675"/>
    <w:rsid w:val="331403F9"/>
    <w:rsid w:val="3315E294"/>
    <w:rsid w:val="33203BF0"/>
    <w:rsid w:val="334BF951"/>
    <w:rsid w:val="336E6C22"/>
    <w:rsid w:val="337DBA12"/>
    <w:rsid w:val="33990836"/>
    <w:rsid w:val="33E963A6"/>
    <w:rsid w:val="33F094F1"/>
    <w:rsid w:val="34000C84"/>
    <w:rsid w:val="340371C6"/>
    <w:rsid w:val="342240E7"/>
    <w:rsid w:val="34364F9E"/>
    <w:rsid w:val="346CA674"/>
    <w:rsid w:val="34788B7D"/>
    <w:rsid w:val="34E275E5"/>
    <w:rsid w:val="351FB6F7"/>
    <w:rsid w:val="355201FC"/>
    <w:rsid w:val="357C738B"/>
    <w:rsid w:val="35D132C5"/>
    <w:rsid w:val="3607BDE8"/>
    <w:rsid w:val="361D6BF1"/>
    <w:rsid w:val="36380ECB"/>
    <w:rsid w:val="36418BD5"/>
    <w:rsid w:val="366907BB"/>
    <w:rsid w:val="36AD013E"/>
    <w:rsid w:val="36C795B3"/>
    <w:rsid w:val="36E3FE56"/>
    <w:rsid w:val="371C79F7"/>
    <w:rsid w:val="3762ECBC"/>
    <w:rsid w:val="3766AAA9"/>
    <w:rsid w:val="379BA838"/>
    <w:rsid w:val="379CEAF9"/>
    <w:rsid w:val="37BAC332"/>
    <w:rsid w:val="37DC82D8"/>
    <w:rsid w:val="37F90B0F"/>
    <w:rsid w:val="37FFA3B8"/>
    <w:rsid w:val="38011DF6"/>
    <w:rsid w:val="3866BBEC"/>
    <w:rsid w:val="38F04D63"/>
    <w:rsid w:val="38FBCA40"/>
    <w:rsid w:val="39050BB7"/>
    <w:rsid w:val="394DBF3B"/>
    <w:rsid w:val="3964F3A3"/>
    <w:rsid w:val="39ACCB4B"/>
    <w:rsid w:val="39C85AEA"/>
    <w:rsid w:val="3A0A9688"/>
    <w:rsid w:val="3A1B7630"/>
    <w:rsid w:val="3A4CF57E"/>
    <w:rsid w:val="3A6F99C3"/>
    <w:rsid w:val="3A8F45AC"/>
    <w:rsid w:val="3A934340"/>
    <w:rsid w:val="3A9FB02D"/>
    <w:rsid w:val="3ABF9E3B"/>
    <w:rsid w:val="3ADBB14A"/>
    <w:rsid w:val="3B00D8FC"/>
    <w:rsid w:val="3B3FD6EF"/>
    <w:rsid w:val="3B48E03C"/>
    <w:rsid w:val="3B50CB2F"/>
    <w:rsid w:val="3B745A96"/>
    <w:rsid w:val="3B8D089E"/>
    <w:rsid w:val="3BA68918"/>
    <w:rsid w:val="3BB74217"/>
    <w:rsid w:val="3BCE126F"/>
    <w:rsid w:val="3BE6F218"/>
    <w:rsid w:val="3BF01553"/>
    <w:rsid w:val="3C09BEB7"/>
    <w:rsid w:val="3C6A41F9"/>
    <w:rsid w:val="3C871A5C"/>
    <w:rsid w:val="3C91550B"/>
    <w:rsid w:val="3CA8B922"/>
    <w:rsid w:val="3CC497B2"/>
    <w:rsid w:val="3CD83389"/>
    <w:rsid w:val="3CE2267A"/>
    <w:rsid w:val="3D10A4B0"/>
    <w:rsid w:val="3D2E3213"/>
    <w:rsid w:val="3D3C395F"/>
    <w:rsid w:val="3D4DA6DA"/>
    <w:rsid w:val="3D7F92DF"/>
    <w:rsid w:val="3D9EA15F"/>
    <w:rsid w:val="3DD865F6"/>
    <w:rsid w:val="3DDA585C"/>
    <w:rsid w:val="3E09B98F"/>
    <w:rsid w:val="3E1BA4F1"/>
    <w:rsid w:val="3E3B7187"/>
    <w:rsid w:val="3EA8291C"/>
    <w:rsid w:val="3EABCB65"/>
    <w:rsid w:val="3EC6FAC1"/>
    <w:rsid w:val="3F0F0E0B"/>
    <w:rsid w:val="3F50D1C8"/>
    <w:rsid w:val="3F61EC38"/>
    <w:rsid w:val="4014A77C"/>
    <w:rsid w:val="4024D1EA"/>
    <w:rsid w:val="4041BE19"/>
    <w:rsid w:val="4043D021"/>
    <w:rsid w:val="40581C1B"/>
    <w:rsid w:val="40A6009D"/>
    <w:rsid w:val="40A80BF8"/>
    <w:rsid w:val="40AF9220"/>
    <w:rsid w:val="40B2A50C"/>
    <w:rsid w:val="40B54DBC"/>
    <w:rsid w:val="40E52268"/>
    <w:rsid w:val="40FCAD9A"/>
    <w:rsid w:val="4120DC13"/>
    <w:rsid w:val="41268CFE"/>
    <w:rsid w:val="41275A03"/>
    <w:rsid w:val="41588E03"/>
    <w:rsid w:val="419EC8D6"/>
    <w:rsid w:val="41DAC7A0"/>
    <w:rsid w:val="41E5AEFA"/>
    <w:rsid w:val="42014173"/>
    <w:rsid w:val="422AF37E"/>
    <w:rsid w:val="426D39DC"/>
    <w:rsid w:val="4284E1AB"/>
    <w:rsid w:val="42884A04"/>
    <w:rsid w:val="42987D51"/>
    <w:rsid w:val="42AA8F48"/>
    <w:rsid w:val="42E03CB0"/>
    <w:rsid w:val="42E36F32"/>
    <w:rsid w:val="42E58AF5"/>
    <w:rsid w:val="4328C0F7"/>
    <w:rsid w:val="4342678E"/>
    <w:rsid w:val="434410A8"/>
    <w:rsid w:val="435645A0"/>
    <w:rsid w:val="435767C7"/>
    <w:rsid w:val="43877C6F"/>
    <w:rsid w:val="43986CAC"/>
    <w:rsid w:val="43B0A6C0"/>
    <w:rsid w:val="43E0760A"/>
    <w:rsid w:val="4419453E"/>
    <w:rsid w:val="44204293"/>
    <w:rsid w:val="442C0168"/>
    <w:rsid w:val="44531574"/>
    <w:rsid w:val="448B6997"/>
    <w:rsid w:val="44983B4C"/>
    <w:rsid w:val="44BB8D05"/>
    <w:rsid w:val="44E4EDF7"/>
    <w:rsid w:val="44EAF971"/>
    <w:rsid w:val="44F2BFCF"/>
    <w:rsid w:val="44FABFC4"/>
    <w:rsid w:val="450C9104"/>
    <w:rsid w:val="451F8E43"/>
    <w:rsid w:val="455437F3"/>
    <w:rsid w:val="4554D6D0"/>
    <w:rsid w:val="4558E9E3"/>
    <w:rsid w:val="4576411C"/>
    <w:rsid w:val="45A64C5A"/>
    <w:rsid w:val="45A7278E"/>
    <w:rsid w:val="45B77AB4"/>
    <w:rsid w:val="4606E3F4"/>
    <w:rsid w:val="463FCF8E"/>
    <w:rsid w:val="4644E373"/>
    <w:rsid w:val="466013CB"/>
    <w:rsid w:val="4671A8F8"/>
    <w:rsid w:val="467D605A"/>
    <w:rsid w:val="46A71652"/>
    <w:rsid w:val="46D2D686"/>
    <w:rsid w:val="46F7212D"/>
    <w:rsid w:val="4709D726"/>
    <w:rsid w:val="473DB56C"/>
    <w:rsid w:val="4755C2F0"/>
    <w:rsid w:val="477DECCF"/>
    <w:rsid w:val="479C37F8"/>
    <w:rsid w:val="47F10C59"/>
    <w:rsid w:val="4872B223"/>
    <w:rsid w:val="487D0E4F"/>
    <w:rsid w:val="487ED608"/>
    <w:rsid w:val="488E9FE2"/>
    <w:rsid w:val="488FF6F3"/>
    <w:rsid w:val="48A0CEFA"/>
    <w:rsid w:val="48A48C56"/>
    <w:rsid w:val="48B86912"/>
    <w:rsid w:val="49164374"/>
    <w:rsid w:val="491E8B80"/>
    <w:rsid w:val="49262524"/>
    <w:rsid w:val="4938FFEF"/>
    <w:rsid w:val="49442B67"/>
    <w:rsid w:val="49FAB0D8"/>
    <w:rsid w:val="4A009945"/>
    <w:rsid w:val="4A42D04D"/>
    <w:rsid w:val="4A50823F"/>
    <w:rsid w:val="4A5E9890"/>
    <w:rsid w:val="4A665FB2"/>
    <w:rsid w:val="4A85F830"/>
    <w:rsid w:val="4A8B3C36"/>
    <w:rsid w:val="4AC9138C"/>
    <w:rsid w:val="4AC9D5C4"/>
    <w:rsid w:val="4ADCCA92"/>
    <w:rsid w:val="4AF311BD"/>
    <w:rsid w:val="4AFBADA4"/>
    <w:rsid w:val="4B2BCDF8"/>
    <w:rsid w:val="4B56D159"/>
    <w:rsid w:val="4B770402"/>
    <w:rsid w:val="4B90E456"/>
    <w:rsid w:val="4BBF8E21"/>
    <w:rsid w:val="4BEF815C"/>
    <w:rsid w:val="4BFACA67"/>
    <w:rsid w:val="4C067622"/>
    <w:rsid w:val="4C0F883D"/>
    <w:rsid w:val="4C638227"/>
    <w:rsid w:val="4C67F586"/>
    <w:rsid w:val="4C854590"/>
    <w:rsid w:val="4CC92CC4"/>
    <w:rsid w:val="4CEFAFA6"/>
    <w:rsid w:val="4CF4C851"/>
    <w:rsid w:val="4D17F62B"/>
    <w:rsid w:val="4D1CDD7A"/>
    <w:rsid w:val="4D4CA794"/>
    <w:rsid w:val="4D50BC25"/>
    <w:rsid w:val="4D50F4FA"/>
    <w:rsid w:val="4D5E2022"/>
    <w:rsid w:val="4D67501F"/>
    <w:rsid w:val="4D696E8A"/>
    <w:rsid w:val="4D7065F0"/>
    <w:rsid w:val="4D81CB32"/>
    <w:rsid w:val="4DEB1AA6"/>
    <w:rsid w:val="4E661DD3"/>
    <w:rsid w:val="4E6B4639"/>
    <w:rsid w:val="4EE3E53E"/>
    <w:rsid w:val="4EE89B22"/>
    <w:rsid w:val="4F14BD2A"/>
    <w:rsid w:val="4F4E1138"/>
    <w:rsid w:val="4F687AD3"/>
    <w:rsid w:val="4FBA9BA5"/>
    <w:rsid w:val="4FE7F1F2"/>
    <w:rsid w:val="4FEF0568"/>
    <w:rsid w:val="4FFA7892"/>
    <w:rsid w:val="50422B4F"/>
    <w:rsid w:val="505372B8"/>
    <w:rsid w:val="507E030B"/>
    <w:rsid w:val="508D1877"/>
    <w:rsid w:val="50A82D13"/>
    <w:rsid w:val="510B4F95"/>
    <w:rsid w:val="5112944D"/>
    <w:rsid w:val="5120DB9D"/>
    <w:rsid w:val="5130AAC4"/>
    <w:rsid w:val="51360B06"/>
    <w:rsid w:val="5137BE15"/>
    <w:rsid w:val="51404F05"/>
    <w:rsid w:val="514C9BF5"/>
    <w:rsid w:val="51631299"/>
    <w:rsid w:val="516BDA0F"/>
    <w:rsid w:val="5179DC27"/>
    <w:rsid w:val="519AA46D"/>
    <w:rsid w:val="51E9C099"/>
    <w:rsid w:val="51F7F805"/>
    <w:rsid w:val="5231DCD7"/>
    <w:rsid w:val="5243C10A"/>
    <w:rsid w:val="52479533"/>
    <w:rsid w:val="529C153B"/>
    <w:rsid w:val="52A6726C"/>
    <w:rsid w:val="52B528F0"/>
    <w:rsid w:val="52FADE74"/>
    <w:rsid w:val="5317105B"/>
    <w:rsid w:val="5335A2D9"/>
    <w:rsid w:val="537C4F90"/>
    <w:rsid w:val="539D142A"/>
    <w:rsid w:val="53ACA0C8"/>
    <w:rsid w:val="53B7AD6E"/>
    <w:rsid w:val="5401AED1"/>
    <w:rsid w:val="543E9674"/>
    <w:rsid w:val="544A9B20"/>
    <w:rsid w:val="544E41C6"/>
    <w:rsid w:val="547391BB"/>
    <w:rsid w:val="54795D32"/>
    <w:rsid w:val="553A13F9"/>
    <w:rsid w:val="554F2199"/>
    <w:rsid w:val="5551C448"/>
    <w:rsid w:val="558230E9"/>
    <w:rsid w:val="558C1C10"/>
    <w:rsid w:val="558EA021"/>
    <w:rsid w:val="55907F9E"/>
    <w:rsid w:val="55971576"/>
    <w:rsid w:val="559F781E"/>
    <w:rsid w:val="55D298AB"/>
    <w:rsid w:val="55D9D6C5"/>
    <w:rsid w:val="55E95815"/>
    <w:rsid w:val="55FEB5C6"/>
    <w:rsid w:val="560F4E11"/>
    <w:rsid w:val="56275852"/>
    <w:rsid w:val="562760D4"/>
    <w:rsid w:val="562E82AA"/>
    <w:rsid w:val="563003A3"/>
    <w:rsid w:val="569CCC6B"/>
    <w:rsid w:val="56CE6E99"/>
    <w:rsid w:val="571786E1"/>
    <w:rsid w:val="573260B7"/>
    <w:rsid w:val="5739F394"/>
    <w:rsid w:val="574B2113"/>
    <w:rsid w:val="5777C50A"/>
    <w:rsid w:val="577DE17C"/>
    <w:rsid w:val="57DE7C0B"/>
    <w:rsid w:val="5800E12A"/>
    <w:rsid w:val="58100A4D"/>
    <w:rsid w:val="583336C5"/>
    <w:rsid w:val="5855F3BE"/>
    <w:rsid w:val="58701367"/>
    <w:rsid w:val="588307F1"/>
    <w:rsid w:val="588845C5"/>
    <w:rsid w:val="5894264F"/>
    <w:rsid w:val="58996F8F"/>
    <w:rsid w:val="58A72C39"/>
    <w:rsid w:val="58C2F3CF"/>
    <w:rsid w:val="58D8AE55"/>
    <w:rsid w:val="58DDB2EF"/>
    <w:rsid w:val="58E38C2E"/>
    <w:rsid w:val="58FD5A7A"/>
    <w:rsid w:val="590D4B28"/>
    <w:rsid w:val="59134BCF"/>
    <w:rsid w:val="594A5D48"/>
    <w:rsid w:val="596723D4"/>
    <w:rsid w:val="596BC2BF"/>
    <w:rsid w:val="59754ED3"/>
    <w:rsid w:val="59788925"/>
    <w:rsid w:val="5990D826"/>
    <w:rsid w:val="59A901AA"/>
    <w:rsid w:val="59AEDC39"/>
    <w:rsid w:val="59B0049E"/>
    <w:rsid w:val="59CBAA8A"/>
    <w:rsid w:val="59E6FB5D"/>
    <w:rsid w:val="5A13FB84"/>
    <w:rsid w:val="5A23CF21"/>
    <w:rsid w:val="5A337CB9"/>
    <w:rsid w:val="5A77F542"/>
    <w:rsid w:val="5A780196"/>
    <w:rsid w:val="5AA77235"/>
    <w:rsid w:val="5ADCD344"/>
    <w:rsid w:val="5AE6A73A"/>
    <w:rsid w:val="5AEC3F6D"/>
    <w:rsid w:val="5AEE68B0"/>
    <w:rsid w:val="5B7F07D4"/>
    <w:rsid w:val="5B7F86EC"/>
    <w:rsid w:val="5B89A213"/>
    <w:rsid w:val="5B9A4A18"/>
    <w:rsid w:val="5C1F332C"/>
    <w:rsid w:val="5C27B3AD"/>
    <w:rsid w:val="5C46E94D"/>
    <w:rsid w:val="5C4E28A5"/>
    <w:rsid w:val="5C5EAA4F"/>
    <w:rsid w:val="5C64F6DD"/>
    <w:rsid w:val="5C841D6E"/>
    <w:rsid w:val="5C8B9108"/>
    <w:rsid w:val="5CB79423"/>
    <w:rsid w:val="5CCAAF23"/>
    <w:rsid w:val="5CD54F4A"/>
    <w:rsid w:val="5D2BBDEB"/>
    <w:rsid w:val="5DB09E3F"/>
    <w:rsid w:val="5DB76689"/>
    <w:rsid w:val="5DD88745"/>
    <w:rsid w:val="5DEFFA11"/>
    <w:rsid w:val="5E10F904"/>
    <w:rsid w:val="5E3B0EA0"/>
    <w:rsid w:val="5E3F9E89"/>
    <w:rsid w:val="5E49D154"/>
    <w:rsid w:val="5E64350E"/>
    <w:rsid w:val="5E683635"/>
    <w:rsid w:val="5E8484AB"/>
    <w:rsid w:val="5EAC6E68"/>
    <w:rsid w:val="5EBD3D3B"/>
    <w:rsid w:val="5EC2FC66"/>
    <w:rsid w:val="5EEADA48"/>
    <w:rsid w:val="5EEEBCFB"/>
    <w:rsid w:val="5EF1944E"/>
    <w:rsid w:val="5EF25A69"/>
    <w:rsid w:val="5F3A33C7"/>
    <w:rsid w:val="5F4BF98C"/>
    <w:rsid w:val="5F617663"/>
    <w:rsid w:val="5F6C95A8"/>
    <w:rsid w:val="5F86D8F1"/>
    <w:rsid w:val="5FBB8EB4"/>
    <w:rsid w:val="5FBEB02D"/>
    <w:rsid w:val="5FCB22D8"/>
    <w:rsid w:val="6065103E"/>
    <w:rsid w:val="6067FE10"/>
    <w:rsid w:val="60C7A60E"/>
    <w:rsid w:val="60CC11E6"/>
    <w:rsid w:val="60D74C8F"/>
    <w:rsid w:val="60E73108"/>
    <w:rsid w:val="61147CD0"/>
    <w:rsid w:val="61238896"/>
    <w:rsid w:val="613D1087"/>
    <w:rsid w:val="615BD27C"/>
    <w:rsid w:val="618BF9B2"/>
    <w:rsid w:val="618F51CF"/>
    <w:rsid w:val="61C189B7"/>
    <w:rsid w:val="61F5FB03"/>
    <w:rsid w:val="61FB5EBA"/>
    <w:rsid w:val="6279BA92"/>
    <w:rsid w:val="62FC452F"/>
    <w:rsid w:val="631F8935"/>
    <w:rsid w:val="6349A465"/>
    <w:rsid w:val="63650CB5"/>
    <w:rsid w:val="63739B9C"/>
    <w:rsid w:val="6384906A"/>
    <w:rsid w:val="63A66B08"/>
    <w:rsid w:val="63CB0292"/>
    <w:rsid w:val="63E9A257"/>
    <w:rsid w:val="64639AEF"/>
    <w:rsid w:val="646B57EA"/>
    <w:rsid w:val="64A49A30"/>
    <w:rsid w:val="64C202CF"/>
    <w:rsid w:val="64DBB854"/>
    <w:rsid w:val="64FD3AC1"/>
    <w:rsid w:val="652657B1"/>
    <w:rsid w:val="652C0808"/>
    <w:rsid w:val="65503322"/>
    <w:rsid w:val="65549DC8"/>
    <w:rsid w:val="6568F2E9"/>
    <w:rsid w:val="6571914D"/>
    <w:rsid w:val="657A86A4"/>
    <w:rsid w:val="659E8475"/>
    <w:rsid w:val="65D92A92"/>
    <w:rsid w:val="661C3B17"/>
    <w:rsid w:val="662DBB9E"/>
    <w:rsid w:val="66405178"/>
    <w:rsid w:val="666FD18E"/>
    <w:rsid w:val="66765EFF"/>
    <w:rsid w:val="6676C194"/>
    <w:rsid w:val="668B5700"/>
    <w:rsid w:val="66AC1E4F"/>
    <w:rsid w:val="66D088FF"/>
    <w:rsid w:val="66D4EC7C"/>
    <w:rsid w:val="673FDE5C"/>
    <w:rsid w:val="674F1C07"/>
    <w:rsid w:val="67655098"/>
    <w:rsid w:val="676678EC"/>
    <w:rsid w:val="67923B43"/>
    <w:rsid w:val="67967FBA"/>
    <w:rsid w:val="679F3273"/>
    <w:rsid w:val="680FD6D0"/>
    <w:rsid w:val="68102FC6"/>
    <w:rsid w:val="682E6243"/>
    <w:rsid w:val="68440ADB"/>
    <w:rsid w:val="6846D260"/>
    <w:rsid w:val="68B51B3B"/>
    <w:rsid w:val="69103646"/>
    <w:rsid w:val="691540F0"/>
    <w:rsid w:val="6919727D"/>
    <w:rsid w:val="694293C2"/>
    <w:rsid w:val="6952A70A"/>
    <w:rsid w:val="6958AE4F"/>
    <w:rsid w:val="696F2809"/>
    <w:rsid w:val="6970F79B"/>
    <w:rsid w:val="69A53DAD"/>
    <w:rsid w:val="69AE52BD"/>
    <w:rsid w:val="69B8FE85"/>
    <w:rsid w:val="69F23FF5"/>
    <w:rsid w:val="69FCD3E0"/>
    <w:rsid w:val="6A008D70"/>
    <w:rsid w:val="6A10F2FD"/>
    <w:rsid w:val="6A2BF1D0"/>
    <w:rsid w:val="6A2EB2EE"/>
    <w:rsid w:val="6A2FE2D7"/>
    <w:rsid w:val="6A3631D9"/>
    <w:rsid w:val="6A6119A3"/>
    <w:rsid w:val="6A6DAECB"/>
    <w:rsid w:val="6A716E52"/>
    <w:rsid w:val="6A92756F"/>
    <w:rsid w:val="6AA75E21"/>
    <w:rsid w:val="6B406A5E"/>
    <w:rsid w:val="6B4BF2B6"/>
    <w:rsid w:val="6B54FD5C"/>
    <w:rsid w:val="6B8B457F"/>
    <w:rsid w:val="6BF48694"/>
    <w:rsid w:val="6C35A0F2"/>
    <w:rsid w:val="6C57B94B"/>
    <w:rsid w:val="6C81125D"/>
    <w:rsid w:val="6C95AA46"/>
    <w:rsid w:val="6CA7C31B"/>
    <w:rsid w:val="6CC2AAE0"/>
    <w:rsid w:val="6D020845"/>
    <w:rsid w:val="6D24E1DE"/>
    <w:rsid w:val="6D251024"/>
    <w:rsid w:val="6D93EBF2"/>
    <w:rsid w:val="6DA34131"/>
    <w:rsid w:val="6DB40234"/>
    <w:rsid w:val="6DBF0855"/>
    <w:rsid w:val="6E1C0259"/>
    <w:rsid w:val="6E3C98DB"/>
    <w:rsid w:val="6E56194C"/>
    <w:rsid w:val="6E5AB422"/>
    <w:rsid w:val="6E5DF484"/>
    <w:rsid w:val="6E845C5B"/>
    <w:rsid w:val="6EAD9068"/>
    <w:rsid w:val="6EEAB3FE"/>
    <w:rsid w:val="6F09B1E0"/>
    <w:rsid w:val="6F1B041E"/>
    <w:rsid w:val="6F1E7537"/>
    <w:rsid w:val="6F4AB1C1"/>
    <w:rsid w:val="6F598683"/>
    <w:rsid w:val="6F652413"/>
    <w:rsid w:val="6F661A08"/>
    <w:rsid w:val="6F844CF6"/>
    <w:rsid w:val="6F8707FC"/>
    <w:rsid w:val="6F8B6121"/>
    <w:rsid w:val="6F8EE2B1"/>
    <w:rsid w:val="6FA07FC3"/>
    <w:rsid w:val="6FA0C82F"/>
    <w:rsid w:val="6FBB82FF"/>
    <w:rsid w:val="6FD457C9"/>
    <w:rsid w:val="70193FCA"/>
    <w:rsid w:val="707281A3"/>
    <w:rsid w:val="707EA098"/>
    <w:rsid w:val="708E249B"/>
    <w:rsid w:val="709DF97B"/>
    <w:rsid w:val="70C47D63"/>
    <w:rsid w:val="716D985A"/>
    <w:rsid w:val="71ACF268"/>
    <w:rsid w:val="71C5E386"/>
    <w:rsid w:val="726FF809"/>
    <w:rsid w:val="728E3A07"/>
    <w:rsid w:val="728E5F9D"/>
    <w:rsid w:val="72FCD117"/>
    <w:rsid w:val="7314203C"/>
    <w:rsid w:val="736141C1"/>
    <w:rsid w:val="7384F08B"/>
    <w:rsid w:val="73B9CE90"/>
    <w:rsid w:val="73CD3D7D"/>
    <w:rsid w:val="7404814D"/>
    <w:rsid w:val="742E460D"/>
    <w:rsid w:val="74318D1C"/>
    <w:rsid w:val="748F410E"/>
    <w:rsid w:val="7496920B"/>
    <w:rsid w:val="74C9154D"/>
    <w:rsid w:val="74D1E296"/>
    <w:rsid w:val="74D54F31"/>
    <w:rsid w:val="74F7AE39"/>
    <w:rsid w:val="750A3A1E"/>
    <w:rsid w:val="7514C856"/>
    <w:rsid w:val="754ABFA5"/>
    <w:rsid w:val="7552B795"/>
    <w:rsid w:val="755CAAF8"/>
    <w:rsid w:val="75C70E24"/>
    <w:rsid w:val="75D35949"/>
    <w:rsid w:val="75F9C2D0"/>
    <w:rsid w:val="75FEF1FA"/>
    <w:rsid w:val="761063BC"/>
    <w:rsid w:val="761E2CB2"/>
    <w:rsid w:val="762C87A3"/>
    <w:rsid w:val="764E5E79"/>
    <w:rsid w:val="76A44FD5"/>
    <w:rsid w:val="76D73F38"/>
    <w:rsid w:val="77253F31"/>
    <w:rsid w:val="772AB95F"/>
    <w:rsid w:val="77340799"/>
    <w:rsid w:val="775B84F2"/>
    <w:rsid w:val="776E462B"/>
    <w:rsid w:val="77DEE9F8"/>
    <w:rsid w:val="77E26A6E"/>
    <w:rsid w:val="77EFE755"/>
    <w:rsid w:val="77FBC258"/>
    <w:rsid w:val="7885D4DA"/>
    <w:rsid w:val="78CE6620"/>
    <w:rsid w:val="78E10BBE"/>
    <w:rsid w:val="796904A3"/>
    <w:rsid w:val="7989E1C7"/>
    <w:rsid w:val="799004FC"/>
    <w:rsid w:val="79A6DF2A"/>
    <w:rsid w:val="79B616D0"/>
    <w:rsid w:val="79C32E8B"/>
    <w:rsid w:val="79F31025"/>
    <w:rsid w:val="7A0AC6A9"/>
    <w:rsid w:val="7A16A3F7"/>
    <w:rsid w:val="7A1CBF49"/>
    <w:rsid w:val="7A42D57C"/>
    <w:rsid w:val="7A98FFF5"/>
    <w:rsid w:val="7AAC4AE1"/>
    <w:rsid w:val="7AAFA043"/>
    <w:rsid w:val="7AD23F49"/>
    <w:rsid w:val="7AEE356D"/>
    <w:rsid w:val="7B2A3846"/>
    <w:rsid w:val="7B5B652F"/>
    <w:rsid w:val="7B6D71F4"/>
    <w:rsid w:val="7B767658"/>
    <w:rsid w:val="7B7780DF"/>
    <w:rsid w:val="7B967A9A"/>
    <w:rsid w:val="7BAD5A9D"/>
    <w:rsid w:val="7BBCA6E1"/>
    <w:rsid w:val="7BCD7F93"/>
    <w:rsid w:val="7C091997"/>
    <w:rsid w:val="7C19285B"/>
    <w:rsid w:val="7C399338"/>
    <w:rsid w:val="7C879515"/>
    <w:rsid w:val="7CA621A0"/>
    <w:rsid w:val="7CF50C20"/>
    <w:rsid w:val="7D38F11A"/>
    <w:rsid w:val="7D4C39D1"/>
    <w:rsid w:val="7D7F7505"/>
    <w:rsid w:val="7D949494"/>
    <w:rsid w:val="7DA71998"/>
    <w:rsid w:val="7DAA9CFF"/>
    <w:rsid w:val="7DB3C9AF"/>
    <w:rsid w:val="7DE4991B"/>
    <w:rsid w:val="7E30DEE4"/>
    <w:rsid w:val="7E40DD51"/>
    <w:rsid w:val="7E753034"/>
    <w:rsid w:val="7EB5CC8B"/>
    <w:rsid w:val="7ED44772"/>
    <w:rsid w:val="7EF62242"/>
    <w:rsid w:val="7EFE90C8"/>
    <w:rsid w:val="7EFEBFBF"/>
    <w:rsid w:val="7F10B6AE"/>
    <w:rsid w:val="7F14FD2B"/>
    <w:rsid w:val="7F193999"/>
    <w:rsid w:val="7F61E82F"/>
    <w:rsid w:val="7F641758"/>
    <w:rsid w:val="7F87D867"/>
    <w:rsid w:val="7F9817DB"/>
    <w:rsid w:val="7FA80982"/>
    <w:rsid w:val="7FBD24D4"/>
    <w:rsid w:val="7FDA7C1F"/>
    <w:rsid w:val="7FF8090A"/>
    <w:rsid w:val="7FFA7E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E7F1F2"/>
  <w15:chartTrackingRefBased/>
  <w15:docId w15:val="{03CA89DF-4C35-408B-A7D5-6490D99D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55E958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55E958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5E95815"/>
    <w:pPr>
      <w:ind w:left="720"/>
      <w:contextualSpacing/>
    </w:pPr>
  </w:style>
  <w:style w:type="paragraph" w:styleId="NoSpacing">
    <w:name w:val="No Spacing"/>
    <w:uiPriority w:val="1"/>
    <w:qFormat/>
    <w:rsid w:val="55E95815"/>
    <w:pPr>
      <w:spacing w:after="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378f403fbdf546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Valentino (2408387)</dc:creator>
  <keywords/>
  <dc:description/>
  <lastModifiedBy>Raz Valentino (2408387)</lastModifiedBy>
  <revision>9</revision>
  <dcterms:created xsi:type="dcterms:W3CDTF">2025-10-15T22:34:00.0000000Z</dcterms:created>
  <dcterms:modified xsi:type="dcterms:W3CDTF">2025-11-22T20:44:21.2379647Z</dcterms:modified>
</coreProperties>
</file>