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E44DD0" w14:textId="77777777" w:rsidR="0091280D" w:rsidRDefault="0091280D"/>
    <w:p w14:paraId="095727A1" w14:textId="77777777" w:rsidR="0091280D" w:rsidRDefault="0091280D"/>
    <w:p w14:paraId="0E56BEDE" w14:textId="7E89D902" w:rsidR="0091280D" w:rsidRDefault="0091280D">
      <w:r>
        <w:rPr>
          <w:noProof/>
        </w:rPr>
        <w:drawing>
          <wp:inline distT="0" distB="0" distL="0" distR="0" wp14:anchorId="1C86A45C" wp14:editId="1D8695A5">
            <wp:extent cx="3347085" cy="1341120"/>
            <wp:effectExtent l="0" t="0" r="5715" b="0"/>
            <wp:docPr id="16897093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7085" cy="13411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2C7364E" w14:textId="77777777" w:rsidR="0091280D" w:rsidRDefault="0091280D"/>
    <w:p w14:paraId="06D8C2C6" w14:textId="77777777" w:rsidR="0091280D" w:rsidRDefault="0091280D" w:rsidP="0091280D">
      <w:pPr>
        <w:rPr>
          <w:b/>
          <w:bCs/>
        </w:rPr>
      </w:pPr>
    </w:p>
    <w:p w14:paraId="684D44BA" w14:textId="77777777" w:rsidR="0091280D" w:rsidRDefault="0091280D" w:rsidP="0091280D">
      <w:pPr>
        <w:rPr>
          <w:b/>
          <w:bCs/>
        </w:rPr>
      </w:pPr>
    </w:p>
    <w:p w14:paraId="36B32A93" w14:textId="44B4D49C" w:rsidR="0091280D" w:rsidRPr="0091280D" w:rsidRDefault="0091280D" w:rsidP="0091280D">
      <w:pPr>
        <w:rPr>
          <w:b/>
          <w:bCs/>
        </w:rPr>
      </w:pPr>
      <w:r w:rsidRPr="0091280D">
        <w:rPr>
          <w:b/>
          <w:bCs/>
        </w:rPr>
        <w:t>Module: Protecting and Supporting families in Health and Social Care</w:t>
      </w:r>
    </w:p>
    <w:p w14:paraId="4EEFC3FD" w14:textId="038AC359" w:rsidR="0091280D" w:rsidRPr="0091280D" w:rsidRDefault="0091280D">
      <w:pPr>
        <w:rPr>
          <w:b/>
          <w:bCs/>
        </w:rPr>
      </w:pPr>
      <w:r w:rsidRPr="0091280D">
        <w:rPr>
          <w:b/>
          <w:bCs/>
        </w:rPr>
        <w:t xml:space="preserve">Component One: </w:t>
      </w:r>
      <w:r>
        <w:rPr>
          <w:b/>
          <w:bCs/>
        </w:rPr>
        <w:t xml:space="preserve"> Component one; </w:t>
      </w:r>
      <w:r w:rsidRPr="0091280D">
        <w:rPr>
          <w:b/>
          <w:bCs/>
        </w:rPr>
        <w:t>Round Table discussion:  Case Study- Theo (Derby)</w:t>
      </w:r>
    </w:p>
    <w:p w14:paraId="48151F63" w14:textId="345AF489" w:rsidR="0091280D" w:rsidRPr="0091280D" w:rsidRDefault="0091280D" w:rsidP="0091280D">
      <w:pPr>
        <w:rPr>
          <w:b/>
          <w:bCs/>
        </w:rPr>
      </w:pPr>
      <w:r w:rsidRPr="0091280D">
        <w:rPr>
          <w:b/>
          <w:bCs/>
        </w:rPr>
        <w:t>Student name: Michael Njuguna Muroki</w:t>
      </w:r>
    </w:p>
    <w:p w14:paraId="6D620143" w14:textId="7B0D2B14" w:rsidR="0091280D" w:rsidRDefault="0091280D" w:rsidP="0091280D">
      <w:pPr>
        <w:rPr>
          <w:b/>
          <w:bCs/>
        </w:rPr>
      </w:pPr>
      <w:r w:rsidRPr="0091280D">
        <w:rPr>
          <w:b/>
          <w:bCs/>
        </w:rPr>
        <w:t>Student number: 2425634</w:t>
      </w:r>
    </w:p>
    <w:p w14:paraId="5B95681B" w14:textId="22CFE3FA" w:rsidR="0091280D" w:rsidRPr="0091280D" w:rsidRDefault="0091280D" w:rsidP="0091280D">
      <w:pPr>
        <w:rPr>
          <w:b/>
          <w:bCs/>
        </w:rPr>
      </w:pPr>
      <w:r>
        <w:rPr>
          <w:b/>
          <w:bCs/>
        </w:rPr>
        <w:t xml:space="preserve">Module Code: </w:t>
      </w:r>
      <w:r w:rsidRPr="0091280D">
        <w:rPr>
          <w:b/>
          <w:bCs/>
        </w:rPr>
        <w:t>BMHP5021</w:t>
      </w:r>
    </w:p>
    <w:p w14:paraId="159E11F8" w14:textId="51D7C278" w:rsidR="00E13575" w:rsidRDefault="0091280D" w:rsidP="0091280D">
      <w:pPr>
        <w:rPr>
          <w:b/>
          <w:bCs/>
        </w:rPr>
      </w:pPr>
      <w:r w:rsidRPr="0091280D">
        <w:rPr>
          <w:b/>
          <w:bCs/>
        </w:rPr>
        <w:t>Lecturer’s name: Amanda Jones</w:t>
      </w:r>
    </w:p>
    <w:p w14:paraId="5D4C6589" w14:textId="77777777" w:rsidR="00E13575" w:rsidRDefault="00E13575">
      <w:pPr>
        <w:rPr>
          <w:b/>
          <w:bCs/>
        </w:rPr>
      </w:pPr>
      <w:r>
        <w:rPr>
          <w:b/>
          <w:bCs/>
        </w:rPr>
        <w:br w:type="page"/>
      </w:r>
    </w:p>
    <w:p w14:paraId="4911C5CA" w14:textId="77777777" w:rsidR="002B6E22" w:rsidRPr="002B6E22" w:rsidRDefault="002B6E22" w:rsidP="002B6E22">
      <w:pPr>
        <w:rPr>
          <w:b/>
          <w:bCs/>
        </w:rPr>
      </w:pPr>
      <w:r w:rsidRPr="002B6E22">
        <w:rPr>
          <w:b/>
          <w:bCs/>
        </w:rPr>
        <w:lastRenderedPageBreak/>
        <w:t>Reference List</w:t>
      </w:r>
    </w:p>
    <w:p w14:paraId="49DDAAE7" w14:textId="77777777" w:rsidR="002B6E22" w:rsidRPr="002B6E22" w:rsidRDefault="002B6E22" w:rsidP="00B363E1">
      <w:pPr>
        <w:pStyle w:val="ListParagraph"/>
        <w:numPr>
          <w:ilvl w:val="0"/>
          <w:numId w:val="1"/>
        </w:numPr>
      </w:pPr>
      <w:r w:rsidRPr="002B6E22">
        <w:t xml:space="preserve">Department for education. </w:t>
      </w:r>
      <w:r w:rsidRPr="00B363E1">
        <w:rPr>
          <w:i/>
          <w:iCs/>
        </w:rPr>
        <w:t>Keeping Children Safe in Education 2025 Statutory Guidance for Schools and Colleges</w:t>
      </w:r>
      <w:r w:rsidRPr="002B6E22">
        <w:t>. 2025</w:t>
      </w:r>
    </w:p>
    <w:p w14:paraId="57F2358F" w14:textId="77777777" w:rsidR="002B6E22" w:rsidRDefault="002B6E22" w:rsidP="00B363E1">
      <w:pPr>
        <w:pStyle w:val="ListParagraph"/>
        <w:numPr>
          <w:ilvl w:val="0"/>
          <w:numId w:val="1"/>
        </w:numPr>
      </w:pPr>
      <w:r w:rsidRPr="002B6E22">
        <w:t xml:space="preserve">Featherstone, B., White, S. and Morris, K. (2018) </w:t>
      </w:r>
      <w:r w:rsidRPr="00B363E1">
        <w:rPr>
          <w:i/>
          <w:iCs/>
        </w:rPr>
        <w:t>Re</w:t>
      </w:r>
      <w:r w:rsidRPr="00B363E1">
        <w:rPr>
          <w:i/>
          <w:iCs/>
        </w:rPr>
        <w:noBreakHyphen/>
        <w:t>imagining child protection: Towards humane social work with families</w:t>
      </w:r>
      <w:r w:rsidRPr="002B6E22">
        <w:t>. Bristol: Policy Press.</w:t>
      </w:r>
    </w:p>
    <w:p w14:paraId="3063A7A9" w14:textId="1CFF5223" w:rsidR="0023498F" w:rsidRPr="002B6E22" w:rsidRDefault="0023498F" w:rsidP="00B363E1">
      <w:pPr>
        <w:pStyle w:val="ListParagraph"/>
        <w:numPr>
          <w:ilvl w:val="0"/>
          <w:numId w:val="1"/>
        </w:numPr>
      </w:pPr>
      <w:r w:rsidRPr="0023498F">
        <w:t>GOV.UK. “Children Act 1989.” 1989</w:t>
      </w:r>
    </w:p>
    <w:p w14:paraId="01FDA065" w14:textId="77777777" w:rsidR="002B6E22" w:rsidRPr="002B6E22" w:rsidRDefault="002B6E22" w:rsidP="00B363E1">
      <w:pPr>
        <w:pStyle w:val="ListParagraph"/>
        <w:numPr>
          <w:ilvl w:val="0"/>
          <w:numId w:val="1"/>
        </w:numPr>
      </w:pPr>
      <w:r w:rsidRPr="002B6E22">
        <w:t xml:space="preserve">GOV.UK. “Domestic Abuse Bill 2021: Overarching Factsheet.” </w:t>
      </w:r>
      <w:r w:rsidRPr="00B363E1">
        <w:rPr>
          <w:i/>
          <w:iCs/>
        </w:rPr>
        <w:t>GOV.UK</w:t>
      </w:r>
      <w:r w:rsidRPr="002B6E22">
        <w:t>, 3 Jan. 2024, https://www.gov.uk/government/publications/domestic-abuse-bill-2020-factsheets/domestic-abuse-bill-2020-overarching-factsheet. Accessed 17 July 2026.</w:t>
      </w:r>
    </w:p>
    <w:p w14:paraId="79FEF650" w14:textId="77777777" w:rsidR="002B6E22" w:rsidRPr="002B6E22" w:rsidRDefault="002B6E22" w:rsidP="00B363E1">
      <w:pPr>
        <w:pStyle w:val="ListParagraph"/>
        <w:numPr>
          <w:ilvl w:val="0"/>
          <w:numId w:val="1"/>
        </w:numPr>
      </w:pPr>
      <w:r w:rsidRPr="002B6E22">
        <w:t xml:space="preserve">HM Government (2026) </w:t>
      </w:r>
      <w:r w:rsidRPr="00B363E1">
        <w:rPr>
          <w:i/>
          <w:iCs/>
        </w:rPr>
        <w:t>Working Together to Safeguard Children</w:t>
      </w:r>
      <w:r w:rsidRPr="002B6E22">
        <w:t>. London: Department for Education.</w:t>
      </w:r>
    </w:p>
    <w:p w14:paraId="453C6109" w14:textId="77777777" w:rsidR="002B6E22" w:rsidRPr="002B6E22" w:rsidRDefault="002B6E22" w:rsidP="00B363E1">
      <w:pPr>
        <w:pStyle w:val="ListParagraph"/>
        <w:numPr>
          <w:ilvl w:val="0"/>
          <w:numId w:val="1"/>
        </w:numPr>
      </w:pPr>
      <w:r w:rsidRPr="002B6E22">
        <w:t xml:space="preserve">Local Government Association (LGA) (2015) </w:t>
      </w:r>
      <w:r w:rsidRPr="00B363E1">
        <w:rPr>
          <w:i/>
          <w:iCs/>
        </w:rPr>
        <w:t>The role of the MASH</w:t>
      </w:r>
      <w:r w:rsidRPr="002B6E22">
        <w:t>. London: LGA.</w:t>
      </w:r>
    </w:p>
    <w:p w14:paraId="38637E7F" w14:textId="77777777" w:rsidR="002B6E22" w:rsidRPr="002B6E22" w:rsidRDefault="002B6E22" w:rsidP="00B363E1">
      <w:pPr>
        <w:pStyle w:val="ListParagraph"/>
        <w:numPr>
          <w:ilvl w:val="0"/>
          <w:numId w:val="1"/>
        </w:numPr>
      </w:pPr>
      <w:r w:rsidRPr="002B6E22">
        <w:t xml:space="preserve">Munro, E. (2011) </w:t>
      </w:r>
      <w:r w:rsidRPr="00B363E1">
        <w:rPr>
          <w:i/>
          <w:iCs/>
        </w:rPr>
        <w:t>The Munro Review of Child Protection: Final Report</w:t>
      </w:r>
      <w:r w:rsidRPr="002B6E22">
        <w:t>. London: Department for Education.</w:t>
      </w:r>
    </w:p>
    <w:p w14:paraId="5BF89B03" w14:textId="77777777" w:rsidR="002B6E22" w:rsidRPr="002B6E22" w:rsidRDefault="002B6E22" w:rsidP="00B363E1">
      <w:pPr>
        <w:pStyle w:val="ListParagraph"/>
        <w:numPr>
          <w:ilvl w:val="0"/>
          <w:numId w:val="1"/>
        </w:numPr>
      </w:pPr>
      <w:r w:rsidRPr="002B6E22">
        <w:t xml:space="preserve">NSPCC (2020) </w:t>
      </w:r>
      <w:r w:rsidRPr="00B363E1">
        <w:rPr>
          <w:i/>
          <w:iCs/>
        </w:rPr>
        <w:t>Multi</w:t>
      </w:r>
      <w:r w:rsidRPr="00B363E1">
        <w:rPr>
          <w:i/>
          <w:iCs/>
        </w:rPr>
        <w:noBreakHyphen/>
        <w:t>agency working in child protection</w:t>
      </w:r>
      <w:r w:rsidRPr="002B6E22">
        <w:t>. London: NSPCC.</w:t>
      </w:r>
    </w:p>
    <w:p w14:paraId="6B5FA9DD" w14:textId="77777777" w:rsidR="002B6E22" w:rsidRPr="002B6E22" w:rsidRDefault="002B6E22" w:rsidP="00B363E1">
      <w:pPr>
        <w:pStyle w:val="ListParagraph"/>
        <w:numPr>
          <w:ilvl w:val="0"/>
          <w:numId w:val="1"/>
        </w:numPr>
      </w:pPr>
      <w:r w:rsidRPr="002B6E22">
        <w:t xml:space="preserve">Trevithick, P. (2012) </w:t>
      </w:r>
      <w:r w:rsidRPr="00B363E1">
        <w:rPr>
          <w:i/>
          <w:iCs/>
        </w:rPr>
        <w:t>Social Work Skills and Knowledge: A Practice Handbook</w:t>
      </w:r>
      <w:r w:rsidRPr="002B6E22">
        <w:t>. 3rd ed. Maidenhead: Open University Press.</w:t>
      </w:r>
    </w:p>
    <w:p w14:paraId="55BFA067" w14:textId="5D4CE268" w:rsidR="002B6E22" w:rsidRPr="002B6E22" w:rsidRDefault="002B6E22" w:rsidP="00B363E1">
      <w:pPr>
        <w:pStyle w:val="ListParagraph"/>
        <w:numPr>
          <w:ilvl w:val="0"/>
          <w:numId w:val="1"/>
        </w:numPr>
      </w:pPr>
      <w:r w:rsidRPr="002B6E22">
        <w:t>tri.x. “CP3.</w:t>
      </w:r>
      <w:r w:rsidRPr="002B6E22">
        <w:tab/>
        <w:t xml:space="preserve">Child Protection Enquiries - Section 47 Children Act....” </w:t>
      </w:r>
      <w:r w:rsidRPr="00B363E1">
        <w:rPr>
          <w:i/>
          <w:iCs/>
        </w:rPr>
        <w:t>Londonsafeguardingchildrenprocedures.Co.Uk</w:t>
      </w:r>
      <w:r w:rsidRPr="002B6E22">
        <w:t>, 3 Sept. 2025, https://londonsafeguardingchildrenprocedures.co.uk/chapter/cp3-child-protection-enquiries-section-47-children-act-1989. Accessed 17 July 2026.</w:t>
      </w:r>
    </w:p>
    <w:p w14:paraId="33797CF7" w14:textId="77777777" w:rsidR="002B6E22" w:rsidRPr="002B6E22" w:rsidRDefault="002B6E22" w:rsidP="00B363E1">
      <w:pPr>
        <w:pStyle w:val="ListParagraph"/>
        <w:numPr>
          <w:ilvl w:val="0"/>
          <w:numId w:val="1"/>
        </w:numPr>
      </w:pPr>
      <w:r w:rsidRPr="002B6E22">
        <w:t xml:space="preserve">Turney, D., Platt, D., Selwyn, J. and Farmer, E. (2012) </w:t>
      </w:r>
      <w:r w:rsidRPr="00B363E1">
        <w:rPr>
          <w:i/>
          <w:iCs/>
        </w:rPr>
        <w:t>Improving child and family assessments</w:t>
      </w:r>
      <w:r w:rsidRPr="002B6E22">
        <w:t>. London: Department for Education.</w:t>
      </w:r>
    </w:p>
    <w:p w14:paraId="41B4D838" w14:textId="77777777" w:rsidR="0091280D" w:rsidRPr="002B6E22" w:rsidRDefault="0091280D" w:rsidP="0091280D"/>
    <w:sectPr w:rsidR="0091280D" w:rsidRPr="002B6E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D45D8D"/>
    <w:multiLevelType w:val="hybridMultilevel"/>
    <w:tmpl w:val="56CC52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758303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280D"/>
    <w:rsid w:val="0023498F"/>
    <w:rsid w:val="002B6E22"/>
    <w:rsid w:val="00443CA3"/>
    <w:rsid w:val="00515536"/>
    <w:rsid w:val="0091280D"/>
    <w:rsid w:val="00AA578D"/>
    <w:rsid w:val="00B363E1"/>
    <w:rsid w:val="00C57BEA"/>
    <w:rsid w:val="00E135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1D1C6B"/>
  <w15:chartTrackingRefBased/>
  <w15:docId w15:val="{4C72F700-E864-448D-BCF9-95CDAA0527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2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2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2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2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2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2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2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2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2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2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2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2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2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2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2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2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2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2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2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2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2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2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2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2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2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2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2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2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280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250</Words>
  <Characters>1431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Njuguna Muroki (2425634)</dc:creator>
  <cp:keywords/>
  <dc:description/>
  <cp:lastModifiedBy>Michael Njuguna Muroki (2425634)</cp:lastModifiedBy>
  <cp:revision>6</cp:revision>
  <dcterms:created xsi:type="dcterms:W3CDTF">2026-07-23T10:35:00Z</dcterms:created>
  <dcterms:modified xsi:type="dcterms:W3CDTF">2026-07-24T10:39:00Z</dcterms:modified>
</cp:coreProperties>
</file>