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B00775" w14:textId="77777777" w:rsidR="000C5BC1" w:rsidRDefault="000C5BC1" w:rsidP="000C5BC1">
      <w:pPr>
        <w:tabs>
          <w:tab w:val="center" w:pos="1679"/>
        </w:tabs>
        <w:suppressAutoHyphens/>
        <w:spacing w:line="276" w:lineRule="auto"/>
        <w:jc w:val="center"/>
        <w:rPr>
          <w:rFonts w:ascii="Centaur" w:hAnsi="Centaur" w:cs="Aparajita"/>
          <w:bCs/>
          <w:sz w:val="28"/>
          <w:szCs w:val="28"/>
        </w:rPr>
      </w:pPr>
      <w:r>
        <w:rPr>
          <w:rFonts w:ascii="Centaur" w:hAnsi="Centaur" w:cs="Aparajita"/>
          <w:bCs/>
          <w:sz w:val="28"/>
          <w:szCs w:val="28"/>
        </w:rPr>
        <w:t>SPECIAL COLLECTIONS RESEARCH</w:t>
      </w:r>
    </w:p>
    <w:p w14:paraId="511B00C0" w14:textId="77777777" w:rsidR="000C5BC1" w:rsidRDefault="000C5BC1" w:rsidP="000C5BC1">
      <w:pPr>
        <w:tabs>
          <w:tab w:val="center" w:pos="1679"/>
        </w:tabs>
        <w:suppressAutoHyphens/>
        <w:spacing w:line="276" w:lineRule="auto"/>
        <w:jc w:val="center"/>
        <w:rPr>
          <w:rFonts w:ascii="Centaur" w:hAnsi="Centaur" w:cs="Aparajita"/>
          <w:bCs/>
          <w:sz w:val="28"/>
          <w:szCs w:val="28"/>
        </w:rPr>
      </w:pPr>
      <w:r>
        <w:rPr>
          <w:rFonts w:ascii="Centaur" w:hAnsi="Centaur" w:cs="Aparajita"/>
          <w:bCs/>
          <w:sz w:val="28"/>
          <w:szCs w:val="28"/>
        </w:rPr>
        <w:t>THE RODERIC BOWEN LIBRARY AND ARCHIVES</w:t>
      </w:r>
    </w:p>
    <w:p w14:paraId="13F89926" w14:textId="77777777" w:rsidR="000C5BC1" w:rsidRDefault="000C5BC1" w:rsidP="000C5BC1">
      <w:pPr>
        <w:tabs>
          <w:tab w:val="center" w:pos="1679"/>
        </w:tabs>
        <w:suppressAutoHyphens/>
        <w:spacing w:line="276" w:lineRule="auto"/>
        <w:jc w:val="center"/>
        <w:rPr>
          <w:rFonts w:ascii="Centaur" w:hAnsi="Centaur" w:cs="Aparajita"/>
          <w:bCs/>
          <w:sz w:val="28"/>
          <w:szCs w:val="28"/>
        </w:rPr>
      </w:pPr>
      <w:r>
        <w:rPr>
          <w:rFonts w:ascii="Centaur" w:hAnsi="Centaur" w:cs="Aparajita"/>
          <w:bCs/>
          <w:sz w:val="28"/>
          <w:szCs w:val="28"/>
        </w:rPr>
        <w:t>HPEN5015 / HPEN6015</w:t>
      </w:r>
    </w:p>
    <w:p w14:paraId="431800A6" w14:textId="77777777" w:rsidR="000C5BC1" w:rsidRDefault="000C5BC1" w:rsidP="000C5BC1">
      <w:pPr>
        <w:tabs>
          <w:tab w:val="center" w:pos="1679"/>
        </w:tabs>
        <w:suppressAutoHyphens/>
        <w:spacing w:line="276" w:lineRule="auto"/>
        <w:jc w:val="center"/>
        <w:rPr>
          <w:rFonts w:ascii="Centaur" w:hAnsi="Centaur" w:cs="Aparajita"/>
          <w:bCs/>
          <w:sz w:val="28"/>
          <w:szCs w:val="28"/>
        </w:rPr>
      </w:pPr>
    </w:p>
    <w:p w14:paraId="0ADDC2D7" w14:textId="77777777" w:rsidR="000C5BC1" w:rsidRDefault="000C5BC1" w:rsidP="000C5BC1">
      <w:pPr>
        <w:tabs>
          <w:tab w:val="center" w:pos="1679"/>
        </w:tabs>
        <w:suppressAutoHyphens/>
        <w:spacing w:line="276" w:lineRule="auto"/>
        <w:jc w:val="center"/>
        <w:rPr>
          <w:rFonts w:ascii="Centaur" w:hAnsi="Centaur" w:cs="Aparajita"/>
          <w:bCs/>
          <w:sz w:val="28"/>
          <w:szCs w:val="28"/>
        </w:rPr>
      </w:pPr>
      <w:r>
        <w:rPr>
          <w:rFonts w:ascii="Centaur" w:hAnsi="Centaur" w:cs="Aparajita"/>
          <w:bCs/>
          <w:sz w:val="28"/>
          <w:szCs w:val="28"/>
        </w:rPr>
        <w:t>BOOK ILLUSTRATION</w:t>
      </w:r>
    </w:p>
    <w:p w14:paraId="7888601C" w14:textId="77777777" w:rsidR="000C5BC1" w:rsidRPr="00AF1BBA" w:rsidRDefault="000C5BC1" w:rsidP="000C5BC1">
      <w:pPr>
        <w:tabs>
          <w:tab w:val="center" w:pos="1679"/>
        </w:tabs>
        <w:suppressAutoHyphens/>
        <w:spacing w:line="276" w:lineRule="auto"/>
        <w:jc w:val="center"/>
        <w:rPr>
          <w:rFonts w:ascii="Centaur" w:hAnsi="Centaur" w:cs="Aparajita"/>
          <w:bCs/>
          <w:sz w:val="28"/>
          <w:szCs w:val="28"/>
        </w:rPr>
      </w:pPr>
    </w:p>
    <w:p w14:paraId="6D021DEB" w14:textId="716179D6" w:rsidR="008C6921" w:rsidRPr="00AF1BBA" w:rsidRDefault="000C5BC1" w:rsidP="000C5BC1">
      <w:pPr>
        <w:tabs>
          <w:tab w:val="center" w:pos="1679"/>
        </w:tabs>
        <w:suppressAutoHyphens/>
        <w:spacing w:line="276" w:lineRule="auto"/>
        <w:rPr>
          <w:rFonts w:ascii="Centaur" w:hAnsi="Centaur" w:cs="Aparajita"/>
          <w:bCs/>
          <w:sz w:val="28"/>
          <w:szCs w:val="28"/>
        </w:rPr>
      </w:pPr>
      <w:r w:rsidRPr="00AF1BBA">
        <w:rPr>
          <w:rFonts w:ascii="Centaur" w:hAnsi="Centaur" w:cs="Aparajita"/>
          <w:bCs/>
          <w:sz w:val="28"/>
          <w:szCs w:val="28"/>
        </w:rPr>
        <w:t>{Slide 1}</w:t>
      </w:r>
      <w:r w:rsidR="001451DD">
        <w:rPr>
          <w:rFonts w:ascii="Centaur" w:hAnsi="Centaur" w:cs="Aparajita"/>
          <w:bCs/>
          <w:sz w:val="28"/>
          <w:szCs w:val="28"/>
        </w:rPr>
        <w:t xml:space="preserve"> </w:t>
      </w:r>
      <w:r w:rsidR="008C6921">
        <w:rPr>
          <w:rFonts w:ascii="Centaur" w:hAnsi="Centaur" w:cs="Aparajita"/>
          <w:bCs/>
          <w:sz w:val="28"/>
          <w:szCs w:val="28"/>
        </w:rPr>
        <w:t>{Slide 2}</w:t>
      </w:r>
    </w:p>
    <w:p w14:paraId="0542A095" w14:textId="77777777" w:rsidR="00DA2BBB" w:rsidRPr="000C5BC1" w:rsidRDefault="00DA2BBB" w:rsidP="000C5BC1">
      <w:pPr>
        <w:tabs>
          <w:tab w:val="left" w:pos="-720"/>
          <w:tab w:val="left" w:pos="0"/>
        </w:tabs>
        <w:suppressAutoHyphens/>
        <w:spacing w:line="276" w:lineRule="auto"/>
        <w:rPr>
          <w:rFonts w:ascii="Centaur" w:hAnsi="Centaur" w:cs="Adobe Devanagari"/>
          <w:b/>
          <w:spacing w:val="-3"/>
          <w:sz w:val="26"/>
          <w:szCs w:val="26"/>
        </w:rPr>
      </w:pPr>
    </w:p>
    <w:p w14:paraId="6817304B" w14:textId="77777777" w:rsidR="00DA2BBB" w:rsidRPr="000C5BC1" w:rsidRDefault="00DA2BBB" w:rsidP="000C5BC1">
      <w:pPr>
        <w:pStyle w:val="ListParagraph"/>
        <w:widowControl w:val="0"/>
        <w:numPr>
          <w:ilvl w:val="0"/>
          <w:numId w:val="2"/>
        </w:numPr>
        <w:tabs>
          <w:tab w:val="left" w:pos="-720"/>
          <w:tab w:val="left" w:pos="0"/>
        </w:tabs>
        <w:suppressAutoHyphens/>
        <w:spacing w:line="276" w:lineRule="auto"/>
        <w:rPr>
          <w:rFonts w:ascii="Centaur" w:hAnsi="Centaur" w:cs="Adobe Devanagari"/>
          <w:spacing w:val="-3"/>
          <w:sz w:val="26"/>
          <w:szCs w:val="26"/>
        </w:rPr>
      </w:pPr>
      <w:r w:rsidRPr="000C5BC1">
        <w:rPr>
          <w:rFonts w:ascii="Centaur" w:hAnsi="Centaur" w:cs="Aparajita"/>
          <w:bCs/>
          <w:sz w:val="26"/>
          <w:szCs w:val="26"/>
        </w:rPr>
        <w:t>Illustration in t</w:t>
      </w:r>
      <w:r w:rsidRPr="000C5BC1">
        <w:rPr>
          <w:rFonts w:ascii="Centaur" w:hAnsi="Centaur" w:cs="Arial"/>
          <w:sz w:val="26"/>
          <w:szCs w:val="26"/>
        </w:rPr>
        <w:t xml:space="preserve">he RBLA’s medieval manuscripts: </w:t>
      </w:r>
      <w:r w:rsidRPr="000C5BC1">
        <w:rPr>
          <w:rFonts w:ascii="Centaur" w:hAnsi="Centaur" w:cs="Aparajita"/>
          <w:sz w:val="26"/>
          <w:szCs w:val="26"/>
        </w:rPr>
        <w:t>parchment manuscript codices;</w:t>
      </w:r>
      <w:r w:rsidRPr="000C5BC1">
        <w:rPr>
          <w:rFonts w:ascii="Centaur" w:hAnsi="Centaur" w:cs="Arial"/>
          <w:sz w:val="26"/>
          <w:szCs w:val="26"/>
        </w:rPr>
        <w:t xml:space="preserve"> the materials and processes used in their production; the functions, types and patterns of illuminations; readership and the medieval trade in manuscripts</w:t>
      </w:r>
    </w:p>
    <w:p w14:paraId="5CA4A7FA" w14:textId="77777777" w:rsidR="000B3078" w:rsidRDefault="000B3078" w:rsidP="000B3078">
      <w:pPr>
        <w:pStyle w:val="ListParagraph"/>
        <w:spacing w:line="276" w:lineRule="auto"/>
        <w:rPr>
          <w:rFonts w:ascii="Centaur" w:hAnsi="Centaur"/>
          <w:sz w:val="26"/>
          <w:szCs w:val="26"/>
        </w:rPr>
      </w:pPr>
    </w:p>
    <w:p w14:paraId="33CD0FE4" w14:textId="6AAFCB65" w:rsidR="000B3078" w:rsidRDefault="000B3078" w:rsidP="000B3078">
      <w:pPr>
        <w:pStyle w:val="ListParagraph"/>
        <w:spacing w:line="276" w:lineRule="auto"/>
        <w:rPr>
          <w:rFonts w:ascii="Centaur" w:hAnsi="Centaur"/>
          <w:sz w:val="26"/>
          <w:szCs w:val="26"/>
        </w:rPr>
      </w:pPr>
      <w:r w:rsidRPr="000B3078">
        <w:rPr>
          <w:rFonts w:ascii="Centaur" w:hAnsi="Centaur"/>
          <w:sz w:val="26"/>
          <w:szCs w:val="26"/>
        </w:rPr>
        <w:t>The history of ‘book’ illustration begins with the illumination of medieval manuscript codices (sing. codex), which are hinged toge</w:t>
      </w:r>
      <w:r w:rsidR="008C6921">
        <w:rPr>
          <w:rFonts w:ascii="Centaur" w:hAnsi="Centaur"/>
          <w:sz w:val="26"/>
          <w:szCs w:val="26"/>
        </w:rPr>
        <w:t xml:space="preserve">ther like the pages of a book. </w:t>
      </w:r>
      <w:r w:rsidR="008C6921" w:rsidRPr="008C6921">
        <w:rPr>
          <w:rFonts w:ascii="Centaur" w:hAnsi="Centaur"/>
          <w:sz w:val="26"/>
          <w:szCs w:val="26"/>
        </w:rPr>
        <w:t>Th</w:t>
      </w:r>
      <w:r w:rsidR="008C6921">
        <w:rPr>
          <w:rFonts w:ascii="Centaur" w:hAnsi="Centaur"/>
          <w:sz w:val="26"/>
          <w:szCs w:val="26"/>
        </w:rPr>
        <w:t xml:space="preserve">is illustration, a medieval illumination, is to be found on the recto page of folio 8 of </w:t>
      </w:r>
      <w:r w:rsidR="008C6921" w:rsidRPr="008C6921">
        <w:rPr>
          <w:rFonts w:ascii="Centaur" w:hAnsi="Centaur"/>
          <w:sz w:val="26"/>
          <w:szCs w:val="26"/>
        </w:rPr>
        <w:t xml:space="preserve">the </w:t>
      </w:r>
      <w:proofErr w:type="spellStart"/>
      <w:r w:rsidR="008C6921" w:rsidRPr="008C6921">
        <w:rPr>
          <w:rFonts w:ascii="Centaur" w:hAnsi="Centaur"/>
          <w:i/>
          <w:sz w:val="26"/>
          <w:szCs w:val="26"/>
        </w:rPr>
        <w:t>Boddam</w:t>
      </w:r>
      <w:proofErr w:type="spellEnd"/>
      <w:r w:rsidR="008C6921" w:rsidRPr="008C6921">
        <w:rPr>
          <w:rFonts w:ascii="Centaur" w:hAnsi="Centaur"/>
          <w:i/>
          <w:sz w:val="26"/>
          <w:szCs w:val="26"/>
        </w:rPr>
        <w:t xml:space="preserve"> Book of Hours</w:t>
      </w:r>
      <w:r w:rsidR="008C6921">
        <w:rPr>
          <w:rFonts w:ascii="Centaur" w:hAnsi="Centaur"/>
          <w:sz w:val="26"/>
          <w:szCs w:val="26"/>
        </w:rPr>
        <w:t xml:space="preserve">, MS VII in the Roderic Bowen Library. </w:t>
      </w:r>
      <w:r w:rsidR="008C6921" w:rsidRPr="008C6921">
        <w:rPr>
          <w:rFonts w:ascii="Centaur" w:hAnsi="Centaur"/>
          <w:sz w:val="26"/>
          <w:szCs w:val="26"/>
        </w:rPr>
        <w:t>Th</w:t>
      </w:r>
      <w:r w:rsidR="008C6921">
        <w:rPr>
          <w:rFonts w:ascii="Centaur" w:hAnsi="Centaur"/>
          <w:sz w:val="26"/>
          <w:szCs w:val="26"/>
        </w:rPr>
        <w:t>e</w:t>
      </w:r>
      <w:r w:rsidR="008C6921" w:rsidRPr="008C6921">
        <w:rPr>
          <w:rFonts w:ascii="Centaur" w:hAnsi="Centaur"/>
          <w:sz w:val="26"/>
          <w:szCs w:val="26"/>
        </w:rPr>
        <w:t xml:space="preserve"> illustration was hand painted onto parchment by an unknown artist in Rouen, France</w:t>
      </w:r>
      <w:r w:rsidR="008C6921">
        <w:rPr>
          <w:rFonts w:ascii="Centaur" w:hAnsi="Centaur"/>
          <w:sz w:val="26"/>
          <w:szCs w:val="26"/>
        </w:rPr>
        <w:t>,</w:t>
      </w:r>
      <w:r w:rsidR="008C6921" w:rsidRPr="008C6921">
        <w:rPr>
          <w:rFonts w:ascii="Centaur" w:hAnsi="Centaur"/>
          <w:sz w:val="26"/>
          <w:szCs w:val="26"/>
        </w:rPr>
        <w:t xml:space="preserve"> during the middle of the 15</w:t>
      </w:r>
      <w:r w:rsidR="008C6921" w:rsidRPr="008C6921">
        <w:rPr>
          <w:rFonts w:ascii="Centaur" w:hAnsi="Centaur"/>
          <w:sz w:val="26"/>
          <w:szCs w:val="26"/>
          <w:vertAlign w:val="superscript"/>
        </w:rPr>
        <w:t>th</w:t>
      </w:r>
      <w:r w:rsidR="008C6921" w:rsidRPr="008C6921">
        <w:rPr>
          <w:rFonts w:ascii="Centaur" w:hAnsi="Centaur"/>
          <w:sz w:val="26"/>
          <w:szCs w:val="26"/>
        </w:rPr>
        <w:t xml:space="preserve"> Century. It </w:t>
      </w:r>
      <w:r w:rsidR="008C6921">
        <w:rPr>
          <w:rFonts w:ascii="Centaur" w:hAnsi="Centaur"/>
          <w:sz w:val="26"/>
          <w:szCs w:val="26"/>
        </w:rPr>
        <w:t>depicts</w:t>
      </w:r>
      <w:r w:rsidR="008C6921" w:rsidRPr="008C6921">
        <w:rPr>
          <w:rFonts w:ascii="Centaur" w:hAnsi="Centaur"/>
          <w:sz w:val="26"/>
          <w:szCs w:val="26"/>
        </w:rPr>
        <w:t xml:space="preserve"> the</w:t>
      </w:r>
      <w:r w:rsidR="008C6921">
        <w:rPr>
          <w:rFonts w:ascii="Centaur" w:hAnsi="Centaur"/>
          <w:sz w:val="26"/>
          <w:szCs w:val="26"/>
        </w:rPr>
        <w:t xml:space="preserve"> Annunciation, when the</w:t>
      </w:r>
      <w:r w:rsidR="008C6921" w:rsidRPr="008C6921">
        <w:rPr>
          <w:rFonts w:ascii="Centaur" w:hAnsi="Centaur"/>
          <w:sz w:val="26"/>
          <w:szCs w:val="26"/>
        </w:rPr>
        <w:t xml:space="preserve"> Angel Gabriel ann</w:t>
      </w:r>
      <w:r w:rsidR="008C6921">
        <w:rPr>
          <w:rFonts w:ascii="Centaur" w:hAnsi="Centaur"/>
          <w:sz w:val="26"/>
          <w:szCs w:val="26"/>
        </w:rPr>
        <w:t>ou</w:t>
      </w:r>
      <w:r w:rsidR="008C6921" w:rsidRPr="008C6921">
        <w:rPr>
          <w:rFonts w:ascii="Centaur" w:hAnsi="Centaur"/>
          <w:sz w:val="26"/>
          <w:szCs w:val="26"/>
        </w:rPr>
        <w:t>nc</w:t>
      </w:r>
      <w:r w:rsidR="008C6921">
        <w:rPr>
          <w:rFonts w:ascii="Centaur" w:hAnsi="Centaur"/>
          <w:sz w:val="26"/>
          <w:szCs w:val="26"/>
        </w:rPr>
        <w:t>es</w:t>
      </w:r>
      <w:r w:rsidR="008C6921" w:rsidRPr="008C6921">
        <w:rPr>
          <w:rFonts w:ascii="Centaur" w:hAnsi="Centaur"/>
          <w:sz w:val="26"/>
          <w:szCs w:val="26"/>
        </w:rPr>
        <w:t xml:space="preserve"> to the Virgin Mary</w:t>
      </w:r>
      <w:r w:rsidR="008C6921">
        <w:rPr>
          <w:rFonts w:ascii="Centaur" w:hAnsi="Centaur"/>
          <w:sz w:val="26"/>
          <w:szCs w:val="26"/>
        </w:rPr>
        <w:t xml:space="preserve"> that she is to bear the Son of God. </w:t>
      </w:r>
      <w:r w:rsidR="008C6921" w:rsidRPr="008C6921">
        <w:rPr>
          <w:rFonts w:ascii="Centaur" w:hAnsi="Centaur"/>
          <w:sz w:val="26"/>
          <w:szCs w:val="26"/>
        </w:rPr>
        <w:t xml:space="preserve">The rays of light connecting </w:t>
      </w:r>
      <w:r w:rsidR="008C6921">
        <w:rPr>
          <w:rFonts w:ascii="Centaur" w:hAnsi="Centaur"/>
          <w:sz w:val="26"/>
          <w:szCs w:val="26"/>
        </w:rPr>
        <w:t>God with Mary</w:t>
      </w:r>
      <w:r w:rsidR="008C6921" w:rsidRPr="008C6921">
        <w:rPr>
          <w:rFonts w:ascii="Centaur" w:hAnsi="Centaur"/>
          <w:sz w:val="26"/>
          <w:szCs w:val="26"/>
        </w:rPr>
        <w:t xml:space="preserve"> show how</w:t>
      </w:r>
      <w:r w:rsidR="008C6921">
        <w:rPr>
          <w:rFonts w:ascii="Centaur" w:hAnsi="Centaur"/>
          <w:sz w:val="26"/>
          <w:szCs w:val="26"/>
        </w:rPr>
        <w:t xml:space="preserve"> she</w:t>
      </w:r>
      <w:r w:rsidR="008C6921" w:rsidRPr="008C6921">
        <w:rPr>
          <w:rFonts w:ascii="Centaur" w:hAnsi="Centaur"/>
          <w:sz w:val="26"/>
          <w:szCs w:val="26"/>
        </w:rPr>
        <w:t xml:space="preserve"> conceived </w:t>
      </w:r>
      <w:r w:rsidR="008C6921">
        <w:rPr>
          <w:rFonts w:ascii="Centaur" w:hAnsi="Centaur"/>
          <w:sz w:val="26"/>
          <w:szCs w:val="26"/>
        </w:rPr>
        <w:t>‘</w:t>
      </w:r>
      <w:r w:rsidR="008C6921" w:rsidRPr="008C6921">
        <w:rPr>
          <w:rFonts w:ascii="Centaur" w:hAnsi="Centaur"/>
          <w:sz w:val="26"/>
          <w:szCs w:val="26"/>
        </w:rPr>
        <w:t>by sight</w:t>
      </w:r>
      <w:r w:rsidR="008C6921">
        <w:rPr>
          <w:rFonts w:ascii="Centaur" w:hAnsi="Centaur"/>
          <w:sz w:val="26"/>
          <w:szCs w:val="26"/>
        </w:rPr>
        <w:t>’</w:t>
      </w:r>
      <w:r w:rsidR="008C6921" w:rsidRPr="008C6921">
        <w:rPr>
          <w:rFonts w:ascii="Centaur" w:hAnsi="Centaur"/>
          <w:sz w:val="26"/>
          <w:szCs w:val="26"/>
        </w:rPr>
        <w:t xml:space="preserve"> through the Holy Spirit, represented by the dove.</w:t>
      </w:r>
    </w:p>
    <w:p w14:paraId="5CE77126" w14:textId="77777777" w:rsidR="008C6921" w:rsidRDefault="008C6921" w:rsidP="000B3078">
      <w:pPr>
        <w:pStyle w:val="ListParagraph"/>
        <w:spacing w:line="276" w:lineRule="auto"/>
        <w:rPr>
          <w:rFonts w:ascii="Centaur" w:hAnsi="Centaur"/>
          <w:sz w:val="26"/>
          <w:szCs w:val="26"/>
        </w:rPr>
      </w:pPr>
    </w:p>
    <w:p w14:paraId="35EC980C" w14:textId="3DFE2700" w:rsidR="000E7AEB" w:rsidRDefault="000E7AEB" w:rsidP="000B3078">
      <w:pPr>
        <w:pStyle w:val="ListParagraph"/>
        <w:spacing w:line="276" w:lineRule="auto"/>
        <w:rPr>
          <w:rFonts w:ascii="Centaur" w:hAnsi="Centaur"/>
          <w:sz w:val="26"/>
          <w:szCs w:val="26"/>
        </w:rPr>
      </w:pPr>
      <w:r w:rsidRPr="008C6921">
        <w:rPr>
          <w:rFonts w:ascii="Centaur" w:hAnsi="Centaur"/>
          <w:sz w:val="26"/>
          <w:szCs w:val="26"/>
        </w:rPr>
        <w:t>Th</w:t>
      </w:r>
      <w:r>
        <w:rPr>
          <w:rFonts w:ascii="Centaur" w:hAnsi="Centaur"/>
          <w:sz w:val="26"/>
          <w:szCs w:val="26"/>
        </w:rPr>
        <w:t>e</w:t>
      </w:r>
      <w:r w:rsidRPr="008C6921">
        <w:rPr>
          <w:rFonts w:ascii="Centaur" w:hAnsi="Centaur"/>
          <w:sz w:val="26"/>
          <w:szCs w:val="26"/>
        </w:rPr>
        <w:t xml:space="preserve"> illustration </w:t>
      </w:r>
      <w:r>
        <w:rPr>
          <w:rFonts w:ascii="Centaur" w:hAnsi="Centaur"/>
          <w:sz w:val="26"/>
          <w:szCs w:val="26"/>
        </w:rPr>
        <w:t>makes considerable</w:t>
      </w:r>
      <w:r w:rsidRPr="008C6921">
        <w:rPr>
          <w:rFonts w:ascii="Centaur" w:hAnsi="Centaur"/>
          <w:sz w:val="26"/>
          <w:szCs w:val="26"/>
        </w:rPr>
        <w:t xml:space="preserve"> use of colour. There are a lot of warm brown tones but there </w:t>
      </w:r>
      <w:r>
        <w:rPr>
          <w:rFonts w:ascii="Centaur" w:hAnsi="Centaur"/>
          <w:sz w:val="26"/>
          <w:szCs w:val="26"/>
        </w:rPr>
        <w:t>is</w:t>
      </w:r>
      <w:r w:rsidRPr="008C6921">
        <w:rPr>
          <w:rFonts w:ascii="Centaur" w:hAnsi="Centaur"/>
          <w:sz w:val="26"/>
          <w:szCs w:val="26"/>
        </w:rPr>
        <w:t xml:space="preserve"> also bright blue, green, red, orange and white.</w:t>
      </w:r>
      <w:r>
        <w:rPr>
          <w:rFonts w:ascii="Centaur" w:hAnsi="Centaur"/>
          <w:sz w:val="26"/>
          <w:szCs w:val="26"/>
        </w:rPr>
        <w:t xml:space="preserve"> </w:t>
      </w:r>
      <w:r w:rsidRPr="008C6921">
        <w:rPr>
          <w:rFonts w:ascii="Centaur" w:hAnsi="Centaur"/>
          <w:sz w:val="26"/>
          <w:szCs w:val="26"/>
        </w:rPr>
        <w:t>There were two types of medieval pigment: organic and inorganic. Organic pigments were made from plant and animal products while inorganic pigments were made from minerals or through chemical reactions. Organic pigments were much more difficult to use than inorganic pigments. They couldn’t be stored in liquid form because they evaporated too fast or turned mouldy. They often discoloured and they could only be made during certain times of the year when ingredients were available. Inorganic pigments, on the other hand, were some of the earliest made pig</w:t>
      </w:r>
      <w:r>
        <w:rPr>
          <w:rFonts w:ascii="Centaur" w:hAnsi="Centaur"/>
          <w:sz w:val="26"/>
          <w:szCs w:val="26"/>
        </w:rPr>
        <w:t>ments</w:t>
      </w:r>
      <w:r w:rsidRPr="008C6921">
        <w:rPr>
          <w:rFonts w:ascii="Centaur" w:hAnsi="Centaur"/>
          <w:sz w:val="26"/>
          <w:szCs w:val="26"/>
        </w:rPr>
        <w:t>. They were often cheap</w:t>
      </w:r>
      <w:r>
        <w:rPr>
          <w:rFonts w:ascii="Centaur" w:hAnsi="Centaur"/>
          <w:sz w:val="26"/>
          <w:szCs w:val="26"/>
        </w:rPr>
        <w:t>er</w:t>
      </w:r>
      <w:r w:rsidRPr="008C6921">
        <w:rPr>
          <w:rFonts w:ascii="Centaur" w:hAnsi="Centaur"/>
          <w:sz w:val="26"/>
          <w:szCs w:val="26"/>
        </w:rPr>
        <w:t xml:space="preserve">, </w:t>
      </w:r>
      <w:r>
        <w:rPr>
          <w:rFonts w:ascii="Centaur" w:hAnsi="Centaur"/>
          <w:sz w:val="26"/>
          <w:szCs w:val="26"/>
        </w:rPr>
        <w:t xml:space="preserve">more </w:t>
      </w:r>
      <w:r w:rsidRPr="008C6921">
        <w:rPr>
          <w:rFonts w:ascii="Centaur" w:hAnsi="Centaur"/>
          <w:sz w:val="26"/>
          <w:szCs w:val="26"/>
        </w:rPr>
        <w:t>readily available, eas</w:t>
      </w:r>
      <w:r>
        <w:rPr>
          <w:rFonts w:ascii="Centaur" w:hAnsi="Centaur"/>
          <w:sz w:val="26"/>
          <w:szCs w:val="26"/>
        </w:rPr>
        <w:t>ier</w:t>
      </w:r>
      <w:r w:rsidRPr="008C6921">
        <w:rPr>
          <w:rFonts w:ascii="Centaur" w:hAnsi="Centaur"/>
          <w:sz w:val="26"/>
          <w:szCs w:val="26"/>
        </w:rPr>
        <w:t xml:space="preserve"> to produce</w:t>
      </w:r>
      <w:r>
        <w:rPr>
          <w:rFonts w:ascii="Centaur" w:hAnsi="Centaur"/>
          <w:sz w:val="26"/>
          <w:szCs w:val="26"/>
        </w:rPr>
        <w:t>,</w:t>
      </w:r>
      <w:r w:rsidRPr="008C6921">
        <w:rPr>
          <w:rFonts w:ascii="Centaur" w:hAnsi="Centaur"/>
          <w:sz w:val="26"/>
          <w:szCs w:val="26"/>
        </w:rPr>
        <w:t xml:space="preserve"> and didn’t react chemically with other pigments. They also tended to keep their colour even with exposure to light. To make inorganic pigments, the minerals went through a process called </w:t>
      </w:r>
      <w:proofErr w:type="spellStart"/>
      <w:r w:rsidRPr="008C6921">
        <w:rPr>
          <w:rFonts w:ascii="Centaur" w:hAnsi="Centaur"/>
          <w:i/>
          <w:sz w:val="26"/>
          <w:szCs w:val="26"/>
        </w:rPr>
        <w:t>levigation</w:t>
      </w:r>
      <w:proofErr w:type="spellEnd"/>
      <w:r w:rsidRPr="008C6921">
        <w:rPr>
          <w:rFonts w:ascii="Centaur" w:hAnsi="Centaur"/>
          <w:i/>
          <w:sz w:val="26"/>
          <w:szCs w:val="26"/>
        </w:rPr>
        <w:t xml:space="preserve">. </w:t>
      </w:r>
      <w:r w:rsidRPr="008C6921">
        <w:rPr>
          <w:rFonts w:ascii="Centaur" w:hAnsi="Centaur"/>
          <w:sz w:val="26"/>
          <w:szCs w:val="26"/>
        </w:rPr>
        <w:t xml:space="preserve">They were mixed with water and allowed to settle. Any impurities would float to the top while sand would sink to the bottom. The artist would then skim the impurities away and remove the sand, leaving only the pigment behind. Pigments were then roasted on an iron plate in a process called </w:t>
      </w:r>
      <w:r w:rsidRPr="008C6921">
        <w:rPr>
          <w:rFonts w:ascii="Centaur" w:hAnsi="Centaur"/>
          <w:i/>
          <w:sz w:val="26"/>
          <w:szCs w:val="26"/>
        </w:rPr>
        <w:t>calcination</w:t>
      </w:r>
      <w:r w:rsidRPr="008C6921">
        <w:rPr>
          <w:rFonts w:ascii="Centaur" w:hAnsi="Centaur"/>
          <w:sz w:val="26"/>
          <w:szCs w:val="26"/>
        </w:rPr>
        <w:t xml:space="preserve"> to make the colour more rich and opaque.</w:t>
      </w:r>
      <w:r w:rsidRPr="008C6921">
        <w:rPr>
          <w:rStyle w:val="FootnoteReference"/>
          <w:rFonts w:ascii="Centaur" w:hAnsi="Centaur"/>
          <w:sz w:val="26"/>
          <w:szCs w:val="26"/>
        </w:rPr>
        <w:footnoteReference w:id="1"/>
      </w:r>
    </w:p>
    <w:p w14:paraId="5091C4A6" w14:textId="77777777" w:rsidR="000E7AEB" w:rsidRDefault="000E7AEB" w:rsidP="000B3078">
      <w:pPr>
        <w:pStyle w:val="ListParagraph"/>
        <w:spacing w:line="276" w:lineRule="auto"/>
        <w:rPr>
          <w:rFonts w:ascii="Centaur" w:hAnsi="Centaur"/>
          <w:sz w:val="26"/>
          <w:szCs w:val="26"/>
        </w:rPr>
      </w:pPr>
    </w:p>
    <w:p w14:paraId="0331E84E" w14:textId="5844C03C" w:rsidR="000E7AEB" w:rsidRDefault="000E7AEB" w:rsidP="000B3078">
      <w:pPr>
        <w:pStyle w:val="ListParagraph"/>
        <w:spacing w:line="276" w:lineRule="auto"/>
        <w:rPr>
          <w:rFonts w:ascii="Centaur" w:hAnsi="Centaur"/>
          <w:sz w:val="26"/>
          <w:szCs w:val="26"/>
        </w:rPr>
      </w:pPr>
      <w:r w:rsidRPr="008C6921">
        <w:rPr>
          <w:rFonts w:ascii="Centaur" w:hAnsi="Centaur"/>
          <w:sz w:val="26"/>
          <w:szCs w:val="26"/>
        </w:rPr>
        <w:t>To turn pigments into paint, they had to be combined with some sort of binding agent that would allow them both</w:t>
      </w:r>
      <w:r>
        <w:rPr>
          <w:rFonts w:ascii="Centaur" w:hAnsi="Centaur"/>
          <w:sz w:val="26"/>
          <w:szCs w:val="26"/>
        </w:rPr>
        <w:t xml:space="preserve"> to</w:t>
      </w:r>
      <w:r w:rsidRPr="008C6921">
        <w:rPr>
          <w:rFonts w:ascii="Centaur" w:hAnsi="Centaur"/>
          <w:sz w:val="26"/>
          <w:szCs w:val="26"/>
        </w:rPr>
        <w:t xml:space="preserve"> flow onto the brush or quill and to help them adhere to the support. The most popular binding agents were gum Arabic, egg white and parchment sizing. The support w</w:t>
      </w:r>
      <w:r>
        <w:rPr>
          <w:rFonts w:ascii="Centaur" w:hAnsi="Centaur"/>
          <w:sz w:val="26"/>
          <w:szCs w:val="26"/>
        </w:rPr>
        <w:t>as</w:t>
      </w:r>
      <w:r w:rsidRPr="008C6921">
        <w:rPr>
          <w:rFonts w:ascii="Centaur" w:hAnsi="Centaur"/>
          <w:sz w:val="26"/>
          <w:szCs w:val="26"/>
        </w:rPr>
        <w:t>, of course, parchment.</w:t>
      </w:r>
      <w:r w:rsidRPr="008C6921">
        <w:rPr>
          <w:rStyle w:val="FootnoteReference"/>
          <w:rFonts w:ascii="Centaur" w:hAnsi="Centaur"/>
          <w:sz w:val="26"/>
          <w:szCs w:val="26"/>
        </w:rPr>
        <w:footnoteReference w:id="2"/>
      </w:r>
    </w:p>
    <w:p w14:paraId="2CA99D34" w14:textId="77777777" w:rsidR="000E7AEB" w:rsidRDefault="000E7AEB" w:rsidP="000B3078">
      <w:pPr>
        <w:pStyle w:val="ListParagraph"/>
        <w:spacing w:line="276" w:lineRule="auto"/>
        <w:rPr>
          <w:rFonts w:ascii="Centaur" w:hAnsi="Centaur"/>
          <w:sz w:val="26"/>
          <w:szCs w:val="26"/>
        </w:rPr>
      </w:pPr>
    </w:p>
    <w:p w14:paraId="02009576" w14:textId="77777777" w:rsidR="008C6921" w:rsidRDefault="000E7AEB" w:rsidP="005D0F78">
      <w:pPr>
        <w:pStyle w:val="ListParagraph"/>
        <w:spacing w:line="276" w:lineRule="auto"/>
        <w:rPr>
          <w:rFonts w:ascii="Centaur" w:hAnsi="Centaur"/>
          <w:sz w:val="26"/>
          <w:szCs w:val="26"/>
        </w:rPr>
      </w:pPr>
      <w:r>
        <w:rPr>
          <w:rFonts w:ascii="Centaur" w:hAnsi="Centaur"/>
          <w:sz w:val="26"/>
          <w:szCs w:val="26"/>
        </w:rPr>
        <w:t>It is not</w:t>
      </w:r>
      <w:r w:rsidRPr="008C6921">
        <w:rPr>
          <w:rFonts w:ascii="Centaur" w:hAnsi="Centaur"/>
          <w:sz w:val="26"/>
          <w:szCs w:val="26"/>
        </w:rPr>
        <w:t xml:space="preserve"> </w:t>
      </w:r>
      <w:r>
        <w:rPr>
          <w:rFonts w:ascii="Centaur" w:hAnsi="Centaur"/>
          <w:sz w:val="26"/>
          <w:szCs w:val="26"/>
        </w:rPr>
        <w:t>p</w:t>
      </w:r>
      <w:r w:rsidRPr="008C6921">
        <w:rPr>
          <w:rFonts w:ascii="Centaur" w:hAnsi="Centaur"/>
          <w:sz w:val="26"/>
          <w:szCs w:val="26"/>
        </w:rPr>
        <w:t>ossible to know for sure what ingredients were used in the pigments</w:t>
      </w:r>
      <w:r>
        <w:rPr>
          <w:rFonts w:ascii="Centaur" w:hAnsi="Centaur"/>
          <w:sz w:val="26"/>
          <w:szCs w:val="26"/>
        </w:rPr>
        <w:t xml:space="preserve"> of this illustration</w:t>
      </w:r>
      <w:r w:rsidRPr="008C6921">
        <w:rPr>
          <w:rFonts w:ascii="Centaur" w:hAnsi="Centaur"/>
          <w:sz w:val="26"/>
          <w:szCs w:val="26"/>
        </w:rPr>
        <w:t xml:space="preserve"> without doing a chemical analysis.</w:t>
      </w:r>
      <w:r w:rsidRPr="008C6921">
        <w:rPr>
          <w:rStyle w:val="FootnoteReference"/>
          <w:rFonts w:ascii="Centaur" w:hAnsi="Centaur"/>
          <w:sz w:val="26"/>
          <w:szCs w:val="26"/>
        </w:rPr>
        <w:footnoteReference w:id="3"/>
      </w:r>
      <w:r w:rsidRPr="008C6921">
        <w:rPr>
          <w:rFonts w:ascii="Centaur" w:hAnsi="Centaur"/>
          <w:sz w:val="26"/>
          <w:szCs w:val="26"/>
        </w:rPr>
        <w:t xml:space="preserve"> In addition, most painters guarded their paint recipes as secrets. However, there are some treatises that survive that are able to give us an idea about different combinations and possibilities.</w:t>
      </w:r>
      <w:r w:rsidRPr="008C6921">
        <w:rPr>
          <w:rStyle w:val="FootnoteReference"/>
          <w:rFonts w:ascii="Centaur" w:hAnsi="Centaur"/>
          <w:sz w:val="26"/>
          <w:szCs w:val="26"/>
        </w:rPr>
        <w:footnoteReference w:id="4"/>
      </w:r>
    </w:p>
    <w:p w14:paraId="6B727182" w14:textId="77777777" w:rsidR="005D0F78" w:rsidRDefault="005D0F78" w:rsidP="005D0F78">
      <w:pPr>
        <w:pStyle w:val="ListParagraph"/>
        <w:spacing w:line="276" w:lineRule="auto"/>
        <w:rPr>
          <w:rFonts w:ascii="Centaur" w:hAnsi="Centaur"/>
          <w:sz w:val="26"/>
          <w:szCs w:val="26"/>
        </w:rPr>
      </w:pPr>
    </w:p>
    <w:p w14:paraId="2079776D" w14:textId="77777777" w:rsidR="008C6921" w:rsidRDefault="008C6921" w:rsidP="008C6921">
      <w:pPr>
        <w:pStyle w:val="ListParagraph"/>
        <w:spacing w:line="276" w:lineRule="auto"/>
        <w:rPr>
          <w:rFonts w:ascii="Centaur" w:hAnsi="Centaur"/>
          <w:sz w:val="26"/>
          <w:szCs w:val="26"/>
        </w:rPr>
      </w:pPr>
      <w:r w:rsidRPr="008C6921">
        <w:rPr>
          <w:rFonts w:ascii="Centaur" w:hAnsi="Centaur"/>
          <w:sz w:val="26"/>
          <w:szCs w:val="26"/>
        </w:rPr>
        <w:t xml:space="preserve">In this illustration, there are </w:t>
      </w:r>
      <w:r w:rsidR="005D0F78">
        <w:rPr>
          <w:rFonts w:ascii="Centaur" w:hAnsi="Centaur"/>
          <w:sz w:val="26"/>
          <w:szCs w:val="26"/>
        </w:rPr>
        <w:t>possi</w:t>
      </w:r>
      <w:r w:rsidRPr="008C6921">
        <w:rPr>
          <w:rFonts w:ascii="Centaur" w:hAnsi="Centaur"/>
          <w:sz w:val="26"/>
          <w:szCs w:val="26"/>
        </w:rPr>
        <w:t>bly uses of red lead</w:t>
      </w:r>
      <w:r w:rsidR="005D0F78">
        <w:rPr>
          <w:rFonts w:ascii="Centaur" w:hAnsi="Centaur"/>
          <w:sz w:val="26"/>
          <w:szCs w:val="26"/>
        </w:rPr>
        <w:t xml:space="preserve"> (drapery above Mary’s head)</w:t>
      </w:r>
      <w:r w:rsidRPr="008C6921">
        <w:rPr>
          <w:rFonts w:ascii="Centaur" w:hAnsi="Centaur"/>
          <w:sz w:val="26"/>
          <w:szCs w:val="26"/>
        </w:rPr>
        <w:t>, red ochre</w:t>
      </w:r>
      <w:r w:rsidR="005D0F78">
        <w:rPr>
          <w:rFonts w:ascii="Centaur" w:hAnsi="Centaur"/>
          <w:sz w:val="26"/>
          <w:szCs w:val="26"/>
        </w:rPr>
        <w:t xml:space="preserve"> (Mary’s hair)</w:t>
      </w:r>
      <w:r w:rsidRPr="008C6921">
        <w:rPr>
          <w:rFonts w:ascii="Centaur" w:hAnsi="Centaur"/>
          <w:sz w:val="26"/>
          <w:szCs w:val="26"/>
        </w:rPr>
        <w:t>, yellow ochre</w:t>
      </w:r>
      <w:r w:rsidR="005D0F78">
        <w:rPr>
          <w:rFonts w:ascii="Centaur" w:hAnsi="Centaur"/>
          <w:sz w:val="26"/>
          <w:szCs w:val="26"/>
        </w:rPr>
        <w:t xml:space="preserve"> (the Angel Gabriel’s robe)</w:t>
      </w:r>
      <w:r w:rsidRPr="008C6921">
        <w:rPr>
          <w:rFonts w:ascii="Centaur" w:hAnsi="Centaur"/>
          <w:sz w:val="26"/>
          <w:szCs w:val="26"/>
        </w:rPr>
        <w:t>, lead-tin yellow</w:t>
      </w:r>
      <w:r w:rsidR="005D0F78">
        <w:rPr>
          <w:rFonts w:ascii="Centaur" w:hAnsi="Centaur"/>
          <w:sz w:val="26"/>
          <w:szCs w:val="26"/>
        </w:rPr>
        <w:t xml:space="preserve"> (feathers in the Gabriel’s wing)</w:t>
      </w:r>
      <w:r w:rsidRPr="008C6921">
        <w:rPr>
          <w:rFonts w:ascii="Centaur" w:hAnsi="Centaur"/>
          <w:sz w:val="26"/>
          <w:szCs w:val="26"/>
        </w:rPr>
        <w:t>, green earth</w:t>
      </w:r>
      <w:r w:rsidR="005D0F78">
        <w:rPr>
          <w:rFonts w:ascii="Centaur" w:hAnsi="Centaur"/>
          <w:sz w:val="26"/>
          <w:szCs w:val="26"/>
        </w:rPr>
        <w:t xml:space="preserve"> (floor tiles)</w:t>
      </w:r>
      <w:r w:rsidRPr="008C6921">
        <w:rPr>
          <w:rFonts w:ascii="Centaur" w:hAnsi="Centaur"/>
          <w:sz w:val="26"/>
          <w:szCs w:val="26"/>
        </w:rPr>
        <w:t>, malachite</w:t>
      </w:r>
      <w:r w:rsidR="005D0F78">
        <w:rPr>
          <w:rFonts w:ascii="Centaur" w:hAnsi="Centaur"/>
          <w:sz w:val="26"/>
          <w:szCs w:val="26"/>
        </w:rPr>
        <w:t xml:space="preserve"> (green </w:t>
      </w:r>
      <w:r w:rsidR="00924F05">
        <w:rPr>
          <w:rFonts w:ascii="Centaur" w:hAnsi="Centaur"/>
          <w:sz w:val="26"/>
          <w:szCs w:val="26"/>
        </w:rPr>
        <w:t>curtains</w:t>
      </w:r>
      <w:r w:rsidR="005D0F78">
        <w:rPr>
          <w:rFonts w:ascii="Centaur" w:hAnsi="Centaur"/>
          <w:sz w:val="26"/>
          <w:szCs w:val="26"/>
        </w:rPr>
        <w:t>)</w:t>
      </w:r>
      <w:r w:rsidRPr="008C6921">
        <w:rPr>
          <w:rFonts w:ascii="Centaur" w:hAnsi="Centaur"/>
          <w:sz w:val="26"/>
          <w:szCs w:val="26"/>
        </w:rPr>
        <w:t>, azurite</w:t>
      </w:r>
      <w:r w:rsidR="005D0F78">
        <w:rPr>
          <w:rFonts w:ascii="Centaur" w:hAnsi="Centaur"/>
          <w:sz w:val="26"/>
          <w:szCs w:val="26"/>
        </w:rPr>
        <w:t xml:space="preserve"> (Mary’s robe)</w:t>
      </w:r>
      <w:r w:rsidRPr="008C6921">
        <w:rPr>
          <w:rFonts w:ascii="Centaur" w:hAnsi="Centaur"/>
          <w:sz w:val="26"/>
          <w:szCs w:val="26"/>
        </w:rPr>
        <w:t>, bone black</w:t>
      </w:r>
      <w:r w:rsidR="005D0F78">
        <w:rPr>
          <w:rFonts w:ascii="Centaur" w:hAnsi="Centaur"/>
          <w:sz w:val="26"/>
          <w:szCs w:val="26"/>
        </w:rPr>
        <w:t xml:space="preserve"> (Mary’s bodice)</w:t>
      </w:r>
      <w:r w:rsidRPr="008C6921">
        <w:rPr>
          <w:rFonts w:ascii="Centaur" w:hAnsi="Centaur"/>
          <w:sz w:val="26"/>
          <w:szCs w:val="26"/>
        </w:rPr>
        <w:t xml:space="preserve"> and lime white</w:t>
      </w:r>
      <w:r w:rsidR="005D0F78">
        <w:rPr>
          <w:rFonts w:ascii="Centaur" w:hAnsi="Centaur"/>
          <w:sz w:val="26"/>
          <w:szCs w:val="26"/>
        </w:rPr>
        <w:t xml:space="preserve"> (Gabriel’s vestment)</w:t>
      </w:r>
      <w:r w:rsidRPr="008C6921">
        <w:rPr>
          <w:rFonts w:ascii="Centaur" w:hAnsi="Centaur"/>
          <w:sz w:val="26"/>
          <w:szCs w:val="26"/>
        </w:rPr>
        <w:t>. Azurite was a cheaper form of ultramarine</w:t>
      </w:r>
      <w:r w:rsidR="00924F05">
        <w:rPr>
          <w:rFonts w:ascii="Centaur" w:hAnsi="Centaur"/>
          <w:sz w:val="26"/>
          <w:szCs w:val="26"/>
        </w:rPr>
        <w:t>, which was</w:t>
      </w:r>
      <w:r w:rsidRPr="008C6921">
        <w:rPr>
          <w:rFonts w:ascii="Centaur" w:hAnsi="Centaur"/>
          <w:sz w:val="26"/>
          <w:szCs w:val="26"/>
        </w:rPr>
        <w:t xml:space="preserve"> very expensive as it came exclusively from the lapis lazuli found </w:t>
      </w:r>
      <w:r w:rsidR="00924F05">
        <w:rPr>
          <w:rFonts w:ascii="Centaur" w:hAnsi="Centaur"/>
          <w:sz w:val="26"/>
          <w:szCs w:val="26"/>
        </w:rPr>
        <w:t xml:space="preserve">in </w:t>
      </w:r>
      <w:r w:rsidRPr="008C6921">
        <w:rPr>
          <w:rFonts w:ascii="Centaur" w:hAnsi="Centaur"/>
          <w:sz w:val="26"/>
          <w:szCs w:val="26"/>
        </w:rPr>
        <w:t>a mine in North Eastern Afghanistan. Red lead was also a cheaper form of vermillion. A lot of the names of the colours are self-explanatory when it comes to their ingredients.</w:t>
      </w:r>
      <w:r w:rsidRPr="008C6921">
        <w:rPr>
          <w:rStyle w:val="FootnoteReference"/>
          <w:rFonts w:ascii="Centaur" w:hAnsi="Centaur"/>
          <w:sz w:val="26"/>
          <w:szCs w:val="26"/>
        </w:rPr>
        <w:footnoteReference w:id="5"/>
      </w:r>
    </w:p>
    <w:p w14:paraId="6EE74A11" w14:textId="77777777" w:rsidR="00924F05" w:rsidRDefault="00924F05" w:rsidP="008C6921">
      <w:pPr>
        <w:pStyle w:val="ListParagraph"/>
        <w:spacing w:line="276" w:lineRule="auto"/>
        <w:rPr>
          <w:rFonts w:ascii="Centaur" w:hAnsi="Centaur"/>
          <w:sz w:val="26"/>
          <w:szCs w:val="26"/>
        </w:rPr>
      </w:pPr>
    </w:p>
    <w:p w14:paraId="3A11543B" w14:textId="77777777" w:rsidR="00924F05" w:rsidRPr="00924F05" w:rsidRDefault="00924F05" w:rsidP="008C6921">
      <w:pPr>
        <w:pStyle w:val="ListParagraph"/>
        <w:spacing w:line="276" w:lineRule="auto"/>
        <w:rPr>
          <w:rFonts w:ascii="Centaur" w:hAnsi="Centaur"/>
          <w:sz w:val="26"/>
          <w:szCs w:val="26"/>
        </w:rPr>
      </w:pPr>
      <w:r>
        <w:rPr>
          <w:rFonts w:ascii="Centaur" w:hAnsi="Centaur"/>
          <w:sz w:val="26"/>
          <w:szCs w:val="26"/>
        </w:rPr>
        <w:t xml:space="preserve">Books of Hours were popular among the laity and they contained shortened versions of the daily offices of monasteries. The </w:t>
      </w:r>
      <w:proofErr w:type="spellStart"/>
      <w:r>
        <w:rPr>
          <w:rFonts w:ascii="Centaur" w:hAnsi="Centaur"/>
          <w:i/>
          <w:sz w:val="26"/>
          <w:szCs w:val="26"/>
        </w:rPr>
        <w:t>Boddam</w:t>
      </w:r>
      <w:proofErr w:type="spellEnd"/>
      <w:r>
        <w:rPr>
          <w:rFonts w:ascii="Centaur" w:hAnsi="Centaur"/>
          <w:i/>
          <w:sz w:val="26"/>
          <w:szCs w:val="26"/>
        </w:rPr>
        <w:t xml:space="preserve"> Book of Hours</w:t>
      </w:r>
      <w:r>
        <w:rPr>
          <w:rFonts w:ascii="Centaur" w:hAnsi="Centaur"/>
          <w:sz w:val="26"/>
          <w:szCs w:val="26"/>
        </w:rPr>
        <w:t xml:space="preserve"> contains fourteen colour illuminations, six of which are full-page. The Latin text consists of Prayers, the Hours Proper, the Penitential Psalms with a Litany, and the Office for the Dead, as well as suffrages and other prayers. Hymns and additional prayers were added later in French. The manuscript belonged to Charles </w:t>
      </w:r>
      <w:proofErr w:type="spellStart"/>
      <w:r>
        <w:rPr>
          <w:rFonts w:ascii="Centaur" w:hAnsi="Centaur"/>
          <w:sz w:val="26"/>
          <w:szCs w:val="26"/>
        </w:rPr>
        <w:t>Boddam</w:t>
      </w:r>
      <w:proofErr w:type="spellEnd"/>
      <w:r>
        <w:rPr>
          <w:rFonts w:ascii="Centaur" w:hAnsi="Centaur"/>
          <w:sz w:val="26"/>
          <w:szCs w:val="26"/>
        </w:rPr>
        <w:t xml:space="preserve"> of Trinity College, Cambridge, in 1782. It was acquired by Thomas Phillips whose gift it was to St David’s College in 1846.</w:t>
      </w:r>
    </w:p>
    <w:p w14:paraId="45D91E32" w14:textId="77777777" w:rsidR="0009104F" w:rsidRDefault="0009104F" w:rsidP="008C6921">
      <w:pPr>
        <w:pStyle w:val="ListParagraph"/>
        <w:widowControl w:val="0"/>
        <w:tabs>
          <w:tab w:val="left" w:pos="-720"/>
          <w:tab w:val="left" w:pos="0"/>
        </w:tabs>
        <w:suppressAutoHyphens/>
        <w:spacing w:line="276" w:lineRule="auto"/>
        <w:rPr>
          <w:rFonts w:ascii="Centaur" w:hAnsi="Centaur" w:cs="Adobe Devanagari"/>
          <w:spacing w:val="-3"/>
          <w:sz w:val="26"/>
          <w:szCs w:val="26"/>
        </w:rPr>
      </w:pPr>
    </w:p>
    <w:p w14:paraId="356837EF" w14:textId="77777777" w:rsidR="00D045A1" w:rsidRPr="008C6921" w:rsidRDefault="00D045A1" w:rsidP="008C6921">
      <w:pPr>
        <w:pStyle w:val="ListParagraph"/>
        <w:widowControl w:val="0"/>
        <w:tabs>
          <w:tab w:val="left" w:pos="-720"/>
          <w:tab w:val="left" w:pos="0"/>
        </w:tabs>
        <w:suppressAutoHyphens/>
        <w:spacing w:line="276" w:lineRule="auto"/>
        <w:rPr>
          <w:rFonts w:ascii="Centaur" w:hAnsi="Centaur" w:cs="Adobe Devanagari"/>
          <w:spacing w:val="-3"/>
          <w:sz w:val="26"/>
          <w:szCs w:val="26"/>
        </w:rPr>
      </w:pPr>
      <w:r>
        <w:rPr>
          <w:rFonts w:ascii="Centaur" w:hAnsi="Centaur"/>
          <w:sz w:val="26"/>
          <w:szCs w:val="26"/>
        </w:rPr>
        <w:t xml:space="preserve">One of the functions of illuminations was as an aid to contemplation and private devotion. Another was to make the text beautiful, to enrich and brighten it, to ‘illuminate’ it. Illuminations may also explain or elucidate the text, ‘shed light on’ it. So they have a didactic function too. They also use recognisable symbols used elsewhere, for example, in stained glass. These were invested with meaning. Consider the significance of Mary’s halo, her blue robe, and </w:t>
      </w:r>
      <w:r w:rsidRPr="008C6921">
        <w:rPr>
          <w:rFonts w:ascii="Centaur" w:hAnsi="Centaur"/>
          <w:sz w:val="26"/>
          <w:szCs w:val="26"/>
        </w:rPr>
        <w:t>the book in her lap.</w:t>
      </w:r>
      <w:r>
        <w:rPr>
          <w:rFonts w:ascii="Centaur" w:hAnsi="Centaur"/>
          <w:sz w:val="26"/>
          <w:szCs w:val="26"/>
        </w:rPr>
        <w:t xml:space="preserve"> Full-page illuminations also act as an elaborate book mark by which to find the particular Hour.</w:t>
      </w:r>
    </w:p>
    <w:p w14:paraId="7A36A882" w14:textId="77777777" w:rsidR="0009104F" w:rsidRPr="008C6921" w:rsidRDefault="0009104F" w:rsidP="008C6921">
      <w:pPr>
        <w:pStyle w:val="ListParagraph"/>
        <w:widowControl w:val="0"/>
        <w:tabs>
          <w:tab w:val="left" w:pos="-720"/>
          <w:tab w:val="left" w:pos="0"/>
        </w:tabs>
        <w:suppressAutoHyphens/>
        <w:spacing w:line="276" w:lineRule="auto"/>
        <w:rPr>
          <w:rFonts w:ascii="Centaur" w:hAnsi="Centaur" w:cs="Adobe Devanagari"/>
          <w:spacing w:val="-3"/>
          <w:sz w:val="26"/>
          <w:szCs w:val="26"/>
        </w:rPr>
      </w:pPr>
    </w:p>
    <w:p w14:paraId="6F05DFEE" w14:textId="77777777" w:rsidR="00315310" w:rsidRPr="0009104F" w:rsidRDefault="00315310" w:rsidP="0009104F">
      <w:pPr>
        <w:pStyle w:val="ListParagraph"/>
        <w:widowControl w:val="0"/>
        <w:tabs>
          <w:tab w:val="left" w:pos="-720"/>
          <w:tab w:val="left" w:pos="0"/>
        </w:tabs>
        <w:suppressAutoHyphens/>
        <w:spacing w:line="276" w:lineRule="auto"/>
        <w:rPr>
          <w:rFonts w:ascii="Centaur" w:hAnsi="Centaur" w:cs="Adobe Devanagari"/>
          <w:spacing w:val="-3"/>
          <w:sz w:val="26"/>
          <w:szCs w:val="26"/>
        </w:rPr>
      </w:pPr>
    </w:p>
    <w:p w14:paraId="4F6C9503" w14:textId="77777777" w:rsidR="00DA2BBB" w:rsidRPr="000C5BC1" w:rsidRDefault="00974E39" w:rsidP="000C5BC1">
      <w:pPr>
        <w:pStyle w:val="ListParagraph"/>
        <w:widowControl w:val="0"/>
        <w:numPr>
          <w:ilvl w:val="0"/>
          <w:numId w:val="2"/>
        </w:numPr>
        <w:tabs>
          <w:tab w:val="left" w:pos="-720"/>
          <w:tab w:val="left" w:pos="0"/>
        </w:tabs>
        <w:suppressAutoHyphens/>
        <w:spacing w:line="276" w:lineRule="auto"/>
        <w:rPr>
          <w:rFonts w:ascii="Centaur" w:hAnsi="Centaur" w:cs="Adobe Devanagari"/>
          <w:spacing w:val="-3"/>
          <w:sz w:val="26"/>
          <w:szCs w:val="26"/>
        </w:rPr>
      </w:pPr>
      <w:r w:rsidRPr="000C5BC1">
        <w:rPr>
          <w:rFonts w:ascii="Centaur" w:hAnsi="Centaur" w:cs="Adobe Devanagari"/>
          <w:spacing w:val="-3"/>
          <w:sz w:val="26"/>
          <w:szCs w:val="26"/>
        </w:rPr>
        <w:t>Woodblocks and woodcut illustrations from the end of the fifteenth century</w:t>
      </w:r>
    </w:p>
    <w:p w14:paraId="139D6F21" w14:textId="77777777" w:rsidR="005C7627" w:rsidRDefault="005C7627" w:rsidP="0009104F">
      <w:pPr>
        <w:pStyle w:val="ListParagraph"/>
        <w:widowControl w:val="0"/>
        <w:tabs>
          <w:tab w:val="left" w:pos="-720"/>
          <w:tab w:val="left" w:pos="0"/>
        </w:tabs>
        <w:suppressAutoHyphens/>
        <w:spacing w:line="276" w:lineRule="auto"/>
        <w:rPr>
          <w:rFonts w:ascii="Centaur" w:hAnsi="Centaur" w:cs="Adobe Devanagari"/>
          <w:spacing w:val="-3"/>
          <w:sz w:val="26"/>
          <w:szCs w:val="26"/>
        </w:rPr>
      </w:pPr>
    </w:p>
    <w:p w14:paraId="19BD1311" w14:textId="1914CC00" w:rsidR="00974E39" w:rsidRDefault="005C7627" w:rsidP="0009104F">
      <w:pPr>
        <w:pStyle w:val="ListParagraph"/>
        <w:widowControl w:val="0"/>
        <w:tabs>
          <w:tab w:val="left" w:pos="-720"/>
          <w:tab w:val="left" w:pos="0"/>
        </w:tabs>
        <w:suppressAutoHyphens/>
        <w:spacing w:line="276" w:lineRule="auto"/>
        <w:rPr>
          <w:rFonts w:ascii="Centaur" w:hAnsi="Centaur"/>
          <w:sz w:val="26"/>
          <w:szCs w:val="26"/>
        </w:rPr>
      </w:pPr>
      <w:r>
        <w:rPr>
          <w:rFonts w:ascii="Centaur" w:hAnsi="Centaur" w:cs="Adobe Devanagari"/>
          <w:spacing w:val="-3"/>
          <w:sz w:val="26"/>
          <w:szCs w:val="26"/>
        </w:rPr>
        <w:t xml:space="preserve">{Slide </w:t>
      </w:r>
      <w:r w:rsidR="0005015C">
        <w:rPr>
          <w:rFonts w:ascii="Centaur" w:hAnsi="Centaur" w:cs="Adobe Devanagari"/>
          <w:spacing w:val="-3"/>
          <w:sz w:val="26"/>
          <w:szCs w:val="26"/>
        </w:rPr>
        <w:t>3</w:t>
      </w:r>
      <w:r>
        <w:rPr>
          <w:rFonts w:ascii="Centaur" w:hAnsi="Centaur" w:cs="Adobe Devanagari"/>
          <w:spacing w:val="-3"/>
          <w:sz w:val="26"/>
          <w:szCs w:val="26"/>
        </w:rPr>
        <w:t xml:space="preserve">} </w:t>
      </w:r>
      <w:r w:rsidR="00D94D24">
        <w:rPr>
          <w:rFonts w:ascii="Centaur" w:hAnsi="Centaur"/>
          <w:sz w:val="26"/>
          <w:szCs w:val="26"/>
        </w:rPr>
        <w:t>Printed</w:t>
      </w:r>
      <w:r w:rsidR="00974E39" w:rsidRPr="000C5BC1">
        <w:rPr>
          <w:rFonts w:ascii="Centaur" w:hAnsi="Centaur"/>
          <w:sz w:val="26"/>
          <w:szCs w:val="26"/>
        </w:rPr>
        <w:t xml:space="preserve"> illustrations</w:t>
      </w:r>
      <w:r w:rsidR="00D94D24">
        <w:rPr>
          <w:rFonts w:ascii="Centaur" w:hAnsi="Centaur"/>
          <w:sz w:val="26"/>
          <w:szCs w:val="26"/>
        </w:rPr>
        <w:t xml:space="preserve"> can be</w:t>
      </w:r>
      <w:r w:rsidR="00974E39" w:rsidRPr="000C5BC1">
        <w:rPr>
          <w:rFonts w:ascii="Centaur" w:hAnsi="Centaur"/>
          <w:sz w:val="26"/>
          <w:szCs w:val="26"/>
        </w:rPr>
        <w:t xml:space="preserve"> created by different techniques</w:t>
      </w:r>
      <w:r w:rsidR="00974E39" w:rsidRPr="000C5BC1">
        <w:rPr>
          <w:rFonts w:ascii="Centaur" w:hAnsi="Centaur" w:cs="Arial"/>
          <w:sz w:val="26"/>
          <w:szCs w:val="26"/>
        </w:rPr>
        <w:t>. The</w:t>
      </w:r>
      <w:r w:rsidR="00D94D24">
        <w:rPr>
          <w:rFonts w:ascii="Centaur" w:hAnsi="Centaur" w:cs="Arial"/>
          <w:sz w:val="26"/>
          <w:szCs w:val="26"/>
        </w:rPr>
        <w:t>se</w:t>
      </w:r>
      <w:r w:rsidR="00974E39" w:rsidRPr="000C5BC1">
        <w:rPr>
          <w:rFonts w:ascii="Centaur" w:hAnsi="Centaur" w:cs="Arial"/>
          <w:sz w:val="26"/>
          <w:szCs w:val="26"/>
        </w:rPr>
        <w:t xml:space="preserve"> techniques are</w:t>
      </w:r>
      <w:r w:rsidR="00974E39" w:rsidRPr="000C5BC1">
        <w:rPr>
          <w:rFonts w:ascii="Centaur" w:hAnsi="Centaur"/>
          <w:sz w:val="26"/>
          <w:szCs w:val="26"/>
        </w:rPr>
        <w:t xml:space="preserve"> principally either the cutting of wood blocks (woodcut illustration) or the engraving of metal plates, usually copper, sometimes steel or some other metal.</w:t>
      </w:r>
      <w:r w:rsidR="00D94D24">
        <w:rPr>
          <w:rFonts w:ascii="Centaur" w:hAnsi="Centaur"/>
          <w:sz w:val="26"/>
          <w:szCs w:val="26"/>
        </w:rPr>
        <w:t xml:space="preserve"> The earliest printed illustrations are woodcut. </w:t>
      </w:r>
      <w:r w:rsidR="00D94D24" w:rsidRPr="000C5BC1">
        <w:rPr>
          <w:rFonts w:ascii="Centaur" w:hAnsi="Centaur"/>
          <w:sz w:val="26"/>
          <w:szCs w:val="26"/>
        </w:rPr>
        <w:t>The Roderic Bowen Library holds a copy of the</w:t>
      </w:r>
      <w:r w:rsidR="00D94D24" w:rsidRPr="000C5BC1">
        <w:rPr>
          <w:rFonts w:ascii="Centaur" w:hAnsi="Centaur"/>
          <w:i/>
          <w:sz w:val="26"/>
          <w:szCs w:val="26"/>
        </w:rPr>
        <w:t xml:space="preserve"> Golden Legend</w:t>
      </w:r>
      <w:r w:rsidR="00D94D24" w:rsidRPr="000C5BC1">
        <w:rPr>
          <w:rFonts w:ascii="Centaur" w:hAnsi="Centaur"/>
          <w:sz w:val="26"/>
          <w:szCs w:val="26"/>
        </w:rPr>
        <w:t xml:space="preserve">, the lives of the saints, printed by </w:t>
      </w:r>
      <w:proofErr w:type="spellStart"/>
      <w:r w:rsidR="00D94D24" w:rsidRPr="000C5BC1">
        <w:rPr>
          <w:rFonts w:ascii="Centaur" w:hAnsi="Centaur"/>
          <w:sz w:val="26"/>
          <w:szCs w:val="26"/>
        </w:rPr>
        <w:t>Wynkyn</w:t>
      </w:r>
      <w:proofErr w:type="spellEnd"/>
      <w:r w:rsidR="00D94D24" w:rsidRPr="000C5BC1">
        <w:rPr>
          <w:rFonts w:ascii="Centaur" w:hAnsi="Centaur"/>
          <w:sz w:val="26"/>
          <w:szCs w:val="26"/>
        </w:rPr>
        <w:t xml:space="preserve"> de Worde in 1498 on Caxton’s press in Westminster. This was one of the first books illustrated with woodcuts.</w:t>
      </w:r>
    </w:p>
    <w:p w14:paraId="42FBCD3E" w14:textId="77777777" w:rsidR="0032143A" w:rsidRDefault="0032143A" w:rsidP="0009104F">
      <w:pPr>
        <w:pStyle w:val="ListParagraph"/>
        <w:widowControl w:val="0"/>
        <w:tabs>
          <w:tab w:val="left" w:pos="-720"/>
          <w:tab w:val="left" w:pos="0"/>
        </w:tabs>
        <w:suppressAutoHyphens/>
        <w:spacing w:line="276" w:lineRule="auto"/>
        <w:rPr>
          <w:rFonts w:ascii="Centaur" w:hAnsi="Centaur"/>
          <w:sz w:val="26"/>
          <w:szCs w:val="26"/>
        </w:rPr>
      </w:pPr>
    </w:p>
    <w:p w14:paraId="2A79E241" w14:textId="7505389F" w:rsidR="0032143A" w:rsidRDefault="0032143A" w:rsidP="0009104F">
      <w:pPr>
        <w:pStyle w:val="ListParagraph"/>
        <w:widowControl w:val="0"/>
        <w:tabs>
          <w:tab w:val="left" w:pos="-720"/>
          <w:tab w:val="left" w:pos="0"/>
        </w:tabs>
        <w:suppressAutoHyphens/>
        <w:spacing w:line="276" w:lineRule="auto"/>
        <w:rPr>
          <w:rFonts w:ascii="Centaur" w:hAnsi="Centaur" w:cs="Helvetica"/>
          <w:color w:val="333333"/>
          <w:sz w:val="26"/>
          <w:szCs w:val="26"/>
          <w:shd w:val="clear" w:color="auto" w:fill="FFFFFF"/>
        </w:rPr>
      </w:pPr>
      <w:r>
        <w:rPr>
          <w:rFonts w:ascii="Centaur" w:hAnsi="Centaur" w:cs="Adobe Devanagari"/>
          <w:spacing w:val="-3"/>
          <w:sz w:val="26"/>
          <w:szCs w:val="26"/>
        </w:rPr>
        <w:t xml:space="preserve">{Slide </w:t>
      </w:r>
      <w:r>
        <w:rPr>
          <w:rFonts w:ascii="Centaur" w:hAnsi="Centaur" w:cs="Adobe Devanagari"/>
          <w:spacing w:val="-3"/>
          <w:sz w:val="26"/>
          <w:szCs w:val="26"/>
        </w:rPr>
        <w:t>4</w:t>
      </w:r>
      <w:r>
        <w:rPr>
          <w:rFonts w:ascii="Centaur" w:hAnsi="Centaur" w:cs="Adobe Devanagari"/>
          <w:spacing w:val="-3"/>
          <w:sz w:val="26"/>
          <w:szCs w:val="26"/>
        </w:rPr>
        <w:t>}</w:t>
      </w:r>
      <w:r>
        <w:rPr>
          <w:rFonts w:ascii="Centaur" w:hAnsi="Centaur" w:cs="Adobe Devanagari"/>
          <w:spacing w:val="-3"/>
          <w:sz w:val="26"/>
          <w:szCs w:val="26"/>
        </w:rPr>
        <w:t xml:space="preserve"> W</w:t>
      </w:r>
      <w:r w:rsidRPr="0032143A">
        <w:rPr>
          <w:rFonts w:ascii="Centaur" w:hAnsi="Centaur" w:cs="Helvetica"/>
          <w:color w:val="333333"/>
          <w:sz w:val="26"/>
          <w:szCs w:val="26"/>
          <w:shd w:val="clear" w:color="auto" w:fill="FFFFFF"/>
        </w:rPr>
        <w:t>oodcut is a relief process in which knives and other tools are used to carve a design into the surface of a wooden block. The raised areas that remain after the block has been cut are inked and printed, while the recessed areas that are cut away do not retain ink and will remain blank in the final print.</w:t>
      </w:r>
      <w:r w:rsidR="000374C5" w:rsidRPr="000374C5">
        <w:rPr>
          <w:rFonts w:ascii="Centaur" w:hAnsi="Centaur" w:cs="Helvetica"/>
          <w:color w:val="333333"/>
          <w:sz w:val="26"/>
          <w:szCs w:val="26"/>
          <w:shd w:val="clear" w:color="auto" w:fill="FFFFFF"/>
        </w:rPr>
        <w:t xml:space="preserve"> </w:t>
      </w:r>
      <w:r w:rsidR="000374C5" w:rsidRPr="000374C5">
        <w:rPr>
          <w:rFonts w:ascii="Centaur" w:hAnsi="Centaur" w:cs="Helvetica"/>
          <w:color w:val="333333"/>
          <w:sz w:val="26"/>
          <w:szCs w:val="26"/>
          <w:shd w:val="clear" w:color="auto" w:fill="FFFFFF"/>
        </w:rPr>
        <w:t>The wooden block is usually made from pear wood, which is sawn along the grain and planed smooth. The block is then seasoned to reduce the moisture content in the wood, which prevents warping and cracking. The size of the woodblock is determined by the image but is ultimately limited by the size of the printing press. This means that for a large-scale print, multiple blocks are cut and printed separately, after which the image is assembled. Smaller blocks are less likely to crack due to age or the pressure placed upon them during the printing process. The thickness of the block is also important for ease of use and the prevention of wear; the ideal thickness is around one inch.</w:t>
      </w:r>
    </w:p>
    <w:p w14:paraId="738626C4" w14:textId="77777777" w:rsidR="000374C5" w:rsidRDefault="000374C5" w:rsidP="0009104F">
      <w:pPr>
        <w:pStyle w:val="ListParagraph"/>
        <w:widowControl w:val="0"/>
        <w:tabs>
          <w:tab w:val="left" w:pos="-720"/>
          <w:tab w:val="left" w:pos="0"/>
        </w:tabs>
        <w:suppressAutoHyphens/>
        <w:spacing w:line="276" w:lineRule="auto"/>
        <w:rPr>
          <w:rFonts w:ascii="Centaur" w:hAnsi="Centaur" w:cs="Helvetica"/>
          <w:color w:val="333333"/>
          <w:sz w:val="26"/>
          <w:szCs w:val="26"/>
          <w:shd w:val="clear" w:color="auto" w:fill="FFFFFF"/>
        </w:rPr>
      </w:pPr>
    </w:p>
    <w:p w14:paraId="5ABDAECF" w14:textId="262F10F1" w:rsidR="000374C5" w:rsidRDefault="000374C5" w:rsidP="0009104F">
      <w:pPr>
        <w:pStyle w:val="ListParagraph"/>
        <w:widowControl w:val="0"/>
        <w:tabs>
          <w:tab w:val="left" w:pos="-720"/>
          <w:tab w:val="left" w:pos="0"/>
        </w:tabs>
        <w:suppressAutoHyphens/>
        <w:spacing w:line="276" w:lineRule="auto"/>
        <w:rPr>
          <w:rFonts w:ascii="Centaur" w:hAnsi="Centaur" w:cs="Helvetica"/>
          <w:color w:val="333333"/>
          <w:sz w:val="26"/>
          <w:szCs w:val="26"/>
          <w:shd w:val="clear" w:color="auto" w:fill="FFFFFF"/>
        </w:rPr>
      </w:pPr>
      <w:r>
        <w:rPr>
          <w:rFonts w:ascii="Centaur" w:hAnsi="Centaur" w:cs="Helvetica"/>
          <w:color w:val="333333"/>
          <w:sz w:val="26"/>
          <w:szCs w:val="26"/>
          <w:shd w:val="clear" w:color="auto" w:fill="FFFFFF"/>
        </w:rPr>
        <w:t>{Slide 5}</w:t>
      </w:r>
      <w:r w:rsidRPr="000374C5">
        <w:rPr>
          <w:rFonts w:ascii="Centaur" w:hAnsi="Centaur" w:cs="Helvetica"/>
          <w:color w:val="333333"/>
          <w:sz w:val="26"/>
          <w:szCs w:val="26"/>
          <w:shd w:val="clear" w:color="auto" w:fill="FFFFFF"/>
        </w:rPr>
        <w:t xml:space="preserve"> </w:t>
      </w:r>
      <w:r w:rsidRPr="000374C5">
        <w:rPr>
          <w:rFonts w:ascii="Centaur" w:hAnsi="Centaur" w:cs="Helvetica"/>
          <w:color w:val="333333"/>
          <w:sz w:val="26"/>
          <w:szCs w:val="26"/>
          <w:shd w:val="clear" w:color="auto" w:fill="FFFFFF"/>
        </w:rPr>
        <w:t>After the woodblock has been prepared, the design can be drawn directly onto the surface of the block</w:t>
      </w:r>
      <w:r>
        <w:rPr>
          <w:rFonts w:ascii="Centaur" w:hAnsi="Centaur" w:cs="Helvetica"/>
          <w:color w:val="333333"/>
          <w:sz w:val="26"/>
          <w:szCs w:val="26"/>
          <w:shd w:val="clear" w:color="auto" w:fill="FFFFFF"/>
        </w:rPr>
        <w:t>,</w:t>
      </w:r>
      <w:r w:rsidRPr="000374C5">
        <w:rPr>
          <w:rFonts w:ascii="Centaur" w:hAnsi="Centaur" w:cs="Helvetica"/>
          <w:color w:val="333333"/>
          <w:sz w:val="26"/>
          <w:szCs w:val="26"/>
          <w:shd w:val="clear" w:color="auto" w:fill="FFFFFF"/>
        </w:rPr>
        <w:t xml:space="preserve"> or a sketch can be pasted on to it. Alternatively, the design can be transferred from a sheet of paper directly onto the surface of the block by applying chalk or graphite to the back of the sheet. The design is then placed onto the surface of the block and its lines are traced by the printmaker with a stylus, which transfers the chalk and the thus the design onto the block.</w:t>
      </w:r>
      <w:r w:rsidRPr="000374C5">
        <w:rPr>
          <w:rFonts w:ascii="Centaur" w:hAnsi="Centaur" w:cs="Helvetica"/>
          <w:color w:val="333333"/>
          <w:sz w:val="26"/>
          <w:szCs w:val="26"/>
          <w:shd w:val="clear" w:color="auto" w:fill="FFFFFF"/>
        </w:rPr>
        <w:t xml:space="preserve"> </w:t>
      </w:r>
      <w:r w:rsidRPr="000374C5">
        <w:rPr>
          <w:rFonts w:ascii="Centaur" w:hAnsi="Centaur" w:cs="Helvetica"/>
          <w:color w:val="333333"/>
          <w:sz w:val="26"/>
          <w:szCs w:val="26"/>
          <w:shd w:val="clear" w:color="auto" w:fill="FFFFFF"/>
        </w:rPr>
        <w:t>Woodblocks are most often cut by a professional block cutter, who uses a chisel, gouge, or knife to carefully cut away sections of the block that will not receive ink.</w:t>
      </w:r>
    </w:p>
    <w:p w14:paraId="34D12A8E" w14:textId="77777777" w:rsidR="000374C5" w:rsidRDefault="000374C5" w:rsidP="0009104F">
      <w:pPr>
        <w:pStyle w:val="ListParagraph"/>
        <w:widowControl w:val="0"/>
        <w:tabs>
          <w:tab w:val="left" w:pos="-720"/>
          <w:tab w:val="left" w:pos="0"/>
        </w:tabs>
        <w:suppressAutoHyphens/>
        <w:spacing w:line="276" w:lineRule="auto"/>
        <w:rPr>
          <w:rFonts w:ascii="Centaur" w:hAnsi="Centaur" w:cs="Helvetica"/>
          <w:color w:val="333333"/>
          <w:sz w:val="26"/>
          <w:szCs w:val="26"/>
          <w:shd w:val="clear" w:color="auto" w:fill="FFFFFF"/>
        </w:rPr>
      </w:pPr>
    </w:p>
    <w:p w14:paraId="4272A506" w14:textId="572B5768" w:rsidR="000374C5" w:rsidRDefault="000374C5" w:rsidP="0009104F">
      <w:pPr>
        <w:pStyle w:val="ListParagraph"/>
        <w:widowControl w:val="0"/>
        <w:tabs>
          <w:tab w:val="left" w:pos="-720"/>
          <w:tab w:val="left" w:pos="0"/>
        </w:tabs>
        <w:suppressAutoHyphens/>
        <w:spacing w:line="276" w:lineRule="auto"/>
        <w:rPr>
          <w:rFonts w:ascii="Centaur" w:hAnsi="Centaur" w:cs="Helvetica"/>
          <w:color w:val="333333"/>
          <w:sz w:val="26"/>
          <w:szCs w:val="26"/>
          <w:shd w:val="clear" w:color="auto" w:fill="FFFFFF"/>
        </w:rPr>
      </w:pPr>
      <w:r>
        <w:rPr>
          <w:rFonts w:ascii="Centaur" w:hAnsi="Centaur" w:cs="Helvetica"/>
          <w:color w:val="333333"/>
          <w:sz w:val="26"/>
          <w:szCs w:val="26"/>
          <w:shd w:val="clear" w:color="auto" w:fill="FFFFFF"/>
        </w:rPr>
        <w:t>{Slide 6}</w:t>
      </w:r>
      <w:r w:rsidRPr="000374C5">
        <w:rPr>
          <w:rFonts w:ascii="Centaur" w:hAnsi="Centaur" w:cs="Helvetica"/>
          <w:color w:val="333333"/>
          <w:sz w:val="26"/>
          <w:szCs w:val="26"/>
          <w:shd w:val="clear" w:color="auto" w:fill="FFFFFF"/>
        </w:rPr>
        <w:t xml:space="preserve"> </w:t>
      </w:r>
      <w:r w:rsidRPr="000374C5">
        <w:rPr>
          <w:rFonts w:ascii="Centaur" w:hAnsi="Centaur" w:cs="Helvetica"/>
          <w:color w:val="333333"/>
          <w:sz w:val="26"/>
          <w:szCs w:val="26"/>
          <w:shd w:val="clear" w:color="auto" w:fill="FFFFFF"/>
        </w:rPr>
        <w:t>The lines that comprise the image then stand in relief to the rest of the block (which is why woodcuts are in the group of printmaking techniques called relief prints).</w:t>
      </w:r>
      <w:r w:rsidR="006F2854">
        <w:rPr>
          <w:rFonts w:ascii="Centaur" w:hAnsi="Centaur" w:cs="Helvetica"/>
          <w:color w:val="333333"/>
          <w:sz w:val="26"/>
          <w:szCs w:val="26"/>
          <w:shd w:val="clear" w:color="auto" w:fill="FFFFFF"/>
        </w:rPr>
        <w:t xml:space="preserve"> </w:t>
      </w:r>
      <w:r w:rsidR="006F2854" w:rsidRPr="006F2854">
        <w:rPr>
          <w:rFonts w:ascii="Centaur" w:hAnsi="Centaur" w:cs="Helvetica"/>
          <w:color w:val="333333"/>
          <w:sz w:val="26"/>
          <w:szCs w:val="26"/>
          <w:shd w:val="clear" w:color="auto" w:fill="FFFFFF"/>
        </w:rPr>
        <w:t>The block is then inked evenly by using a dauber (ink ball) or a roller, taking care not to spill ink into the recesses.</w:t>
      </w:r>
    </w:p>
    <w:p w14:paraId="45382247" w14:textId="77777777" w:rsidR="006F2854" w:rsidRDefault="006F2854" w:rsidP="0009104F">
      <w:pPr>
        <w:pStyle w:val="ListParagraph"/>
        <w:widowControl w:val="0"/>
        <w:tabs>
          <w:tab w:val="left" w:pos="-720"/>
          <w:tab w:val="left" w:pos="0"/>
        </w:tabs>
        <w:suppressAutoHyphens/>
        <w:spacing w:line="276" w:lineRule="auto"/>
        <w:rPr>
          <w:rFonts w:ascii="Centaur" w:hAnsi="Centaur" w:cs="Helvetica"/>
          <w:color w:val="333333"/>
          <w:sz w:val="26"/>
          <w:szCs w:val="26"/>
          <w:shd w:val="clear" w:color="auto" w:fill="FFFFFF"/>
        </w:rPr>
      </w:pPr>
    </w:p>
    <w:p w14:paraId="31D2A5D7" w14:textId="7421281E" w:rsidR="00C200D9" w:rsidRDefault="006F2854" w:rsidP="0009104F">
      <w:pPr>
        <w:pStyle w:val="ListParagraph"/>
        <w:widowControl w:val="0"/>
        <w:tabs>
          <w:tab w:val="left" w:pos="-720"/>
          <w:tab w:val="left" w:pos="0"/>
        </w:tabs>
        <w:suppressAutoHyphens/>
        <w:spacing w:line="276" w:lineRule="auto"/>
        <w:rPr>
          <w:rFonts w:ascii="Centaur" w:hAnsi="Centaur" w:cs="Helvetica"/>
          <w:color w:val="333333"/>
          <w:sz w:val="26"/>
          <w:szCs w:val="26"/>
          <w:shd w:val="clear" w:color="auto" w:fill="FFFFFF"/>
        </w:rPr>
      </w:pPr>
      <w:r>
        <w:rPr>
          <w:rFonts w:ascii="Centaur" w:hAnsi="Centaur" w:cs="Helvetica"/>
          <w:color w:val="333333"/>
          <w:sz w:val="26"/>
          <w:szCs w:val="26"/>
          <w:shd w:val="clear" w:color="auto" w:fill="FFFFFF"/>
        </w:rPr>
        <w:t>{Slide 7}</w:t>
      </w:r>
      <w:r w:rsidRPr="006F2854">
        <w:rPr>
          <w:rFonts w:ascii="Centaur" w:hAnsi="Centaur" w:cs="Helvetica"/>
          <w:color w:val="333333"/>
          <w:sz w:val="26"/>
          <w:szCs w:val="26"/>
          <w:shd w:val="clear" w:color="auto" w:fill="FFFFFF"/>
        </w:rPr>
        <w:t xml:space="preserve"> </w:t>
      </w:r>
      <w:r w:rsidRPr="006F2854">
        <w:rPr>
          <w:rFonts w:ascii="Centaur" w:hAnsi="Centaur" w:cs="Helvetica"/>
          <w:color w:val="333333"/>
          <w:sz w:val="26"/>
          <w:szCs w:val="26"/>
          <w:shd w:val="clear" w:color="auto" w:fill="FFFFFF"/>
        </w:rPr>
        <w:t xml:space="preserve">The block is then placed on the bed of a press and a sheet of dampened paper is placed onto the inked surface of the block. Printmakers can use either a platen press or a roller press. Although some early relief prints appear to have been produced </w:t>
      </w:r>
      <w:r w:rsidRPr="006F2854">
        <w:rPr>
          <w:rFonts w:ascii="Centaur" w:hAnsi="Centaur" w:cs="Helvetica"/>
          <w:color w:val="333333"/>
          <w:sz w:val="26"/>
          <w:szCs w:val="26"/>
          <w:shd w:val="clear" w:color="auto" w:fill="FFFFFF"/>
        </w:rPr>
        <w:lastRenderedPageBreak/>
        <w:t>by simply pressing the paper against the block with one's hand, the use of a press is preferable for the consistent distribution of ink.</w:t>
      </w:r>
      <w:r w:rsidR="005E7951">
        <w:rPr>
          <w:rFonts w:ascii="Centaur" w:hAnsi="Centaur" w:cs="Helvetica"/>
          <w:color w:val="333333"/>
          <w:sz w:val="26"/>
          <w:szCs w:val="26"/>
          <w:shd w:val="clear" w:color="auto" w:fill="FFFFFF"/>
        </w:rPr>
        <w:t xml:space="preserve"> </w:t>
      </w:r>
      <w:r w:rsidR="00C200D9">
        <w:rPr>
          <w:rFonts w:ascii="Centaur" w:hAnsi="Centaur" w:cs="Helvetica"/>
          <w:color w:val="333333"/>
          <w:sz w:val="26"/>
          <w:szCs w:val="26"/>
          <w:shd w:val="clear" w:color="auto" w:fill="FFFFFF"/>
        </w:rPr>
        <w:t xml:space="preserve">{Slide 8} </w:t>
      </w:r>
      <w:r w:rsidR="00C200D9" w:rsidRPr="00C200D9">
        <w:rPr>
          <w:rFonts w:ascii="Centaur" w:hAnsi="Centaur" w:cs="Helvetica"/>
          <w:color w:val="333333"/>
          <w:sz w:val="26"/>
          <w:szCs w:val="26"/>
          <w:shd w:val="clear" w:color="auto" w:fill="FFFFFF"/>
        </w:rPr>
        <w:t>Once printed onto its paper support, the woodcut's design appears in reverse of the original on the block.</w:t>
      </w:r>
    </w:p>
    <w:p w14:paraId="6611A931" w14:textId="77777777" w:rsidR="00C200D9" w:rsidRDefault="00C200D9" w:rsidP="0009104F">
      <w:pPr>
        <w:pStyle w:val="ListParagraph"/>
        <w:widowControl w:val="0"/>
        <w:tabs>
          <w:tab w:val="left" w:pos="-720"/>
          <w:tab w:val="left" w:pos="0"/>
        </w:tabs>
        <w:suppressAutoHyphens/>
        <w:spacing w:line="276" w:lineRule="auto"/>
        <w:rPr>
          <w:rFonts w:ascii="Centaur" w:hAnsi="Centaur" w:cs="Helvetica"/>
          <w:color w:val="333333"/>
          <w:sz w:val="26"/>
          <w:szCs w:val="26"/>
          <w:shd w:val="clear" w:color="auto" w:fill="FFFFFF"/>
        </w:rPr>
      </w:pPr>
    </w:p>
    <w:p w14:paraId="2E11547F" w14:textId="77777777" w:rsidR="00315310" w:rsidRDefault="00676E8F" w:rsidP="0009104F">
      <w:pPr>
        <w:pStyle w:val="ListParagraph"/>
        <w:widowControl w:val="0"/>
        <w:tabs>
          <w:tab w:val="left" w:pos="-720"/>
          <w:tab w:val="left" w:pos="0"/>
        </w:tabs>
        <w:suppressAutoHyphens/>
        <w:spacing w:line="276" w:lineRule="auto"/>
        <w:rPr>
          <w:rFonts w:ascii="Centaur" w:hAnsi="Centaur" w:cs="Adobe Devanagari"/>
          <w:spacing w:val="-3"/>
          <w:sz w:val="26"/>
          <w:szCs w:val="26"/>
        </w:rPr>
      </w:pPr>
      <w:r>
        <w:rPr>
          <w:rFonts w:ascii="Centaur" w:hAnsi="Centaur"/>
          <w:sz w:val="26"/>
          <w:szCs w:val="26"/>
        </w:rPr>
        <w:t>As woodcut illustrations were incorporated into encyclopaedic works and works of natural history, anatomy, and botany, for example, they became records of observation, but also tools for teaching, learning, researching, demonstrating, and persuading.</w:t>
      </w:r>
      <w:r>
        <w:rPr>
          <w:rStyle w:val="FootnoteReference"/>
          <w:rFonts w:ascii="Centaur" w:hAnsi="Centaur"/>
          <w:sz w:val="26"/>
          <w:szCs w:val="26"/>
        </w:rPr>
        <w:footnoteReference w:id="6"/>
      </w:r>
      <w:r>
        <w:rPr>
          <w:rFonts w:ascii="Centaur" w:hAnsi="Centaur"/>
          <w:sz w:val="26"/>
          <w:szCs w:val="26"/>
        </w:rPr>
        <w:t xml:space="preserve"> The decision to use or omit illustrations depended not only on financial and technical considerations, but also on a range of intellectual positions concerning the relative authority of text, image, and personal experience, as well as on a diversity of opinion about the relation of image to natural object and to verbal description by ancient </w:t>
      </w:r>
      <w:r w:rsidR="000D05D8">
        <w:rPr>
          <w:rFonts w:ascii="Centaur" w:hAnsi="Centaur"/>
          <w:sz w:val="26"/>
          <w:szCs w:val="26"/>
        </w:rPr>
        <w:t>(Greek and Roman) and recent writers, and about ways of employing images in an author’s own text.</w:t>
      </w:r>
    </w:p>
    <w:p w14:paraId="69E345E7" w14:textId="77777777" w:rsidR="00436683" w:rsidRDefault="00436683" w:rsidP="0009104F">
      <w:pPr>
        <w:pStyle w:val="ListParagraph"/>
        <w:widowControl w:val="0"/>
        <w:tabs>
          <w:tab w:val="left" w:pos="-720"/>
          <w:tab w:val="left" w:pos="0"/>
        </w:tabs>
        <w:suppressAutoHyphens/>
        <w:spacing w:line="276" w:lineRule="auto"/>
        <w:rPr>
          <w:rFonts w:ascii="Centaur" w:hAnsi="Centaur" w:cs="Adobe Devanagari"/>
          <w:spacing w:val="-3"/>
          <w:sz w:val="26"/>
          <w:szCs w:val="26"/>
        </w:rPr>
      </w:pPr>
    </w:p>
    <w:p w14:paraId="4EFDB0D8" w14:textId="77777777" w:rsidR="000D05D8" w:rsidRDefault="000D05D8" w:rsidP="0009104F">
      <w:pPr>
        <w:pStyle w:val="ListParagraph"/>
        <w:widowControl w:val="0"/>
        <w:tabs>
          <w:tab w:val="left" w:pos="-720"/>
          <w:tab w:val="left" w:pos="0"/>
        </w:tabs>
        <w:suppressAutoHyphens/>
        <w:spacing w:line="276" w:lineRule="auto"/>
        <w:rPr>
          <w:rFonts w:ascii="Centaur" w:hAnsi="Centaur" w:cs="Adobe Devanagari"/>
          <w:spacing w:val="-3"/>
          <w:sz w:val="26"/>
          <w:szCs w:val="26"/>
        </w:rPr>
      </w:pPr>
    </w:p>
    <w:p w14:paraId="757626F5" w14:textId="77777777" w:rsidR="00DA2BBB" w:rsidRPr="000C5BC1" w:rsidRDefault="00974E39" w:rsidP="000C5BC1">
      <w:pPr>
        <w:pStyle w:val="ListParagraph"/>
        <w:widowControl w:val="0"/>
        <w:numPr>
          <w:ilvl w:val="0"/>
          <w:numId w:val="2"/>
        </w:numPr>
        <w:tabs>
          <w:tab w:val="left" w:pos="-720"/>
          <w:tab w:val="left" w:pos="0"/>
        </w:tabs>
        <w:suppressAutoHyphens/>
        <w:spacing w:line="276" w:lineRule="auto"/>
        <w:rPr>
          <w:rFonts w:ascii="Centaur" w:hAnsi="Centaur" w:cs="Adobe Devanagari"/>
          <w:spacing w:val="-3"/>
          <w:sz w:val="26"/>
          <w:szCs w:val="26"/>
        </w:rPr>
      </w:pPr>
      <w:r w:rsidRPr="000C5BC1">
        <w:rPr>
          <w:rFonts w:ascii="Centaur" w:hAnsi="Centaur" w:cs="Arial"/>
          <w:sz w:val="26"/>
          <w:szCs w:val="26"/>
        </w:rPr>
        <w:t>Collaborations between artists,</w:t>
      </w:r>
      <w:r w:rsidR="005C7627">
        <w:rPr>
          <w:rFonts w:ascii="Centaur" w:hAnsi="Centaur" w:cs="Arial"/>
          <w:sz w:val="26"/>
          <w:szCs w:val="26"/>
        </w:rPr>
        <w:t xml:space="preserve"> woodcutters,</w:t>
      </w:r>
      <w:r w:rsidRPr="000C5BC1">
        <w:rPr>
          <w:rFonts w:ascii="Centaur" w:hAnsi="Centaur" w:cs="Arial"/>
          <w:sz w:val="26"/>
          <w:szCs w:val="26"/>
        </w:rPr>
        <w:t xml:space="preserve"> engravers</w:t>
      </w:r>
      <w:r w:rsidR="005C7627">
        <w:rPr>
          <w:rFonts w:ascii="Centaur" w:hAnsi="Centaur" w:cs="Arial"/>
          <w:sz w:val="26"/>
          <w:szCs w:val="26"/>
        </w:rPr>
        <w:t>,</w:t>
      </w:r>
      <w:r w:rsidRPr="000C5BC1">
        <w:rPr>
          <w:rFonts w:ascii="Centaur" w:hAnsi="Centaur" w:cs="Arial"/>
          <w:sz w:val="26"/>
          <w:szCs w:val="26"/>
        </w:rPr>
        <w:t xml:space="preserve"> and printers</w:t>
      </w:r>
      <w:r w:rsidRPr="000C5BC1">
        <w:rPr>
          <w:rFonts w:ascii="Centaur" w:hAnsi="Centaur" w:cs="Adobe Devanagari"/>
          <w:spacing w:val="-3"/>
          <w:sz w:val="26"/>
          <w:szCs w:val="26"/>
        </w:rPr>
        <w:t xml:space="preserve"> </w:t>
      </w:r>
    </w:p>
    <w:p w14:paraId="50C172B3" w14:textId="77777777" w:rsidR="000B3078" w:rsidRDefault="000B3078" w:rsidP="0009104F">
      <w:pPr>
        <w:pStyle w:val="ListParagraph"/>
        <w:widowControl w:val="0"/>
        <w:tabs>
          <w:tab w:val="left" w:pos="-720"/>
          <w:tab w:val="left" w:pos="0"/>
        </w:tabs>
        <w:suppressAutoHyphens/>
        <w:spacing w:line="276" w:lineRule="auto"/>
        <w:rPr>
          <w:rFonts w:ascii="Centaur" w:hAnsi="Centaur" w:cs="Adobe Devanagari"/>
          <w:spacing w:val="-3"/>
          <w:sz w:val="26"/>
          <w:szCs w:val="26"/>
        </w:rPr>
      </w:pPr>
    </w:p>
    <w:p w14:paraId="285A13DF" w14:textId="77777777" w:rsidR="000D05D8" w:rsidRDefault="005C7627" w:rsidP="0009104F">
      <w:pPr>
        <w:pStyle w:val="ListParagraph"/>
        <w:widowControl w:val="0"/>
        <w:tabs>
          <w:tab w:val="left" w:pos="-720"/>
          <w:tab w:val="left" w:pos="0"/>
        </w:tabs>
        <w:suppressAutoHyphens/>
        <w:spacing w:line="276" w:lineRule="auto"/>
        <w:rPr>
          <w:rFonts w:ascii="Centaur" w:hAnsi="Centaur"/>
          <w:sz w:val="26"/>
          <w:szCs w:val="26"/>
        </w:rPr>
      </w:pPr>
      <w:r>
        <w:rPr>
          <w:rFonts w:ascii="Centaur" w:hAnsi="Centaur"/>
          <w:spacing w:val="-3"/>
          <w:sz w:val="26"/>
          <w:szCs w:val="26"/>
        </w:rPr>
        <w:t xml:space="preserve">Woodcut book illustration represents the </w:t>
      </w:r>
      <w:r w:rsidR="00974E39" w:rsidRPr="000C5BC1">
        <w:rPr>
          <w:rFonts w:ascii="Centaur" w:hAnsi="Centaur"/>
          <w:spacing w:val="-3"/>
          <w:sz w:val="26"/>
          <w:szCs w:val="26"/>
        </w:rPr>
        <w:t>achievement of a synthesis of artistic</w:t>
      </w:r>
      <w:r>
        <w:rPr>
          <w:rFonts w:ascii="Centaur" w:hAnsi="Centaur"/>
          <w:spacing w:val="-3"/>
          <w:sz w:val="26"/>
          <w:szCs w:val="26"/>
        </w:rPr>
        <w:t xml:space="preserve"> and didactic or educational</w:t>
      </w:r>
      <w:r w:rsidR="00974E39" w:rsidRPr="000C5BC1">
        <w:rPr>
          <w:rFonts w:ascii="Centaur" w:hAnsi="Centaur"/>
          <w:spacing w:val="-3"/>
          <w:sz w:val="26"/>
          <w:szCs w:val="26"/>
        </w:rPr>
        <w:t xml:space="preserve"> purpose</w:t>
      </w:r>
      <w:r>
        <w:rPr>
          <w:rFonts w:ascii="Centaur" w:hAnsi="Centaur"/>
          <w:spacing w:val="-3"/>
          <w:sz w:val="26"/>
          <w:szCs w:val="26"/>
        </w:rPr>
        <w:t xml:space="preserve">. It also </w:t>
      </w:r>
      <w:r w:rsidR="00974E39" w:rsidRPr="000C5BC1">
        <w:rPr>
          <w:rFonts w:ascii="Centaur" w:hAnsi="Centaur"/>
          <w:spacing w:val="-3"/>
          <w:sz w:val="26"/>
          <w:szCs w:val="26"/>
        </w:rPr>
        <w:t xml:space="preserve">required a </w:t>
      </w:r>
      <w:r w:rsidR="00974E39" w:rsidRPr="000C5BC1">
        <w:rPr>
          <w:rFonts w:ascii="Centaur" w:hAnsi="Centaur"/>
          <w:sz w:val="26"/>
          <w:szCs w:val="26"/>
        </w:rPr>
        <w:t>contexture of social and industrial relationships arising from the activities</w:t>
      </w:r>
      <w:r>
        <w:rPr>
          <w:rFonts w:ascii="Centaur" w:hAnsi="Centaur"/>
          <w:sz w:val="26"/>
          <w:szCs w:val="26"/>
        </w:rPr>
        <w:t xml:space="preserve"> and stages involved.</w:t>
      </w:r>
      <w:r w:rsidR="00676E8F">
        <w:rPr>
          <w:rFonts w:ascii="Centaur" w:hAnsi="Centaur"/>
          <w:sz w:val="26"/>
          <w:szCs w:val="26"/>
        </w:rPr>
        <w:t xml:space="preserve"> This became increasingly complex in areas of illustration that required special observational and technical skills. </w:t>
      </w:r>
    </w:p>
    <w:p w14:paraId="22B9197F" w14:textId="77777777" w:rsidR="000D05D8" w:rsidRDefault="000D05D8" w:rsidP="0009104F">
      <w:pPr>
        <w:pStyle w:val="ListParagraph"/>
        <w:widowControl w:val="0"/>
        <w:tabs>
          <w:tab w:val="left" w:pos="-720"/>
          <w:tab w:val="left" w:pos="0"/>
        </w:tabs>
        <w:suppressAutoHyphens/>
        <w:spacing w:line="276" w:lineRule="auto"/>
        <w:rPr>
          <w:rFonts w:ascii="Centaur" w:hAnsi="Centaur"/>
          <w:sz w:val="26"/>
          <w:szCs w:val="26"/>
        </w:rPr>
      </w:pPr>
    </w:p>
    <w:p w14:paraId="3213DB8E" w14:textId="77777777" w:rsidR="00974E39" w:rsidRDefault="00676E8F" w:rsidP="0009104F">
      <w:pPr>
        <w:pStyle w:val="ListParagraph"/>
        <w:widowControl w:val="0"/>
        <w:tabs>
          <w:tab w:val="left" w:pos="-720"/>
          <w:tab w:val="left" w:pos="0"/>
        </w:tabs>
        <w:suppressAutoHyphens/>
        <w:spacing w:line="276" w:lineRule="auto"/>
        <w:rPr>
          <w:rFonts w:ascii="Centaur" w:hAnsi="Centaur" w:cs="Adobe Devanagari"/>
          <w:spacing w:val="-3"/>
          <w:sz w:val="26"/>
          <w:szCs w:val="26"/>
        </w:rPr>
      </w:pPr>
      <w:r>
        <w:rPr>
          <w:rFonts w:ascii="Centaur" w:hAnsi="Centaur"/>
          <w:sz w:val="26"/>
          <w:szCs w:val="26"/>
        </w:rPr>
        <w:t xml:space="preserve">Let us take, for example, the illustration of human or animal anatomy. The relationships of activities were </w:t>
      </w:r>
      <w:r w:rsidR="00974E39" w:rsidRPr="000C5BC1">
        <w:rPr>
          <w:rFonts w:ascii="Centaur" w:hAnsi="Centaur"/>
          <w:sz w:val="26"/>
          <w:szCs w:val="26"/>
        </w:rPr>
        <w:t xml:space="preserve">of dissection by the anatomist, drawing and </w:t>
      </w:r>
      <w:r>
        <w:rPr>
          <w:rFonts w:ascii="Centaur" w:hAnsi="Centaur"/>
          <w:sz w:val="26"/>
          <w:szCs w:val="26"/>
        </w:rPr>
        <w:t xml:space="preserve">woodcutting or </w:t>
      </w:r>
      <w:r w:rsidR="00974E39" w:rsidRPr="000C5BC1">
        <w:rPr>
          <w:rFonts w:ascii="Centaur" w:hAnsi="Centaur"/>
          <w:sz w:val="26"/>
          <w:szCs w:val="26"/>
        </w:rPr>
        <w:t>engraving in the artists’ studio, production in the print shop and bindery, and distribution from the premises of the bookseller</w:t>
      </w:r>
      <w:r w:rsidR="00974E39" w:rsidRPr="000C5BC1">
        <w:rPr>
          <w:rFonts w:ascii="Centaur" w:hAnsi="Centaur"/>
          <w:spacing w:val="-3"/>
          <w:sz w:val="26"/>
          <w:szCs w:val="26"/>
        </w:rPr>
        <w:t xml:space="preserve">. And in order to achieve the quality of illustration required to communicate detailed knowledge of anatomical structure, </w:t>
      </w:r>
      <w:r w:rsidR="000D05D8">
        <w:rPr>
          <w:rFonts w:ascii="Centaur" w:hAnsi="Centaur"/>
          <w:spacing w:val="-3"/>
          <w:sz w:val="26"/>
          <w:szCs w:val="26"/>
        </w:rPr>
        <w:t>the physician-anatomist would need to</w:t>
      </w:r>
      <w:r w:rsidR="00974E39" w:rsidRPr="000C5BC1">
        <w:rPr>
          <w:rFonts w:ascii="Centaur" w:hAnsi="Centaur"/>
          <w:spacing w:val="-3"/>
          <w:sz w:val="26"/>
          <w:szCs w:val="26"/>
        </w:rPr>
        <w:t xml:space="preserve"> supervise closely the work of a team of artists.</w:t>
      </w:r>
      <w:r w:rsidR="000D05D8">
        <w:rPr>
          <w:rFonts w:ascii="Centaur" w:hAnsi="Centaur"/>
          <w:spacing w:val="-3"/>
          <w:sz w:val="26"/>
          <w:szCs w:val="26"/>
        </w:rPr>
        <w:t xml:space="preserve"> </w:t>
      </w:r>
      <w:r w:rsidR="00974E39" w:rsidRPr="000C5BC1">
        <w:rPr>
          <w:rFonts w:ascii="Centaur" w:hAnsi="Centaur"/>
          <w:spacing w:val="-3"/>
          <w:sz w:val="26"/>
          <w:szCs w:val="26"/>
        </w:rPr>
        <w:t>When recording the artists and woodcutters or engravers involved in the production of an illustration, abbreviations are sometimes used, such as ‘</w:t>
      </w:r>
      <w:r w:rsidR="00974E39" w:rsidRPr="000C5BC1">
        <w:rPr>
          <w:rFonts w:ascii="Centaur" w:hAnsi="Centaur"/>
          <w:i/>
          <w:spacing w:val="-3"/>
          <w:sz w:val="26"/>
          <w:szCs w:val="26"/>
        </w:rPr>
        <w:t>Sculp</w:t>
      </w:r>
      <w:r w:rsidR="00974E39" w:rsidRPr="000C5BC1">
        <w:rPr>
          <w:rFonts w:ascii="Centaur" w:hAnsi="Centaur"/>
          <w:spacing w:val="-3"/>
          <w:sz w:val="26"/>
          <w:szCs w:val="26"/>
        </w:rPr>
        <w:t>.’ followed by the engraver’s name. Some illustrations however, carry no names.</w:t>
      </w:r>
    </w:p>
    <w:p w14:paraId="3EDA95D3" w14:textId="77777777" w:rsidR="0009104F" w:rsidRDefault="0009104F" w:rsidP="0009104F">
      <w:pPr>
        <w:pStyle w:val="ListParagraph"/>
        <w:widowControl w:val="0"/>
        <w:tabs>
          <w:tab w:val="left" w:pos="-720"/>
          <w:tab w:val="left" w:pos="0"/>
        </w:tabs>
        <w:suppressAutoHyphens/>
        <w:spacing w:line="276" w:lineRule="auto"/>
        <w:rPr>
          <w:rFonts w:ascii="Centaur" w:hAnsi="Centaur" w:cs="Adobe Devanagari"/>
          <w:spacing w:val="-3"/>
          <w:sz w:val="26"/>
          <w:szCs w:val="26"/>
        </w:rPr>
      </w:pPr>
    </w:p>
    <w:p w14:paraId="62B2A52E" w14:textId="77777777" w:rsidR="0009104F" w:rsidRDefault="0009104F" w:rsidP="0009104F">
      <w:pPr>
        <w:pStyle w:val="ListParagraph"/>
        <w:widowControl w:val="0"/>
        <w:tabs>
          <w:tab w:val="left" w:pos="-720"/>
          <w:tab w:val="left" w:pos="0"/>
        </w:tabs>
        <w:suppressAutoHyphens/>
        <w:spacing w:line="276" w:lineRule="auto"/>
        <w:rPr>
          <w:rFonts w:ascii="Centaur" w:hAnsi="Centaur" w:cs="Adobe Devanagari"/>
          <w:spacing w:val="-3"/>
          <w:sz w:val="26"/>
          <w:szCs w:val="26"/>
        </w:rPr>
      </w:pPr>
    </w:p>
    <w:p w14:paraId="7A77B444" w14:textId="77777777" w:rsidR="000B3078" w:rsidRDefault="000B3078" w:rsidP="000C5BC1">
      <w:pPr>
        <w:pStyle w:val="ListParagraph"/>
        <w:widowControl w:val="0"/>
        <w:numPr>
          <w:ilvl w:val="0"/>
          <w:numId w:val="2"/>
        </w:numPr>
        <w:tabs>
          <w:tab w:val="left" w:pos="-720"/>
          <w:tab w:val="left" w:pos="0"/>
        </w:tabs>
        <w:suppressAutoHyphens/>
        <w:spacing w:line="276" w:lineRule="auto"/>
        <w:rPr>
          <w:rFonts w:ascii="Centaur" w:hAnsi="Centaur" w:cs="Adobe Devanagari"/>
          <w:spacing w:val="-3"/>
          <w:sz w:val="26"/>
          <w:szCs w:val="26"/>
        </w:rPr>
      </w:pPr>
      <w:r w:rsidRPr="000C5BC1">
        <w:rPr>
          <w:rFonts w:ascii="Centaur" w:hAnsi="Centaur" w:cs="Arial"/>
          <w:sz w:val="26"/>
          <w:szCs w:val="26"/>
        </w:rPr>
        <w:t>Techniques, functions, conventions, and iconography of book illustration</w:t>
      </w:r>
    </w:p>
    <w:p w14:paraId="5D4B9DBF" w14:textId="77777777" w:rsidR="000B3078" w:rsidRDefault="000B3078" w:rsidP="000B3078">
      <w:pPr>
        <w:pStyle w:val="ListParagraph"/>
        <w:widowControl w:val="0"/>
        <w:tabs>
          <w:tab w:val="left" w:pos="-720"/>
          <w:tab w:val="left" w:pos="0"/>
        </w:tabs>
        <w:suppressAutoHyphens/>
        <w:spacing w:line="276" w:lineRule="auto"/>
        <w:rPr>
          <w:rFonts w:ascii="Centaur" w:hAnsi="Centaur" w:cs="Adobe Devanagari"/>
          <w:spacing w:val="-3"/>
          <w:sz w:val="26"/>
          <w:szCs w:val="26"/>
        </w:rPr>
      </w:pPr>
    </w:p>
    <w:p w14:paraId="38EF8AC5" w14:textId="77777777" w:rsidR="00315310" w:rsidRDefault="000D05D8" w:rsidP="000B3078">
      <w:pPr>
        <w:pStyle w:val="ListParagraph"/>
        <w:widowControl w:val="0"/>
        <w:tabs>
          <w:tab w:val="left" w:pos="-720"/>
          <w:tab w:val="left" w:pos="0"/>
        </w:tabs>
        <w:suppressAutoHyphens/>
        <w:spacing w:line="276" w:lineRule="auto"/>
        <w:rPr>
          <w:rFonts w:ascii="Centaur" w:hAnsi="Centaur" w:cs="Arial"/>
          <w:sz w:val="26"/>
          <w:szCs w:val="26"/>
        </w:rPr>
      </w:pPr>
      <w:r>
        <w:rPr>
          <w:rFonts w:ascii="Centaur" w:hAnsi="Centaur"/>
          <w:sz w:val="26"/>
          <w:szCs w:val="26"/>
        </w:rPr>
        <w:t>C</w:t>
      </w:r>
      <w:r w:rsidR="000B3078" w:rsidRPr="000C5BC1">
        <w:rPr>
          <w:rFonts w:ascii="Centaur" w:hAnsi="Centaur"/>
          <w:sz w:val="26"/>
          <w:szCs w:val="26"/>
        </w:rPr>
        <w:t>onventions of representation arose in this period.</w:t>
      </w:r>
      <w:r w:rsidR="000B3078" w:rsidRPr="000C5BC1">
        <w:rPr>
          <w:rFonts w:ascii="Centaur" w:hAnsi="Centaur" w:cs="Arial"/>
          <w:sz w:val="26"/>
          <w:szCs w:val="26"/>
        </w:rPr>
        <w:t xml:space="preserve"> </w:t>
      </w:r>
      <w:r>
        <w:rPr>
          <w:rFonts w:ascii="Centaur" w:hAnsi="Centaur" w:cs="Arial"/>
          <w:sz w:val="26"/>
          <w:szCs w:val="26"/>
        </w:rPr>
        <w:t xml:space="preserve">Producing illustrations was not without </w:t>
      </w:r>
      <w:r w:rsidR="000B3078" w:rsidRPr="000C5BC1">
        <w:rPr>
          <w:rFonts w:ascii="Centaur" w:hAnsi="Centaur" w:cs="Arial"/>
          <w:sz w:val="26"/>
          <w:szCs w:val="26"/>
        </w:rPr>
        <w:t>technical challenges, and</w:t>
      </w:r>
      <w:r>
        <w:rPr>
          <w:rFonts w:ascii="Centaur" w:hAnsi="Centaur" w:cs="Arial"/>
          <w:sz w:val="26"/>
          <w:szCs w:val="26"/>
        </w:rPr>
        <w:t xml:space="preserve"> they sought </w:t>
      </w:r>
      <w:r w:rsidR="000B3078" w:rsidRPr="000C5BC1">
        <w:rPr>
          <w:rFonts w:ascii="Centaur" w:hAnsi="Centaur" w:cs="Arial"/>
          <w:sz w:val="26"/>
          <w:szCs w:val="26"/>
        </w:rPr>
        <w:t xml:space="preserve">various ways in which </w:t>
      </w:r>
      <w:r>
        <w:rPr>
          <w:rFonts w:ascii="Centaur" w:hAnsi="Centaur" w:cs="Arial"/>
          <w:sz w:val="26"/>
          <w:szCs w:val="26"/>
        </w:rPr>
        <w:t>to</w:t>
      </w:r>
      <w:r w:rsidR="000B3078" w:rsidRPr="000C5BC1">
        <w:rPr>
          <w:rFonts w:ascii="Centaur" w:hAnsi="Centaur" w:cs="Arial"/>
          <w:sz w:val="26"/>
          <w:szCs w:val="26"/>
        </w:rPr>
        <w:t xml:space="preserve"> demonstrate their subject matter.</w:t>
      </w:r>
      <w:r w:rsidR="000B3078" w:rsidRPr="000C5BC1">
        <w:rPr>
          <w:rFonts w:ascii="Centaur" w:hAnsi="Centaur"/>
          <w:sz w:val="26"/>
          <w:szCs w:val="26"/>
        </w:rPr>
        <w:t xml:space="preserve"> </w:t>
      </w:r>
      <w:r>
        <w:rPr>
          <w:rFonts w:ascii="Centaur" w:hAnsi="Centaur"/>
          <w:sz w:val="26"/>
          <w:szCs w:val="26"/>
        </w:rPr>
        <w:t>Botanical and anatomical illustrations faced</w:t>
      </w:r>
      <w:r w:rsidR="000B3078" w:rsidRPr="000C5BC1">
        <w:rPr>
          <w:rFonts w:ascii="Centaur" w:hAnsi="Centaur"/>
          <w:sz w:val="26"/>
          <w:szCs w:val="26"/>
        </w:rPr>
        <w:t xml:space="preserve"> challenges of accurately </w:t>
      </w:r>
      <w:r w:rsidR="000B3078" w:rsidRPr="000C5BC1">
        <w:rPr>
          <w:rFonts w:ascii="Centaur" w:hAnsi="Centaur"/>
          <w:sz w:val="26"/>
          <w:szCs w:val="26"/>
        </w:rPr>
        <w:lastRenderedPageBreak/>
        <w:t xml:space="preserve">representing observable three-dimensional objects and structures on a </w:t>
      </w:r>
      <w:r>
        <w:rPr>
          <w:rFonts w:ascii="Centaur" w:hAnsi="Centaur"/>
          <w:sz w:val="26"/>
          <w:szCs w:val="26"/>
        </w:rPr>
        <w:t xml:space="preserve">two-dimensional medium – paper. </w:t>
      </w:r>
      <w:r w:rsidR="00315310" w:rsidRPr="000C5BC1">
        <w:rPr>
          <w:rFonts w:ascii="Centaur" w:hAnsi="Centaur"/>
          <w:spacing w:val="-3"/>
          <w:sz w:val="26"/>
          <w:szCs w:val="26"/>
        </w:rPr>
        <w:t>In order to present plants examined botanically or animal anatomy revealed by dissection, woodcut illustration became highly skilled, so highly skilled that it may have been ‘</w:t>
      </w:r>
      <w:r w:rsidR="00315310" w:rsidRPr="000C5BC1">
        <w:rPr>
          <w:rFonts w:ascii="Centaur" w:hAnsi="Centaur" w:cs="Arial"/>
          <w:sz w:val="26"/>
          <w:szCs w:val="26"/>
        </w:rPr>
        <w:t>a significant cause in the unfolding of scientific method’. Arguably ‘accurate visual representation was more than just a technical accomplishment. It was a highly specialized form of observation employed by artists who had achieved their own standards of verity quite apart from the focused interests of natural philosophers’, botanists, and anatomists.</w:t>
      </w:r>
      <w:r w:rsidR="00315310" w:rsidRPr="000C5BC1">
        <w:rPr>
          <w:rStyle w:val="FootnoteReference"/>
          <w:rFonts w:ascii="Centaur" w:hAnsi="Centaur" w:cs="Arial"/>
          <w:sz w:val="26"/>
          <w:szCs w:val="26"/>
        </w:rPr>
        <w:footnoteReference w:id="7"/>
      </w:r>
    </w:p>
    <w:p w14:paraId="58AB6DFF" w14:textId="77777777" w:rsidR="00315310" w:rsidRDefault="00315310" w:rsidP="000B3078">
      <w:pPr>
        <w:pStyle w:val="ListParagraph"/>
        <w:widowControl w:val="0"/>
        <w:tabs>
          <w:tab w:val="left" w:pos="-720"/>
          <w:tab w:val="left" w:pos="0"/>
        </w:tabs>
        <w:suppressAutoHyphens/>
        <w:spacing w:line="276" w:lineRule="auto"/>
        <w:rPr>
          <w:rFonts w:ascii="Centaur" w:hAnsi="Centaur" w:cs="Arial"/>
          <w:sz w:val="26"/>
          <w:szCs w:val="26"/>
        </w:rPr>
      </w:pPr>
    </w:p>
    <w:p w14:paraId="3FCF8EF5" w14:textId="77777777" w:rsidR="00FC382D" w:rsidRDefault="00315310" w:rsidP="000B3078">
      <w:pPr>
        <w:pStyle w:val="ListParagraph"/>
        <w:widowControl w:val="0"/>
        <w:tabs>
          <w:tab w:val="left" w:pos="-720"/>
          <w:tab w:val="left" w:pos="0"/>
        </w:tabs>
        <w:suppressAutoHyphens/>
        <w:spacing w:line="276" w:lineRule="auto"/>
        <w:rPr>
          <w:rFonts w:ascii="Centaur" w:hAnsi="Centaur"/>
          <w:spacing w:val="-3"/>
          <w:sz w:val="26"/>
          <w:szCs w:val="26"/>
        </w:rPr>
      </w:pPr>
      <w:r w:rsidRPr="000C5BC1">
        <w:rPr>
          <w:rFonts w:ascii="Centaur" w:hAnsi="Centaur"/>
          <w:sz w:val="26"/>
          <w:szCs w:val="26"/>
        </w:rPr>
        <w:t xml:space="preserve">Early </w:t>
      </w:r>
      <w:r w:rsidR="000D05D8">
        <w:rPr>
          <w:rFonts w:ascii="Centaur" w:hAnsi="Centaur"/>
          <w:sz w:val="26"/>
          <w:szCs w:val="26"/>
        </w:rPr>
        <w:t>‘</w:t>
      </w:r>
      <w:r w:rsidRPr="000C5BC1">
        <w:rPr>
          <w:rFonts w:ascii="Centaur" w:hAnsi="Centaur"/>
          <w:sz w:val="26"/>
          <w:szCs w:val="26"/>
        </w:rPr>
        <w:t>scientific</w:t>
      </w:r>
      <w:r w:rsidR="000D05D8">
        <w:rPr>
          <w:rFonts w:ascii="Centaur" w:hAnsi="Centaur"/>
          <w:sz w:val="26"/>
          <w:szCs w:val="26"/>
        </w:rPr>
        <w:t>’</w:t>
      </w:r>
      <w:r w:rsidRPr="000C5BC1">
        <w:rPr>
          <w:rFonts w:ascii="Centaur" w:hAnsi="Centaur"/>
          <w:sz w:val="26"/>
          <w:szCs w:val="26"/>
        </w:rPr>
        <w:t xml:space="preserve"> illustration faced considerable challenges. For example, for accurate illustration of internal anatomy, t</w:t>
      </w:r>
      <w:r w:rsidRPr="000C5BC1">
        <w:rPr>
          <w:rFonts w:ascii="Centaur" w:hAnsi="Centaur"/>
          <w:spacing w:val="-3"/>
          <w:sz w:val="26"/>
          <w:szCs w:val="26"/>
        </w:rPr>
        <w:t>he body’s corruptibility, its volumetric proportions and its complexity of structures presen</w:t>
      </w:r>
      <w:r w:rsidRPr="000D50AB">
        <w:rPr>
          <w:rFonts w:ascii="Centaur" w:hAnsi="Centaur"/>
          <w:spacing w:val="-3"/>
          <w:sz w:val="26"/>
          <w:szCs w:val="26"/>
        </w:rPr>
        <w:t>ted considerable challenges.</w:t>
      </w:r>
      <w:r w:rsidR="000D05D8" w:rsidRPr="000D50AB">
        <w:rPr>
          <w:rFonts w:ascii="Centaur" w:hAnsi="Centaur"/>
          <w:spacing w:val="-3"/>
          <w:sz w:val="26"/>
          <w:szCs w:val="26"/>
        </w:rPr>
        <w:t xml:space="preserve"> </w:t>
      </w:r>
      <w:r w:rsidR="000D05D8" w:rsidRPr="000D50AB">
        <w:rPr>
          <w:rFonts w:ascii="Centaur" w:hAnsi="Centaur"/>
          <w:sz w:val="26"/>
          <w:szCs w:val="26"/>
        </w:rPr>
        <w:t>‘</w:t>
      </w:r>
      <w:r w:rsidR="000D05D8" w:rsidRPr="000D50AB">
        <w:rPr>
          <w:rFonts w:ascii="Centaur" w:hAnsi="Centaur"/>
          <w:spacing w:val="-3"/>
          <w:sz w:val="26"/>
          <w:szCs w:val="26"/>
        </w:rPr>
        <w:t>The body was one possible authority, but its organization was mysteriously complex and, because of the biological tendency towards decay, continually eluding the practical dissector. The text was another possible source of authority, but how could bodies be represented in texts when, in their material reality, they seemed to crumble and dissolve before the eyes of the onlooker?’</w:t>
      </w:r>
      <w:r w:rsidRPr="000C5BC1">
        <w:rPr>
          <w:rStyle w:val="FootnoteReference"/>
          <w:rFonts w:ascii="Centaur" w:hAnsi="Centaur"/>
          <w:spacing w:val="-3"/>
          <w:sz w:val="26"/>
          <w:szCs w:val="26"/>
        </w:rPr>
        <w:footnoteReference w:id="8"/>
      </w:r>
      <w:r w:rsidR="000D50AB">
        <w:rPr>
          <w:rFonts w:ascii="Centaur" w:hAnsi="Centaur"/>
          <w:spacing w:val="-3"/>
          <w:sz w:val="26"/>
          <w:szCs w:val="26"/>
        </w:rPr>
        <w:t xml:space="preserve"> </w:t>
      </w:r>
    </w:p>
    <w:p w14:paraId="1D2D62B2" w14:textId="77777777" w:rsidR="00FC382D" w:rsidRDefault="00FC382D" w:rsidP="000B3078">
      <w:pPr>
        <w:pStyle w:val="ListParagraph"/>
        <w:widowControl w:val="0"/>
        <w:tabs>
          <w:tab w:val="left" w:pos="-720"/>
          <w:tab w:val="left" w:pos="0"/>
        </w:tabs>
        <w:suppressAutoHyphens/>
        <w:spacing w:line="276" w:lineRule="auto"/>
        <w:rPr>
          <w:rFonts w:ascii="Centaur" w:hAnsi="Centaur"/>
          <w:spacing w:val="-3"/>
          <w:sz w:val="26"/>
          <w:szCs w:val="26"/>
        </w:rPr>
      </w:pPr>
    </w:p>
    <w:p w14:paraId="43A7C5F3" w14:textId="6CE50FD1" w:rsidR="00F279E5" w:rsidRDefault="00FC382D" w:rsidP="000B3078">
      <w:pPr>
        <w:pStyle w:val="ListParagraph"/>
        <w:widowControl w:val="0"/>
        <w:tabs>
          <w:tab w:val="left" w:pos="-720"/>
          <w:tab w:val="left" w:pos="0"/>
        </w:tabs>
        <w:suppressAutoHyphens/>
        <w:spacing w:line="276" w:lineRule="auto"/>
        <w:rPr>
          <w:rFonts w:ascii="Centaur" w:hAnsi="Centaur"/>
          <w:spacing w:val="-3"/>
          <w:sz w:val="26"/>
          <w:szCs w:val="26"/>
        </w:rPr>
      </w:pPr>
      <w:r>
        <w:rPr>
          <w:rFonts w:ascii="Centaur" w:hAnsi="Centaur" w:cs="Adobe Devanagari"/>
          <w:spacing w:val="-3"/>
          <w:sz w:val="26"/>
          <w:szCs w:val="26"/>
        </w:rPr>
        <w:t xml:space="preserve">{Slide </w:t>
      </w:r>
      <w:r w:rsidR="001451DD">
        <w:rPr>
          <w:rFonts w:ascii="Centaur" w:hAnsi="Centaur" w:cs="Adobe Devanagari"/>
          <w:spacing w:val="-3"/>
          <w:sz w:val="26"/>
          <w:szCs w:val="26"/>
        </w:rPr>
        <w:t>9</w:t>
      </w:r>
      <w:r>
        <w:rPr>
          <w:rFonts w:ascii="Centaur" w:hAnsi="Centaur" w:cs="Adobe Devanagari"/>
          <w:spacing w:val="-3"/>
          <w:sz w:val="26"/>
          <w:szCs w:val="26"/>
        </w:rPr>
        <w:t xml:space="preserve">} </w:t>
      </w:r>
      <w:r w:rsidR="000D50AB">
        <w:rPr>
          <w:rFonts w:ascii="Centaur" w:hAnsi="Centaur"/>
          <w:spacing w:val="-3"/>
          <w:sz w:val="26"/>
          <w:szCs w:val="26"/>
        </w:rPr>
        <w:t xml:space="preserve">Even so </w:t>
      </w:r>
      <w:r w:rsidR="00315310" w:rsidRPr="000C5BC1">
        <w:rPr>
          <w:rFonts w:ascii="Centaur" w:hAnsi="Centaur"/>
          <w:spacing w:val="-3"/>
          <w:sz w:val="26"/>
          <w:szCs w:val="26"/>
        </w:rPr>
        <w:t xml:space="preserve">Renaissance artists were developing pictorial techniques relating particularly to </w:t>
      </w:r>
      <w:proofErr w:type="spellStart"/>
      <w:r w:rsidR="00315310" w:rsidRPr="000C5BC1">
        <w:rPr>
          <w:rFonts w:ascii="Centaur" w:hAnsi="Centaur"/>
          <w:i/>
          <w:iCs/>
          <w:spacing w:val="-3"/>
          <w:sz w:val="26"/>
          <w:szCs w:val="26"/>
        </w:rPr>
        <w:t>designo</w:t>
      </w:r>
      <w:proofErr w:type="spellEnd"/>
      <w:r w:rsidR="00315310" w:rsidRPr="000C5BC1">
        <w:rPr>
          <w:rFonts w:ascii="Centaur" w:hAnsi="Centaur"/>
          <w:spacing w:val="-3"/>
          <w:sz w:val="26"/>
          <w:szCs w:val="26"/>
        </w:rPr>
        <w:t xml:space="preserve"> (design</w:t>
      </w:r>
      <w:r w:rsidR="000D50AB">
        <w:rPr>
          <w:rFonts w:ascii="Centaur" w:hAnsi="Centaur"/>
          <w:spacing w:val="-3"/>
          <w:sz w:val="26"/>
          <w:szCs w:val="26"/>
        </w:rPr>
        <w:t>, which was associated with linear, as opposed to tonal, representation of the object,</w:t>
      </w:r>
      <w:r w:rsidR="000D50AB" w:rsidRPr="000D50AB">
        <w:rPr>
          <w:rFonts w:ascii="Centaur" w:hAnsi="Centaur"/>
          <w:spacing w:val="-3"/>
          <w:sz w:val="26"/>
          <w:szCs w:val="26"/>
        </w:rPr>
        <w:t xml:space="preserve"> </w:t>
      </w:r>
      <w:r w:rsidR="000D50AB" w:rsidRPr="000D50AB">
        <w:rPr>
          <w:rFonts w:ascii="Centaur" w:hAnsi="Centaur"/>
          <w:sz w:val="26"/>
          <w:szCs w:val="26"/>
        </w:rPr>
        <w:t>with profiles, contours, lines, edges and perspective</w:t>
      </w:r>
      <w:r w:rsidR="00315310" w:rsidRPr="000C5BC1">
        <w:rPr>
          <w:rFonts w:ascii="Centaur" w:hAnsi="Centaur"/>
          <w:spacing w:val="-3"/>
          <w:sz w:val="26"/>
          <w:szCs w:val="26"/>
        </w:rPr>
        <w:t xml:space="preserve">), </w:t>
      </w:r>
      <w:proofErr w:type="spellStart"/>
      <w:r w:rsidR="00315310" w:rsidRPr="000C5BC1">
        <w:rPr>
          <w:rFonts w:ascii="Centaur" w:hAnsi="Centaur"/>
          <w:i/>
          <w:iCs/>
          <w:spacing w:val="-3"/>
          <w:sz w:val="26"/>
          <w:szCs w:val="26"/>
        </w:rPr>
        <w:t>prospettiva</w:t>
      </w:r>
      <w:proofErr w:type="spellEnd"/>
      <w:r w:rsidR="00315310" w:rsidRPr="000C5BC1">
        <w:rPr>
          <w:rFonts w:ascii="Centaur" w:hAnsi="Centaur"/>
          <w:spacing w:val="-3"/>
          <w:sz w:val="26"/>
          <w:szCs w:val="26"/>
        </w:rPr>
        <w:t xml:space="preserve"> (perspective), and </w:t>
      </w:r>
      <w:r w:rsidR="00315310" w:rsidRPr="000C5BC1">
        <w:rPr>
          <w:rFonts w:ascii="Centaur" w:hAnsi="Centaur"/>
          <w:i/>
          <w:iCs/>
          <w:spacing w:val="-3"/>
          <w:sz w:val="26"/>
          <w:szCs w:val="26"/>
        </w:rPr>
        <w:t>rilievo</w:t>
      </w:r>
      <w:r w:rsidR="00315310" w:rsidRPr="000C5BC1">
        <w:rPr>
          <w:rFonts w:ascii="Centaur" w:hAnsi="Centaur"/>
          <w:spacing w:val="-3"/>
          <w:sz w:val="26"/>
          <w:szCs w:val="26"/>
        </w:rPr>
        <w:t xml:space="preserve"> (mode</w:t>
      </w:r>
      <w:r w:rsidR="000D50AB">
        <w:rPr>
          <w:rFonts w:ascii="Centaur" w:hAnsi="Centaur"/>
          <w:spacing w:val="-3"/>
          <w:sz w:val="26"/>
          <w:szCs w:val="26"/>
        </w:rPr>
        <w:t>l</w:t>
      </w:r>
      <w:r w:rsidR="00315310" w:rsidRPr="000C5BC1">
        <w:rPr>
          <w:rFonts w:ascii="Centaur" w:hAnsi="Centaur"/>
          <w:spacing w:val="-3"/>
          <w:sz w:val="26"/>
          <w:szCs w:val="26"/>
        </w:rPr>
        <w:t>ling or relief),</w:t>
      </w:r>
      <w:r w:rsidR="00315310" w:rsidRPr="000C5BC1">
        <w:rPr>
          <w:rStyle w:val="FootnoteReference"/>
          <w:rFonts w:ascii="Centaur" w:hAnsi="Centaur"/>
          <w:spacing w:val="-3"/>
          <w:sz w:val="26"/>
          <w:szCs w:val="26"/>
        </w:rPr>
        <w:footnoteReference w:id="9"/>
      </w:r>
      <w:r w:rsidR="00315310" w:rsidRPr="000C5BC1">
        <w:rPr>
          <w:rFonts w:ascii="Centaur" w:hAnsi="Centaur"/>
          <w:spacing w:val="-3"/>
          <w:sz w:val="26"/>
          <w:szCs w:val="26"/>
        </w:rPr>
        <w:t xml:space="preserve"> thereby positioning objects as though within a three-dimensional matrix on a two-dimensional surface.</w:t>
      </w:r>
      <w:r w:rsidR="00315310" w:rsidRPr="000C5BC1">
        <w:rPr>
          <w:rStyle w:val="FootnoteReference"/>
          <w:rFonts w:ascii="Centaur" w:hAnsi="Centaur"/>
          <w:spacing w:val="-3"/>
          <w:sz w:val="26"/>
          <w:szCs w:val="26"/>
        </w:rPr>
        <w:footnoteReference w:id="10"/>
      </w:r>
      <w:r w:rsidR="00315310" w:rsidRPr="003036A9">
        <w:rPr>
          <w:rFonts w:ascii="Centaur" w:hAnsi="Centaur"/>
          <w:spacing w:val="-3"/>
          <w:sz w:val="26"/>
          <w:szCs w:val="26"/>
        </w:rPr>
        <w:t xml:space="preserve"> </w:t>
      </w:r>
      <w:r w:rsidR="003036A9" w:rsidRPr="003036A9">
        <w:rPr>
          <w:rFonts w:ascii="Centaur" w:hAnsi="Centaur" w:cs="Arial"/>
          <w:sz w:val="26"/>
          <w:szCs w:val="26"/>
        </w:rPr>
        <w:t xml:space="preserve">The first Renaissance anatomist to </w:t>
      </w:r>
      <w:r w:rsidR="003036A9" w:rsidRPr="003036A9">
        <w:rPr>
          <w:rFonts w:ascii="Centaur" w:hAnsi="Centaur"/>
          <w:spacing w:val="-3"/>
          <w:sz w:val="26"/>
          <w:szCs w:val="26"/>
        </w:rPr>
        <w:t>think visually about how to present anatomy was the Demonstrator of Anatomy and Lecturer in Surgery at the University of Padua, Andreas Vesalius of Brussels,</w:t>
      </w:r>
      <w:r w:rsidR="003036A9" w:rsidRPr="003036A9">
        <w:rPr>
          <w:rStyle w:val="FootnoteReference"/>
          <w:rFonts w:ascii="Centaur" w:hAnsi="Centaur"/>
          <w:spacing w:val="-3"/>
          <w:sz w:val="26"/>
          <w:szCs w:val="26"/>
        </w:rPr>
        <w:footnoteReference w:id="11"/>
      </w:r>
      <w:r w:rsidR="003036A9" w:rsidRPr="003036A9">
        <w:rPr>
          <w:rFonts w:ascii="Centaur" w:hAnsi="Centaur"/>
          <w:spacing w:val="-3"/>
          <w:sz w:val="26"/>
          <w:szCs w:val="26"/>
        </w:rPr>
        <w:t xml:space="preserve"> who c</w:t>
      </w:r>
      <w:r w:rsidR="003036A9" w:rsidRPr="003036A9">
        <w:rPr>
          <w:rFonts w:ascii="Centaur" w:hAnsi="Centaur" w:cs="Arial"/>
          <w:sz w:val="26"/>
          <w:szCs w:val="26"/>
        </w:rPr>
        <w:t>losely supervised the work of a team of artists who drew the illustrations and cut them onto woodblocks for the printing of</w:t>
      </w:r>
      <w:r w:rsidR="003036A9" w:rsidRPr="003036A9">
        <w:rPr>
          <w:rFonts w:ascii="Centaur" w:hAnsi="Centaur"/>
          <w:spacing w:val="-3"/>
          <w:sz w:val="26"/>
          <w:szCs w:val="26"/>
        </w:rPr>
        <w:t xml:space="preserve"> his folio volume </w:t>
      </w:r>
      <w:r w:rsidR="003036A9" w:rsidRPr="003036A9">
        <w:rPr>
          <w:rFonts w:ascii="Centaur" w:hAnsi="Centaur"/>
          <w:i/>
          <w:sz w:val="26"/>
          <w:szCs w:val="26"/>
        </w:rPr>
        <w:t xml:space="preserve">De </w:t>
      </w:r>
      <w:proofErr w:type="spellStart"/>
      <w:r w:rsidR="003036A9" w:rsidRPr="003036A9">
        <w:rPr>
          <w:rFonts w:ascii="Centaur" w:hAnsi="Centaur"/>
          <w:i/>
          <w:sz w:val="26"/>
          <w:szCs w:val="26"/>
        </w:rPr>
        <w:t>humani</w:t>
      </w:r>
      <w:proofErr w:type="spellEnd"/>
      <w:r w:rsidR="003036A9" w:rsidRPr="003036A9">
        <w:rPr>
          <w:rFonts w:ascii="Centaur" w:hAnsi="Centaur"/>
          <w:i/>
          <w:sz w:val="26"/>
          <w:szCs w:val="26"/>
        </w:rPr>
        <w:t xml:space="preserve"> corporis </w:t>
      </w:r>
      <w:proofErr w:type="spellStart"/>
      <w:r w:rsidR="003036A9" w:rsidRPr="003036A9">
        <w:rPr>
          <w:rFonts w:ascii="Centaur" w:hAnsi="Centaur"/>
          <w:i/>
          <w:sz w:val="26"/>
          <w:szCs w:val="26"/>
        </w:rPr>
        <w:t>fabrica</w:t>
      </w:r>
      <w:proofErr w:type="spellEnd"/>
      <w:r w:rsidR="003036A9" w:rsidRPr="003036A9">
        <w:rPr>
          <w:rFonts w:ascii="Centaur" w:hAnsi="Centaur"/>
          <w:i/>
          <w:sz w:val="26"/>
          <w:szCs w:val="26"/>
        </w:rPr>
        <w:t xml:space="preserve"> libri </w:t>
      </w:r>
      <w:proofErr w:type="spellStart"/>
      <w:r w:rsidR="003036A9" w:rsidRPr="003036A9">
        <w:rPr>
          <w:rFonts w:ascii="Centaur" w:hAnsi="Centaur"/>
          <w:i/>
          <w:sz w:val="26"/>
          <w:szCs w:val="26"/>
        </w:rPr>
        <w:t>septem</w:t>
      </w:r>
      <w:proofErr w:type="spellEnd"/>
      <w:r w:rsidR="003036A9" w:rsidRPr="003036A9">
        <w:rPr>
          <w:rFonts w:ascii="Centaur" w:hAnsi="Centaur"/>
          <w:sz w:val="26"/>
          <w:szCs w:val="26"/>
        </w:rPr>
        <w:t xml:space="preserve"> (or the </w:t>
      </w:r>
      <w:proofErr w:type="spellStart"/>
      <w:r w:rsidR="003036A9" w:rsidRPr="003036A9">
        <w:rPr>
          <w:rFonts w:ascii="Centaur" w:hAnsi="Centaur"/>
          <w:i/>
          <w:sz w:val="26"/>
          <w:szCs w:val="26"/>
        </w:rPr>
        <w:t>Fabrica</w:t>
      </w:r>
      <w:proofErr w:type="spellEnd"/>
      <w:r w:rsidR="003036A9" w:rsidRPr="003036A9">
        <w:rPr>
          <w:rFonts w:ascii="Centaur" w:hAnsi="Centaur"/>
          <w:sz w:val="26"/>
          <w:szCs w:val="26"/>
        </w:rPr>
        <w:t>), published at Basle, in 1543</w:t>
      </w:r>
      <w:r w:rsidR="003036A9" w:rsidRPr="003036A9">
        <w:rPr>
          <w:rFonts w:ascii="Centaur" w:hAnsi="Centaur" w:cs="Arial"/>
          <w:sz w:val="26"/>
          <w:szCs w:val="26"/>
        </w:rPr>
        <w:t>.</w:t>
      </w:r>
      <w:r w:rsidR="003036A9" w:rsidRPr="003036A9">
        <w:rPr>
          <w:rStyle w:val="FootnoteReference"/>
          <w:rFonts w:ascii="Centaur" w:hAnsi="Centaur" w:cs="Arial"/>
          <w:sz w:val="26"/>
          <w:szCs w:val="26"/>
        </w:rPr>
        <w:footnoteReference w:id="12"/>
      </w:r>
      <w:r w:rsidR="003036A9" w:rsidRPr="003036A9">
        <w:rPr>
          <w:rFonts w:ascii="Centaur" w:hAnsi="Centaur" w:cs="Arial"/>
          <w:color w:val="FF0000"/>
          <w:sz w:val="26"/>
          <w:szCs w:val="26"/>
        </w:rPr>
        <w:t xml:space="preserve"> </w:t>
      </w:r>
      <w:r w:rsidR="00315310" w:rsidRPr="000C5BC1">
        <w:rPr>
          <w:rFonts w:ascii="Centaur" w:hAnsi="Centaur"/>
          <w:spacing w:val="-3"/>
          <w:sz w:val="26"/>
          <w:szCs w:val="26"/>
        </w:rPr>
        <w:t xml:space="preserve">So with artists employing these techniques in the studio, in the drawing and cutting of the </w:t>
      </w:r>
      <w:r w:rsidR="00315310" w:rsidRPr="000C5BC1">
        <w:rPr>
          <w:rFonts w:ascii="Centaur" w:hAnsi="Centaur"/>
          <w:spacing w:val="-3"/>
          <w:sz w:val="26"/>
          <w:szCs w:val="26"/>
        </w:rPr>
        <w:lastRenderedPageBreak/>
        <w:t xml:space="preserve">plates, </w:t>
      </w:r>
      <w:r w:rsidR="000D50AB">
        <w:rPr>
          <w:rFonts w:ascii="Centaur" w:hAnsi="Centaur"/>
          <w:spacing w:val="-3"/>
          <w:sz w:val="26"/>
          <w:szCs w:val="26"/>
        </w:rPr>
        <w:t>the physician-anatomist or botanist or natural historian, would still need to ensure that h</w:t>
      </w:r>
      <w:r w:rsidR="00315310" w:rsidRPr="000C5BC1">
        <w:rPr>
          <w:rFonts w:ascii="Centaur" w:hAnsi="Centaur"/>
          <w:spacing w:val="-3"/>
          <w:sz w:val="26"/>
          <w:szCs w:val="26"/>
        </w:rPr>
        <w:t>is printer</w:t>
      </w:r>
      <w:r w:rsidR="00F279E5">
        <w:rPr>
          <w:rFonts w:ascii="Centaur" w:hAnsi="Centaur"/>
          <w:spacing w:val="-3"/>
          <w:sz w:val="26"/>
          <w:szCs w:val="26"/>
        </w:rPr>
        <w:t xml:space="preserve"> would be willing</w:t>
      </w:r>
      <w:r w:rsidR="00315310" w:rsidRPr="000C5BC1">
        <w:rPr>
          <w:rFonts w:ascii="Centaur" w:hAnsi="Centaur"/>
          <w:spacing w:val="-3"/>
          <w:sz w:val="26"/>
          <w:szCs w:val="26"/>
        </w:rPr>
        <w:t xml:space="preserve"> to take particular pains in printing the engravings.</w:t>
      </w:r>
    </w:p>
    <w:p w14:paraId="1661CDDA" w14:textId="77777777" w:rsidR="00315310" w:rsidRDefault="00315310" w:rsidP="000B3078">
      <w:pPr>
        <w:pStyle w:val="ListParagraph"/>
        <w:widowControl w:val="0"/>
        <w:tabs>
          <w:tab w:val="left" w:pos="-720"/>
          <w:tab w:val="left" w:pos="0"/>
        </w:tabs>
        <w:suppressAutoHyphens/>
        <w:spacing w:line="276" w:lineRule="auto"/>
        <w:rPr>
          <w:rFonts w:ascii="Centaur" w:hAnsi="Centaur"/>
          <w:spacing w:val="-3"/>
          <w:sz w:val="26"/>
          <w:szCs w:val="26"/>
        </w:rPr>
      </w:pPr>
    </w:p>
    <w:p w14:paraId="4122DE1D" w14:textId="77777777" w:rsidR="00315310" w:rsidRPr="000C5BC1" w:rsidRDefault="00F279E5" w:rsidP="00315310">
      <w:pPr>
        <w:pStyle w:val="ListParagraph"/>
        <w:widowControl w:val="0"/>
        <w:tabs>
          <w:tab w:val="left" w:pos="-720"/>
          <w:tab w:val="left" w:pos="0"/>
        </w:tabs>
        <w:suppressAutoHyphens/>
        <w:spacing w:line="276" w:lineRule="auto"/>
        <w:rPr>
          <w:rFonts w:ascii="Centaur" w:hAnsi="Centaur" w:cs="Arial"/>
          <w:sz w:val="26"/>
          <w:szCs w:val="26"/>
        </w:rPr>
      </w:pPr>
      <w:r>
        <w:rPr>
          <w:rFonts w:ascii="Centaur" w:hAnsi="Centaur" w:cs="Arial"/>
          <w:sz w:val="26"/>
          <w:szCs w:val="26"/>
        </w:rPr>
        <w:t>According to</w:t>
      </w:r>
      <w:r w:rsidR="00315310" w:rsidRPr="000C5BC1">
        <w:rPr>
          <w:rFonts w:ascii="Centaur" w:hAnsi="Centaur" w:cs="Arial"/>
          <w:sz w:val="26"/>
          <w:szCs w:val="26"/>
        </w:rPr>
        <w:t xml:space="preserve"> David Landau and Peter Parshall, in </w:t>
      </w:r>
      <w:r w:rsidR="00315310" w:rsidRPr="000C5BC1">
        <w:rPr>
          <w:rFonts w:ascii="Centaur" w:hAnsi="Centaur" w:cs="Arial"/>
          <w:i/>
          <w:sz w:val="26"/>
          <w:szCs w:val="26"/>
        </w:rPr>
        <w:t>The Renaissance Print: 1470-1550</w:t>
      </w:r>
      <w:r w:rsidR="00315310" w:rsidRPr="000C5BC1">
        <w:rPr>
          <w:rFonts w:ascii="Centaur" w:hAnsi="Centaur" w:cs="Arial"/>
          <w:sz w:val="26"/>
          <w:szCs w:val="26"/>
        </w:rPr>
        <w:t>:</w:t>
      </w:r>
    </w:p>
    <w:p w14:paraId="71AFE808" w14:textId="77777777" w:rsidR="00315310" w:rsidRPr="00F279E5" w:rsidRDefault="00315310" w:rsidP="00F279E5">
      <w:pPr>
        <w:ind w:left="1008" w:right="1008"/>
        <w:rPr>
          <w:rFonts w:ascii="Centaur" w:hAnsi="Centaur"/>
          <w:sz w:val="24"/>
          <w:szCs w:val="24"/>
        </w:rPr>
      </w:pPr>
    </w:p>
    <w:p w14:paraId="04657186" w14:textId="77777777" w:rsidR="00315310" w:rsidRPr="00F279E5" w:rsidRDefault="00315310" w:rsidP="00F279E5">
      <w:pPr>
        <w:ind w:left="1008" w:right="1008"/>
        <w:rPr>
          <w:rFonts w:ascii="Centaur" w:hAnsi="Centaur"/>
          <w:sz w:val="24"/>
          <w:szCs w:val="24"/>
        </w:rPr>
      </w:pPr>
      <w:r w:rsidRPr="00F279E5">
        <w:rPr>
          <w:rFonts w:ascii="Centaur" w:hAnsi="Centaur"/>
          <w:sz w:val="24"/>
          <w:szCs w:val="24"/>
        </w:rPr>
        <w:t xml:space="preserve">By 1550 technical illustration, news sheets, maps, anatomies, and the entire category of description and reportage were dependent upon the printed image. The line on the page became the essential medium for recording visual information, the medium of portrayal. The implications of this development are of course legion, and quite independent of objective standards of correctness. The fact is that prints had effectively become the measure of one very particular but ultimately very potent kind of visual truth in the Renaissance, the truth of the eye-witness account or </w:t>
      </w:r>
      <w:proofErr w:type="spellStart"/>
      <w:r w:rsidRPr="00F279E5">
        <w:rPr>
          <w:rFonts w:ascii="Centaur" w:hAnsi="Centaur"/>
          <w:i/>
          <w:sz w:val="24"/>
          <w:szCs w:val="24"/>
        </w:rPr>
        <w:t>conterfeit</w:t>
      </w:r>
      <w:proofErr w:type="spellEnd"/>
      <w:r w:rsidRPr="00F279E5">
        <w:rPr>
          <w:rFonts w:ascii="Centaur" w:hAnsi="Centaur"/>
          <w:sz w:val="24"/>
          <w:szCs w:val="24"/>
        </w:rPr>
        <w:t>. For reasons more practical than aesthetic and more traditional than technical, it was mainly the woodcut that set this standard. Woodcuts could be printed more quickly and in larger numbers than engravings or etchings, and furthermore they were more readily accommodated in texts.</w:t>
      </w:r>
      <w:r w:rsidRPr="00F279E5">
        <w:rPr>
          <w:rStyle w:val="FootnoteReference"/>
          <w:rFonts w:ascii="Centaur" w:hAnsi="Centaur"/>
          <w:sz w:val="24"/>
          <w:szCs w:val="24"/>
        </w:rPr>
        <w:footnoteReference w:id="13"/>
      </w:r>
    </w:p>
    <w:p w14:paraId="42C0C379" w14:textId="77777777" w:rsidR="00F279E5" w:rsidRDefault="00F279E5" w:rsidP="00315310">
      <w:pPr>
        <w:pStyle w:val="ListParagraph"/>
        <w:widowControl w:val="0"/>
        <w:tabs>
          <w:tab w:val="left" w:pos="-720"/>
          <w:tab w:val="left" w:pos="0"/>
        </w:tabs>
        <w:suppressAutoHyphens/>
        <w:spacing w:line="276" w:lineRule="auto"/>
        <w:rPr>
          <w:rFonts w:ascii="Centaur" w:hAnsi="Centaur"/>
          <w:spacing w:val="-3"/>
          <w:sz w:val="26"/>
          <w:szCs w:val="26"/>
        </w:rPr>
      </w:pPr>
    </w:p>
    <w:p w14:paraId="7817CFB9" w14:textId="77777777" w:rsidR="00315310" w:rsidRDefault="00315310" w:rsidP="00315310">
      <w:pPr>
        <w:pStyle w:val="ListParagraph"/>
        <w:widowControl w:val="0"/>
        <w:tabs>
          <w:tab w:val="left" w:pos="-720"/>
          <w:tab w:val="left" w:pos="0"/>
        </w:tabs>
        <w:suppressAutoHyphens/>
        <w:spacing w:line="276" w:lineRule="auto"/>
        <w:rPr>
          <w:rFonts w:ascii="Centaur" w:hAnsi="Centaur" w:cs="Adobe Devanagari"/>
          <w:spacing w:val="-3"/>
          <w:sz w:val="26"/>
          <w:szCs w:val="26"/>
        </w:rPr>
      </w:pPr>
      <w:r w:rsidRPr="000C5BC1">
        <w:rPr>
          <w:rFonts w:ascii="Centaur" w:hAnsi="Centaur"/>
          <w:spacing w:val="-3"/>
          <w:sz w:val="26"/>
          <w:szCs w:val="26"/>
        </w:rPr>
        <w:t>So while</w:t>
      </w:r>
      <w:r w:rsidR="00F279E5">
        <w:rPr>
          <w:rFonts w:ascii="Centaur" w:hAnsi="Centaur"/>
          <w:spacing w:val="-3"/>
          <w:sz w:val="26"/>
          <w:szCs w:val="26"/>
        </w:rPr>
        <w:t xml:space="preserve"> woodcut</w:t>
      </w:r>
      <w:r w:rsidRPr="000C5BC1">
        <w:rPr>
          <w:rFonts w:ascii="Centaur" w:hAnsi="Centaur"/>
          <w:spacing w:val="-3"/>
          <w:sz w:val="26"/>
          <w:szCs w:val="26"/>
        </w:rPr>
        <w:t xml:space="preserve"> illustration had a clear advantage over discursive, verbal description, it had its own limitations.</w:t>
      </w:r>
      <w:r w:rsidR="00F279E5">
        <w:rPr>
          <w:rFonts w:ascii="Centaur" w:hAnsi="Centaur"/>
          <w:spacing w:val="-3"/>
          <w:sz w:val="26"/>
          <w:szCs w:val="26"/>
        </w:rPr>
        <w:t xml:space="preserve"> </w:t>
      </w:r>
      <w:r w:rsidRPr="000C5BC1">
        <w:rPr>
          <w:rFonts w:ascii="Centaur" w:hAnsi="Centaur"/>
          <w:spacing w:val="-3"/>
          <w:sz w:val="26"/>
          <w:szCs w:val="26"/>
        </w:rPr>
        <w:t>The woodcut, for example, is less finely detailed than the copper plate engraving.</w:t>
      </w:r>
      <w:r w:rsidRPr="000C5BC1">
        <w:rPr>
          <w:rStyle w:val="FootnoteReference"/>
          <w:rFonts w:ascii="Centaur" w:hAnsi="Centaur"/>
          <w:spacing w:val="-3"/>
          <w:sz w:val="26"/>
          <w:szCs w:val="26"/>
        </w:rPr>
        <w:footnoteReference w:id="14"/>
      </w:r>
    </w:p>
    <w:p w14:paraId="4488D315" w14:textId="77777777" w:rsidR="00315310" w:rsidRDefault="00315310" w:rsidP="000B3078">
      <w:pPr>
        <w:pStyle w:val="ListParagraph"/>
        <w:widowControl w:val="0"/>
        <w:tabs>
          <w:tab w:val="left" w:pos="-720"/>
          <w:tab w:val="left" w:pos="0"/>
        </w:tabs>
        <w:suppressAutoHyphens/>
        <w:spacing w:line="276" w:lineRule="auto"/>
        <w:rPr>
          <w:rFonts w:ascii="Centaur" w:hAnsi="Centaur" w:cs="Adobe Devanagari"/>
          <w:spacing w:val="-3"/>
          <w:sz w:val="26"/>
          <w:szCs w:val="26"/>
        </w:rPr>
      </w:pPr>
    </w:p>
    <w:p w14:paraId="5016B59A" w14:textId="2CD4D625" w:rsidR="00315310" w:rsidRDefault="00315310" w:rsidP="000B3078">
      <w:pPr>
        <w:pStyle w:val="ListParagraph"/>
        <w:widowControl w:val="0"/>
        <w:tabs>
          <w:tab w:val="left" w:pos="-720"/>
          <w:tab w:val="left" w:pos="0"/>
        </w:tabs>
        <w:suppressAutoHyphens/>
        <w:spacing w:line="276" w:lineRule="auto"/>
        <w:rPr>
          <w:rFonts w:ascii="Centaur" w:hAnsi="Centaur" w:cs="Adobe Devanagari"/>
          <w:spacing w:val="-3"/>
          <w:sz w:val="26"/>
          <w:szCs w:val="26"/>
        </w:rPr>
      </w:pPr>
      <w:r w:rsidRPr="000C5BC1">
        <w:rPr>
          <w:rFonts w:ascii="Centaur" w:hAnsi="Centaur"/>
          <w:spacing w:val="-3"/>
          <w:sz w:val="26"/>
          <w:szCs w:val="26"/>
        </w:rPr>
        <w:t>Despite advances in the artistic techniques of perspective and relief which create the impression of three-dimensionality, technical questions arose</w:t>
      </w:r>
      <w:r w:rsidR="00F279E5">
        <w:rPr>
          <w:rFonts w:ascii="Centaur" w:hAnsi="Centaur"/>
          <w:spacing w:val="-3"/>
          <w:sz w:val="26"/>
          <w:szCs w:val="26"/>
        </w:rPr>
        <w:t xml:space="preserve"> such as whether in a geographical atlas, the built environment of the city should be presented schematically like a diagram or from a distant, possibly aerial perspective. Questions </w:t>
      </w:r>
      <w:r w:rsidRPr="000C5BC1">
        <w:rPr>
          <w:rFonts w:ascii="Centaur" w:hAnsi="Centaur"/>
          <w:spacing w:val="-3"/>
          <w:sz w:val="26"/>
          <w:szCs w:val="26"/>
        </w:rPr>
        <w:t>that were peculiar to anatomy</w:t>
      </w:r>
      <w:r w:rsidR="00F279E5">
        <w:rPr>
          <w:rFonts w:ascii="Centaur" w:hAnsi="Centaur"/>
          <w:spacing w:val="-3"/>
          <w:sz w:val="26"/>
          <w:szCs w:val="26"/>
        </w:rPr>
        <w:t xml:space="preserve"> included</w:t>
      </w:r>
      <w:r w:rsidRPr="000C5BC1">
        <w:rPr>
          <w:rFonts w:ascii="Centaur" w:hAnsi="Centaur"/>
          <w:spacing w:val="-3"/>
          <w:sz w:val="26"/>
          <w:szCs w:val="26"/>
        </w:rPr>
        <w:t xml:space="preserve"> whether the anatomy should be presented from a particular viewpoint or a combination of viewpoints</w:t>
      </w:r>
      <w:r w:rsidR="003036A9">
        <w:rPr>
          <w:rFonts w:ascii="Centaur" w:hAnsi="Centaur"/>
          <w:spacing w:val="-3"/>
          <w:sz w:val="26"/>
          <w:szCs w:val="26"/>
        </w:rPr>
        <w:t>;</w:t>
      </w:r>
      <w:r w:rsidR="00FC382D">
        <w:rPr>
          <w:rFonts w:ascii="Centaur" w:hAnsi="Centaur"/>
          <w:spacing w:val="-3"/>
          <w:sz w:val="26"/>
          <w:szCs w:val="26"/>
        </w:rPr>
        <w:t xml:space="preserve"> </w:t>
      </w:r>
      <w:r w:rsidR="00FC382D">
        <w:rPr>
          <w:rFonts w:ascii="Centaur" w:hAnsi="Centaur" w:cs="Adobe Devanagari"/>
          <w:spacing w:val="-3"/>
          <w:sz w:val="26"/>
          <w:szCs w:val="26"/>
        </w:rPr>
        <w:t xml:space="preserve">{Slide </w:t>
      </w:r>
      <w:r w:rsidR="001451DD">
        <w:rPr>
          <w:rFonts w:ascii="Centaur" w:hAnsi="Centaur" w:cs="Adobe Devanagari"/>
          <w:spacing w:val="-3"/>
          <w:sz w:val="26"/>
          <w:szCs w:val="26"/>
        </w:rPr>
        <w:t>10</w:t>
      </w:r>
      <w:r w:rsidR="00FC382D">
        <w:rPr>
          <w:rFonts w:ascii="Centaur" w:hAnsi="Centaur" w:cs="Adobe Devanagari"/>
          <w:spacing w:val="-3"/>
          <w:sz w:val="26"/>
          <w:szCs w:val="26"/>
        </w:rPr>
        <w:t>}</w:t>
      </w:r>
      <w:r w:rsidRPr="000C5BC1">
        <w:rPr>
          <w:rFonts w:ascii="Centaur" w:hAnsi="Centaur"/>
          <w:spacing w:val="-3"/>
          <w:sz w:val="26"/>
          <w:szCs w:val="26"/>
        </w:rPr>
        <w:t xml:space="preserve"> whether at a particular stage of dissection or as a synthetic demonstration of, for example, the whole of the nervous system in isolation</w:t>
      </w:r>
      <w:r w:rsidR="003036A9">
        <w:rPr>
          <w:rFonts w:ascii="Centaur" w:hAnsi="Centaur"/>
          <w:spacing w:val="-3"/>
          <w:sz w:val="26"/>
          <w:szCs w:val="26"/>
        </w:rPr>
        <w:t>;</w:t>
      </w:r>
      <w:r w:rsidRPr="000C5BC1">
        <w:rPr>
          <w:rStyle w:val="FootnoteReference"/>
          <w:rFonts w:ascii="Centaur" w:hAnsi="Centaur"/>
          <w:spacing w:val="-3"/>
          <w:sz w:val="26"/>
          <w:szCs w:val="26"/>
        </w:rPr>
        <w:footnoteReference w:id="15"/>
      </w:r>
      <w:r w:rsidR="003036A9">
        <w:rPr>
          <w:rFonts w:ascii="Centaur" w:hAnsi="Centaur"/>
          <w:spacing w:val="-3"/>
          <w:sz w:val="26"/>
          <w:szCs w:val="26"/>
        </w:rPr>
        <w:t xml:space="preserve"> </w:t>
      </w:r>
      <w:r w:rsidR="003036A9">
        <w:rPr>
          <w:rFonts w:ascii="Centaur" w:hAnsi="Centaur" w:cs="Adobe Devanagari"/>
          <w:spacing w:val="-3"/>
          <w:sz w:val="26"/>
          <w:szCs w:val="26"/>
        </w:rPr>
        <w:t xml:space="preserve">{Slide </w:t>
      </w:r>
      <w:r w:rsidR="001451DD">
        <w:rPr>
          <w:rFonts w:ascii="Centaur" w:hAnsi="Centaur" w:cs="Adobe Devanagari"/>
          <w:spacing w:val="-3"/>
          <w:sz w:val="26"/>
          <w:szCs w:val="26"/>
        </w:rPr>
        <w:t>11</w:t>
      </w:r>
      <w:r w:rsidR="003036A9">
        <w:rPr>
          <w:rFonts w:ascii="Centaur" w:hAnsi="Centaur" w:cs="Adobe Devanagari"/>
          <w:spacing w:val="-3"/>
          <w:sz w:val="26"/>
          <w:szCs w:val="26"/>
        </w:rPr>
        <w:t xml:space="preserve">} whether as separate or unified forms; and how most effectively to connect the illustration to the text (such as by a letter-keying mechanism) {Slide </w:t>
      </w:r>
      <w:r w:rsidR="001451DD">
        <w:rPr>
          <w:rFonts w:ascii="Centaur" w:hAnsi="Centaur" w:cs="Adobe Devanagari"/>
          <w:spacing w:val="-3"/>
          <w:sz w:val="26"/>
          <w:szCs w:val="26"/>
        </w:rPr>
        <w:t>12</w:t>
      </w:r>
      <w:r w:rsidR="003036A9">
        <w:rPr>
          <w:rFonts w:ascii="Centaur" w:hAnsi="Centaur" w:cs="Adobe Devanagari"/>
          <w:spacing w:val="-3"/>
          <w:sz w:val="26"/>
          <w:szCs w:val="26"/>
        </w:rPr>
        <w:t>}</w:t>
      </w:r>
      <w:r w:rsidR="002D7E36">
        <w:rPr>
          <w:rFonts w:ascii="Centaur" w:hAnsi="Centaur" w:cs="Adobe Devanagari"/>
          <w:spacing w:val="-3"/>
          <w:sz w:val="26"/>
          <w:szCs w:val="26"/>
        </w:rPr>
        <w:t xml:space="preserve"> {Slide </w:t>
      </w:r>
      <w:r w:rsidR="001451DD">
        <w:rPr>
          <w:rFonts w:ascii="Centaur" w:hAnsi="Centaur" w:cs="Adobe Devanagari"/>
          <w:spacing w:val="-3"/>
          <w:sz w:val="26"/>
          <w:szCs w:val="26"/>
        </w:rPr>
        <w:t>13</w:t>
      </w:r>
      <w:r w:rsidR="002D7E36">
        <w:rPr>
          <w:rFonts w:ascii="Centaur" w:hAnsi="Centaur" w:cs="Adobe Devanagari"/>
          <w:spacing w:val="-3"/>
          <w:sz w:val="26"/>
          <w:szCs w:val="26"/>
        </w:rPr>
        <w:t>}</w:t>
      </w:r>
      <w:r w:rsidR="003036A9">
        <w:rPr>
          <w:rFonts w:ascii="Centaur" w:hAnsi="Centaur" w:cs="Adobe Devanagari"/>
          <w:spacing w:val="-3"/>
          <w:sz w:val="26"/>
          <w:szCs w:val="26"/>
        </w:rPr>
        <w:t>.</w:t>
      </w:r>
    </w:p>
    <w:p w14:paraId="1241C125" w14:textId="77777777" w:rsidR="00315310" w:rsidRDefault="00315310" w:rsidP="000B3078">
      <w:pPr>
        <w:pStyle w:val="ListParagraph"/>
        <w:widowControl w:val="0"/>
        <w:tabs>
          <w:tab w:val="left" w:pos="-720"/>
          <w:tab w:val="left" w:pos="0"/>
        </w:tabs>
        <w:suppressAutoHyphens/>
        <w:spacing w:line="276" w:lineRule="auto"/>
        <w:rPr>
          <w:rFonts w:ascii="Centaur" w:hAnsi="Centaur" w:cs="Adobe Devanagari"/>
          <w:spacing w:val="-3"/>
          <w:sz w:val="26"/>
          <w:szCs w:val="26"/>
        </w:rPr>
      </w:pPr>
    </w:p>
    <w:p w14:paraId="7F9B6701" w14:textId="77777777" w:rsidR="000B3078" w:rsidRDefault="00130C23" w:rsidP="000B3078">
      <w:pPr>
        <w:pStyle w:val="ListParagraph"/>
        <w:widowControl w:val="0"/>
        <w:tabs>
          <w:tab w:val="left" w:pos="-720"/>
          <w:tab w:val="left" w:pos="0"/>
        </w:tabs>
        <w:suppressAutoHyphens/>
        <w:spacing w:line="276" w:lineRule="auto"/>
        <w:rPr>
          <w:rFonts w:ascii="Centaur" w:hAnsi="Centaur"/>
          <w:spacing w:val="-3"/>
          <w:sz w:val="26"/>
          <w:szCs w:val="26"/>
        </w:rPr>
      </w:pPr>
      <w:r>
        <w:rPr>
          <w:rFonts w:ascii="Centaur" w:hAnsi="Centaur"/>
          <w:spacing w:val="-3"/>
          <w:sz w:val="26"/>
          <w:szCs w:val="26"/>
        </w:rPr>
        <w:t xml:space="preserve">It is important to remember that these amount to conventions. </w:t>
      </w:r>
      <w:r w:rsidR="00580D0C">
        <w:rPr>
          <w:rFonts w:ascii="Centaur" w:hAnsi="Centaur"/>
          <w:spacing w:val="-3"/>
          <w:sz w:val="26"/>
          <w:szCs w:val="26"/>
        </w:rPr>
        <w:t>‘</w:t>
      </w:r>
      <w:r w:rsidR="00580D0C" w:rsidRPr="000C5BC1">
        <w:rPr>
          <w:rFonts w:ascii="Centaur" w:hAnsi="Centaur"/>
          <w:spacing w:val="-3"/>
          <w:sz w:val="26"/>
          <w:szCs w:val="26"/>
        </w:rPr>
        <w:t>Paradoxically, the finer the quality of the illustrations, the more they could convince the unwary reader that something shown erroneously was correct.’</w:t>
      </w:r>
      <w:r w:rsidR="00580D0C" w:rsidRPr="000C5BC1">
        <w:rPr>
          <w:rStyle w:val="FootnoteReference"/>
          <w:rFonts w:ascii="Centaur" w:hAnsi="Centaur"/>
          <w:spacing w:val="-3"/>
          <w:sz w:val="26"/>
          <w:szCs w:val="26"/>
        </w:rPr>
        <w:footnoteReference w:id="16"/>
      </w:r>
      <w:r w:rsidR="00580D0C" w:rsidRPr="000C5BC1">
        <w:rPr>
          <w:rFonts w:ascii="Centaur" w:hAnsi="Centaur"/>
          <w:spacing w:val="-3"/>
          <w:sz w:val="26"/>
          <w:szCs w:val="26"/>
        </w:rPr>
        <w:t xml:space="preserve"> Sometimes figures were even drawn in such a way as to suggest they were drawn from the object when in fact they were not.</w:t>
      </w:r>
      <w:r w:rsidR="00580D0C" w:rsidRPr="000C5BC1">
        <w:rPr>
          <w:rStyle w:val="FootnoteReference"/>
          <w:rFonts w:ascii="Centaur" w:hAnsi="Centaur"/>
          <w:spacing w:val="-3"/>
          <w:sz w:val="26"/>
          <w:szCs w:val="26"/>
        </w:rPr>
        <w:footnoteReference w:id="17"/>
      </w:r>
    </w:p>
    <w:p w14:paraId="07CB84E8" w14:textId="77777777" w:rsidR="00436683" w:rsidRDefault="00436683" w:rsidP="000B3078">
      <w:pPr>
        <w:pStyle w:val="ListParagraph"/>
        <w:widowControl w:val="0"/>
        <w:tabs>
          <w:tab w:val="left" w:pos="-720"/>
          <w:tab w:val="left" w:pos="0"/>
        </w:tabs>
        <w:suppressAutoHyphens/>
        <w:spacing w:line="276" w:lineRule="auto"/>
        <w:rPr>
          <w:rFonts w:ascii="Centaur" w:hAnsi="Centaur"/>
          <w:spacing w:val="-3"/>
          <w:sz w:val="26"/>
          <w:szCs w:val="26"/>
        </w:rPr>
      </w:pPr>
    </w:p>
    <w:p w14:paraId="25B66F5B" w14:textId="557C79EF" w:rsidR="00436683" w:rsidRDefault="003036A9" w:rsidP="00130C23">
      <w:pPr>
        <w:pStyle w:val="ListParagraph"/>
        <w:widowControl w:val="0"/>
        <w:tabs>
          <w:tab w:val="left" w:pos="-720"/>
          <w:tab w:val="left" w:pos="0"/>
        </w:tabs>
        <w:suppressAutoHyphens/>
        <w:spacing w:line="276" w:lineRule="auto"/>
        <w:rPr>
          <w:rFonts w:ascii="Centaur" w:hAnsi="Centaur"/>
          <w:spacing w:val="-3"/>
          <w:sz w:val="26"/>
          <w:szCs w:val="26"/>
        </w:rPr>
      </w:pPr>
      <w:r>
        <w:rPr>
          <w:rFonts w:ascii="Centaur" w:hAnsi="Centaur" w:cs="Adobe Devanagari"/>
          <w:spacing w:val="-3"/>
          <w:sz w:val="26"/>
          <w:szCs w:val="26"/>
        </w:rPr>
        <w:lastRenderedPageBreak/>
        <w:t xml:space="preserve">{Slide </w:t>
      </w:r>
      <w:r w:rsidR="001451DD">
        <w:rPr>
          <w:rFonts w:ascii="Centaur" w:hAnsi="Centaur" w:cs="Adobe Devanagari"/>
          <w:spacing w:val="-3"/>
          <w:sz w:val="26"/>
          <w:szCs w:val="26"/>
        </w:rPr>
        <w:t>14</w:t>
      </w:r>
      <w:r>
        <w:rPr>
          <w:rFonts w:ascii="Centaur" w:hAnsi="Centaur" w:cs="Adobe Devanagari"/>
          <w:spacing w:val="-3"/>
          <w:sz w:val="26"/>
          <w:szCs w:val="26"/>
        </w:rPr>
        <w:t xml:space="preserve">} </w:t>
      </w:r>
      <w:r w:rsidR="00130C23">
        <w:rPr>
          <w:rFonts w:ascii="Centaur" w:hAnsi="Centaur"/>
          <w:sz w:val="26"/>
          <w:szCs w:val="26"/>
        </w:rPr>
        <w:t>Like medieval illumination, woodcut illustration may be examined for its iconography</w:t>
      </w:r>
      <w:r w:rsidR="000D05D8" w:rsidRPr="000C5BC1">
        <w:rPr>
          <w:rFonts w:ascii="Centaur" w:hAnsi="Centaur"/>
          <w:sz w:val="26"/>
          <w:szCs w:val="26"/>
        </w:rPr>
        <w:t xml:space="preserve">. </w:t>
      </w:r>
      <w:r w:rsidR="00130C23">
        <w:rPr>
          <w:rFonts w:ascii="Centaur" w:hAnsi="Centaur"/>
          <w:sz w:val="26"/>
          <w:szCs w:val="26"/>
        </w:rPr>
        <w:t xml:space="preserve">Iconography is </w:t>
      </w:r>
      <w:r w:rsidR="000D05D8" w:rsidRPr="000C5BC1">
        <w:rPr>
          <w:rFonts w:ascii="Centaur" w:hAnsi="Centaur"/>
          <w:sz w:val="26"/>
          <w:szCs w:val="26"/>
        </w:rPr>
        <w:t>the visual images and symbols used in a work of art, or the branch of art history that studies the identification, description, and interpretation of these.</w:t>
      </w:r>
      <w:r w:rsidR="00130C23">
        <w:rPr>
          <w:rFonts w:ascii="Centaur" w:hAnsi="Centaur"/>
          <w:sz w:val="26"/>
          <w:szCs w:val="26"/>
        </w:rPr>
        <w:t xml:space="preserve"> It</w:t>
      </w:r>
      <w:r w:rsidR="00436683" w:rsidRPr="000C5BC1">
        <w:rPr>
          <w:rFonts w:ascii="Centaur" w:hAnsi="Centaur" w:cs="Arial"/>
          <w:sz w:val="26"/>
          <w:szCs w:val="26"/>
        </w:rPr>
        <w:t xml:space="preserve"> might</w:t>
      </w:r>
      <w:r w:rsidR="00130C23">
        <w:rPr>
          <w:rFonts w:ascii="Centaur" w:hAnsi="Centaur" w:cs="Arial"/>
          <w:sz w:val="26"/>
          <w:szCs w:val="26"/>
        </w:rPr>
        <w:t xml:space="preserve"> seem</w:t>
      </w:r>
      <w:r w:rsidR="00436683" w:rsidRPr="000C5BC1">
        <w:rPr>
          <w:rFonts w:ascii="Centaur" w:hAnsi="Centaur" w:cs="Arial"/>
          <w:sz w:val="26"/>
          <w:szCs w:val="26"/>
        </w:rPr>
        <w:t xml:space="preserve"> reasonabl</w:t>
      </w:r>
      <w:r w:rsidR="00130C23">
        <w:rPr>
          <w:rFonts w:ascii="Centaur" w:hAnsi="Centaur" w:cs="Arial"/>
          <w:sz w:val="26"/>
          <w:szCs w:val="26"/>
        </w:rPr>
        <w:t>e</w:t>
      </w:r>
      <w:r w:rsidR="00436683" w:rsidRPr="000C5BC1">
        <w:rPr>
          <w:rFonts w:ascii="Centaur" w:hAnsi="Centaur" w:cs="Arial"/>
          <w:sz w:val="26"/>
          <w:szCs w:val="26"/>
        </w:rPr>
        <w:t xml:space="preserve"> </w:t>
      </w:r>
      <w:r w:rsidR="00130C23">
        <w:rPr>
          <w:rFonts w:ascii="Centaur" w:hAnsi="Centaur" w:cs="Arial"/>
          <w:sz w:val="26"/>
          <w:szCs w:val="26"/>
        </w:rPr>
        <w:t>to argue</w:t>
      </w:r>
      <w:r w:rsidR="00436683" w:rsidRPr="000C5BC1">
        <w:rPr>
          <w:rFonts w:ascii="Centaur" w:hAnsi="Centaur" w:cs="Arial"/>
          <w:sz w:val="26"/>
          <w:szCs w:val="26"/>
        </w:rPr>
        <w:t xml:space="preserve"> that </w:t>
      </w:r>
      <w:r w:rsidR="00130C23">
        <w:rPr>
          <w:rFonts w:ascii="Centaur" w:hAnsi="Centaur" w:cs="Arial"/>
          <w:sz w:val="26"/>
          <w:szCs w:val="26"/>
        </w:rPr>
        <w:t>iconography</w:t>
      </w:r>
      <w:r w:rsidR="00436683" w:rsidRPr="000C5BC1">
        <w:rPr>
          <w:rFonts w:ascii="Centaur" w:hAnsi="Centaur" w:cs="Arial"/>
          <w:sz w:val="26"/>
          <w:szCs w:val="26"/>
        </w:rPr>
        <w:t xml:space="preserve"> can only ever be peripheral to the understanding of scientific illustration – a highly specialized form of observation that emerged in the early sixteenth century. But it is appropriate to think about these illustrations in relation to the cultural, philosophical and theological contexts which framed understanding of the created natural world</w:t>
      </w:r>
      <w:r w:rsidR="00436683">
        <w:rPr>
          <w:rFonts w:ascii="Centaur" w:hAnsi="Centaur" w:cs="Arial"/>
          <w:sz w:val="26"/>
          <w:szCs w:val="26"/>
        </w:rPr>
        <w:t>.</w:t>
      </w:r>
      <w:r w:rsidR="00132064">
        <w:rPr>
          <w:rFonts w:ascii="Centaur" w:hAnsi="Centaur" w:cs="Arial"/>
          <w:sz w:val="26"/>
          <w:szCs w:val="26"/>
        </w:rPr>
        <w:t xml:space="preserve"> The osteological figure on the left is ‘Death the Sexton’ from the </w:t>
      </w:r>
      <w:r w:rsidR="00132064">
        <w:rPr>
          <w:rFonts w:ascii="Centaur" w:hAnsi="Centaur" w:cs="Arial"/>
          <w:i/>
          <w:iCs/>
          <w:sz w:val="26"/>
          <w:szCs w:val="26"/>
        </w:rPr>
        <w:t>vanitas</w:t>
      </w:r>
      <w:r w:rsidR="00132064">
        <w:rPr>
          <w:rFonts w:ascii="Centaur" w:hAnsi="Centaur" w:cs="Arial"/>
          <w:sz w:val="26"/>
          <w:szCs w:val="26"/>
        </w:rPr>
        <w:t xml:space="preserve"> and </w:t>
      </w:r>
      <w:r w:rsidR="00132064">
        <w:rPr>
          <w:rFonts w:ascii="Centaur" w:hAnsi="Centaur" w:cs="Arial"/>
          <w:i/>
          <w:iCs/>
          <w:sz w:val="26"/>
          <w:szCs w:val="26"/>
        </w:rPr>
        <w:t>memento mori</w:t>
      </w:r>
      <w:r w:rsidR="00132064">
        <w:rPr>
          <w:rFonts w:ascii="Centaur" w:hAnsi="Centaur" w:cs="Arial"/>
          <w:sz w:val="26"/>
          <w:szCs w:val="26"/>
        </w:rPr>
        <w:t xml:space="preserve"> traditions and that on the right is an example of </w:t>
      </w:r>
      <w:r w:rsidR="00132064">
        <w:rPr>
          <w:rFonts w:ascii="Centaur" w:hAnsi="Centaur"/>
          <w:spacing w:val="-3"/>
          <w:sz w:val="26"/>
          <w:szCs w:val="26"/>
        </w:rPr>
        <w:t>t</w:t>
      </w:r>
      <w:r w:rsidR="00132064" w:rsidRPr="00EF4C73">
        <w:rPr>
          <w:rFonts w:ascii="Centaur" w:hAnsi="Centaur"/>
          <w:spacing w:val="-3"/>
          <w:sz w:val="26"/>
          <w:szCs w:val="26"/>
        </w:rPr>
        <w:t>he convention of ‘</w:t>
      </w:r>
      <w:r w:rsidR="00132064" w:rsidRPr="00EF4C73">
        <w:rPr>
          <w:rFonts w:ascii="Centaur" w:hAnsi="Centaur"/>
          <w:i/>
          <w:spacing w:val="-3"/>
          <w:sz w:val="26"/>
          <w:szCs w:val="26"/>
        </w:rPr>
        <w:t>living</w:t>
      </w:r>
      <w:r w:rsidR="00132064" w:rsidRPr="00EF4C73">
        <w:rPr>
          <w:rFonts w:ascii="Centaur" w:hAnsi="Centaur"/>
          <w:spacing w:val="-3"/>
          <w:sz w:val="26"/>
          <w:szCs w:val="26"/>
        </w:rPr>
        <w:t xml:space="preserve"> anatomy’</w:t>
      </w:r>
      <w:r w:rsidR="00132064">
        <w:rPr>
          <w:rFonts w:ascii="Centaur" w:hAnsi="Centaur"/>
          <w:spacing w:val="-3"/>
          <w:sz w:val="26"/>
          <w:szCs w:val="26"/>
        </w:rPr>
        <w:t>, that is, representing the dissected full body as though it were alive</w:t>
      </w:r>
      <w:r w:rsidR="00132064" w:rsidRPr="00EF4C73">
        <w:rPr>
          <w:rFonts w:ascii="Centaur" w:hAnsi="Centaur"/>
          <w:spacing w:val="-3"/>
          <w:sz w:val="26"/>
          <w:szCs w:val="26"/>
        </w:rPr>
        <w:t>.</w:t>
      </w:r>
      <w:r w:rsidR="00132064">
        <w:rPr>
          <w:rFonts w:ascii="Centaur" w:hAnsi="Centaur"/>
          <w:spacing w:val="-3"/>
          <w:sz w:val="26"/>
          <w:szCs w:val="26"/>
        </w:rPr>
        <w:t xml:space="preserve"> The figure looks heavenward beckoning or gesticulating with his left arm and points to the dust of the earth with the index finger of his right hand.</w:t>
      </w:r>
      <w:r w:rsidR="00736754">
        <w:rPr>
          <w:rFonts w:ascii="Centaur" w:hAnsi="Centaur"/>
          <w:spacing w:val="-3"/>
          <w:sz w:val="26"/>
          <w:szCs w:val="26"/>
        </w:rPr>
        <w:t xml:space="preserve"> What do you think this signifies?</w:t>
      </w:r>
    </w:p>
    <w:p w14:paraId="278D429A" w14:textId="7140CFCE" w:rsidR="00736754" w:rsidRDefault="00736754" w:rsidP="00130C23">
      <w:pPr>
        <w:pStyle w:val="ListParagraph"/>
        <w:widowControl w:val="0"/>
        <w:tabs>
          <w:tab w:val="left" w:pos="-720"/>
          <w:tab w:val="left" w:pos="0"/>
        </w:tabs>
        <w:suppressAutoHyphens/>
        <w:spacing w:line="276" w:lineRule="auto"/>
        <w:rPr>
          <w:rFonts w:ascii="Centaur" w:hAnsi="Centaur"/>
          <w:spacing w:val="-3"/>
          <w:sz w:val="26"/>
          <w:szCs w:val="26"/>
        </w:rPr>
      </w:pPr>
    </w:p>
    <w:p w14:paraId="30DC91D4" w14:textId="7FB5B336" w:rsidR="00736754" w:rsidRDefault="00736754" w:rsidP="00736754">
      <w:pPr>
        <w:pStyle w:val="ListParagraph"/>
        <w:widowControl w:val="0"/>
        <w:tabs>
          <w:tab w:val="left" w:pos="-720"/>
          <w:tab w:val="left" w:pos="0"/>
        </w:tabs>
        <w:suppressAutoHyphens/>
        <w:spacing w:line="276" w:lineRule="auto"/>
        <w:rPr>
          <w:rFonts w:ascii="Centaur" w:hAnsi="Centaur"/>
          <w:spacing w:val="-3"/>
          <w:sz w:val="26"/>
          <w:szCs w:val="26"/>
        </w:rPr>
      </w:pPr>
      <w:r w:rsidRPr="000C5BC1">
        <w:rPr>
          <w:rFonts w:ascii="Centaur" w:hAnsi="Centaur"/>
          <w:spacing w:val="-3"/>
          <w:sz w:val="26"/>
          <w:szCs w:val="26"/>
        </w:rPr>
        <w:t xml:space="preserve">Early in the development of anatomical and botanical illustration there emerged </w:t>
      </w:r>
      <w:r>
        <w:rPr>
          <w:rFonts w:ascii="Centaur" w:hAnsi="Centaur"/>
          <w:spacing w:val="-3"/>
          <w:sz w:val="26"/>
          <w:szCs w:val="26"/>
        </w:rPr>
        <w:t>an</w:t>
      </w:r>
      <w:r w:rsidRPr="000C5BC1">
        <w:rPr>
          <w:rFonts w:ascii="Centaur" w:hAnsi="Centaur" w:cs="Arial"/>
          <w:sz w:val="26"/>
          <w:szCs w:val="26"/>
        </w:rPr>
        <w:t xml:space="preserve"> ‘epistemological disagreement’ between ‘recording every accidental peculiarity’ of an individual specimen and ‘at least in principle cleaving to a generic mean’.</w:t>
      </w:r>
      <w:r w:rsidRPr="000C5BC1">
        <w:rPr>
          <w:rStyle w:val="FootnoteReference"/>
          <w:rFonts w:ascii="Centaur" w:hAnsi="Centaur" w:cs="Arial"/>
          <w:sz w:val="26"/>
          <w:szCs w:val="26"/>
        </w:rPr>
        <w:footnoteReference w:id="18"/>
      </w:r>
      <w:r w:rsidRPr="000C5BC1">
        <w:rPr>
          <w:rFonts w:ascii="Centaur" w:hAnsi="Centaur"/>
          <w:spacing w:val="-3"/>
          <w:sz w:val="26"/>
          <w:szCs w:val="26"/>
        </w:rPr>
        <w:t xml:space="preserve"> </w:t>
      </w:r>
      <w:r>
        <w:rPr>
          <w:rFonts w:ascii="Centaur" w:hAnsi="Centaur"/>
          <w:spacing w:val="-3"/>
          <w:sz w:val="26"/>
          <w:szCs w:val="26"/>
        </w:rPr>
        <w:t>Some anatomists, like Vesalius, sought</w:t>
      </w:r>
      <w:r w:rsidRPr="000C5BC1">
        <w:rPr>
          <w:rFonts w:ascii="Centaur" w:hAnsi="Centaur"/>
          <w:spacing w:val="-3"/>
          <w:sz w:val="26"/>
          <w:szCs w:val="26"/>
        </w:rPr>
        <w:t xml:space="preserve"> to develop a universal, ideal anatomy and this involved the systematic dissection of several bodies</w:t>
      </w:r>
      <w:r>
        <w:rPr>
          <w:rFonts w:ascii="Centaur" w:hAnsi="Centaur"/>
          <w:spacing w:val="-3"/>
          <w:sz w:val="26"/>
          <w:szCs w:val="26"/>
        </w:rPr>
        <w:t xml:space="preserve"> to produce </w:t>
      </w:r>
      <w:r w:rsidRPr="000C5BC1">
        <w:rPr>
          <w:rFonts w:ascii="Centaur" w:hAnsi="Centaur"/>
          <w:spacing w:val="-3"/>
          <w:sz w:val="26"/>
          <w:szCs w:val="26"/>
        </w:rPr>
        <w:t>composite representations.</w:t>
      </w:r>
      <w:r>
        <w:rPr>
          <w:rFonts w:ascii="Centaur" w:hAnsi="Centaur"/>
          <w:spacing w:val="-3"/>
          <w:sz w:val="26"/>
          <w:szCs w:val="26"/>
        </w:rPr>
        <w:t xml:space="preserve"> {Slide 1</w:t>
      </w:r>
      <w:r w:rsidR="001451DD">
        <w:rPr>
          <w:rFonts w:ascii="Centaur" w:hAnsi="Centaur"/>
          <w:spacing w:val="-3"/>
          <w:sz w:val="26"/>
          <w:szCs w:val="26"/>
        </w:rPr>
        <w:t>5</w:t>
      </w:r>
      <w:r>
        <w:rPr>
          <w:rFonts w:ascii="Centaur" w:hAnsi="Centaur"/>
          <w:spacing w:val="-3"/>
          <w:sz w:val="26"/>
          <w:szCs w:val="26"/>
        </w:rPr>
        <w:t>}</w:t>
      </w:r>
      <w:r w:rsidRPr="000C5BC1">
        <w:rPr>
          <w:rFonts w:ascii="Centaur" w:hAnsi="Centaur"/>
          <w:spacing w:val="-3"/>
          <w:sz w:val="26"/>
          <w:szCs w:val="26"/>
        </w:rPr>
        <w:t xml:space="preserve"> The termination of the development of this tendency is possibly found in Bernhard Siegfried Albinus’s </w:t>
      </w:r>
      <w:r w:rsidRPr="000C5BC1">
        <w:rPr>
          <w:rFonts w:ascii="Centaur" w:hAnsi="Centaur"/>
          <w:i/>
          <w:spacing w:val="-3"/>
          <w:sz w:val="26"/>
          <w:szCs w:val="26"/>
        </w:rPr>
        <w:t>Tables of the Skeleton and Muscles of the Human Body</w:t>
      </w:r>
      <w:r w:rsidRPr="000C5BC1">
        <w:rPr>
          <w:rFonts w:ascii="Centaur" w:hAnsi="Centaur"/>
          <w:spacing w:val="-3"/>
          <w:sz w:val="26"/>
          <w:szCs w:val="26"/>
        </w:rPr>
        <w:t>.</w:t>
      </w:r>
      <w:r>
        <w:rPr>
          <w:rFonts w:ascii="Centaur" w:hAnsi="Centaur"/>
          <w:spacing w:val="-3"/>
          <w:sz w:val="26"/>
          <w:szCs w:val="26"/>
        </w:rPr>
        <w:t xml:space="preserve"> </w:t>
      </w:r>
      <w:r w:rsidRPr="000C5BC1">
        <w:rPr>
          <w:rFonts w:ascii="Centaur" w:hAnsi="Centaur"/>
          <w:spacing w:val="-3"/>
          <w:sz w:val="26"/>
          <w:szCs w:val="26"/>
        </w:rPr>
        <w:t xml:space="preserve">These were drawn by Jan </w:t>
      </w:r>
      <w:proofErr w:type="spellStart"/>
      <w:r w:rsidRPr="000C5BC1">
        <w:rPr>
          <w:rFonts w:ascii="Centaur" w:hAnsi="Centaur"/>
          <w:spacing w:val="-3"/>
          <w:sz w:val="26"/>
          <w:szCs w:val="26"/>
        </w:rPr>
        <w:t>Wandelaar</w:t>
      </w:r>
      <w:proofErr w:type="spellEnd"/>
      <w:r w:rsidRPr="000C5BC1">
        <w:rPr>
          <w:rFonts w:ascii="Centaur" w:hAnsi="Centaur"/>
          <w:spacing w:val="-3"/>
          <w:sz w:val="26"/>
          <w:szCs w:val="26"/>
        </w:rPr>
        <w:t>, engraved by Andrew Bell, and published at Edinburgh in 1777-78. According to the free-lance Edinburgh anatomist and surgeon, John Bell, ‘the textural particularities of flesh and bone, of tissue and ligament, and the quality of an individual specimen have been so suppressed that everything is “rounded down to the smoothness of ivory”, and the figure looks “like a statue anatomized” rather than a real body’.</w:t>
      </w:r>
      <w:r w:rsidRPr="000C5BC1">
        <w:rPr>
          <w:rStyle w:val="FootnoteReference"/>
          <w:rFonts w:ascii="Centaur" w:hAnsi="Centaur"/>
          <w:spacing w:val="-3"/>
          <w:sz w:val="26"/>
          <w:szCs w:val="26"/>
        </w:rPr>
        <w:footnoteReference w:id="19"/>
      </w:r>
      <w:r>
        <w:rPr>
          <w:rFonts w:ascii="Centaur" w:hAnsi="Centaur"/>
          <w:spacing w:val="-3"/>
          <w:sz w:val="26"/>
          <w:szCs w:val="26"/>
        </w:rPr>
        <w:t xml:space="preserve"> Even so, they perpetuate t</w:t>
      </w:r>
      <w:r w:rsidRPr="00EF4C73">
        <w:rPr>
          <w:rFonts w:ascii="Centaur" w:hAnsi="Centaur"/>
          <w:spacing w:val="-3"/>
          <w:sz w:val="26"/>
          <w:szCs w:val="26"/>
        </w:rPr>
        <w:t>he convention of ‘</w:t>
      </w:r>
      <w:r w:rsidRPr="00EF4C73">
        <w:rPr>
          <w:rFonts w:ascii="Centaur" w:hAnsi="Centaur"/>
          <w:i/>
          <w:spacing w:val="-3"/>
          <w:sz w:val="26"/>
          <w:szCs w:val="26"/>
        </w:rPr>
        <w:t>living</w:t>
      </w:r>
      <w:r w:rsidRPr="00EF4C73">
        <w:rPr>
          <w:rFonts w:ascii="Centaur" w:hAnsi="Centaur"/>
          <w:spacing w:val="-3"/>
          <w:sz w:val="26"/>
          <w:szCs w:val="26"/>
        </w:rPr>
        <w:t xml:space="preserve"> anatomy’</w:t>
      </w:r>
      <w:r>
        <w:rPr>
          <w:rFonts w:ascii="Centaur" w:hAnsi="Centaur"/>
          <w:spacing w:val="-3"/>
          <w:sz w:val="26"/>
          <w:szCs w:val="26"/>
        </w:rPr>
        <w:t xml:space="preserve">, which </w:t>
      </w:r>
      <w:r w:rsidRPr="00EF4C73">
        <w:rPr>
          <w:rFonts w:ascii="Centaur" w:hAnsi="Centaur"/>
          <w:spacing w:val="-3"/>
          <w:sz w:val="26"/>
          <w:szCs w:val="26"/>
        </w:rPr>
        <w:t>began in the early sixteenth century.</w:t>
      </w:r>
    </w:p>
    <w:p w14:paraId="423B7830" w14:textId="7E7E9663" w:rsidR="00736754" w:rsidRDefault="00736754" w:rsidP="00736754">
      <w:pPr>
        <w:pStyle w:val="ListParagraph"/>
        <w:widowControl w:val="0"/>
        <w:tabs>
          <w:tab w:val="left" w:pos="-720"/>
          <w:tab w:val="left" w:pos="0"/>
        </w:tabs>
        <w:suppressAutoHyphens/>
        <w:spacing w:line="276" w:lineRule="auto"/>
        <w:rPr>
          <w:rFonts w:ascii="Centaur" w:hAnsi="Centaur"/>
          <w:spacing w:val="-3"/>
          <w:sz w:val="26"/>
          <w:szCs w:val="26"/>
        </w:rPr>
      </w:pPr>
    </w:p>
    <w:p w14:paraId="595C42B5" w14:textId="0659C3C3" w:rsidR="00736754" w:rsidRDefault="00736754" w:rsidP="00736754">
      <w:pPr>
        <w:pStyle w:val="ListParagraph"/>
        <w:widowControl w:val="0"/>
        <w:tabs>
          <w:tab w:val="left" w:pos="-720"/>
          <w:tab w:val="left" w:pos="0"/>
        </w:tabs>
        <w:suppressAutoHyphens/>
        <w:spacing w:line="276" w:lineRule="auto"/>
        <w:rPr>
          <w:rFonts w:ascii="Centaur" w:hAnsi="Centaur"/>
          <w:spacing w:val="-3"/>
          <w:sz w:val="26"/>
          <w:szCs w:val="26"/>
        </w:rPr>
      </w:pPr>
      <w:r>
        <w:rPr>
          <w:rFonts w:ascii="Centaur" w:hAnsi="Centaur"/>
          <w:spacing w:val="-3"/>
          <w:sz w:val="26"/>
          <w:szCs w:val="26"/>
        </w:rPr>
        <w:t>It should also be observed that this illustration is not produced from cutting a woodblock, but instead by engraving a copper plate.</w:t>
      </w:r>
    </w:p>
    <w:p w14:paraId="5E710513" w14:textId="77777777" w:rsidR="00736754" w:rsidRPr="00132064" w:rsidRDefault="00736754" w:rsidP="00130C23">
      <w:pPr>
        <w:pStyle w:val="ListParagraph"/>
        <w:widowControl w:val="0"/>
        <w:tabs>
          <w:tab w:val="left" w:pos="-720"/>
          <w:tab w:val="left" w:pos="0"/>
        </w:tabs>
        <w:suppressAutoHyphens/>
        <w:spacing w:line="276" w:lineRule="auto"/>
        <w:rPr>
          <w:rFonts w:ascii="Centaur" w:hAnsi="Centaur" w:cs="Adobe Devanagari"/>
          <w:spacing w:val="-3"/>
          <w:sz w:val="26"/>
          <w:szCs w:val="26"/>
        </w:rPr>
      </w:pPr>
    </w:p>
    <w:p w14:paraId="7C8F3CF1" w14:textId="77777777" w:rsidR="000B3078" w:rsidRDefault="000B3078" w:rsidP="000B3078">
      <w:pPr>
        <w:pStyle w:val="ListParagraph"/>
        <w:widowControl w:val="0"/>
        <w:tabs>
          <w:tab w:val="left" w:pos="-720"/>
          <w:tab w:val="left" w:pos="0"/>
        </w:tabs>
        <w:suppressAutoHyphens/>
        <w:spacing w:line="276" w:lineRule="auto"/>
        <w:rPr>
          <w:rFonts w:ascii="Centaur" w:hAnsi="Centaur" w:cs="Adobe Devanagari"/>
          <w:spacing w:val="-3"/>
          <w:sz w:val="26"/>
          <w:szCs w:val="26"/>
        </w:rPr>
      </w:pPr>
    </w:p>
    <w:p w14:paraId="1E21F020" w14:textId="77777777" w:rsidR="00DA2BBB" w:rsidRPr="000C5BC1" w:rsidRDefault="00DA2BBB" w:rsidP="000C5BC1">
      <w:pPr>
        <w:pStyle w:val="ListParagraph"/>
        <w:widowControl w:val="0"/>
        <w:numPr>
          <w:ilvl w:val="0"/>
          <w:numId w:val="2"/>
        </w:numPr>
        <w:tabs>
          <w:tab w:val="left" w:pos="-720"/>
          <w:tab w:val="left" w:pos="0"/>
        </w:tabs>
        <w:suppressAutoHyphens/>
        <w:spacing w:line="276" w:lineRule="auto"/>
        <w:rPr>
          <w:rFonts w:ascii="Centaur" w:hAnsi="Centaur" w:cs="Adobe Devanagari"/>
          <w:spacing w:val="-3"/>
          <w:sz w:val="26"/>
          <w:szCs w:val="26"/>
        </w:rPr>
      </w:pPr>
      <w:r w:rsidRPr="000C5BC1">
        <w:rPr>
          <w:rFonts w:ascii="Centaur" w:hAnsi="Centaur" w:cs="Adobe Devanagari"/>
          <w:spacing w:val="-3"/>
          <w:sz w:val="26"/>
          <w:szCs w:val="26"/>
        </w:rPr>
        <w:t>Copperplate engraving</w:t>
      </w:r>
    </w:p>
    <w:p w14:paraId="1705B7CC" w14:textId="77777777" w:rsidR="0009104F" w:rsidRDefault="0009104F" w:rsidP="0009104F">
      <w:pPr>
        <w:pStyle w:val="ListParagraph"/>
        <w:widowControl w:val="0"/>
        <w:tabs>
          <w:tab w:val="left" w:pos="-720"/>
          <w:tab w:val="left" w:pos="0"/>
        </w:tabs>
        <w:suppressAutoHyphens/>
        <w:spacing w:line="276" w:lineRule="auto"/>
        <w:rPr>
          <w:rFonts w:ascii="Centaur" w:hAnsi="Centaur" w:cs="Adobe Devanagari"/>
          <w:spacing w:val="-3"/>
          <w:sz w:val="26"/>
          <w:szCs w:val="26"/>
        </w:rPr>
      </w:pPr>
    </w:p>
    <w:p w14:paraId="748F737E" w14:textId="2D010E67" w:rsidR="00393A68" w:rsidRDefault="00947929" w:rsidP="00676E8F">
      <w:pPr>
        <w:pStyle w:val="ListParagraph"/>
        <w:widowControl w:val="0"/>
        <w:tabs>
          <w:tab w:val="left" w:pos="-720"/>
          <w:tab w:val="left" w:pos="0"/>
        </w:tabs>
        <w:suppressAutoHyphens/>
        <w:spacing w:line="276" w:lineRule="auto"/>
        <w:rPr>
          <w:rFonts w:ascii="Centaur" w:hAnsi="Centaur"/>
          <w:spacing w:val="-3"/>
          <w:sz w:val="26"/>
          <w:szCs w:val="26"/>
        </w:rPr>
      </w:pPr>
      <w:r>
        <w:rPr>
          <w:rFonts w:ascii="Centaur" w:hAnsi="Centaur"/>
          <w:spacing w:val="-3"/>
          <w:sz w:val="26"/>
          <w:szCs w:val="26"/>
        </w:rPr>
        <w:t xml:space="preserve">{Slide </w:t>
      </w:r>
      <w:r w:rsidR="00736754">
        <w:rPr>
          <w:rFonts w:ascii="Centaur" w:hAnsi="Centaur"/>
          <w:spacing w:val="-3"/>
          <w:sz w:val="26"/>
          <w:szCs w:val="26"/>
        </w:rPr>
        <w:t>1</w:t>
      </w:r>
      <w:r w:rsidR="001451DD">
        <w:rPr>
          <w:rFonts w:ascii="Centaur" w:hAnsi="Centaur"/>
          <w:spacing w:val="-3"/>
          <w:sz w:val="26"/>
          <w:szCs w:val="26"/>
        </w:rPr>
        <w:t>6</w:t>
      </w:r>
      <w:r>
        <w:rPr>
          <w:rFonts w:ascii="Centaur" w:hAnsi="Centaur"/>
          <w:spacing w:val="-3"/>
          <w:sz w:val="26"/>
          <w:szCs w:val="26"/>
        </w:rPr>
        <w:t xml:space="preserve">} </w:t>
      </w:r>
      <w:r w:rsidR="00F279E5" w:rsidRPr="000C5BC1">
        <w:rPr>
          <w:rFonts w:ascii="Centaur" w:hAnsi="Centaur"/>
          <w:spacing w:val="-3"/>
          <w:sz w:val="26"/>
          <w:szCs w:val="26"/>
        </w:rPr>
        <w:t xml:space="preserve">As with woodcuts, the process of engraving on metal plates predated the invention of printing with moveable type. Over the course of the sixteenth century, it rose </w:t>
      </w:r>
      <w:r w:rsidR="00F279E5" w:rsidRPr="000C5BC1">
        <w:rPr>
          <w:rFonts w:ascii="Centaur" w:hAnsi="Centaur"/>
          <w:spacing w:val="-3"/>
          <w:sz w:val="26"/>
          <w:szCs w:val="26"/>
        </w:rPr>
        <w:lastRenderedPageBreak/>
        <w:t>into prominence and became the predominant way of illustrating books, although the woodcut remained the dominant form of representation in some fields until about 1600.</w:t>
      </w:r>
      <w:r w:rsidR="001A4CAF">
        <w:rPr>
          <w:rFonts w:ascii="Centaur" w:hAnsi="Centaur"/>
          <w:spacing w:val="-3"/>
          <w:sz w:val="26"/>
          <w:szCs w:val="26"/>
        </w:rPr>
        <w:t xml:space="preserve"> </w:t>
      </w:r>
      <w:r w:rsidR="001A4CAF">
        <w:rPr>
          <w:rFonts w:ascii="Centaur" w:hAnsi="Centaur"/>
          <w:spacing w:val="-3"/>
          <w:sz w:val="26"/>
          <w:szCs w:val="26"/>
        </w:rPr>
        <w:t>{Slide 1</w:t>
      </w:r>
      <w:r w:rsidR="001451DD">
        <w:rPr>
          <w:rFonts w:ascii="Centaur" w:hAnsi="Centaur"/>
          <w:spacing w:val="-3"/>
          <w:sz w:val="26"/>
          <w:szCs w:val="26"/>
        </w:rPr>
        <w:t>7</w:t>
      </w:r>
      <w:r w:rsidR="001A4CAF">
        <w:rPr>
          <w:rFonts w:ascii="Centaur" w:hAnsi="Centaur"/>
          <w:spacing w:val="-3"/>
          <w:sz w:val="26"/>
          <w:szCs w:val="26"/>
        </w:rPr>
        <w:t>}</w:t>
      </w:r>
      <w:r w:rsidR="001A4CAF">
        <w:rPr>
          <w:rFonts w:ascii="Centaur" w:hAnsi="Centaur"/>
          <w:spacing w:val="-3"/>
          <w:sz w:val="26"/>
          <w:szCs w:val="26"/>
        </w:rPr>
        <w:t xml:space="preserve"> </w:t>
      </w:r>
      <w:r w:rsidR="00676E8F" w:rsidRPr="00676E8F">
        <w:rPr>
          <w:rFonts w:ascii="Centaur" w:hAnsi="Centaur"/>
          <w:spacing w:val="-3"/>
          <w:sz w:val="26"/>
          <w:szCs w:val="26"/>
        </w:rPr>
        <w:t xml:space="preserve">Images were engraved on to </w:t>
      </w:r>
      <w:r w:rsidR="001A4CAF">
        <w:rPr>
          <w:rFonts w:ascii="Centaur" w:hAnsi="Centaur"/>
          <w:sz w:val="26"/>
          <w:szCs w:val="26"/>
        </w:rPr>
        <w:t>a metal</w:t>
      </w:r>
      <w:r w:rsidR="001A4CAF" w:rsidRPr="000C5BC1">
        <w:rPr>
          <w:rFonts w:ascii="Centaur" w:hAnsi="Centaur"/>
          <w:sz w:val="26"/>
          <w:szCs w:val="26"/>
        </w:rPr>
        <w:t xml:space="preserve"> plate</w:t>
      </w:r>
      <w:r w:rsidR="001A4CAF">
        <w:rPr>
          <w:rFonts w:ascii="Centaur" w:hAnsi="Centaur"/>
          <w:sz w:val="26"/>
          <w:szCs w:val="26"/>
        </w:rPr>
        <w:t>,</w:t>
      </w:r>
      <w:r w:rsidR="001A4CAF" w:rsidRPr="000C5BC1">
        <w:rPr>
          <w:rFonts w:ascii="Centaur" w:hAnsi="Centaur"/>
          <w:sz w:val="26"/>
          <w:szCs w:val="26"/>
        </w:rPr>
        <w:t xml:space="preserve"> which can be copper or another material</w:t>
      </w:r>
      <w:r w:rsidR="001A4CAF">
        <w:rPr>
          <w:rFonts w:ascii="Centaur" w:hAnsi="Centaur"/>
          <w:sz w:val="26"/>
          <w:szCs w:val="26"/>
        </w:rPr>
        <w:t xml:space="preserve"> such as zinc</w:t>
      </w:r>
      <w:r w:rsidR="001A4CAF">
        <w:rPr>
          <w:rFonts w:ascii="Centaur" w:hAnsi="Centaur"/>
          <w:sz w:val="26"/>
          <w:szCs w:val="26"/>
        </w:rPr>
        <w:t>,</w:t>
      </w:r>
      <w:r w:rsidR="00676E8F" w:rsidRPr="00676E8F">
        <w:rPr>
          <w:rFonts w:ascii="Centaur" w:hAnsi="Centaur"/>
          <w:spacing w:val="-3"/>
          <w:sz w:val="26"/>
          <w:szCs w:val="26"/>
        </w:rPr>
        <w:t xml:space="preserve"> using a tool called a Burin</w:t>
      </w:r>
      <w:r w:rsidR="00393A68" w:rsidRPr="00393A68">
        <w:rPr>
          <w:rFonts w:ascii="Centaur" w:hAnsi="Centaur" w:cs="Helvetica"/>
          <w:color w:val="333333"/>
          <w:sz w:val="26"/>
          <w:szCs w:val="26"/>
          <w:shd w:val="clear" w:color="auto" w:fill="FFFFFF"/>
        </w:rPr>
        <w:t xml:space="preserve">: a steel shaft ending in a </w:t>
      </w:r>
      <w:proofErr w:type="spellStart"/>
      <w:r w:rsidR="00393A68" w:rsidRPr="00393A68">
        <w:rPr>
          <w:rFonts w:ascii="Centaur" w:hAnsi="Centaur" w:cs="Helvetica"/>
          <w:color w:val="333333"/>
          <w:sz w:val="26"/>
          <w:szCs w:val="26"/>
          <w:shd w:val="clear" w:color="auto" w:fill="FFFFFF"/>
        </w:rPr>
        <w:t>beveled</w:t>
      </w:r>
      <w:proofErr w:type="spellEnd"/>
      <w:r w:rsidR="00393A68" w:rsidRPr="00393A68">
        <w:rPr>
          <w:rFonts w:ascii="Centaur" w:hAnsi="Centaur" w:cs="Helvetica"/>
          <w:color w:val="333333"/>
          <w:sz w:val="26"/>
          <w:szCs w:val="26"/>
          <w:shd w:val="clear" w:color="auto" w:fill="FFFFFF"/>
        </w:rPr>
        <w:t xml:space="preserve"> diamond-shaped tip that is set into a rounded wooden handle</w:t>
      </w:r>
      <w:r w:rsidR="00676E8F" w:rsidRPr="00676E8F">
        <w:rPr>
          <w:rFonts w:ascii="Centaur" w:hAnsi="Centaur"/>
          <w:spacing w:val="-3"/>
          <w:sz w:val="26"/>
          <w:szCs w:val="26"/>
        </w:rPr>
        <w:t xml:space="preserve">. </w:t>
      </w:r>
      <w:r w:rsidR="001A4CAF">
        <w:rPr>
          <w:rFonts w:ascii="Centaur" w:hAnsi="Centaur"/>
          <w:spacing w:val="-3"/>
          <w:sz w:val="26"/>
          <w:szCs w:val="26"/>
        </w:rPr>
        <w:t>{Slide 1</w:t>
      </w:r>
      <w:r w:rsidR="001451DD">
        <w:rPr>
          <w:rFonts w:ascii="Centaur" w:hAnsi="Centaur"/>
          <w:spacing w:val="-3"/>
          <w:sz w:val="26"/>
          <w:szCs w:val="26"/>
        </w:rPr>
        <w:t>8</w:t>
      </w:r>
      <w:r w:rsidR="001A4CAF">
        <w:rPr>
          <w:rFonts w:ascii="Centaur" w:hAnsi="Centaur"/>
          <w:spacing w:val="-3"/>
          <w:sz w:val="26"/>
          <w:szCs w:val="26"/>
        </w:rPr>
        <w:t>}</w:t>
      </w:r>
      <w:r w:rsidR="001A4CAF">
        <w:rPr>
          <w:rFonts w:ascii="Centaur" w:hAnsi="Centaur"/>
          <w:spacing w:val="-3"/>
          <w:sz w:val="26"/>
          <w:szCs w:val="26"/>
        </w:rPr>
        <w:t xml:space="preserve"> </w:t>
      </w:r>
      <w:r w:rsidR="00D02CFC">
        <w:rPr>
          <w:rFonts w:ascii="Centaur" w:hAnsi="Centaur"/>
          <w:sz w:val="26"/>
          <w:szCs w:val="26"/>
        </w:rPr>
        <w:t>This is</w:t>
      </w:r>
      <w:r w:rsidR="001A4CAF">
        <w:rPr>
          <w:rFonts w:ascii="Centaur" w:hAnsi="Centaur"/>
          <w:sz w:val="26"/>
          <w:szCs w:val="26"/>
        </w:rPr>
        <w:t xml:space="preserve"> an</w:t>
      </w:r>
      <w:r w:rsidR="00D02CFC" w:rsidRPr="000C5BC1">
        <w:rPr>
          <w:rFonts w:ascii="Centaur" w:hAnsi="Centaur"/>
          <w:sz w:val="26"/>
          <w:szCs w:val="26"/>
        </w:rPr>
        <w:t xml:space="preserve"> intaglio print</w:t>
      </w:r>
      <w:r w:rsidR="001A4CAF">
        <w:rPr>
          <w:rFonts w:ascii="Centaur" w:hAnsi="Centaur"/>
          <w:sz w:val="26"/>
          <w:szCs w:val="26"/>
        </w:rPr>
        <w:t>mak</w:t>
      </w:r>
      <w:r w:rsidR="00D02CFC">
        <w:rPr>
          <w:rFonts w:ascii="Centaur" w:hAnsi="Centaur"/>
          <w:sz w:val="26"/>
          <w:szCs w:val="26"/>
        </w:rPr>
        <w:t>ing</w:t>
      </w:r>
      <w:r w:rsidR="001A4CAF">
        <w:rPr>
          <w:rFonts w:ascii="Centaur" w:hAnsi="Centaur"/>
          <w:sz w:val="26"/>
          <w:szCs w:val="26"/>
        </w:rPr>
        <w:t xml:space="preserve"> process</w:t>
      </w:r>
      <w:r w:rsidR="00D02CFC">
        <w:rPr>
          <w:rFonts w:ascii="Centaur" w:hAnsi="Centaur"/>
          <w:sz w:val="26"/>
          <w:szCs w:val="26"/>
        </w:rPr>
        <w:t xml:space="preserve">, which </w:t>
      </w:r>
      <w:r w:rsidR="00D02CFC" w:rsidRPr="000C5BC1">
        <w:rPr>
          <w:rFonts w:ascii="Centaur" w:hAnsi="Centaur"/>
          <w:sz w:val="26"/>
          <w:szCs w:val="26"/>
        </w:rPr>
        <w:t>is done by cutting into the printing surface o</w:t>
      </w:r>
      <w:r w:rsidR="001A4CAF">
        <w:rPr>
          <w:rFonts w:ascii="Centaur" w:hAnsi="Centaur"/>
          <w:sz w:val="26"/>
          <w:szCs w:val="26"/>
        </w:rPr>
        <w:t xml:space="preserve">f the plate </w:t>
      </w:r>
      <w:r w:rsidR="00D02CFC" w:rsidRPr="000C5BC1">
        <w:rPr>
          <w:rFonts w:ascii="Centaur" w:hAnsi="Centaur"/>
          <w:sz w:val="26"/>
          <w:szCs w:val="26"/>
        </w:rPr>
        <w:t>and laying ink below the surface of the plate. This is the opposite of relief printing where ink adheres to the raised areas of the printing surface.</w:t>
      </w:r>
      <w:r w:rsidR="00D02CFC">
        <w:rPr>
          <w:rFonts w:ascii="Centaur" w:hAnsi="Centaur"/>
          <w:sz w:val="26"/>
          <w:szCs w:val="26"/>
        </w:rPr>
        <w:t xml:space="preserve"> Woodcut is a kind of relief printing.</w:t>
      </w:r>
      <w:r w:rsidR="00676E8F" w:rsidRPr="00393A68">
        <w:rPr>
          <w:rFonts w:ascii="Centaur" w:hAnsi="Centaur"/>
          <w:spacing w:val="-3"/>
          <w:sz w:val="26"/>
          <w:szCs w:val="26"/>
        </w:rPr>
        <w:t xml:space="preserve"> </w:t>
      </w:r>
    </w:p>
    <w:p w14:paraId="672339B1" w14:textId="77777777" w:rsidR="00393A68" w:rsidRDefault="00393A68" w:rsidP="00393A68">
      <w:pPr>
        <w:pStyle w:val="ListParagraph"/>
        <w:widowControl w:val="0"/>
        <w:tabs>
          <w:tab w:val="left" w:pos="-720"/>
          <w:tab w:val="left" w:pos="0"/>
        </w:tabs>
        <w:suppressAutoHyphens/>
        <w:spacing w:line="276" w:lineRule="auto"/>
        <w:rPr>
          <w:rFonts w:ascii="Centaur" w:hAnsi="Centaur"/>
          <w:spacing w:val="-3"/>
          <w:sz w:val="26"/>
          <w:szCs w:val="26"/>
        </w:rPr>
      </w:pPr>
    </w:p>
    <w:p w14:paraId="0ED4049D" w14:textId="5567D829" w:rsidR="00393A68" w:rsidRPr="00393A68" w:rsidRDefault="001A4CAF" w:rsidP="00393A68">
      <w:pPr>
        <w:pStyle w:val="NormalWeb"/>
        <w:shd w:val="clear" w:color="auto" w:fill="FFFFFF"/>
        <w:spacing w:before="0" w:beforeAutospacing="0" w:after="0" w:afterAutospacing="0" w:line="276" w:lineRule="auto"/>
        <w:ind w:left="720"/>
        <w:rPr>
          <w:rFonts w:ascii="Centaur" w:hAnsi="Centaur" w:cs="Helvetica"/>
          <w:color w:val="333333"/>
          <w:sz w:val="26"/>
          <w:szCs w:val="26"/>
          <w:lang w:eastAsia="zh-CN"/>
        </w:rPr>
      </w:pPr>
      <w:r w:rsidRPr="00393A68">
        <w:rPr>
          <w:rFonts w:ascii="Centaur" w:hAnsi="Centaur" w:cs="Helvetica"/>
          <w:color w:val="333333"/>
          <w:sz w:val="26"/>
          <w:szCs w:val="26"/>
          <w:shd w:val="clear" w:color="auto" w:fill="FFFFFF"/>
        </w:rPr>
        <w:t>The metal plate is first polished to remove all scratches and imperfections from the surface so that only the intentional lines will be printed. When making an engraving, the printmaker incises or cuts a composition directly into the surface of a metal plate using a burin.</w:t>
      </w:r>
      <w:r w:rsidR="00393A68" w:rsidRPr="00393A68">
        <w:rPr>
          <w:rFonts w:ascii="Centaur" w:hAnsi="Centaur" w:cs="Helvetica"/>
          <w:color w:val="333333"/>
          <w:sz w:val="26"/>
          <w:szCs w:val="26"/>
        </w:rPr>
        <w:t xml:space="preserve"> </w:t>
      </w:r>
      <w:r w:rsidR="00393A68" w:rsidRPr="00393A68">
        <w:rPr>
          <w:rFonts w:ascii="Centaur" w:hAnsi="Centaur" w:cs="Helvetica"/>
          <w:color w:val="333333"/>
          <w:sz w:val="26"/>
          <w:szCs w:val="26"/>
        </w:rPr>
        <w:t>The printmaker holds the burin by placing the wooden handle against the palm of their hand and grips the shaft with their thumb and third finger. The burin is then set to engage with the surface of the plate. When pressure is applied, the burin cuts away a thin layer of the metal to create a recessed line or groove in the plate. Cutting into the plate also results in the displacement of a thin curl of metal residue.</w:t>
      </w:r>
    </w:p>
    <w:p w14:paraId="76C1BCE5" w14:textId="77777777" w:rsidR="00393A68" w:rsidRDefault="00393A68" w:rsidP="00393A68">
      <w:pPr>
        <w:pStyle w:val="NormalWeb"/>
        <w:shd w:val="clear" w:color="auto" w:fill="FFFFFF"/>
        <w:spacing w:before="0" w:beforeAutospacing="0" w:after="0" w:afterAutospacing="0" w:line="276" w:lineRule="auto"/>
        <w:ind w:left="720"/>
        <w:rPr>
          <w:rFonts w:ascii="Centaur" w:hAnsi="Centaur" w:cs="Helvetica"/>
          <w:color w:val="333333"/>
          <w:sz w:val="26"/>
          <w:szCs w:val="26"/>
        </w:rPr>
      </w:pPr>
      <w:r w:rsidRPr="00393A68">
        <w:rPr>
          <w:rFonts w:ascii="Centaur" w:hAnsi="Centaur" w:cs="Helvetica"/>
          <w:color w:val="333333"/>
          <w:sz w:val="26"/>
          <w:szCs w:val="26"/>
        </w:rPr>
        <w:t>Different sizes of burins can affect the size of the lines; the pressure the printmaker applies to the burin can also be used to create thinner or thicker grooves in the plate. Creating smooth lines requires both strength and control on the part of the printmaker.</w:t>
      </w:r>
    </w:p>
    <w:p w14:paraId="45F45121" w14:textId="77777777" w:rsidR="00393A68" w:rsidRPr="00393A68" w:rsidRDefault="00393A68" w:rsidP="00393A68">
      <w:pPr>
        <w:pStyle w:val="NormalWeb"/>
        <w:shd w:val="clear" w:color="auto" w:fill="FFFFFF"/>
        <w:spacing w:before="0" w:beforeAutospacing="0" w:after="0" w:afterAutospacing="0" w:line="276" w:lineRule="auto"/>
        <w:ind w:left="720"/>
        <w:rPr>
          <w:rFonts w:ascii="Centaur" w:hAnsi="Centaur" w:cs="Helvetica"/>
          <w:color w:val="333333"/>
          <w:sz w:val="26"/>
          <w:szCs w:val="26"/>
        </w:rPr>
      </w:pPr>
    </w:p>
    <w:p w14:paraId="0178906F" w14:textId="318EF000" w:rsidR="00393A68" w:rsidRDefault="00393A68" w:rsidP="00393A68">
      <w:pPr>
        <w:pStyle w:val="NormalWeb"/>
        <w:shd w:val="clear" w:color="auto" w:fill="FFFFFF"/>
        <w:spacing w:before="0" w:beforeAutospacing="0" w:after="0" w:afterAutospacing="0" w:line="276" w:lineRule="auto"/>
        <w:ind w:left="720"/>
        <w:rPr>
          <w:rFonts w:ascii="Centaur" w:hAnsi="Centaur" w:cs="Helvetica"/>
          <w:color w:val="333333"/>
          <w:sz w:val="26"/>
          <w:szCs w:val="26"/>
        </w:rPr>
      </w:pPr>
      <w:r>
        <w:rPr>
          <w:rFonts w:ascii="Centaur" w:hAnsi="Centaur"/>
          <w:spacing w:val="-3"/>
          <w:sz w:val="26"/>
          <w:szCs w:val="26"/>
        </w:rPr>
        <w:t>{Slide 1</w:t>
      </w:r>
      <w:r w:rsidR="001451DD">
        <w:rPr>
          <w:rFonts w:ascii="Centaur" w:hAnsi="Centaur"/>
          <w:spacing w:val="-3"/>
          <w:sz w:val="26"/>
          <w:szCs w:val="26"/>
        </w:rPr>
        <w:t>9</w:t>
      </w:r>
      <w:r>
        <w:rPr>
          <w:rFonts w:ascii="Centaur" w:hAnsi="Centaur"/>
          <w:spacing w:val="-3"/>
          <w:sz w:val="26"/>
          <w:szCs w:val="26"/>
        </w:rPr>
        <w:t>}</w:t>
      </w:r>
      <w:r>
        <w:rPr>
          <w:rFonts w:ascii="Centaur" w:hAnsi="Centaur"/>
          <w:spacing w:val="-3"/>
          <w:sz w:val="26"/>
          <w:szCs w:val="26"/>
        </w:rPr>
        <w:t xml:space="preserve"> </w:t>
      </w:r>
      <w:r w:rsidRPr="00393A68">
        <w:rPr>
          <w:rFonts w:ascii="Centaur" w:hAnsi="Centaur" w:cs="Helvetica"/>
          <w:color w:val="333333"/>
          <w:sz w:val="26"/>
          <w:szCs w:val="26"/>
        </w:rPr>
        <w:t>The metal plate is placed on a sandbag or pillow by the printmaker to help manipulate and move the plate, especially when a composition requires curved lines.</w:t>
      </w:r>
      <w:r>
        <w:rPr>
          <w:rFonts w:ascii="Centaur" w:hAnsi="Centaur" w:cs="Helvetica"/>
          <w:color w:val="333333"/>
          <w:sz w:val="26"/>
          <w:szCs w:val="26"/>
        </w:rPr>
        <w:t xml:space="preserve"> </w:t>
      </w:r>
    </w:p>
    <w:p w14:paraId="78EFE184" w14:textId="77777777" w:rsidR="00393A68" w:rsidRDefault="00393A68" w:rsidP="00393A68">
      <w:pPr>
        <w:pStyle w:val="NormalWeb"/>
        <w:shd w:val="clear" w:color="auto" w:fill="FFFFFF"/>
        <w:spacing w:before="0" w:beforeAutospacing="0" w:after="0" w:afterAutospacing="0" w:line="276" w:lineRule="auto"/>
        <w:ind w:left="720"/>
        <w:rPr>
          <w:rFonts w:ascii="Centaur" w:hAnsi="Centaur" w:cs="Helvetica"/>
          <w:color w:val="333333"/>
          <w:sz w:val="26"/>
          <w:szCs w:val="26"/>
        </w:rPr>
      </w:pPr>
      <w:r w:rsidRPr="00393A68">
        <w:rPr>
          <w:rFonts w:ascii="Centaur" w:hAnsi="Centaur" w:cs="Helvetica"/>
          <w:color w:val="333333"/>
          <w:sz w:val="26"/>
          <w:szCs w:val="26"/>
        </w:rPr>
        <w:t>To enhance a purely linear composition with tone, the printmaker applies a system of hatching—lines, dots, and dashes, among other kinds of markings, placed close together to create denser areas in the print that hold more ink. The closer the marks are placed together, the darker those areas will appear. The printmaker must take care not to cut the lines or the markings too closely together so that the ink does not bleed between them.</w:t>
      </w:r>
    </w:p>
    <w:p w14:paraId="1EDB7372" w14:textId="77777777" w:rsidR="00393A68" w:rsidRPr="00393A68" w:rsidRDefault="00393A68" w:rsidP="00393A68">
      <w:pPr>
        <w:pStyle w:val="NormalWeb"/>
        <w:shd w:val="clear" w:color="auto" w:fill="FFFFFF"/>
        <w:spacing w:before="0" w:beforeAutospacing="0" w:after="0" w:afterAutospacing="0" w:line="276" w:lineRule="auto"/>
        <w:ind w:left="720"/>
        <w:rPr>
          <w:rFonts w:ascii="Centaur" w:hAnsi="Centaur" w:cs="Helvetica"/>
          <w:color w:val="333333"/>
          <w:sz w:val="26"/>
          <w:szCs w:val="26"/>
          <w:lang w:eastAsia="zh-CN"/>
        </w:rPr>
      </w:pPr>
    </w:p>
    <w:p w14:paraId="25AB7DAA" w14:textId="31F9A33E" w:rsidR="00393A68" w:rsidRPr="00393A68" w:rsidRDefault="00393A68" w:rsidP="00393A68">
      <w:pPr>
        <w:pStyle w:val="NormalWeb"/>
        <w:shd w:val="clear" w:color="auto" w:fill="FFFFFF"/>
        <w:spacing w:before="0" w:beforeAutospacing="0" w:after="0" w:afterAutospacing="0" w:line="276" w:lineRule="auto"/>
        <w:ind w:left="720"/>
        <w:rPr>
          <w:rFonts w:ascii="Centaur" w:hAnsi="Centaur" w:cs="Helvetica"/>
          <w:color w:val="333333"/>
          <w:sz w:val="26"/>
          <w:szCs w:val="26"/>
        </w:rPr>
      </w:pPr>
      <w:r w:rsidRPr="00393A68">
        <w:rPr>
          <w:rFonts w:ascii="Centaur" w:hAnsi="Centaur" w:cs="Helvetica"/>
          <w:color w:val="333333"/>
          <w:sz w:val="26"/>
          <w:szCs w:val="26"/>
        </w:rPr>
        <w:t>Once the full composition has been cut into the plate, it is ready to be inked. A cloth ball, cardboard tab, or equivalent material is used to gently spread ink across the whole face of the plate; the same material is used to remove most of the excess ink from the surface. The plate is further cleaned using a tarlatan rag (heavily starched cheesecloth).</w:t>
      </w:r>
    </w:p>
    <w:p w14:paraId="5F6BC1E5" w14:textId="77777777" w:rsidR="00393A68" w:rsidRPr="00393A68" w:rsidRDefault="00393A68" w:rsidP="00393A68">
      <w:pPr>
        <w:pStyle w:val="NormalWeb"/>
        <w:shd w:val="clear" w:color="auto" w:fill="FFFFFF"/>
        <w:spacing w:before="0" w:beforeAutospacing="0" w:after="0" w:afterAutospacing="0" w:line="276" w:lineRule="auto"/>
        <w:ind w:left="720"/>
        <w:rPr>
          <w:rFonts w:ascii="Centaur" w:hAnsi="Centaur" w:cs="Helvetica"/>
          <w:color w:val="333333"/>
          <w:sz w:val="26"/>
          <w:szCs w:val="26"/>
        </w:rPr>
      </w:pPr>
    </w:p>
    <w:p w14:paraId="0A044180" w14:textId="44B6C126" w:rsidR="00393A68" w:rsidRPr="00393A68" w:rsidRDefault="00393A68" w:rsidP="00393A68">
      <w:pPr>
        <w:pStyle w:val="NormalWeb"/>
        <w:shd w:val="clear" w:color="auto" w:fill="FFFFFF"/>
        <w:spacing w:before="0" w:beforeAutospacing="0" w:after="0" w:afterAutospacing="0" w:line="276" w:lineRule="auto"/>
        <w:ind w:left="720"/>
        <w:rPr>
          <w:rFonts w:ascii="Centaur" w:hAnsi="Centaur" w:cs="Helvetica"/>
          <w:color w:val="333333"/>
          <w:sz w:val="26"/>
          <w:szCs w:val="26"/>
        </w:rPr>
      </w:pPr>
      <w:r>
        <w:rPr>
          <w:rFonts w:ascii="Centaur" w:hAnsi="Centaur"/>
          <w:spacing w:val="-3"/>
          <w:sz w:val="26"/>
          <w:szCs w:val="26"/>
        </w:rPr>
        <w:t xml:space="preserve">{Slide </w:t>
      </w:r>
      <w:r w:rsidR="001451DD">
        <w:rPr>
          <w:rFonts w:ascii="Centaur" w:hAnsi="Centaur"/>
          <w:spacing w:val="-3"/>
          <w:sz w:val="26"/>
          <w:szCs w:val="26"/>
        </w:rPr>
        <w:t>20</w:t>
      </w:r>
      <w:r>
        <w:rPr>
          <w:rFonts w:ascii="Centaur" w:hAnsi="Centaur"/>
          <w:spacing w:val="-3"/>
          <w:sz w:val="26"/>
          <w:szCs w:val="26"/>
        </w:rPr>
        <w:t xml:space="preserve">} </w:t>
      </w:r>
      <w:r w:rsidRPr="00393A68">
        <w:rPr>
          <w:rFonts w:ascii="Centaur" w:hAnsi="Centaur" w:cs="Helvetica"/>
          <w:color w:val="333333"/>
          <w:sz w:val="26"/>
          <w:szCs w:val="26"/>
        </w:rPr>
        <w:t>After the plate is wiped to the desired level, it is ready for printing. While some early intaglio prints appear to have been produced by simply pressing the paper against the plate by hand, in most cases the pressure required to force the paper into the finely cut lines entailed the use of a special press equipped with rollers.</w:t>
      </w:r>
      <w:r w:rsidR="00C3714C">
        <w:rPr>
          <w:rFonts w:ascii="Centaur" w:hAnsi="Centaur" w:cs="Helvetica"/>
          <w:color w:val="333333"/>
          <w:sz w:val="26"/>
          <w:szCs w:val="26"/>
        </w:rPr>
        <w:t xml:space="preserve"> </w:t>
      </w:r>
      <w:r w:rsidRPr="00393A68">
        <w:rPr>
          <w:rFonts w:ascii="Centaur" w:hAnsi="Centaur" w:cs="Helvetica"/>
          <w:color w:val="333333"/>
          <w:sz w:val="26"/>
          <w:szCs w:val="26"/>
        </w:rPr>
        <w:t xml:space="preserve">The plate is placed on the bed of the press with the ink side up, and a sheet of dampened paper is </w:t>
      </w:r>
      <w:r w:rsidRPr="00393A68">
        <w:rPr>
          <w:rFonts w:ascii="Centaur" w:hAnsi="Centaur" w:cs="Helvetica"/>
          <w:color w:val="333333"/>
          <w:sz w:val="26"/>
          <w:szCs w:val="26"/>
        </w:rPr>
        <w:lastRenderedPageBreak/>
        <w:t>placed on top. Before the plate and sheet are moved through the press together, they are covered with printing blankets, often made of felt, to soften the pressure on the metal plate.</w:t>
      </w:r>
      <w:r w:rsidR="00C3714C" w:rsidRPr="00C3714C">
        <w:rPr>
          <w:rFonts w:ascii="Centaur" w:hAnsi="Centaur" w:cs="Helvetica"/>
          <w:color w:val="333333"/>
          <w:sz w:val="26"/>
          <w:szCs w:val="26"/>
        </w:rPr>
        <w:t xml:space="preserve"> </w:t>
      </w:r>
      <w:r w:rsidR="00C3714C" w:rsidRPr="00C3714C">
        <w:rPr>
          <w:rFonts w:ascii="Centaur" w:hAnsi="Centaur" w:cs="Helvetica"/>
          <w:color w:val="333333"/>
          <w:sz w:val="26"/>
          <w:szCs w:val="26"/>
          <w:shd w:val="clear" w:color="auto" w:fill="FFFFFF"/>
        </w:rPr>
        <w:t>Once the plate has been run through the press, the resulting impression on paper displays a reverse image of the original engraved composition. The pressure of the press not only forces the ink onto the damp paper, but also produces an outline of the outer edges of the metal plate in the paper, known as a plate mark.</w:t>
      </w:r>
    </w:p>
    <w:p w14:paraId="2D9190EF" w14:textId="0949B3E4" w:rsidR="001A4CAF" w:rsidRPr="00393A68" w:rsidRDefault="001A4CAF" w:rsidP="00393A68">
      <w:pPr>
        <w:pStyle w:val="ListParagraph"/>
        <w:widowControl w:val="0"/>
        <w:tabs>
          <w:tab w:val="left" w:pos="-720"/>
          <w:tab w:val="left" w:pos="0"/>
        </w:tabs>
        <w:suppressAutoHyphens/>
        <w:spacing w:line="276" w:lineRule="auto"/>
        <w:rPr>
          <w:rFonts w:ascii="Centaur" w:hAnsi="Centaur"/>
          <w:spacing w:val="-3"/>
          <w:sz w:val="26"/>
          <w:szCs w:val="26"/>
        </w:rPr>
      </w:pPr>
    </w:p>
    <w:p w14:paraId="3A644661" w14:textId="2222EDF1" w:rsidR="001A4CAF" w:rsidRDefault="00676E8F" w:rsidP="00676E8F">
      <w:pPr>
        <w:pStyle w:val="ListParagraph"/>
        <w:widowControl w:val="0"/>
        <w:tabs>
          <w:tab w:val="left" w:pos="-720"/>
          <w:tab w:val="left" w:pos="0"/>
        </w:tabs>
        <w:suppressAutoHyphens/>
        <w:spacing w:line="276" w:lineRule="auto"/>
        <w:rPr>
          <w:rFonts w:ascii="Centaur" w:hAnsi="Centaur"/>
          <w:spacing w:val="-3"/>
          <w:sz w:val="26"/>
          <w:szCs w:val="26"/>
        </w:rPr>
      </w:pPr>
      <w:r w:rsidRPr="00676E8F">
        <w:rPr>
          <w:rFonts w:ascii="Centaur" w:hAnsi="Centaur"/>
          <w:spacing w:val="-3"/>
          <w:sz w:val="26"/>
          <w:szCs w:val="26"/>
        </w:rPr>
        <w:t>The engraver had greater control over the image than the woodcut maker and could produce images with extraordinary detail, but the process was laborious</w:t>
      </w:r>
      <w:r w:rsidR="00C3714C">
        <w:rPr>
          <w:rFonts w:ascii="Centaur" w:hAnsi="Centaur"/>
          <w:spacing w:val="-3"/>
          <w:sz w:val="26"/>
          <w:szCs w:val="26"/>
        </w:rPr>
        <w:t>.</w:t>
      </w:r>
    </w:p>
    <w:p w14:paraId="1C40BEEB" w14:textId="77777777" w:rsidR="001A4CAF" w:rsidRDefault="001A4CAF" w:rsidP="00676E8F">
      <w:pPr>
        <w:pStyle w:val="ListParagraph"/>
        <w:widowControl w:val="0"/>
        <w:tabs>
          <w:tab w:val="left" w:pos="-720"/>
          <w:tab w:val="left" w:pos="0"/>
        </w:tabs>
        <w:suppressAutoHyphens/>
        <w:spacing w:line="276" w:lineRule="auto"/>
        <w:rPr>
          <w:rFonts w:ascii="Centaur" w:hAnsi="Centaur"/>
          <w:spacing w:val="-3"/>
          <w:sz w:val="26"/>
          <w:szCs w:val="26"/>
        </w:rPr>
      </w:pPr>
    </w:p>
    <w:p w14:paraId="714C7E17" w14:textId="77777777" w:rsidR="00132064" w:rsidRPr="008C6921" w:rsidRDefault="00132064" w:rsidP="00132064">
      <w:pPr>
        <w:pStyle w:val="ListParagraph"/>
        <w:widowControl w:val="0"/>
        <w:tabs>
          <w:tab w:val="left" w:pos="-720"/>
          <w:tab w:val="left" w:pos="0"/>
        </w:tabs>
        <w:suppressAutoHyphens/>
        <w:spacing w:line="276" w:lineRule="auto"/>
        <w:rPr>
          <w:rFonts w:ascii="Centaur" w:hAnsi="Centaur" w:cs="Adobe Devanagari"/>
          <w:spacing w:val="-3"/>
          <w:sz w:val="26"/>
          <w:szCs w:val="26"/>
        </w:rPr>
      </w:pPr>
    </w:p>
    <w:p w14:paraId="1E8E1A24" w14:textId="310EFF89" w:rsidR="00132064" w:rsidRPr="000C5BC1" w:rsidRDefault="00132064" w:rsidP="00132064">
      <w:pPr>
        <w:pStyle w:val="ListParagraph"/>
        <w:widowControl w:val="0"/>
        <w:numPr>
          <w:ilvl w:val="0"/>
          <w:numId w:val="2"/>
        </w:numPr>
        <w:tabs>
          <w:tab w:val="left" w:pos="-720"/>
          <w:tab w:val="left" w:pos="0"/>
        </w:tabs>
        <w:suppressAutoHyphens/>
        <w:spacing w:line="276" w:lineRule="auto"/>
        <w:rPr>
          <w:rFonts w:ascii="Centaur" w:hAnsi="Centaur" w:cs="Adobe Devanagari"/>
          <w:spacing w:val="-3"/>
          <w:sz w:val="26"/>
          <w:szCs w:val="26"/>
        </w:rPr>
      </w:pPr>
      <w:r w:rsidRPr="000C5BC1">
        <w:rPr>
          <w:rFonts w:ascii="Centaur" w:hAnsi="Centaur" w:cs="Adobe Devanagari"/>
          <w:spacing w:val="-3"/>
          <w:sz w:val="26"/>
          <w:szCs w:val="26"/>
        </w:rPr>
        <w:t>The Renaissance humanists' attitude to printed illustration, which they were generally slow to embrace compared with printed text</w:t>
      </w:r>
      <w:r w:rsidR="00C3714C">
        <w:rPr>
          <w:rFonts w:ascii="Centaur" w:hAnsi="Centaur" w:cs="Adobe Devanagari"/>
          <w:spacing w:val="-3"/>
          <w:sz w:val="26"/>
          <w:szCs w:val="26"/>
        </w:rPr>
        <w:t>.</w:t>
      </w:r>
    </w:p>
    <w:p w14:paraId="4C8D8C34" w14:textId="77777777" w:rsidR="00132064" w:rsidRDefault="00132064" w:rsidP="00132064">
      <w:pPr>
        <w:pStyle w:val="ListParagraph"/>
        <w:widowControl w:val="0"/>
        <w:tabs>
          <w:tab w:val="left" w:pos="-720"/>
          <w:tab w:val="left" w:pos="0"/>
        </w:tabs>
        <w:suppressAutoHyphens/>
        <w:spacing w:line="276" w:lineRule="auto"/>
        <w:rPr>
          <w:rFonts w:ascii="Centaur" w:hAnsi="Centaur" w:cs="Adobe Devanagari"/>
          <w:spacing w:val="-3"/>
          <w:sz w:val="26"/>
          <w:szCs w:val="26"/>
        </w:rPr>
      </w:pPr>
    </w:p>
    <w:p w14:paraId="6D487869" w14:textId="77777777" w:rsidR="00132064" w:rsidRDefault="00132064" w:rsidP="00132064">
      <w:pPr>
        <w:pStyle w:val="ListParagraph"/>
        <w:widowControl w:val="0"/>
        <w:tabs>
          <w:tab w:val="left" w:pos="-720"/>
          <w:tab w:val="left" w:pos="0"/>
        </w:tabs>
        <w:suppressAutoHyphens/>
        <w:spacing w:line="276" w:lineRule="auto"/>
        <w:rPr>
          <w:rFonts w:ascii="Centaur" w:hAnsi="Centaur"/>
          <w:spacing w:val="-3"/>
          <w:sz w:val="26"/>
          <w:szCs w:val="26"/>
        </w:rPr>
      </w:pPr>
      <w:r>
        <w:rPr>
          <w:rFonts w:ascii="Centaur" w:hAnsi="Centaur"/>
          <w:spacing w:val="-3"/>
          <w:sz w:val="26"/>
          <w:szCs w:val="26"/>
        </w:rPr>
        <w:t>I</w:t>
      </w:r>
      <w:r w:rsidRPr="000C5BC1">
        <w:rPr>
          <w:rFonts w:ascii="Centaur" w:hAnsi="Centaur"/>
          <w:spacing w:val="-3"/>
          <w:sz w:val="26"/>
          <w:szCs w:val="26"/>
        </w:rPr>
        <w:t>n all fields of learning claimed by Renaissance humanists book illustration was slow to assert itself as an independent form of communication of knowledge.</w:t>
      </w:r>
      <w:r>
        <w:rPr>
          <w:rFonts w:ascii="Centaur" w:hAnsi="Centaur"/>
          <w:spacing w:val="-3"/>
          <w:sz w:val="26"/>
          <w:szCs w:val="26"/>
        </w:rPr>
        <w:t xml:space="preserve"> You may recall that examining incunabula in the class on the development of printing, few were illustrated except for coloured manuscript initials. The exception was Boccaccio’s </w:t>
      </w:r>
      <w:r>
        <w:rPr>
          <w:rFonts w:ascii="Centaur" w:hAnsi="Centaur"/>
          <w:i/>
          <w:spacing w:val="-3"/>
          <w:sz w:val="26"/>
          <w:szCs w:val="26"/>
        </w:rPr>
        <w:t>Genealogy of the Gods</w:t>
      </w:r>
      <w:r>
        <w:rPr>
          <w:rFonts w:ascii="Centaur" w:hAnsi="Centaur"/>
          <w:spacing w:val="-3"/>
          <w:sz w:val="26"/>
          <w:szCs w:val="26"/>
        </w:rPr>
        <w:t xml:space="preserve"> with its hand-drawn and hand-coloured genealogical trees.</w:t>
      </w:r>
      <w:r w:rsidRPr="000C5BC1">
        <w:rPr>
          <w:rFonts w:ascii="Centaur" w:hAnsi="Centaur"/>
          <w:spacing w:val="-3"/>
          <w:sz w:val="26"/>
          <w:szCs w:val="26"/>
        </w:rPr>
        <w:t xml:space="preserve"> Humanists embraced the Classical Greek concept that in words natural forms ‘may in the manner of an image be set before the eyes of those studious of the works of Nature’.</w:t>
      </w:r>
      <w:r w:rsidRPr="000C5BC1">
        <w:rPr>
          <w:rStyle w:val="FootnoteReference"/>
          <w:rFonts w:ascii="Centaur" w:hAnsi="Centaur"/>
          <w:spacing w:val="-3"/>
          <w:sz w:val="26"/>
          <w:szCs w:val="26"/>
        </w:rPr>
        <w:footnoteReference w:id="20"/>
      </w:r>
      <w:r w:rsidRPr="000C5BC1">
        <w:rPr>
          <w:rFonts w:ascii="Centaur" w:hAnsi="Centaur"/>
          <w:spacing w:val="-3"/>
          <w:sz w:val="26"/>
          <w:szCs w:val="26"/>
        </w:rPr>
        <w:t xml:space="preserve">  Probably</w:t>
      </w:r>
      <w:r>
        <w:rPr>
          <w:rFonts w:ascii="Centaur" w:hAnsi="Centaur"/>
          <w:spacing w:val="-3"/>
          <w:sz w:val="26"/>
          <w:szCs w:val="26"/>
        </w:rPr>
        <w:t>,</w:t>
      </w:r>
      <w:r w:rsidRPr="000C5BC1">
        <w:rPr>
          <w:rFonts w:ascii="Centaur" w:hAnsi="Centaur"/>
          <w:spacing w:val="-3"/>
          <w:sz w:val="26"/>
          <w:szCs w:val="26"/>
        </w:rPr>
        <w:t xml:space="preserve"> </w:t>
      </w:r>
      <w:r w:rsidRPr="000C5BC1">
        <w:rPr>
          <w:rFonts w:ascii="Centaur" w:hAnsi="Centaur"/>
          <w:sz w:val="26"/>
          <w:szCs w:val="26"/>
        </w:rPr>
        <w:t>illustration’s ‘unavoidable association with the illuminated manuscript page of the medieval codex also militated against its employment’ for classical and classically oriented texts in the Renaissance. ‘Any subject matter hallowed by ancient authority</w:t>
      </w:r>
      <w:r>
        <w:rPr>
          <w:rFonts w:ascii="Centaur" w:hAnsi="Centaur"/>
          <w:sz w:val="26"/>
          <w:szCs w:val="26"/>
        </w:rPr>
        <w:t xml:space="preserve"> […]</w:t>
      </w:r>
      <w:r w:rsidRPr="000C5BC1">
        <w:rPr>
          <w:rFonts w:ascii="Centaur" w:hAnsi="Centaur"/>
          <w:sz w:val="26"/>
          <w:szCs w:val="26"/>
        </w:rPr>
        <w:t xml:space="preserve"> had to be kept from being contaminated by illustrative images.’</w:t>
      </w:r>
      <w:r w:rsidRPr="000C5BC1">
        <w:rPr>
          <w:rFonts w:ascii="Centaur" w:hAnsi="Centaur"/>
          <w:spacing w:val="-3"/>
          <w:sz w:val="26"/>
          <w:szCs w:val="26"/>
        </w:rPr>
        <w:t xml:space="preserve"> </w:t>
      </w:r>
      <w:r w:rsidRPr="000C5BC1">
        <w:rPr>
          <w:rStyle w:val="FootnoteReference"/>
          <w:rFonts w:ascii="Centaur" w:hAnsi="Centaur"/>
          <w:spacing w:val="-3"/>
          <w:sz w:val="26"/>
          <w:szCs w:val="26"/>
        </w:rPr>
        <w:footnoteReference w:id="21"/>
      </w:r>
      <w:r>
        <w:rPr>
          <w:rFonts w:ascii="Centaur" w:hAnsi="Centaur"/>
          <w:spacing w:val="-3"/>
          <w:sz w:val="26"/>
          <w:szCs w:val="26"/>
        </w:rPr>
        <w:t xml:space="preserve"> </w:t>
      </w:r>
      <w:r w:rsidRPr="005C7627">
        <w:rPr>
          <w:rFonts w:ascii="Centaur" w:hAnsi="Centaur"/>
          <w:spacing w:val="-3"/>
          <w:sz w:val="26"/>
          <w:szCs w:val="26"/>
        </w:rPr>
        <w:t>Curiously</w:t>
      </w:r>
      <w:r>
        <w:rPr>
          <w:rFonts w:ascii="Centaur" w:hAnsi="Centaur"/>
          <w:spacing w:val="-3"/>
          <w:sz w:val="26"/>
          <w:szCs w:val="26"/>
        </w:rPr>
        <w:t>, then,</w:t>
      </w:r>
      <w:r w:rsidRPr="005C7627">
        <w:rPr>
          <w:rFonts w:ascii="Centaur" w:hAnsi="Centaur"/>
          <w:spacing w:val="-3"/>
          <w:sz w:val="26"/>
          <w:szCs w:val="26"/>
        </w:rPr>
        <w:t xml:space="preserve"> for the first twenty or thirty years of printing with moveable type, type and woodcut</w:t>
      </w:r>
      <w:r>
        <w:rPr>
          <w:rFonts w:ascii="Centaur" w:hAnsi="Centaur"/>
          <w:spacing w:val="-3"/>
          <w:sz w:val="26"/>
          <w:szCs w:val="26"/>
        </w:rPr>
        <w:t xml:space="preserve"> illustration</w:t>
      </w:r>
      <w:r w:rsidRPr="005C7627">
        <w:rPr>
          <w:rFonts w:ascii="Centaur" w:hAnsi="Centaur"/>
          <w:spacing w:val="-3"/>
          <w:sz w:val="26"/>
          <w:szCs w:val="26"/>
        </w:rPr>
        <w:t xml:space="preserve"> were not combined in books.</w:t>
      </w:r>
    </w:p>
    <w:p w14:paraId="104045F7" w14:textId="77777777" w:rsidR="00132064" w:rsidRDefault="00132064" w:rsidP="00132064">
      <w:pPr>
        <w:pStyle w:val="ListParagraph"/>
        <w:widowControl w:val="0"/>
        <w:tabs>
          <w:tab w:val="left" w:pos="-720"/>
          <w:tab w:val="left" w:pos="0"/>
        </w:tabs>
        <w:suppressAutoHyphens/>
        <w:spacing w:line="276" w:lineRule="auto"/>
        <w:rPr>
          <w:rFonts w:ascii="Centaur" w:hAnsi="Centaur"/>
          <w:spacing w:val="-3"/>
          <w:sz w:val="26"/>
          <w:szCs w:val="26"/>
        </w:rPr>
      </w:pPr>
    </w:p>
    <w:p w14:paraId="0CC8C4EA" w14:textId="77777777" w:rsidR="00132064" w:rsidRDefault="00132064" w:rsidP="00132064">
      <w:pPr>
        <w:pStyle w:val="ListParagraph"/>
        <w:widowControl w:val="0"/>
        <w:tabs>
          <w:tab w:val="left" w:pos="-720"/>
          <w:tab w:val="left" w:pos="0"/>
        </w:tabs>
        <w:suppressAutoHyphens/>
        <w:spacing w:line="276" w:lineRule="auto"/>
        <w:rPr>
          <w:rFonts w:ascii="Centaur" w:hAnsi="Centaur" w:cs="Adobe Devanagari"/>
          <w:spacing w:val="-3"/>
          <w:sz w:val="26"/>
          <w:szCs w:val="26"/>
        </w:rPr>
      </w:pPr>
      <w:r w:rsidRPr="000C5BC1">
        <w:rPr>
          <w:rFonts w:ascii="Centaur" w:hAnsi="Centaur"/>
          <w:spacing w:val="-3"/>
          <w:sz w:val="26"/>
          <w:szCs w:val="26"/>
        </w:rPr>
        <w:t>For scientifically inclined artists like Leonardo da Vinci, however, illustration had a clear advantage over discursive, verbal description. The lack of succinctness of words, the paradoxical situation in which one has to use more words in order to be more precise, meant for Leonardo that ‘the more minutely you describe, the more you will lead the reader away from the thing described’.</w:t>
      </w:r>
      <w:r w:rsidRPr="000C5BC1">
        <w:rPr>
          <w:rStyle w:val="FootnoteReference"/>
          <w:rFonts w:ascii="Centaur" w:hAnsi="Centaur"/>
          <w:spacing w:val="-3"/>
          <w:sz w:val="26"/>
          <w:szCs w:val="26"/>
        </w:rPr>
        <w:footnoteReference w:id="22"/>
      </w:r>
      <w:r w:rsidRPr="000C5BC1">
        <w:rPr>
          <w:rFonts w:ascii="Centaur" w:hAnsi="Centaur"/>
          <w:spacing w:val="-3"/>
          <w:sz w:val="26"/>
          <w:szCs w:val="26"/>
        </w:rPr>
        <w:t xml:space="preserve"> Representation in the imitative arts can transcend </w:t>
      </w:r>
      <w:r w:rsidRPr="000C5BC1">
        <w:rPr>
          <w:rFonts w:ascii="Centaur" w:hAnsi="Centaur"/>
          <w:spacing w:val="-3"/>
          <w:sz w:val="26"/>
          <w:szCs w:val="26"/>
        </w:rPr>
        <w:lastRenderedPageBreak/>
        <w:t>‘the confusion of tongues and verbal categories’.</w:t>
      </w:r>
      <w:r w:rsidRPr="000C5BC1">
        <w:rPr>
          <w:rStyle w:val="FootnoteReference"/>
          <w:rFonts w:ascii="Centaur" w:hAnsi="Centaur"/>
          <w:spacing w:val="-3"/>
          <w:sz w:val="26"/>
          <w:szCs w:val="26"/>
        </w:rPr>
        <w:footnoteReference w:id="23"/>
      </w:r>
      <w:r w:rsidRPr="000C5BC1">
        <w:rPr>
          <w:rFonts w:ascii="Centaur" w:hAnsi="Centaur"/>
          <w:spacing w:val="-3"/>
          <w:sz w:val="26"/>
          <w:szCs w:val="26"/>
        </w:rPr>
        <w:t xml:space="preserve"> Yet Leonardo’s anatomical and technological drawings were not printed and so they had no effect on the development of anatomical, scientific, or any other kind of book illustration</w:t>
      </w:r>
      <w:r>
        <w:rPr>
          <w:rFonts w:ascii="Centaur" w:hAnsi="Centaur"/>
          <w:spacing w:val="-3"/>
          <w:sz w:val="26"/>
          <w:szCs w:val="26"/>
        </w:rPr>
        <w:t>.</w:t>
      </w:r>
    </w:p>
    <w:p w14:paraId="0D36F09F" w14:textId="77777777" w:rsidR="00132064" w:rsidRDefault="00132064" w:rsidP="00132064">
      <w:pPr>
        <w:pStyle w:val="ListParagraph"/>
        <w:widowControl w:val="0"/>
        <w:tabs>
          <w:tab w:val="left" w:pos="-720"/>
          <w:tab w:val="left" w:pos="0"/>
        </w:tabs>
        <w:suppressAutoHyphens/>
        <w:spacing w:line="276" w:lineRule="auto"/>
        <w:rPr>
          <w:rFonts w:ascii="Centaur" w:hAnsi="Centaur"/>
          <w:sz w:val="26"/>
          <w:szCs w:val="26"/>
        </w:rPr>
      </w:pPr>
    </w:p>
    <w:p w14:paraId="0FB9AC4D" w14:textId="2E01EFEA" w:rsidR="00132064" w:rsidRDefault="00132064" w:rsidP="00132064">
      <w:pPr>
        <w:pStyle w:val="ListParagraph"/>
        <w:widowControl w:val="0"/>
        <w:tabs>
          <w:tab w:val="left" w:pos="-720"/>
          <w:tab w:val="left" w:pos="0"/>
        </w:tabs>
        <w:suppressAutoHyphens/>
        <w:spacing w:line="276" w:lineRule="auto"/>
        <w:rPr>
          <w:rFonts w:ascii="Centaur" w:hAnsi="Centaur" w:cs="Adobe Devanagari"/>
          <w:spacing w:val="-3"/>
          <w:sz w:val="26"/>
          <w:szCs w:val="26"/>
        </w:rPr>
      </w:pPr>
      <w:r>
        <w:rPr>
          <w:rFonts w:ascii="Centaur" w:hAnsi="Centaur"/>
          <w:spacing w:val="-3"/>
          <w:sz w:val="26"/>
          <w:szCs w:val="26"/>
        </w:rPr>
        <w:t>Like anatomy, e</w:t>
      </w:r>
      <w:r w:rsidRPr="000C5BC1">
        <w:rPr>
          <w:rFonts w:ascii="Centaur" w:hAnsi="Centaur"/>
          <w:spacing w:val="-3"/>
          <w:sz w:val="26"/>
          <w:szCs w:val="26"/>
        </w:rPr>
        <w:t xml:space="preserve">ncyclopaedic works, cosmography, </w:t>
      </w:r>
      <w:r>
        <w:rPr>
          <w:rFonts w:ascii="Centaur" w:hAnsi="Centaur"/>
          <w:spacing w:val="-3"/>
          <w:sz w:val="26"/>
          <w:szCs w:val="26"/>
        </w:rPr>
        <w:t xml:space="preserve">and </w:t>
      </w:r>
      <w:r w:rsidRPr="000C5BC1">
        <w:rPr>
          <w:rFonts w:ascii="Centaur" w:hAnsi="Centaur"/>
          <w:spacing w:val="-3"/>
          <w:sz w:val="26"/>
          <w:szCs w:val="26"/>
        </w:rPr>
        <w:t xml:space="preserve">natural history </w:t>
      </w:r>
      <w:r>
        <w:rPr>
          <w:rFonts w:ascii="Centaur" w:hAnsi="Centaur"/>
          <w:spacing w:val="-3"/>
          <w:sz w:val="26"/>
          <w:szCs w:val="26"/>
        </w:rPr>
        <w:t xml:space="preserve">all </w:t>
      </w:r>
      <w:r w:rsidRPr="000C5BC1">
        <w:rPr>
          <w:rFonts w:ascii="Centaur" w:hAnsi="Centaur"/>
          <w:spacing w:val="-3"/>
          <w:sz w:val="26"/>
          <w:szCs w:val="26"/>
        </w:rPr>
        <w:t xml:space="preserve">looked back to the intellectual paternity of ancient Greece and Rome. </w:t>
      </w:r>
      <w:r>
        <w:rPr>
          <w:rFonts w:ascii="Centaur" w:hAnsi="Centaur"/>
          <w:spacing w:val="-3"/>
          <w:sz w:val="26"/>
          <w:szCs w:val="26"/>
        </w:rPr>
        <w:t>Even though t</w:t>
      </w:r>
      <w:r w:rsidRPr="000C5BC1">
        <w:rPr>
          <w:rFonts w:ascii="Centaur" w:hAnsi="Centaur"/>
          <w:spacing w:val="-3"/>
          <w:sz w:val="26"/>
          <w:szCs w:val="26"/>
        </w:rPr>
        <w:t>hey gained impetus from humanism</w:t>
      </w:r>
      <w:r>
        <w:rPr>
          <w:rFonts w:ascii="Centaur" w:hAnsi="Centaur"/>
          <w:spacing w:val="-3"/>
          <w:sz w:val="26"/>
          <w:szCs w:val="26"/>
        </w:rPr>
        <w:t xml:space="preserve">, they came to embrace illustration. {Slide </w:t>
      </w:r>
      <w:r w:rsidR="001451DD">
        <w:rPr>
          <w:rFonts w:ascii="Centaur" w:hAnsi="Centaur"/>
          <w:spacing w:val="-3"/>
          <w:sz w:val="26"/>
          <w:szCs w:val="26"/>
        </w:rPr>
        <w:t>2</w:t>
      </w:r>
      <w:r>
        <w:rPr>
          <w:rFonts w:ascii="Centaur" w:hAnsi="Centaur"/>
          <w:spacing w:val="-3"/>
          <w:sz w:val="26"/>
          <w:szCs w:val="26"/>
        </w:rPr>
        <w:t xml:space="preserve">1} The concern of these works with classification is </w:t>
      </w:r>
      <w:r w:rsidRPr="000C5BC1">
        <w:rPr>
          <w:rFonts w:ascii="Centaur" w:hAnsi="Centaur"/>
          <w:sz w:val="26"/>
          <w:szCs w:val="26"/>
        </w:rPr>
        <w:t>visually evident in</w:t>
      </w:r>
      <w:r>
        <w:rPr>
          <w:rFonts w:ascii="Centaur" w:hAnsi="Centaur"/>
          <w:sz w:val="26"/>
          <w:szCs w:val="26"/>
        </w:rPr>
        <w:t xml:space="preserve"> this illustration from</w:t>
      </w:r>
      <w:r w:rsidRPr="000C5BC1">
        <w:rPr>
          <w:rFonts w:ascii="Centaur" w:hAnsi="Centaur"/>
          <w:sz w:val="26"/>
          <w:szCs w:val="26"/>
        </w:rPr>
        <w:t xml:space="preserve"> the </w:t>
      </w:r>
      <w:proofErr w:type="spellStart"/>
      <w:r w:rsidRPr="000C5BC1">
        <w:rPr>
          <w:rFonts w:ascii="Centaur" w:hAnsi="Centaur"/>
          <w:i/>
          <w:sz w:val="26"/>
          <w:szCs w:val="26"/>
        </w:rPr>
        <w:t>Dell’historia</w:t>
      </w:r>
      <w:proofErr w:type="spellEnd"/>
      <w:r w:rsidRPr="000C5BC1">
        <w:rPr>
          <w:rFonts w:ascii="Centaur" w:hAnsi="Centaur"/>
          <w:i/>
          <w:sz w:val="26"/>
          <w:szCs w:val="26"/>
        </w:rPr>
        <w:t xml:space="preserve"> </w:t>
      </w:r>
      <w:proofErr w:type="spellStart"/>
      <w:r w:rsidRPr="000C5BC1">
        <w:rPr>
          <w:rFonts w:ascii="Centaur" w:hAnsi="Centaur"/>
          <w:i/>
          <w:sz w:val="26"/>
          <w:szCs w:val="26"/>
        </w:rPr>
        <w:t>naturale</w:t>
      </w:r>
      <w:proofErr w:type="spellEnd"/>
      <w:r w:rsidRPr="000C5BC1">
        <w:rPr>
          <w:rFonts w:ascii="Centaur" w:hAnsi="Centaur"/>
          <w:sz w:val="26"/>
          <w:szCs w:val="26"/>
        </w:rPr>
        <w:t xml:space="preserve"> of Imperato, published in 1599. The illustration </w:t>
      </w:r>
      <w:r>
        <w:rPr>
          <w:rFonts w:ascii="Centaur" w:hAnsi="Centaur"/>
          <w:sz w:val="26"/>
          <w:szCs w:val="26"/>
        </w:rPr>
        <w:t>depicts</w:t>
      </w:r>
      <w:r w:rsidRPr="000C5BC1">
        <w:rPr>
          <w:rFonts w:ascii="Centaur" w:hAnsi="Centaur"/>
          <w:sz w:val="26"/>
          <w:szCs w:val="26"/>
        </w:rPr>
        <w:t xml:space="preserve"> a room that is a natural history museum </w:t>
      </w:r>
      <w:r>
        <w:rPr>
          <w:rFonts w:ascii="Centaur" w:hAnsi="Centaur"/>
          <w:sz w:val="26"/>
          <w:szCs w:val="26"/>
        </w:rPr>
        <w:t>c</w:t>
      </w:r>
      <w:r w:rsidRPr="000C5BC1">
        <w:rPr>
          <w:rFonts w:ascii="Centaur" w:hAnsi="Centaur"/>
          <w:sz w:val="26"/>
          <w:szCs w:val="26"/>
        </w:rPr>
        <w:t>ontain</w:t>
      </w:r>
      <w:r>
        <w:rPr>
          <w:rFonts w:ascii="Centaur" w:hAnsi="Centaur"/>
          <w:sz w:val="26"/>
          <w:szCs w:val="26"/>
        </w:rPr>
        <w:t>ing</w:t>
      </w:r>
      <w:r w:rsidRPr="000C5BC1">
        <w:rPr>
          <w:rFonts w:ascii="Centaur" w:hAnsi="Centaur"/>
          <w:sz w:val="26"/>
          <w:szCs w:val="26"/>
        </w:rPr>
        <w:t xml:space="preserve"> numerous animal specimens, but also piles of books, stored in the way they frequently were in the sixteenth century. The illustration represents an ideal store of knowledge of the natural world, an encyclopaedia of natural curiosities and things as well as the words, the natural histories about those things.</w:t>
      </w:r>
      <w:r>
        <w:rPr>
          <w:rFonts w:ascii="Centaur" w:hAnsi="Centaur"/>
          <w:sz w:val="26"/>
          <w:szCs w:val="26"/>
        </w:rPr>
        <w:t xml:space="preserve"> </w:t>
      </w:r>
      <w:r w:rsidRPr="000C5BC1">
        <w:rPr>
          <w:rFonts w:ascii="Centaur" w:hAnsi="Centaur"/>
          <w:sz w:val="26"/>
          <w:szCs w:val="26"/>
        </w:rPr>
        <w:t>The illustration is about classification of things and of knowledge of things.</w:t>
      </w:r>
      <w:r>
        <w:rPr>
          <w:rFonts w:ascii="Centaur" w:hAnsi="Centaur"/>
          <w:sz w:val="26"/>
          <w:szCs w:val="26"/>
        </w:rPr>
        <w:t xml:space="preserve"> {Slide </w:t>
      </w:r>
      <w:r w:rsidR="001451DD">
        <w:rPr>
          <w:rFonts w:ascii="Centaur" w:hAnsi="Centaur"/>
          <w:sz w:val="26"/>
          <w:szCs w:val="26"/>
        </w:rPr>
        <w:t>22</w:t>
      </w:r>
      <w:r>
        <w:rPr>
          <w:rFonts w:ascii="Centaur" w:hAnsi="Centaur"/>
          <w:sz w:val="26"/>
          <w:szCs w:val="26"/>
        </w:rPr>
        <w:t xml:space="preserve">} In this illustration from </w:t>
      </w:r>
      <w:proofErr w:type="spellStart"/>
      <w:r w:rsidRPr="000C5BC1">
        <w:rPr>
          <w:rFonts w:ascii="Centaur" w:hAnsi="Centaur"/>
          <w:sz w:val="26"/>
          <w:szCs w:val="26"/>
        </w:rPr>
        <w:t>Khunrath’s</w:t>
      </w:r>
      <w:proofErr w:type="spellEnd"/>
      <w:r w:rsidRPr="000C5BC1">
        <w:rPr>
          <w:rFonts w:ascii="Centaur" w:hAnsi="Centaur"/>
          <w:sz w:val="26"/>
          <w:szCs w:val="26"/>
        </w:rPr>
        <w:t xml:space="preserve"> </w:t>
      </w:r>
      <w:proofErr w:type="spellStart"/>
      <w:r w:rsidRPr="000C5BC1">
        <w:rPr>
          <w:rFonts w:ascii="Centaur" w:hAnsi="Centaur"/>
          <w:i/>
          <w:sz w:val="26"/>
          <w:szCs w:val="26"/>
        </w:rPr>
        <w:t>Amphitheatrum</w:t>
      </w:r>
      <w:proofErr w:type="spellEnd"/>
      <w:r w:rsidRPr="000C5BC1">
        <w:rPr>
          <w:rFonts w:ascii="Centaur" w:hAnsi="Centaur"/>
          <w:i/>
          <w:sz w:val="26"/>
          <w:szCs w:val="26"/>
        </w:rPr>
        <w:t xml:space="preserve"> </w:t>
      </w:r>
      <w:proofErr w:type="spellStart"/>
      <w:r w:rsidRPr="000C5BC1">
        <w:rPr>
          <w:rFonts w:ascii="Centaur" w:hAnsi="Centaur"/>
          <w:i/>
          <w:sz w:val="26"/>
          <w:szCs w:val="26"/>
        </w:rPr>
        <w:t>sapientia</w:t>
      </w:r>
      <w:proofErr w:type="spellEnd"/>
      <w:r w:rsidRPr="000C5BC1">
        <w:rPr>
          <w:rFonts w:ascii="Centaur" w:hAnsi="Centaur"/>
          <w:i/>
          <w:sz w:val="26"/>
          <w:szCs w:val="26"/>
        </w:rPr>
        <w:t xml:space="preserve"> </w:t>
      </w:r>
      <w:proofErr w:type="spellStart"/>
      <w:r w:rsidRPr="000C5BC1">
        <w:rPr>
          <w:rFonts w:ascii="Centaur" w:hAnsi="Centaur"/>
          <w:i/>
          <w:sz w:val="26"/>
          <w:szCs w:val="26"/>
        </w:rPr>
        <w:t>aeternae</w:t>
      </w:r>
      <w:proofErr w:type="spellEnd"/>
      <w:r w:rsidRPr="000C5BC1">
        <w:rPr>
          <w:rFonts w:ascii="Centaur" w:hAnsi="Centaur"/>
          <w:i/>
          <w:sz w:val="26"/>
          <w:szCs w:val="26"/>
        </w:rPr>
        <w:t xml:space="preserve"> </w:t>
      </w:r>
      <w:proofErr w:type="spellStart"/>
      <w:r w:rsidRPr="000C5BC1">
        <w:rPr>
          <w:rFonts w:ascii="Centaur" w:hAnsi="Centaur"/>
          <w:i/>
          <w:sz w:val="26"/>
          <w:szCs w:val="26"/>
        </w:rPr>
        <w:t>solius</w:t>
      </w:r>
      <w:proofErr w:type="spellEnd"/>
      <w:r w:rsidRPr="000C5BC1">
        <w:rPr>
          <w:rFonts w:ascii="Centaur" w:hAnsi="Centaur"/>
          <w:i/>
          <w:sz w:val="26"/>
          <w:szCs w:val="26"/>
        </w:rPr>
        <w:t xml:space="preserve"> </w:t>
      </w:r>
      <w:proofErr w:type="spellStart"/>
      <w:r w:rsidRPr="000C5BC1">
        <w:rPr>
          <w:rFonts w:ascii="Centaur" w:hAnsi="Centaur"/>
          <w:i/>
          <w:sz w:val="26"/>
          <w:szCs w:val="26"/>
        </w:rPr>
        <w:t>verae</w:t>
      </w:r>
      <w:proofErr w:type="spellEnd"/>
      <w:r w:rsidRPr="000C5BC1">
        <w:rPr>
          <w:rFonts w:ascii="Centaur" w:hAnsi="Centaur"/>
          <w:sz w:val="26"/>
          <w:szCs w:val="26"/>
        </w:rPr>
        <w:t xml:space="preserve">, </w:t>
      </w:r>
      <w:r>
        <w:rPr>
          <w:rFonts w:ascii="Centaur" w:hAnsi="Centaur"/>
          <w:sz w:val="26"/>
          <w:szCs w:val="26"/>
        </w:rPr>
        <w:t xml:space="preserve">the </w:t>
      </w:r>
      <w:r w:rsidRPr="000C5BC1">
        <w:rPr>
          <w:rFonts w:ascii="Centaur" w:hAnsi="Centaur"/>
          <w:sz w:val="26"/>
          <w:szCs w:val="26"/>
        </w:rPr>
        <w:t>various branches of knowledge are represented by a display of objects. The notion</w:t>
      </w:r>
      <w:r>
        <w:rPr>
          <w:rFonts w:ascii="Centaur" w:hAnsi="Centaur"/>
          <w:sz w:val="26"/>
          <w:szCs w:val="26"/>
        </w:rPr>
        <w:t xml:space="preserve"> of classification, of the relationship between the disciplines, and </w:t>
      </w:r>
      <w:r w:rsidRPr="000C5BC1">
        <w:rPr>
          <w:rFonts w:ascii="Centaur" w:hAnsi="Centaur"/>
          <w:sz w:val="26"/>
          <w:szCs w:val="26"/>
        </w:rPr>
        <w:t xml:space="preserve">of the encyclopaedia </w:t>
      </w:r>
      <w:r>
        <w:rPr>
          <w:rFonts w:ascii="Centaur" w:hAnsi="Centaur"/>
          <w:sz w:val="26"/>
          <w:szCs w:val="26"/>
        </w:rPr>
        <w:t>are</w:t>
      </w:r>
      <w:r w:rsidRPr="000C5BC1">
        <w:rPr>
          <w:rFonts w:ascii="Centaur" w:hAnsi="Centaur"/>
          <w:sz w:val="26"/>
          <w:szCs w:val="26"/>
        </w:rPr>
        <w:t xml:space="preserve"> evidently related in </w:t>
      </w:r>
      <w:r>
        <w:rPr>
          <w:rFonts w:ascii="Centaur" w:hAnsi="Centaur"/>
          <w:sz w:val="26"/>
          <w:szCs w:val="26"/>
        </w:rPr>
        <w:t>the title</w:t>
      </w:r>
      <w:r w:rsidRPr="000C5BC1">
        <w:rPr>
          <w:rFonts w:ascii="Centaur" w:hAnsi="Centaur"/>
          <w:sz w:val="26"/>
          <w:szCs w:val="26"/>
        </w:rPr>
        <w:t xml:space="preserve"> with that of the theatre</w:t>
      </w:r>
      <w:r>
        <w:rPr>
          <w:rFonts w:ascii="Centaur" w:hAnsi="Centaur"/>
          <w:sz w:val="26"/>
          <w:szCs w:val="26"/>
        </w:rPr>
        <w:t>.</w:t>
      </w:r>
    </w:p>
    <w:p w14:paraId="7F8F53B3" w14:textId="37C50A19" w:rsidR="004075B1" w:rsidRDefault="004075B1" w:rsidP="00132064">
      <w:pPr>
        <w:widowControl w:val="0"/>
        <w:tabs>
          <w:tab w:val="left" w:pos="-720"/>
          <w:tab w:val="left" w:pos="0"/>
        </w:tabs>
        <w:suppressAutoHyphens/>
        <w:spacing w:line="276" w:lineRule="auto"/>
        <w:rPr>
          <w:rFonts w:ascii="Centaur" w:hAnsi="Centaur" w:cs="Adobe Devanagari"/>
          <w:spacing w:val="-3"/>
          <w:sz w:val="26"/>
          <w:szCs w:val="26"/>
        </w:rPr>
      </w:pPr>
    </w:p>
    <w:p w14:paraId="1D212652" w14:textId="77777777" w:rsidR="00132064" w:rsidRPr="00132064" w:rsidRDefault="00132064" w:rsidP="00132064">
      <w:pPr>
        <w:widowControl w:val="0"/>
        <w:tabs>
          <w:tab w:val="left" w:pos="-720"/>
          <w:tab w:val="left" w:pos="0"/>
        </w:tabs>
        <w:suppressAutoHyphens/>
        <w:spacing w:line="276" w:lineRule="auto"/>
        <w:rPr>
          <w:rFonts w:ascii="Centaur" w:hAnsi="Centaur" w:cs="Adobe Devanagari"/>
          <w:spacing w:val="-3"/>
          <w:sz w:val="26"/>
          <w:szCs w:val="26"/>
        </w:rPr>
      </w:pPr>
    </w:p>
    <w:p w14:paraId="388AEB9F" w14:textId="77777777" w:rsidR="00DA2BBB" w:rsidRPr="000C5BC1" w:rsidRDefault="00DA2BBB" w:rsidP="000C5BC1">
      <w:pPr>
        <w:pStyle w:val="ListParagraph"/>
        <w:widowControl w:val="0"/>
        <w:numPr>
          <w:ilvl w:val="0"/>
          <w:numId w:val="2"/>
        </w:numPr>
        <w:tabs>
          <w:tab w:val="left" w:pos="-720"/>
          <w:tab w:val="left" w:pos="0"/>
        </w:tabs>
        <w:suppressAutoHyphens/>
        <w:spacing w:line="276" w:lineRule="auto"/>
        <w:rPr>
          <w:rFonts w:ascii="Centaur" w:hAnsi="Centaur" w:cs="Adobe Devanagari"/>
          <w:spacing w:val="-3"/>
          <w:sz w:val="26"/>
          <w:szCs w:val="26"/>
        </w:rPr>
      </w:pPr>
      <w:r w:rsidRPr="000C5BC1">
        <w:rPr>
          <w:rFonts w:ascii="Centaur" w:hAnsi="Centaur" w:cs="Adobe Devanagari"/>
          <w:spacing w:val="-3"/>
          <w:sz w:val="26"/>
          <w:szCs w:val="26"/>
        </w:rPr>
        <w:t>Hand-coloured illustration</w:t>
      </w:r>
    </w:p>
    <w:p w14:paraId="447DF453" w14:textId="77777777" w:rsidR="0009104F" w:rsidRDefault="0009104F" w:rsidP="0009104F">
      <w:pPr>
        <w:pStyle w:val="ListParagraph"/>
        <w:widowControl w:val="0"/>
        <w:tabs>
          <w:tab w:val="left" w:pos="-720"/>
          <w:tab w:val="left" w:pos="0"/>
        </w:tabs>
        <w:suppressAutoHyphens/>
        <w:spacing w:line="276" w:lineRule="auto"/>
        <w:rPr>
          <w:rFonts w:ascii="Centaur" w:hAnsi="Centaur" w:cs="Adobe Devanagari"/>
          <w:spacing w:val="-3"/>
          <w:sz w:val="26"/>
          <w:szCs w:val="26"/>
        </w:rPr>
      </w:pPr>
    </w:p>
    <w:p w14:paraId="14D448EA" w14:textId="0206BA2F" w:rsidR="00580D0C" w:rsidRDefault="00580D0C" w:rsidP="0009104F">
      <w:pPr>
        <w:pStyle w:val="ListParagraph"/>
        <w:widowControl w:val="0"/>
        <w:tabs>
          <w:tab w:val="left" w:pos="-720"/>
          <w:tab w:val="left" w:pos="0"/>
        </w:tabs>
        <w:suppressAutoHyphens/>
        <w:spacing w:line="276" w:lineRule="auto"/>
        <w:rPr>
          <w:rFonts w:ascii="Centaur" w:hAnsi="Centaur" w:cs="Adobe Devanagari"/>
          <w:spacing w:val="-3"/>
          <w:sz w:val="26"/>
          <w:szCs w:val="26"/>
        </w:rPr>
      </w:pPr>
      <w:r w:rsidRPr="000C5BC1">
        <w:rPr>
          <w:rFonts w:ascii="Centaur" w:hAnsi="Centaur"/>
          <w:spacing w:val="-3"/>
          <w:sz w:val="26"/>
          <w:szCs w:val="26"/>
        </w:rPr>
        <w:t>Hand-colouring is an unusual technique</w:t>
      </w:r>
      <w:r w:rsidR="00662DFF">
        <w:rPr>
          <w:rFonts w:ascii="Centaur" w:hAnsi="Centaur"/>
          <w:spacing w:val="-3"/>
          <w:sz w:val="26"/>
          <w:szCs w:val="26"/>
        </w:rPr>
        <w:t>,</w:t>
      </w:r>
      <w:r w:rsidRPr="000C5BC1">
        <w:rPr>
          <w:rFonts w:ascii="Centaur" w:hAnsi="Centaur"/>
          <w:spacing w:val="-3"/>
          <w:sz w:val="26"/>
          <w:szCs w:val="26"/>
        </w:rPr>
        <w:t xml:space="preserve"> but we find it in Timothy Sheldrake’s</w:t>
      </w:r>
      <w:r w:rsidRPr="000C5BC1">
        <w:rPr>
          <w:rFonts w:ascii="Centaur" w:hAnsi="Centaur"/>
          <w:i/>
          <w:spacing w:val="-3"/>
          <w:sz w:val="26"/>
          <w:szCs w:val="26"/>
        </w:rPr>
        <w:t xml:space="preserve"> </w:t>
      </w:r>
      <w:proofErr w:type="spellStart"/>
      <w:r w:rsidRPr="000C5BC1">
        <w:rPr>
          <w:rFonts w:ascii="Centaur" w:hAnsi="Centaur"/>
          <w:i/>
          <w:spacing w:val="-3"/>
          <w:sz w:val="26"/>
          <w:szCs w:val="26"/>
        </w:rPr>
        <w:t>Botanicum</w:t>
      </w:r>
      <w:proofErr w:type="spellEnd"/>
      <w:r w:rsidRPr="000C5BC1">
        <w:rPr>
          <w:rFonts w:ascii="Centaur" w:hAnsi="Centaur"/>
          <w:i/>
          <w:spacing w:val="-3"/>
          <w:sz w:val="26"/>
          <w:szCs w:val="26"/>
        </w:rPr>
        <w:t xml:space="preserve"> </w:t>
      </w:r>
      <w:proofErr w:type="spellStart"/>
      <w:r w:rsidRPr="000C5BC1">
        <w:rPr>
          <w:rFonts w:ascii="Centaur" w:hAnsi="Centaur"/>
          <w:i/>
          <w:spacing w:val="-3"/>
          <w:sz w:val="26"/>
          <w:szCs w:val="26"/>
        </w:rPr>
        <w:t>Medicinale</w:t>
      </w:r>
      <w:proofErr w:type="spellEnd"/>
      <w:r w:rsidRPr="000C5BC1">
        <w:rPr>
          <w:rFonts w:ascii="Centaur" w:hAnsi="Centaur"/>
          <w:spacing w:val="-3"/>
          <w:sz w:val="26"/>
          <w:szCs w:val="26"/>
        </w:rPr>
        <w:t xml:space="preserve"> (London, 1759). The drawings were made by Sheldrake himself, and engraved on copper-plates by C.H. Hemerich and J. </w:t>
      </w:r>
      <w:proofErr w:type="spellStart"/>
      <w:r w:rsidRPr="000C5BC1">
        <w:rPr>
          <w:rFonts w:ascii="Centaur" w:hAnsi="Centaur"/>
          <w:spacing w:val="-3"/>
          <w:sz w:val="26"/>
          <w:szCs w:val="26"/>
        </w:rPr>
        <w:t>Basire</w:t>
      </w:r>
      <w:proofErr w:type="spellEnd"/>
      <w:r w:rsidRPr="000C5BC1">
        <w:rPr>
          <w:rFonts w:ascii="Centaur" w:hAnsi="Centaur"/>
          <w:spacing w:val="-3"/>
          <w:sz w:val="26"/>
          <w:szCs w:val="26"/>
        </w:rPr>
        <w:t>.</w:t>
      </w:r>
    </w:p>
    <w:p w14:paraId="2EFDFADF" w14:textId="77777777" w:rsidR="00580D0C" w:rsidRDefault="00580D0C" w:rsidP="0009104F">
      <w:pPr>
        <w:pStyle w:val="ListParagraph"/>
        <w:widowControl w:val="0"/>
        <w:tabs>
          <w:tab w:val="left" w:pos="-720"/>
          <w:tab w:val="left" w:pos="0"/>
        </w:tabs>
        <w:suppressAutoHyphens/>
        <w:spacing w:line="276" w:lineRule="auto"/>
        <w:rPr>
          <w:rFonts w:ascii="Centaur" w:hAnsi="Centaur" w:cs="Adobe Devanagari"/>
          <w:spacing w:val="-3"/>
          <w:sz w:val="26"/>
          <w:szCs w:val="26"/>
        </w:rPr>
      </w:pPr>
    </w:p>
    <w:p w14:paraId="608E09E3" w14:textId="77777777" w:rsidR="00DC2D97" w:rsidRDefault="00DC2D97" w:rsidP="0009104F">
      <w:pPr>
        <w:pStyle w:val="ListParagraph"/>
        <w:widowControl w:val="0"/>
        <w:tabs>
          <w:tab w:val="left" w:pos="-720"/>
          <w:tab w:val="left" w:pos="0"/>
        </w:tabs>
        <w:suppressAutoHyphens/>
        <w:spacing w:line="276" w:lineRule="auto"/>
        <w:rPr>
          <w:rFonts w:ascii="Centaur" w:hAnsi="Centaur" w:cs="Adobe Devanagari"/>
          <w:spacing w:val="-3"/>
          <w:sz w:val="26"/>
          <w:szCs w:val="26"/>
        </w:rPr>
      </w:pPr>
    </w:p>
    <w:p w14:paraId="441E313E" w14:textId="77777777" w:rsidR="00DA2BBB" w:rsidRPr="000C5BC1" w:rsidRDefault="00DA2BBB" w:rsidP="000C5BC1">
      <w:pPr>
        <w:pStyle w:val="ListParagraph"/>
        <w:widowControl w:val="0"/>
        <w:numPr>
          <w:ilvl w:val="0"/>
          <w:numId w:val="2"/>
        </w:numPr>
        <w:tabs>
          <w:tab w:val="left" w:pos="-720"/>
          <w:tab w:val="left" w:pos="0"/>
        </w:tabs>
        <w:suppressAutoHyphens/>
        <w:spacing w:line="276" w:lineRule="auto"/>
        <w:rPr>
          <w:rFonts w:ascii="Centaur" w:hAnsi="Centaur" w:cs="Adobe Devanagari"/>
          <w:spacing w:val="-3"/>
          <w:sz w:val="26"/>
          <w:szCs w:val="26"/>
        </w:rPr>
      </w:pPr>
      <w:r w:rsidRPr="000C5BC1">
        <w:rPr>
          <w:rFonts w:ascii="Centaur" w:hAnsi="Centaur" w:cs="Adobe Devanagari"/>
          <w:spacing w:val="-3"/>
          <w:sz w:val="26"/>
          <w:szCs w:val="26"/>
        </w:rPr>
        <w:t>Colour printing</w:t>
      </w:r>
    </w:p>
    <w:p w14:paraId="5553E0F4" w14:textId="77777777" w:rsidR="0009104F" w:rsidRDefault="0009104F" w:rsidP="0009104F">
      <w:pPr>
        <w:pStyle w:val="ListParagraph"/>
        <w:widowControl w:val="0"/>
        <w:tabs>
          <w:tab w:val="left" w:pos="-720"/>
          <w:tab w:val="left" w:pos="0"/>
        </w:tabs>
        <w:suppressAutoHyphens/>
        <w:spacing w:line="276" w:lineRule="auto"/>
        <w:rPr>
          <w:rFonts w:ascii="Centaur" w:hAnsi="Centaur" w:cs="Adobe Devanagari"/>
          <w:spacing w:val="-3"/>
          <w:sz w:val="26"/>
          <w:szCs w:val="26"/>
        </w:rPr>
      </w:pPr>
    </w:p>
    <w:p w14:paraId="0DE9CAC8" w14:textId="21DC2463" w:rsidR="00DC2D97" w:rsidRDefault="00DC2D97" w:rsidP="0009104F">
      <w:pPr>
        <w:pStyle w:val="ListParagraph"/>
        <w:widowControl w:val="0"/>
        <w:tabs>
          <w:tab w:val="left" w:pos="-720"/>
          <w:tab w:val="left" w:pos="0"/>
        </w:tabs>
        <w:suppressAutoHyphens/>
        <w:spacing w:line="276" w:lineRule="auto"/>
        <w:rPr>
          <w:rFonts w:ascii="Centaur" w:hAnsi="Centaur" w:cs="Adobe Devanagari"/>
          <w:spacing w:val="-3"/>
          <w:sz w:val="26"/>
          <w:szCs w:val="26"/>
        </w:rPr>
      </w:pPr>
      <w:r>
        <w:rPr>
          <w:rFonts w:ascii="Centaur" w:hAnsi="Centaur" w:cs="Adobe Devanagari"/>
          <w:spacing w:val="-3"/>
          <w:sz w:val="26"/>
          <w:szCs w:val="26"/>
        </w:rPr>
        <w:t xml:space="preserve">{Slide </w:t>
      </w:r>
      <w:r w:rsidR="004F32CC">
        <w:rPr>
          <w:rFonts w:ascii="Centaur" w:hAnsi="Centaur" w:cs="Adobe Devanagari"/>
          <w:spacing w:val="-3"/>
          <w:sz w:val="26"/>
          <w:szCs w:val="26"/>
        </w:rPr>
        <w:t>23</w:t>
      </w:r>
      <w:r>
        <w:rPr>
          <w:rFonts w:ascii="Centaur" w:hAnsi="Centaur" w:cs="Adobe Devanagari"/>
          <w:spacing w:val="-3"/>
          <w:sz w:val="26"/>
          <w:szCs w:val="26"/>
        </w:rPr>
        <w:t xml:space="preserve">} </w:t>
      </w:r>
      <w:r w:rsidRPr="00DC2D97">
        <w:rPr>
          <w:rFonts w:ascii="Centaur" w:hAnsi="Centaur" w:cs="Adobe Devanagari"/>
          <w:spacing w:val="-3"/>
          <w:sz w:val="26"/>
          <w:szCs w:val="26"/>
        </w:rPr>
        <w:t>Colour printing has an interesting early history, but until the nineteenth century, when offset lithography was introduced, colour printing was an involved and time-consuming process.  Take for example this work dating from the early years of the sixteenth century and printed in Venice.  It is printed in four colours – each colour requires the page to return to the press for another impression</w:t>
      </w:r>
      <w:r>
        <w:rPr>
          <w:rFonts w:ascii="Centaur" w:hAnsi="Centaur" w:cs="Adobe Devanagari"/>
          <w:spacing w:val="-3"/>
          <w:sz w:val="26"/>
          <w:szCs w:val="26"/>
        </w:rPr>
        <w:t>.</w:t>
      </w:r>
    </w:p>
    <w:p w14:paraId="5D1521D6" w14:textId="77777777" w:rsidR="00DC2D97" w:rsidRDefault="00DC2D97" w:rsidP="0009104F">
      <w:pPr>
        <w:pStyle w:val="ListParagraph"/>
        <w:widowControl w:val="0"/>
        <w:tabs>
          <w:tab w:val="left" w:pos="-720"/>
          <w:tab w:val="left" w:pos="0"/>
        </w:tabs>
        <w:suppressAutoHyphens/>
        <w:spacing w:line="276" w:lineRule="auto"/>
        <w:rPr>
          <w:rFonts w:ascii="Centaur" w:hAnsi="Centaur" w:cs="Adobe Devanagari"/>
          <w:spacing w:val="-3"/>
          <w:sz w:val="26"/>
          <w:szCs w:val="26"/>
        </w:rPr>
      </w:pPr>
    </w:p>
    <w:p w14:paraId="0EBFFE04" w14:textId="022FBC16" w:rsidR="00AA724C" w:rsidRDefault="005114D6" w:rsidP="0009104F">
      <w:pPr>
        <w:pStyle w:val="ListParagraph"/>
        <w:widowControl w:val="0"/>
        <w:tabs>
          <w:tab w:val="left" w:pos="-720"/>
          <w:tab w:val="left" w:pos="0"/>
        </w:tabs>
        <w:suppressAutoHyphens/>
        <w:spacing w:line="276" w:lineRule="auto"/>
        <w:rPr>
          <w:rFonts w:ascii="Centaur" w:hAnsi="Centaur"/>
          <w:sz w:val="26"/>
          <w:szCs w:val="26"/>
        </w:rPr>
      </w:pPr>
      <w:r>
        <w:rPr>
          <w:rFonts w:ascii="Centaur" w:hAnsi="Centaur"/>
          <w:sz w:val="26"/>
          <w:szCs w:val="26"/>
        </w:rPr>
        <w:t xml:space="preserve">{Slide </w:t>
      </w:r>
      <w:r w:rsidR="004F32CC">
        <w:rPr>
          <w:rFonts w:ascii="Centaur" w:hAnsi="Centaur"/>
          <w:sz w:val="26"/>
          <w:szCs w:val="26"/>
        </w:rPr>
        <w:t>24</w:t>
      </w:r>
      <w:r>
        <w:rPr>
          <w:rFonts w:ascii="Centaur" w:hAnsi="Centaur"/>
          <w:sz w:val="26"/>
          <w:szCs w:val="26"/>
        </w:rPr>
        <w:t xml:space="preserve">} </w:t>
      </w:r>
      <w:r w:rsidR="00AA724C" w:rsidRPr="000C5BC1">
        <w:rPr>
          <w:rFonts w:ascii="Centaur" w:hAnsi="Centaur"/>
          <w:sz w:val="26"/>
          <w:szCs w:val="26"/>
        </w:rPr>
        <w:t>An example</w:t>
      </w:r>
      <w:r w:rsidR="00DC2D97">
        <w:rPr>
          <w:rFonts w:ascii="Centaur" w:hAnsi="Centaur"/>
          <w:sz w:val="26"/>
          <w:szCs w:val="26"/>
        </w:rPr>
        <w:t xml:space="preserve"> of colour printing</w:t>
      </w:r>
      <w:r w:rsidR="00AA724C" w:rsidRPr="000C5BC1">
        <w:rPr>
          <w:rFonts w:ascii="Centaur" w:hAnsi="Centaur"/>
          <w:sz w:val="26"/>
          <w:szCs w:val="26"/>
        </w:rPr>
        <w:t xml:space="preserve"> from the beginning of the nineteenth century can be found in </w:t>
      </w:r>
      <w:r w:rsidR="00AA724C" w:rsidRPr="000C5BC1">
        <w:rPr>
          <w:rFonts w:ascii="Centaur" w:hAnsi="Centaur"/>
          <w:i/>
          <w:sz w:val="26"/>
          <w:szCs w:val="26"/>
        </w:rPr>
        <w:t>The Anatomy of the Brain, Explained in a Series of Engravings</w:t>
      </w:r>
      <w:r w:rsidR="00AA724C" w:rsidRPr="000C5BC1">
        <w:rPr>
          <w:rFonts w:ascii="Centaur" w:hAnsi="Centaur"/>
          <w:sz w:val="26"/>
          <w:szCs w:val="26"/>
        </w:rPr>
        <w:t xml:space="preserve"> by the noted surgeon and anatomist Charles Bell. This follows a convention</w:t>
      </w:r>
      <w:r>
        <w:rPr>
          <w:rFonts w:ascii="Centaur" w:hAnsi="Centaur"/>
          <w:sz w:val="26"/>
          <w:szCs w:val="26"/>
        </w:rPr>
        <w:t xml:space="preserve"> that can be traced to the sixteenth century</w:t>
      </w:r>
      <w:r w:rsidR="00AA724C" w:rsidRPr="000C5BC1">
        <w:rPr>
          <w:rFonts w:ascii="Centaur" w:hAnsi="Centaur"/>
          <w:sz w:val="26"/>
          <w:szCs w:val="26"/>
        </w:rPr>
        <w:t xml:space="preserve"> of showing the skin rolled down the sides of the cranium to </w:t>
      </w:r>
      <w:r w:rsidR="00AA724C" w:rsidRPr="000C5BC1">
        <w:rPr>
          <w:rFonts w:ascii="Centaur" w:hAnsi="Centaur"/>
          <w:sz w:val="26"/>
          <w:szCs w:val="26"/>
        </w:rPr>
        <w:lastRenderedPageBreak/>
        <w:t>expose the hemispheres of the brain within. ‘The facial features of the subject, including the eyes, nose, ears, hair and even moustache or beard, are typically shown crumpled upon themselves around the skull, like unzipped clothing that has fallen upon the floor.’</w:t>
      </w:r>
      <w:r w:rsidR="00AA724C" w:rsidRPr="000C5BC1">
        <w:rPr>
          <w:rStyle w:val="FootnoteReference"/>
          <w:rFonts w:ascii="Centaur" w:hAnsi="Centaur"/>
          <w:sz w:val="26"/>
          <w:szCs w:val="26"/>
        </w:rPr>
        <w:footnoteReference w:id="24"/>
      </w:r>
    </w:p>
    <w:p w14:paraId="768088CF" w14:textId="77777777" w:rsidR="00AA724C" w:rsidRDefault="00AA724C" w:rsidP="0009104F">
      <w:pPr>
        <w:pStyle w:val="ListParagraph"/>
        <w:widowControl w:val="0"/>
        <w:tabs>
          <w:tab w:val="left" w:pos="-720"/>
          <w:tab w:val="left" w:pos="0"/>
        </w:tabs>
        <w:suppressAutoHyphens/>
        <w:spacing w:line="276" w:lineRule="auto"/>
        <w:rPr>
          <w:rFonts w:ascii="Centaur" w:hAnsi="Centaur"/>
          <w:sz w:val="26"/>
          <w:szCs w:val="26"/>
        </w:rPr>
      </w:pPr>
    </w:p>
    <w:p w14:paraId="12DAD316" w14:textId="097D2D3A" w:rsidR="0020070C" w:rsidRDefault="005114D6" w:rsidP="0009104F">
      <w:pPr>
        <w:pStyle w:val="ListParagraph"/>
        <w:widowControl w:val="0"/>
        <w:tabs>
          <w:tab w:val="left" w:pos="-720"/>
          <w:tab w:val="left" w:pos="0"/>
        </w:tabs>
        <w:suppressAutoHyphens/>
        <w:spacing w:line="276" w:lineRule="auto"/>
        <w:rPr>
          <w:rFonts w:ascii="Centaur" w:hAnsi="Centaur"/>
          <w:sz w:val="26"/>
          <w:szCs w:val="26"/>
        </w:rPr>
      </w:pPr>
      <w:r>
        <w:rPr>
          <w:rFonts w:ascii="Centaur" w:hAnsi="Centaur"/>
          <w:sz w:val="26"/>
          <w:szCs w:val="26"/>
        </w:rPr>
        <w:t>T</w:t>
      </w:r>
      <w:r w:rsidR="00AA724C" w:rsidRPr="000C5BC1">
        <w:rPr>
          <w:rFonts w:ascii="Centaur" w:hAnsi="Centaur"/>
          <w:sz w:val="26"/>
          <w:szCs w:val="26"/>
        </w:rPr>
        <w:t>he illustration is an example of stipple engraving</w:t>
      </w:r>
      <w:r>
        <w:rPr>
          <w:rFonts w:ascii="Centaur" w:hAnsi="Centaur"/>
          <w:sz w:val="26"/>
          <w:szCs w:val="26"/>
        </w:rPr>
        <w:t xml:space="preserve"> and a la </w:t>
      </w:r>
      <w:proofErr w:type="spellStart"/>
      <w:r>
        <w:rPr>
          <w:rFonts w:ascii="Centaur" w:hAnsi="Centaur"/>
          <w:sz w:val="26"/>
          <w:szCs w:val="26"/>
        </w:rPr>
        <w:t>poup</w:t>
      </w:r>
      <w:r w:rsidRPr="005114D6">
        <w:rPr>
          <w:rFonts w:ascii="Centaur" w:hAnsi="Centaur"/>
          <w:sz w:val="26"/>
          <w:szCs w:val="26"/>
        </w:rPr>
        <w:t>é</w:t>
      </w:r>
      <w:r>
        <w:rPr>
          <w:rFonts w:ascii="Centaur" w:hAnsi="Centaur"/>
          <w:sz w:val="26"/>
          <w:szCs w:val="26"/>
        </w:rPr>
        <w:t>e</w:t>
      </w:r>
      <w:proofErr w:type="spellEnd"/>
      <w:r>
        <w:rPr>
          <w:rFonts w:ascii="Centaur" w:hAnsi="Centaur"/>
          <w:sz w:val="26"/>
          <w:szCs w:val="26"/>
        </w:rPr>
        <w:t xml:space="preserve"> colouring. </w:t>
      </w:r>
      <w:r w:rsidR="003558A9">
        <w:rPr>
          <w:rFonts w:ascii="Centaur" w:hAnsi="Centaur"/>
          <w:sz w:val="26"/>
          <w:szCs w:val="26"/>
        </w:rPr>
        <w:t xml:space="preserve">{Slide </w:t>
      </w:r>
      <w:r w:rsidR="00C3714C">
        <w:rPr>
          <w:rFonts w:ascii="Centaur" w:hAnsi="Centaur"/>
          <w:sz w:val="26"/>
          <w:szCs w:val="26"/>
        </w:rPr>
        <w:t>2</w:t>
      </w:r>
      <w:r w:rsidR="004F32CC">
        <w:rPr>
          <w:rFonts w:ascii="Centaur" w:hAnsi="Centaur"/>
          <w:sz w:val="26"/>
          <w:szCs w:val="26"/>
        </w:rPr>
        <w:t>5</w:t>
      </w:r>
      <w:r w:rsidR="003558A9">
        <w:rPr>
          <w:rFonts w:ascii="Centaur" w:hAnsi="Centaur"/>
          <w:sz w:val="26"/>
          <w:szCs w:val="26"/>
        </w:rPr>
        <w:t xml:space="preserve">} </w:t>
      </w:r>
      <w:r>
        <w:rPr>
          <w:rFonts w:ascii="Centaur" w:hAnsi="Centaur"/>
          <w:sz w:val="26"/>
          <w:szCs w:val="26"/>
        </w:rPr>
        <w:t>Stipple engraving is</w:t>
      </w:r>
      <w:r w:rsidR="00AA724C" w:rsidRPr="000C5BC1">
        <w:rPr>
          <w:rFonts w:ascii="Centaur" w:hAnsi="Centaur"/>
          <w:sz w:val="26"/>
          <w:szCs w:val="26"/>
        </w:rPr>
        <w:t xml:space="preserve"> a</w:t>
      </w:r>
      <w:r>
        <w:rPr>
          <w:rFonts w:ascii="Centaur" w:hAnsi="Centaur"/>
          <w:sz w:val="26"/>
          <w:szCs w:val="26"/>
        </w:rPr>
        <w:t xml:space="preserve"> combination of etching and engraving. Etching is the treatment of surfaces with substances which have a chemical effect on them.</w:t>
      </w:r>
      <w:r w:rsidR="0020070C" w:rsidRPr="00C3714C">
        <w:rPr>
          <w:rFonts w:ascii="Centaur" w:hAnsi="Centaur"/>
          <w:sz w:val="26"/>
          <w:szCs w:val="26"/>
        </w:rPr>
        <w:t xml:space="preserve"> </w:t>
      </w:r>
      <w:r w:rsidR="00C3714C" w:rsidRPr="00C3714C">
        <w:rPr>
          <w:rFonts w:ascii="Centaur" w:hAnsi="Centaur" w:cs="Helvetica"/>
          <w:color w:val="333333"/>
          <w:sz w:val="26"/>
          <w:szCs w:val="26"/>
          <w:shd w:val="clear" w:color="auto" w:fill="FFFFFF"/>
        </w:rPr>
        <w:t>Etching is an intaglio printmaking process in which lines or areas are incised using acid into a metal plate in order to hold the ink. In etching, the plate can be made of iron, copper, or zinc.</w:t>
      </w:r>
      <w:r w:rsidR="00C3714C">
        <w:rPr>
          <w:rFonts w:ascii="Centaur" w:hAnsi="Centaur" w:cs="Helvetica"/>
          <w:color w:val="333333"/>
          <w:sz w:val="26"/>
          <w:szCs w:val="26"/>
          <w:shd w:val="clear" w:color="auto" w:fill="FFFFFF"/>
        </w:rPr>
        <w:t xml:space="preserve"> </w:t>
      </w:r>
      <w:r w:rsidR="0020070C">
        <w:rPr>
          <w:rFonts w:ascii="Centaur" w:hAnsi="Centaur"/>
          <w:sz w:val="26"/>
          <w:szCs w:val="26"/>
        </w:rPr>
        <w:t>{Slide 2</w:t>
      </w:r>
      <w:r w:rsidR="004F32CC">
        <w:rPr>
          <w:rFonts w:ascii="Centaur" w:hAnsi="Centaur"/>
          <w:sz w:val="26"/>
          <w:szCs w:val="26"/>
        </w:rPr>
        <w:t>6</w:t>
      </w:r>
      <w:r w:rsidR="0020070C">
        <w:rPr>
          <w:rFonts w:ascii="Centaur" w:hAnsi="Centaur"/>
          <w:sz w:val="26"/>
          <w:szCs w:val="26"/>
        </w:rPr>
        <w:t xml:space="preserve">} </w:t>
      </w:r>
    </w:p>
    <w:p w14:paraId="1A7E62D3" w14:textId="77777777" w:rsidR="0020070C" w:rsidRPr="00C3714C" w:rsidRDefault="0020070C" w:rsidP="0009104F">
      <w:pPr>
        <w:pStyle w:val="ListParagraph"/>
        <w:widowControl w:val="0"/>
        <w:tabs>
          <w:tab w:val="left" w:pos="-720"/>
          <w:tab w:val="left" w:pos="0"/>
        </w:tabs>
        <w:suppressAutoHyphens/>
        <w:spacing w:line="276" w:lineRule="auto"/>
        <w:rPr>
          <w:rFonts w:ascii="Centaur" w:hAnsi="Centaur"/>
          <w:sz w:val="26"/>
          <w:szCs w:val="26"/>
        </w:rPr>
      </w:pPr>
    </w:p>
    <w:p w14:paraId="1FF45476" w14:textId="0EB67BBE" w:rsidR="008420DF" w:rsidRDefault="00C3714C" w:rsidP="008420DF">
      <w:pPr>
        <w:pStyle w:val="ListParagraph"/>
        <w:widowControl w:val="0"/>
        <w:tabs>
          <w:tab w:val="left" w:pos="-720"/>
          <w:tab w:val="left" w:pos="0"/>
        </w:tabs>
        <w:suppressAutoHyphens/>
        <w:spacing w:line="276" w:lineRule="auto"/>
        <w:rPr>
          <w:rFonts w:ascii="Centaur" w:hAnsi="Centaur"/>
          <w:sz w:val="26"/>
          <w:szCs w:val="26"/>
        </w:rPr>
      </w:pPr>
      <w:r w:rsidRPr="00C3714C">
        <w:rPr>
          <w:rFonts w:ascii="Centaur" w:hAnsi="Centaur" w:cs="Helvetica"/>
          <w:color w:val="333333"/>
          <w:sz w:val="26"/>
          <w:szCs w:val="26"/>
          <w:shd w:val="clear" w:color="auto" w:fill="FFFFFF"/>
        </w:rPr>
        <w:t xml:space="preserve">To prepare the plate for etching, it is first polished to remove all scratches and imperfections from the surface. </w:t>
      </w:r>
      <w:r w:rsidR="008420DF">
        <w:rPr>
          <w:rFonts w:ascii="Centaur" w:hAnsi="Centaur" w:cs="Helvetica"/>
          <w:color w:val="333333"/>
          <w:sz w:val="26"/>
          <w:szCs w:val="26"/>
          <w:shd w:val="clear" w:color="auto" w:fill="FFFFFF"/>
        </w:rPr>
        <w:t>{Slide 2</w:t>
      </w:r>
      <w:r w:rsidR="004F32CC">
        <w:rPr>
          <w:rFonts w:ascii="Centaur" w:hAnsi="Centaur" w:cs="Helvetica"/>
          <w:color w:val="333333"/>
          <w:sz w:val="26"/>
          <w:szCs w:val="26"/>
          <w:shd w:val="clear" w:color="auto" w:fill="FFFFFF"/>
        </w:rPr>
        <w:t>7</w:t>
      </w:r>
      <w:r w:rsidR="008420DF">
        <w:rPr>
          <w:rFonts w:ascii="Centaur" w:hAnsi="Centaur" w:cs="Helvetica"/>
          <w:color w:val="333333"/>
          <w:sz w:val="26"/>
          <w:szCs w:val="26"/>
          <w:shd w:val="clear" w:color="auto" w:fill="FFFFFF"/>
        </w:rPr>
        <w:t xml:space="preserve">} </w:t>
      </w:r>
      <w:r w:rsidRPr="00C3714C">
        <w:rPr>
          <w:rFonts w:ascii="Centaur" w:hAnsi="Centaur" w:cs="Helvetica"/>
          <w:color w:val="333333"/>
          <w:sz w:val="26"/>
          <w:szCs w:val="26"/>
          <w:shd w:val="clear" w:color="auto" w:fill="FFFFFF"/>
        </w:rPr>
        <w:t>When the surface is completely smooth, it is covered evenly with a layer of acid-resistant varnish or wax, which is called the ground.</w:t>
      </w:r>
      <w:r w:rsidR="008420DF" w:rsidRPr="008420DF">
        <w:rPr>
          <w:rFonts w:ascii="Centaur" w:hAnsi="Centaur" w:cs="Helvetica"/>
          <w:color w:val="333333"/>
          <w:sz w:val="26"/>
          <w:szCs w:val="26"/>
          <w:shd w:val="clear" w:color="auto" w:fill="FFFFFF"/>
        </w:rPr>
        <w:t xml:space="preserve"> </w:t>
      </w:r>
      <w:r w:rsidR="008420DF" w:rsidRPr="008420DF">
        <w:rPr>
          <w:rFonts w:ascii="Centaur" w:hAnsi="Centaur" w:cs="Helvetica"/>
          <w:color w:val="333333"/>
          <w:sz w:val="26"/>
          <w:szCs w:val="26"/>
          <w:shd w:val="clear" w:color="auto" w:fill="FFFFFF"/>
        </w:rPr>
        <w:t>Using a blunt stylus called an etching needle, the printmaker gently scratches away parts of the ground following the design, thereby exposing the metal beneath</w:t>
      </w:r>
      <w:r w:rsidR="008420DF">
        <w:rPr>
          <w:rFonts w:ascii="Centaur" w:hAnsi="Centaur" w:cs="Helvetica"/>
          <w:color w:val="333333"/>
          <w:sz w:val="26"/>
          <w:szCs w:val="26"/>
          <w:shd w:val="clear" w:color="auto" w:fill="FFFFFF"/>
        </w:rPr>
        <w:t>. I</w:t>
      </w:r>
      <w:r w:rsidR="008420DF">
        <w:rPr>
          <w:rFonts w:ascii="Centaur" w:hAnsi="Centaur"/>
          <w:sz w:val="26"/>
          <w:szCs w:val="26"/>
        </w:rPr>
        <w:t xml:space="preserve">n stipple engraving, the outline of a design is made with a needle on a grained plate (engraving) which is then etched and dried. A graver is next used to make small dots which give effects of light and shade as in pencil shading. The </w:t>
      </w:r>
      <w:r w:rsidR="008420DF" w:rsidRPr="000C5BC1">
        <w:rPr>
          <w:rFonts w:ascii="Centaur" w:hAnsi="Centaur"/>
          <w:sz w:val="26"/>
          <w:szCs w:val="26"/>
        </w:rPr>
        <w:t xml:space="preserve">technique </w:t>
      </w:r>
      <w:r w:rsidR="008420DF">
        <w:rPr>
          <w:rFonts w:ascii="Centaur" w:hAnsi="Centaur"/>
          <w:sz w:val="26"/>
          <w:szCs w:val="26"/>
        </w:rPr>
        <w:t xml:space="preserve">is </w:t>
      </w:r>
      <w:r w:rsidR="008420DF" w:rsidRPr="000C5BC1">
        <w:rPr>
          <w:rFonts w:ascii="Centaur" w:hAnsi="Centaur"/>
          <w:sz w:val="26"/>
          <w:szCs w:val="26"/>
        </w:rPr>
        <w:t xml:space="preserve">used to create tone by distributing a pattern of dots of various sizes and densities across the image. </w:t>
      </w:r>
    </w:p>
    <w:p w14:paraId="75136106" w14:textId="7B58FB18" w:rsidR="00C3714C" w:rsidRPr="00C3714C" w:rsidRDefault="00C3714C" w:rsidP="0009104F">
      <w:pPr>
        <w:pStyle w:val="ListParagraph"/>
        <w:widowControl w:val="0"/>
        <w:tabs>
          <w:tab w:val="left" w:pos="-720"/>
          <w:tab w:val="left" w:pos="0"/>
        </w:tabs>
        <w:suppressAutoHyphens/>
        <w:spacing w:line="276" w:lineRule="auto"/>
        <w:rPr>
          <w:rFonts w:ascii="Centaur" w:hAnsi="Centaur"/>
          <w:sz w:val="26"/>
          <w:szCs w:val="26"/>
        </w:rPr>
      </w:pPr>
    </w:p>
    <w:p w14:paraId="371F1B3C" w14:textId="2187459B" w:rsidR="008420DF" w:rsidRDefault="008420DF" w:rsidP="008420DF">
      <w:pPr>
        <w:pStyle w:val="NormalWeb"/>
        <w:shd w:val="clear" w:color="auto" w:fill="FFFFFF"/>
        <w:spacing w:before="0" w:beforeAutospacing="0" w:after="0" w:afterAutospacing="0" w:line="276" w:lineRule="auto"/>
        <w:ind w:left="720"/>
        <w:rPr>
          <w:rFonts w:ascii="Centaur" w:hAnsi="Centaur" w:cs="Helvetica"/>
          <w:color w:val="333333"/>
          <w:sz w:val="26"/>
          <w:szCs w:val="26"/>
        </w:rPr>
      </w:pPr>
      <w:r w:rsidRPr="008420DF">
        <w:rPr>
          <w:rFonts w:ascii="Centaur" w:hAnsi="Centaur"/>
          <w:sz w:val="26"/>
          <w:szCs w:val="26"/>
        </w:rPr>
        <w:t>{Slide 2</w:t>
      </w:r>
      <w:r w:rsidR="004F32CC">
        <w:rPr>
          <w:rFonts w:ascii="Centaur" w:hAnsi="Centaur"/>
          <w:sz w:val="26"/>
          <w:szCs w:val="26"/>
        </w:rPr>
        <w:t>8</w:t>
      </w:r>
      <w:r w:rsidRPr="008420DF">
        <w:rPr>
          <w:rFonts w:ascii="Centaur" w:hAnsi="Centaur"/>
          <w:sz w:val="26"/>
          <w:szCs w:val="26"/>
        </w:rPr>
        <w:t xml:space="preserve">} </w:t>
      </w:r>
      <w:r w:rsidRPr="008420DF">
        <w:rPr>
          <w:rFonts w:ascii="Centaur" w:hAnsi="Centaur" w:cs="Helvetica"/>
          <w:color w:val="333333"/>
          <w:sz w:val="26"/>
          <w:szCs w:val="26"/>
          <w:shd w:val="clear" w:color="auto" w:fill="FFFFFF"/>
        </w:rPr>
        <w:t>Once the entire design has been drawn into the ground, acid is poured over the plate</w:t>
      </w:r>
      <w:r w:rsidRPr="008420DF">
        <w:rPr>
          <w:rFonts w:ascii="Centaur" w:hAnsi="Centaur" w:cs="Helvetica"/>
          <w:color w:val="333333"/>
          <w:sz w:val="26"/>
          <w:szCs w:val="26"/>
          <w:shd w:val="clear" w:color="auto" w:fill="FFFFFF"/>
        </w:rPr>
        <w:t>,</w:t>
      </w:r>
      <w:r w:rsidRPr="008420DF">
        <w:rPr>
          <w:rFonts w:ascii="Centaur" w:hAnsi="Centaur" w:cs="Helvetica"/>
          <w:color w:val="333333"/>
          <w:sz w:val="26"/>
          <w:szCs w:val="26"/>
          <w:shd w:val="clear" w:color="auto" w:fill="FFFFFF"/>
        </w:rPr>
        <w:t xml:space="preserve"> or the plate is dipped in acid.</w:t>
      </w:r>
      <w:r w:rsidRPr="008420DF">
        <w:rPr>
          <w:rFonts w:ascii="Centaur" w:hAnsi="Centaur" w:cs="Helvetica"/>
          <w:color w:val="333333"/>
          <w:sz w:val="26"/>
          <w:szCs w:val="26"/>
          <w:shd w:val="clear" w:color="auto" w:fill="FFFFFF"/>
        </w:rPr>
        <w:t xml:space="preserve"> </w:t>
      </w:r>
      <w:r w:rsidRPr="008420DF">
        <w:rPr>
          <w:rFonts w:ascii="Centaur" w:hAnsi="Centaur" w:cs="Helvetica"/>
          <w:color w:val="333333"/>
          <w:sz w:val="26"/>
          <w:szCs w:val="26"/>
        </w:rPr>
        <w:t>The acid eats into the metal only in the exposed areas creating recesses that can retain ink. The depth and width of these recesses is determined by the length of time the plate is exposed to the acid: a longer exposure will cause deeper and wider recesses, which hold more ink and will thus print darker lines on paper.</w:t>
      </w:r>
      <w:r>
        <w:rPr>
          <w:rFonts w:ascii="Centaur" w:hAnsi="Centaur" w:cs="Helvetica"/>
          <w:color w:val="333333"/>
          <w:sz w:val="26"/>
          <w:szCs w:val="26"/>
        </w:rPr>
        <w:t xml:space="preserve"> </w:t>
      </w:r>
      <w:r w:rsidRPr="008420DF">
        <w:rPr>
          <w:rFonts w:ascii="Centaur" w:hAnsi="Centaur" w:cs="Helvetica"/>
          <w:color w:val="333333"/>
          <w:sz w:val="26"/>
          <w:szCs w:val="26"/>
        </w:rPr>
        <w:t>This process can be used to create a nuanced tonal palette. To create darker tones, certain areas can be bathed in acid several times, while lighter areas are protected from further acid bite by covering them with ground. Once the plate has been satisfactorily bitten by the acid, the printmaker removes the ground with a solvent.</w:t>
      </w:r>
    </w:p>
    <w:p w14:paraId="51A6195B" w14:textId="77777777" w:rsidR="008420DF" w:rsidRDefault="008420DF" w:rsidP="008420DF">
      <w:pPr>
        <w:pStyle w:val="NormalWeb"/>
        <w:shd w:val="clear" w:color="auto" w:fill="FFFFFF"/>
        <w:spacing w:before="0" w:beforeAutospacing="0" w:after="0" w:afterAutospacing="0" w:line="276" w:lineRule="auto"/>
        <w:ind w:left="720"/>
        <w:rPr>
          <w:rFonts w:ascii="Centaur" w:hAnsi="Centaur" w:cs="Helvetica"/>
          <w:color w:val="333333"/>
          <w:sz w:val="26"/>
          <w:szCs w:val="26"/>
        </w:rPr>
      </w:pPr>
    </w:p>
    <w:p w14:paraId="463FE8C7" w14:textId="78C5B41A" w:rsidR="008420DF" w:rsidRDefault="008420DF" w:rsidP="008420DF">
      <w:pPr>
        <w:pStyle w:val="NormalWeb"/>
        <w:shd w:val="clear" w:color="auto" w:fill="FFFFFF"/>
        <w:spacing w:before="0" w:beforeAutospacing="0" w:after="0" w:afterAutospacing="0" w:line="276" w:lineRule="auto"/>
        <w:ind w:left="720"/>
        <w:rPr>
          <w:rFonts w:ascii="Centaur" w:hAnsi="Centaur" w:cs="Helvetica"/>
          <w:color w:val="333333"/>
          <w:sz w:val="26"/>
          <w:szCs w:val="26"/>
          <w:shd w:val="clear" w:color="auto" w:fill="FFFFFF"/>
        </w:rPr>
      </w:pPr>
      <w:r>
        <w:rPr>
          <w:rFonts w:ascii="Centaur" w:hAnsi="Centaur" w:cs="Helvetica"/>
          <w:color w:val="333333"/>
          <w:sz w:val="26"/>
          <w:szCs w:val="26"/>
        </w:rPr>
        <w:t>{Slide 2</w:t>
      </w:r>
      <w:r w:rsidR="004F32CC">
        <w:rPr>
          <w:rFonts w:ascii="Centaur" w:hAnsi="Centaur" w:cs="Helvetica"/>
          <w:color w:val="333333"/>
          <w:sz w:val="26"/>
          <w:szCs w:val="26"/>
        </w:rPr>
        <w:t>9</w:t>
      </w:r>
      <w:r>
        <w:rPr>
          <w:rFonts w:ascii="Centaur" w:hAnsi="Centaur" w:cs="Helvetica"/>
          <w:color w:val="333333"/>
          <w:sz w:val="26"/>
          <w:szCs w:val="26"/>
        </w:rPr>
        <w:t xml:space="preserve">} </w:t>
      </w:r>
      <w:r w:rsidRPr="008420DF">
        <w:rPr>
          <w:rFonts w:ascii="Centaur" w:hAnsi="Centaur" w:cs="Helvetica"/>
          <w:color w:val="333333"/>
          <w:sz w:val="26"/>
          <w:szCs w:val="26"/>
          <w:shd w:val="clear" w:color="auto" w:fill="FFFFFF"/>
        </w:rPr>
        <w:t>After the ground is removed, the plate is ready for inking. In an intaglio process, the ink is retained in the incised lines. A cloth ball, cardboard tab, or equivalent material is used to gently spread ink across the whole face of the plate; the same material is used to remove most of the excess ink from the surface. The plate is further cleaned using a tarlatan rag (heavily starched cheesecloth).</w:t>
      </w:r>
    </w:p>
    <w:p w14:paraId="177F4813" w14:textId="77777777" w:rsidR="008420DF" w:rsidRPr="008420DF" w:rsidRDefault="008420DF" w:rsidP="008420DF">
      <w:pPr>
        <w:pStyle w:val="NormalWeb"/>
        <w:shd w:val="clear" w:color="auto" w:fill="FFFFFF"/>
        <w:spacing w:before="0" w:beforeAutospacing="0" w:after="0" w:afterAutospacing="0" w:line="276" w:lineRule="auto"/>
        <w:ind w:left="720"/>
        <w:rPr>
          <w:rFonts w:ascii="Centaur" w:hAnsi="Centaur" w:cs="Helvetica"/>
          <w:color w:val="333333"/>
          <w:sz w:val="26"/>
          <w:szCs w:val="26"/>
          <w:shd w:val="clear" w:color="auto" w:fill="FFFFFF"/>
        </w:rPr>
      </w:pPr>
    </w:p>
    <w:p w14:paraId="62785535" w14:textId="7D4E4A1D" w:rsidR="008420DF" w:rsidRPr="008420DF" w:rsidRDefault="008420DF" w:rsidP="008420DF">
      <w:pPr>
        <w:pStyle w:val="NormalWeb"/>
        <w:shd w:val="clear" w:color="auto" w:fill="FFFFFF"/>
        <w:spacing w:before="0" w:beforeAutospacing="0" w:after="0" w:afterAutospacing="0" w:line="276" w:lineRule="auto"/>
        <w:ind w:left="720"/>
        <w:rPr>
          <w:rFonts w:ascii="Centaur" w:hAnsi="Centaur" w:cs="Helvetica"/>
          <w:color w:val="333333"/>
          <w:sz w:val="26"/>
          <w:szCs w:val="26"/>
        </w:rPr>
      </w:pPr>
      <w:r w:rsidRPr="008420DF">
        <w:rPr>
          <w:rFonts w:ascii="Centaur" w:hAnsi="Centaur" w:cs="Helvetica"/>
          <w:color w:val="333333"/>
          <w:sz w:val="26"/>
          <w:szCs w:val="26"/>
          <w:shd w:val="clear" w:color="auto" w:fill="FFFFFF"/>
        </w:rPr>
        <w:t>Once the surface of the plate is wiped clean to a satisfactory level, the plate is placed on the bed of a rolling printing press, with the ink side up.</w:t>
      </w:r>
      <w:r w:rsidR="001717C6">
        <w:rPr>
          <w:rFonts w:ascii="Centaur" w:hAnsi="Centaur" w:cs="Helvetica"/>
          <w:color w:val="333333"/>
          <w:sz w:val="26"/>
          <w:szCs w:val="26"/>
          <w:shd w:val="clear" w:color="auto" w:fill="FFFFFF"/>
        </w:rPr>
        <w:t xml:space="preserve"> The remainder of the process is identical to printing an engraving.</w:t>
      </w:r>
    </w:p>
    <w:p w14:paraId="663FC092" w14:textId="3F648D63" w:rsidR="008420DF" w:rsidRPr="008420DF" w:rsidRDefault="008420DF" w:rsidP="0009104F">
      <w:pPr>
        <w:pStyle w:val="ListParagraph"/>
        <w:widowControl w:val="0"/>
        <w:tabs>
          <w:tab w:val="left" w:pos="-720"/>
          <w:tab w:val="left" w:pos="0"/>
        </w:tabs>
        <w:suppressAutoHyphens/>
        <w:spacing w:line="276" w:lineRule="auto"/>
        <w:rPr>
          <w:rFonts w:ascii="Centaur" w:hAnsi="Centaur"/>
          <w:sz w:val="26"/>
          <w:szCs w:val="26"/>
        </w:rPr>
      </w:pPr>
    </w:p>
    <w:p w14:paraId="1E689EC0" w14:textId="2566151C" w:rsidR="0009104F" w:rsidRDefault="003558A9" w:rsidP="0009104F">
      <w:pPr>
        <w:pStyle w:val="ListParagraph"/>
        <w:widowControl w:val="0"/>
        <w:tabs>
          <w:tab w:val="left" w:pos="-720"/>
          <w:tab w:val="left" w:pos="0"/>
        </w:tabs>
        <w:suppressAutoHyphens/>
        <w:spacing w:line="276" w:lineRule="auto"/>
        <w:rPr>
          <w:rFonts w:ascii="Centaur" w:hAnsi="Centaur" w:cs="Adobe Devanagari"/>
          <w:spacing w:val="-3"/>
          <w:sz w:val="26"/>
          <w:szCs w:val="26"/>
        </w:rPr>
      </w:pPr>
      <w:r>
        <w:rPr>
          <w:rFonts w:ascii="Centaur" w:hAnsi="Centaur"/>
          <w:sz w:val="26"/>
          <w:szCs w:val="26"/>
        </w:rPr>
        <w:t xml:space="preserve">{Slide </w:t>
      </w:r>
      <w:r w:rsidR="004F32CC">
        <w:rPr>
          <w:rFonts w:ascii="Centaur" w:hAnsi="Centaur"/>
          <w:sz w:val="26"/>
          <w:szCs w:val="26"/>
        </w:rPr>
        <w:t>30</w:t>
      </w:r>
      <w:r>
        <w:rPr>
          <w:rFonts w:ascii="Centaur" w:hAnsi="Centaur"/>
          <w:sz w:val="26"/>
          <w:szCs w:val="26"/>
        </w:rPr>
        <w:t xml:space="preserve">} </w:t>
      </w:r>
      <w:r w:rsidR="00AA724C" w:rsidRPr="000C5BC1">
        <w:rPr>
          <w:rFonts w:ascii="Centaur" w:hAnsi="Centaur"/>
          <w:sz w:val="26"/>
          <w:szCs w:val="26"/>
        </w:rPr>
        <w:t xml:space="preserve">These illustrations in Bell were </w:t>
      </w:r>
      <w:r w:rsidR="006F58EA">
        <w:rPr>
          <w:rFonts w:ascii="Centaur" w:hAnsi="Centaur"/>
          <w:sz w:val="26"/>
          <w:szCs w:val="26"/>
        </w:rPr>
        <w:t>p</w:t>
      </w:r>
      <w:r w:rsidR="00AA724C" w:rsidRPr="000C5BC1">
        <w:rPr>
          <w:rFonts w:ascii="Centaur" w:hAnsi="Centaur"/>
          <w:sz w:val="26"/>
          <w:szCs w:val="26"/>
        </w:rPr>
        <w:t>rinted in colour.</w:t>
      </w:r>
      <w:r w:rsidR="006F58EA">
        <w:rPr>
          <w:rFonts w:ascii="Centaur" w:hAnsi="Centaur"/>
          <w:sz w:val="26"/>
          <w:szCs w:val="26"/>
        </w:rPr>
        <w:t xml:space="preserve"> Traditionally, however, stipple engraving used only one colour, but in the late eighteenth century, engravers began using multiple colours by employing a </w:t>
      </w:r>
      <w:proofErr w:type="spellStart"/>
      <w:r w:rsidR="006F58EA">
        <w:rPr>
          <w:rFonts w:ascii="Centaur" w:hAnsi="Centaur"/>
          <w:sz w:val="26"/>
          <w:szCs w:val="26"/>
        </w:rPr>
        <w:t>poup</w:t>
      </w:r>
      <w:r w:rsidR="006F58EA" w:rsidRPr="005114D6">
        <w:rPr>
          <w:rFonts w:ascii="Centaur" w:hAnsi="Centaur"/>
          <w:sz w:val="26"/>
          <w:szCs w:val="26"/>
        </w:rPr>
        <w:t>é</w:t>
      </w:r>
      <w:r w:rsidR="006F58EA">
        <w:rPr>
          <w:rFonts w:ascii="Centaur" w:hAnsi="Centaur"/>
          <w:sz w:val="26"/>
          <w:szCs w:val="26"/>
        </w:rPr>
        <w:t>e</w:t>
      </w:r>
      <w:proofErr w:type="spellEnd"/>
      <w:r w:rsidR="006F58EA">
        <w:rPr>
          <w:rFonts w:ascii="Centaur" w:hAnsi="Centaur"/>
          <w:sz w:val="26"/>
          <w:szCs w:val="26"/>
        </w:rPr>
        <w:t xml:space="preserve"> (‘doll’ in French), a balled up wad of fabric, to apply the inks to the copperplate engraving. </w:t>
      </w:r>
      <w:proofErr w:type="spellStart"/>
      <w:r w:rsidR="006F58EA">
        <w:rPr>
          <w:rFonts w:ascii="Centaur" w:hAnsi="Centaur"/>
          <w:sz w:val="26"/>
          <w:szCs w:val="26"/>
        </w:rPr>
        <w:t>Poup</w:t>
      </w:r>
      <w:r w:rsidR="006F58EA" w:rsidRPr="005114D6">
        <w:rPr>
          <w:rFonts w:ascii="Centaur" w:hAnsi="Centaur"/>
          <w:sz w:val="26"/>
          <w:szCs w:val="26"/>
        </w:rPr>
        <w:t>é</w:t>
      </w:r>
      <w:r w:rsidR="006F58EA">
        <w:rPr>
          <w:rFonts w:ascii="Centaur" w:hAnsi="Centaur"/>
          <w:sz w:val="26"/>
          <w:szCs w:val="26"/>
        </w:rPr>
        <w:t>e</w:t>
      </w:r>
      <w:proofErr w:type="spellEnd"/>
      <w:r w:rsidR="006F58EA">
        <w:rPr>
          <w:rFonts w:ascii="Centaur" w:hAnsi="Centaur"/>
          <w:sz w:val="26"/>
          <w:szCs w:val="26"/>
        </w:rPr>
        <w:t xml:space="preserve"> colouring took a long time and required a skilled artist because the colours had to be built up gradually, adjusted, blended and toned.</w:t>
      </w:r>
    </w:p>
    <w:p w14:paraId="2E9EDC3B" w14:textId="77777777" w:rsidR="0009104F" w:rsidRDefault="0009104F" w:rsidP="0009104F">
      <w:pPr>
        <w:pStyle w:val="ListParagraph"/>
        <w:widowControl w:val="0"/>
        <w:tabs>
          <w:tab w:val="left" w:pos="-720"/>
          <w:tab w:val="left" w:pos="0"/>
        </w:tabs>
        <w:suppressAutoHyphens/>
        <w:spacing w:line="276" w:lineRule="auto"/>
        <w:rPr>
          <w:rFonts w:ascii="Centaur" w:hAnsi="Centaur" w:cs="Adobe Devanagari"/>
          <w:spacing w:val="-3"/>
          <w:sz w:val="26"/>
          <w:szCs w:val="26"/>
        </w:rPr>
      </w:pPr>
    </w:p>
    <w:p w14:paraId="1F738AEB" w14:textId="77777777" w:rsidR="00DA2BBB" w:rsidRPr="000C5BC1" w:rsidRDefault="00B4044D" w:rsidP="000C5BC1">
      <w:pPr>
        <w:pStyle w:val="ListParagraph"/>
        <w:widowControl w:val="0"/>
        <w:numPr>
          <w:ilvl w:val="0"/>
          <w:numId w:val="2"/>
        </w:numPr>
        <w:tabs>
          <w:tab w:val="left" w:pos="-720"/>
          <w:tab w:val="left" w:pos="0"/>
        </w:tabs>
        <w:suppressAutoHyphens/>
        <w:spacing w:line="276" w:lineRule="auto"/>
        <w:rPr>
          <w:rFonts w:ascii="Centaur" w:hAnsi="Centaur" w:cs="Adobe Devanagari"/>
          <w:spacing w:val="-3"/>
          <w:sz w:val="26"/>
          <w:szCs w:val="26"/>
        </w:rPr>
      </w:pPr>
      <w:r>
        <w:rPr>
          <w:rFonts w:ascii="Centaur" w:hAnsi="Centaur" w:cs="Adobe Devanagari"/>
          <w:spacing w:val="-3"/>
          <w:sz w:val="26"/>
          <w:szCs w:val="26"/>
        </w:rPr>
        <w:t>Mezzotint engraving</w:t>
      </w:r>
    </w:p>
    <w:p w14:paraId="2EA517CA" w14:textId="77777777" w:rsidR="0009104F" w:rsidRDefault="0009104F" w:rsidP="0009104F">
      <w:pPr>
        <w:pStyle w:val="ListParagraph"/>
        <w:widowControl w:val="0"/>
        <w:tabs>
          <w:tab w:val="left" w:pos="-720"/>
          <w:tab w:val="left" w:pos="0"/>
        </w:tabs>
        <w:suppressAutoHyphens/>
        <w:spacing w:line="276" w:lineRule="auto"/>
        <w:rPr>
          <w:rFonts w:ascii="Centaur" w:hAnsi="Centaur" w:cs="Adobe Devanagari"/>
          <w:spacing w:val="-3"/>
          <w:sz w:val="26"/>
          <w:szCs w:val="26"/>
        </w:rPr>
      </w:pPr>
    </w:p>
    <w:p w14:paraId="0E8E5FA0" w14:textId="7DC31EAF" w:rsidR="0009104F" w:rsidRPr="00B4044D" w:rsidRDefault="00B4044D" w:rsidP="0009104F">
      <w:pPr>
        <w:pStyle w:val="ListParagraph"/>
        <w:widowControl w:val="0"/>
        <w:tabs>
          <w:tab w:val="left" w:pos="-720"/>
          <w:tab w:val="left" w:pos="0"/>
        </w:tabs>
        <w:suppressAutoHyphens/>
        <w:spacing w:line="276" w:lineRule="auto"/>
        <w:rPr>
          <w:rFonts w:ascii="Centaur" w:hAnsi="Centaur" w:cs="Adobe Devanagari"/>
          <w:spacing w:val="-3"/>
          <w:sz w:val="26"/>
          <w:szCs w:val="26"/>
        </w:rPr>
      </w:pPr>
      <w:r>
        <w:rPr>
          <w:rFonts w:ascii="Centaur" w:hAnsi="Centaur" w:cs="Adobe Devanagari"/>
          <w:spacing w:val="-3"/>
          <w:sz w:val="26"/>
          <w:szCs w:val="26"/>
        </w:rPr>
        <w:t xml:space="preserve">{Slide </w:t>
      </w:r>
      <w:r w:rsidR="004F32CC">
        <w:rPr>
          <w:rFonts w:ascii="Centaur" w:hAnsi="Centaur" w:cs="Adobe Devanagari"/>
          <w:spacing w:val="-3"/>
          <w:sz w:val="26"/>
          <w:szCs w:val="26"/>
        </w:rPr>
        <w:t>31</w:t>
      </w:r>
      <w:r>
        <w:rPr>
          <w:rFonts w:ascii="Centaur" w:hAnsi="Centaur" w:cs="Adobe Devanagari"/>
          <w:spacing w:val="-3"/>
          <w:sz w:val="26"/>
          <w:szCs w:val="26"/>
        </w:rPr>
        <w:t>} Mezzotint engraving is another kind of intaglio process for reproducing tones as distinct from lines.</w:t>
      </w:r>
      <w:r w:rsidR="00EF4C73">
        <w:rPr>
          <w:rFonts w:ascii="Centaur" w:hAnsi="Centaur" w:cs="Adobe Devanagari"/>
          <w:spacing w:val="-3"/>
          <w:sz w:val="26"/>
          <w:szCs w:val="26"/>
        </w:rPr>
        <w:t xml:space="preserve"> It was in fact the first tonal method to be used in printmaking, allowing shade to be produced without using line or dot-based techniques.</w:t>
      </w:r>
      <w:r>
        <w:rPr>
          <w:rFonts w:ascii="Centaur" w:hAnsi="Centaur" w:cs="Adobe Devanagari"/>
          <w:spacing w:val="-3"/>
          <w:sz w:val="26"/>
          <w:szCs w:val="26"/>
        </w:rPr>
        <w:t xml:space="preserve"> It commonly follows a method known as ‘dark to light’. A metal plate, usually copper, is roughened all over to give it a pitted surface by passing a steel-toothed rocking tool over the whole of it. This is so that it will hold ink. Selected areas of the surface are then scraped smooth with a knife and a scraping iron to remove all recesses save those required to hold ink and to print. The effect is to create atmospheric swathes of light within the shade and darkness. This technique was used by the Romantic artist John Martin when he was commissioned by Septimus </w:t>
      </w:r>
      <w:proofErr w:type="spellStart"/>
      <w:r>
        <w:rPr>
          <w:rFonts w:ascii="Centaur" w:hAnsi="Centaur" w:cs="Adobe Devanagari"/>
          <w:spacing w:val="-3"/>
          <w:sz w:val="26"/>
          <w:szCs w:val="26"/>
        </w:rPr>
        <w:t>Prowett</w:t>
      </w:r>
      <w:proofErr w:type="spellEnd"/>
      <w:r>
        <w:rPr>
          <w:rFonts w:ascii="Centaur" w:hAnsi="Centaur" w:cs="Adobe Devanagari"/>
          <w:spacing w:val="-3"/>
          <w:sz w:val="26"/>
          <w:szCs w:val="26"/>
        </w:rPr>
        <w:t xml:space="preserve"> to illustrate John Milton’s </w:t>
      </w:r>
      <w:r>
        <w:rPr>
          <w:rFonts w:ascii="Centaur" w:hAnsi="Centaur" w:cs="Adobe Devanagari"/>
          <w:i/>
          <w:spacing w:val="-3"/>
          <w:sz w:val="26"/>
          <w:szCs w:val="26"/>
        </w:rPr>
        <w:t>Paradise Lost</w:t>
      </w:r>
      <w:r>
        <w:rPr>
          <w:rFonts w:ascii="Centaur" w:hAnsi="Centaur" w:cs="Adobe Devanagari"/>
          <w:spacing w:val="-3"/>
          <w:sz w:val="26"/>
          <w:szCs w:val="26"/>
        </w:rPr>
        <w:t>. The mezzotint process seems especially apt for the story of God’s Creation, involving the separation of light from darkness, and humanity’s Fall.</w:t>
      </w:r>
    </w:p>
    <w:p w14:paraId="06F73C4B" w14:textId="77777777" w:rsidR="0009104F" w:rsidRPr="0009104F" w:rsidRDefault="0009104F" w:rsidP="0009104F">
      <w:pPr>
        <w:pStyle w:val="ListParagraph"/>
        <w:widowControl w:val="0"/>
        <w:tabs>
          <w:tab w:val="left" w:pos="-720"/>
          <w:tab w:val="left" w:pos="0"/>
        </w:tabs>
        <w:suppressAutoHyphens/>
        <w:spacing w:line="276" w:lineRule="auto"/>
        <w:rPr>
          <w:rFonts w:ascii="Centaur" w:hAnsi="Centaur" w:cs="Adobe Devanagari"/>
          <w:spacing w:val="-3"/>
          <w:sz w:val="26"/>
          <w:szCs w:val="26"/>
        </w:rPr>
      </w:pPr>
    </w:p>
    <w:p w14:paraId="2C6A4A6A" w14:textId="77777777" w:rsidR="00662DFF" w:rsidRDefault="00662DFF" w:rsidP="00662DFF">
      <w:pPr>
        <w:pStyle w:val="ListParagraph"/>
        <w:widowControl w:val="0"/>
        <w:tabs>
          <w:tab w:val="left" w:pos="-720"/>
          <w:tab w:val="left" w:pos="0"/>
        </w:tabs>
        <w:suppressAutoHyphens/>
        <w:spacing w:line="276" w:lineRule="auto"/>
        <w:rPr>
          <w:rFonts w:ascii="Centaur" w:hAnsi="Centaur" w:cs="Adobe Devanagari"/>
          <w:spacing w:val="-3"/>
          <w:sz w:val="26"/>
          <w:szCs w:val="26"/>
        </w:rPr>
      </w:pPr>
    </w:p>
    <w:p w14:paraId="04B57ECE" w14:textId="3FAA484E" w:rsidR="00662DFF" w:rsidRPr="000C5BC1" w:rsidRDefault="00662DFF" w:rsidP="00662DFF">
      <w:pPr>
        <w:pStyle w:val="ListParagraph"/>
        <w:widowControl w:val="0"/>
        <w:numPr>
          <w:ilvl w:val="0"/>
          <w:numId w:val="2"/>
        </w:numPr>
        <w:tabs>
          <w:tab w:val="left" w:pos="-720"/>
          <w:tab w:val="left" w:pos="0"/>
        </w:tabs>
        <w:suppressAutoHyphens/>
        <w:spacing w:line="276" w:lineRule="auto"/>
        <w:rPr>
          <w:rFonts w:ascii="Centaur" w:hAnsi="Centaur" w:cs="Adobe Devanagari"/>
          <w:spacing w:val="-3"/>
          <w:sz w:val="26"/>
          <w:szCs w:val="26"/>
        </w:rPr>
      </w:pPr>
      <w:r>
        <w:rPr>
          <w:rFonts w:ascii="Centaur" w:hAnsi="Centaur" w:cs="Adobe Devanagari"/>
          <w:spacing w:val="-3"/>
          <w:sz w:val="26"/>
          <w:szCs w:val="26"/>
        </w:rPr>
        <w:t>Coloured mezzotint copperplate engraving</w:t>
      </w:r>
    </w:p>
    <w:p w14:paraId="41CE6473" w14:textId="77777777" w:rsidR="00662DFF" w:rsidRDefault="00662DFF" w:rsidP="00662DFF">
      <w:pPr>
        <w:pStyle w:val="ListParagraph"/>
        <w:widowControl w:val="0"/>
        <w:tabs>
          <w:tab w:val="left" w:pos="-720"/>
          <w:tab w:val="left" w:pos="0"/>
        </w:tabs>
        <w:suppressAutoHyphens/>
        <w:spacing w:line="276" w:lineRule="auto"/>
        <w:rPr>
          <w:rFonts w:ascii="Centaur" w:hAnsi="Centaur" w:cs="Adobe Devanagari"/>
          <w:spacing w:val="-3"/>
          <w:sz w:val="26"/>
          <w:szCs w:val="26"/>
        </w:rPr>
      </w:pPr>
    </w:p>
    <w:p w14:paraId="6CF560E0" w14:textId="75A98486" w:rsidR="00F53FEB" w:rsidRDefault="00662DFF" w:rsidP="00662DFF">
      <w:pPr>
        <w:pStyle w:val="ListParagraph"/>
        <w:widowControl w:val="0"/>
        <w:tabs>
          <w:tab w:val="left" w:pos="-720"/>
          <w:tab w:val="left" w:pos="0"/>
        </w:tabs>
        <w:suppressAutoHyphens/>
        <w:spacing w:line="276" w:lineRule="auto"/>
        <w:rPr>
          <w:rFonts w:ascii="Centaur" w:hAnsi="Centaur"/>
          <w:spacing w:val="-3"/>
          <w:sz w:val="26"/>
          <w:szCs w:val="26"/>
        </w:rPr>
      </w:pPr>
      <w:r>
        <w:rPr>
          <w:rFonts w:ascii="Centaur" w:hAnsi="Centaur"/>
          <w:spacing w:val="-3"/>
          <w:sz w:val="26"/>
          <w:szCs w:val="26"/>
        </w:rPr>
        <w:t xml:space="preserve">{Slide </w:t>
      </w:r>
      <w:r w:rsidR="004F32CC">
        <w:rPr>
          <w:rFonts w:ascii="Centaur" w:hAnsi="Centaur"/>
          <w:spacing w:val="-3"/>
          <w:sz w:val="26"/>
          <w:szCs w:val="26"/>
        </w:rPr>
        <w:t>3</w:t>
      </w:r>
      <w:r w:rsidR="00D21B4E">
        <w:rPr>
          <w:rFonts w:ascii="Centaur" w:hAnsi="Centaur"/>
          <w:spacing w:val="-3"/>
          <w:sz w:val="26"/>
          <w:szCs w:val="26"/>
        </w:rPr>
        <w:t>2</w:t>
      </w:r>
      <w:r>
        <w:rPr>
          <w:rFonts w:ascii="Centaur" w:hAnsi="Centaur"/>
          <w:spacing w:val="-3"/>
          <w:sz w:val="26"/>
          <w:szCs w:val="26"/>
        </w:rPr>
        <w:t xml:space="preserve">} </w:t>
      </w:r>
      <w:r w:rsidR="00F53FEB" w:rsidRPr="00F53FEB">
        <w:rPr>
          <w:rFonts w:ascii="Centaur" w:hAnsi="Centaur"/>
          <w:spacing w:val="-3"/>
          <w:sz w:val="26"/>
          <w:szCs w:val="26"/>
        </w:rPr>
        <w:t xml:space="preserve">The </w:t>
      </w:r>
      <w:r w:rsidR="004B1B72">
        <w:rPr>
          <w:rFonts w:ascii="Centaur" w:hAnsi="Centaur"/>
          <w:spacing w:val="-3"/>
          <w:sz w:val="26"/>
          <w:szCs w:val="26"/>
        </w:rPr>
        <w:t xml:space="preserve">striking </w:t>
      </w:r>
      <w:r w:rsidR="00F53FEB" w:rsidRPr="00F53FEB">
        <w:rPr>
          <w:rFonts w:ascii="Centaur" w:hAnsi="Centaur"/>
          <w:spacing w:val="-3"/>
          <w:sz w:val="26"/>
          <w:szCs w:val="26"/>
        </w:rPr>
        <w:t xml:space="preserve">plates in </w:t>
      </w:r>
      <w:r w:rsidR="00F53FEB" w:rsidRPr="00F53FEB">
        <w:rPr>
          <w:rFonts w:ascii="Centaur" w:hAnsi="Centaur"/>
          <w:i/>
          <w:iCs/>
          <w:sz w:val="26"/>
          <w:szCs w:val="26"/>
        </w:rPr>
        <w:t xml:space="preserve">Cours </w:t>
      </w:r>
      <w:proofErr w:type="spellStart"/>
      <w:r w:rsidR="00F53FEB" w:rsidRPr="00F53FEB">
        <w:rPr>
          <w:rFonts w:ascii="Centaur" w:hAnsi="Centaur"/>
          <w:i/>
          <w:iCs/>
          <w:sz w:val="26"/>
          <w:szCs w:val="26"/>
        </w:rPr>
        <w:t>complet</w:t>
      </w:r>
      <w:proofErr w:type="spellEnd"/>
      <w:r w:rsidR="00F53FEB" w:rsidRPr="00F53FEB">
        <w:rPr>
          <w:rFonts w:ascii="Centaur" w:hAnsi="Centaur"/>
          <w:i/>
          <w:iCs/>
          <w:sz w:val="26"/>
          <w:szCs w:val="26"/>
        </w:rPr>
        <w:t xml:space="preserve"> </w:t>
      </w:r>
      <w:proofErr w:type="spellStart"/>
      <w:r w:rsidR="00F53FEB" w:rsidRPr="00F53FEB">
        <w:rPr>
          <w:rFonts w:ascii="Centaur" w:hAnsi="Centaur"/>
          <w:i/>
          <w:iCs/>
          <w:sz w:val="26"/>
          <w:szCs w:val="26"/>
        </w:rPr>
        <w:t>d’anatomie</w:t>
      </w:r>
      <w:proofErr w:type="spellEnd"/>
      <w:r w:rsidR="00F53FEB" w:rsidRPr="00F53FEB">
        <w:rPr>
          <w:rFonts w:ascii="Centaur" w:hAnsi="Centaur"/>
          <w:spacing w:val="-3"/>
          <w:sz w:val="26"/>
          <w:szCs w:val="26"/>
        </w:rPr>
        <w:t xml:space="preserve"> were designed and engraved by Arnauld Éloi</w:t>
      </w:r>
      <w:r w:rsidR="00F53FEB" w:rsidRPr="00F53FEB">
        <w:rPr>
          <w:rFonts w:ascii="Centaur" w:hAnsi="Centaur"/>
          <w:sz w:val="26"/>
          <w:szCs w:val="26"/>
        </w:rPr>
        <w:t xml:space="preserve"> </w:t>
      </w:r>
      <w:r w:rsidR="00F53FEB" w:rsidRPr="00F53FEB">
        <w:rPr>
          <w:rFonts w:ascii="Centaur" w:hAnsi="Centaur"/>
          <w:spacing w:val="-3"/>
          <w:sz w:val="26"/>
          <w:szCs w:val="26"/>
        </w:rPr>
        <w:t xml:space="preserve">Gautier </w:t>
      </w:r>
      <w:proofErr w:type="spellStart"/>
      <w:r w:rsidR="00F53FEB" w:rsidRPr="00F53FEB">
        <w:rPr>
          <w:rFonts w:ascii="Centaur" w:hAnsi="Centaur"/>
          <w:spacing w:val="-3"/>
          <w:sz w:val="26"/>
          <w:szCs w:val="26"/>
        </w:rPr>
        <w:t>D’Agoty</w:t>
      </w:r>
      <w:proofErr w:type="spellEnd"/>
      <w:r w:rsidR="00F53FEB" w:rsidRPr="00F53FEB">
        <w:rPr>
          <w:rFonts w:ascii="Centaur" w:hAnsi="Centaur"/>
          <w:spacing w:val="-3"/>
          <w:sz w:val="26"/>
          <w:szCs w:val="26"/>
        </w:rPr>
        <w:t xml:space="preserve"> (1741-1780?). Each plate is signed, in manuscript, ‘A. E Gautier-</w:t>
      </w:r>
      <w:proofErr w:type="spellStart"/>
      <w:r w:rsidR="00F53FEB" w:rsidRPr="00F53FEB">
        <w:rPr>
          <w:rFonts w:ascii="Centaur" w:hAnsi="Centaur"/>
          <w:spacing w:val="-3"/>
          <w:sz w:val="26"/>
          <w:szCs w:val="26"/>
        </w:rPr>
        <w:t>Dagoty</w:t>
      </w:r>
      <w:proofErr w:type="spellEnd"/>
      <w:r w:rsidR="00F53FEB" w:rsidRPr="00F53FEB">
        <w:rPr>
          <w:rFonts w:ascii="Centaur" w:hAnsi="Centaur"/>
          <w:spacing w:val="-3"/>
          <w:sz w:val="26"/>
          <w:szCs w:val="26"/>
        </w:rPr>
        <w:t xml:space="preserve">. Pinxit. et. Sculp. </w:t>
      </w:r>
      <w:proofErr w:type="gramStart"/>
      <w:r w:rsidR="00F53FEB" w:rsidRPr="00F53FEB">
        <w:rPr>
          <w:rFonts w:ascii="Centaur" w:hAnsi="Centaur"/>
          <w:spacing w:val="-3"/>
          <w:sz w:val="26"/>
          <w:szCs w:val="26"/>
        </w:rPr>
        <w:t>Cum  Priv.</w:t>
      </w:r>
      <w:proofErr w:type="gramEnd"/>
      <w:r w:rsidR="00F53FEB" w:rsidRPr="00F53FEB">
        <w:rPr>
          <w:rFonts w:ascii="Centaur" w:hAnsi="Centaur"/>
          <w:spacing w:val="-3"/>
          <w:sz w:val="26"/>
          <w:szCs w:val="26"/>
        </w:rPr>
        <w:t xml:space="preserve"> Regis’, or similar, although Plan IX is signed ‘A.E. Gautier </w:t>
      </w:r>
      <w:proofErr w:type="spellStart"/>
      <w:r w:rsidR="00F53FEB" w:rsidRPr="00F53FEB">
        <w:rPr>
          <w:rFonts w:ascii="Centaur" w:hAnsi="Centaur"/>
          <w:spacing w:val="-3"/>
          <w:sz w:val="26"/>
          <w:szCs w:val="26"/>
        </w:rPr>
        <w:t>Dagoty</w:t>
      </w:r>
      <w:proofErr w:type="spellEnd"/>
      <w:r w:rsidR="00F53FEB" w:rsidRPr="00F53FEB">
        <w:rPr>
          <w:rFonts w:ascii="Centaur" w:hAnsi="Centaur"/>
          <w:spacing w:val="-3"/>
          <w:sz w:val="26"/>
          <w:szCs w:val="26"/>
        </w:rPr>
        <w:t xml:space="preserve"> pinxit Cum Priv.’ and ‘L. Gautier </w:t>
      </w:r>
      <w:proofErr w:type="spellStart"/>
      <w:r w:rsidR="00F53FEB" w:rsidRPr="00F53FEB">
        <w:rPr>
          <w:rFonts w:ascii="Centaur" w:hAnsi="Centaur"/>
          <w:spacing w:val="-3"/>
          <w:sz w:val="26"/>
          <w:szCs w:val="26"/>
        </w:rPr>
        <w:t>Dagoty</w:t>
      </w:r>
      <w:proofErr w:type="spellEnd"/>
      <w:r w:rsidR="00F53FEB" w:rsidRPr="00F53FEB">
        <w:rPr>
          <w:rFonts w:ascii="Centaur" w:hAnsi="Centaur"/>
          <w:spacing w:val="-3"/>
          <w:sz w:val="26"/>
          <w:szCs w:val="26"/>
        </w:rPr>
        <w:t xml:space="preserve"> Sculp’, which may indicate that the engraver of this plate was Louis Charles, a brother, who flourished about 1770.</w:t>
      </w:r>
      <w:r w:rsidR="00F53FEB" w:rsidRPr="00F53FEB">
        <w:rPr>
          <w:rStyle w:val="FootnoteReference"/>
          <w:rFonts w:ascii="Centaur" w:hAnsi="Centaur"/>
          <w:spacing w:val="-3"/>
          <w:sz w:val="26"/>
          <w:szCs w:val="26"/>
        </w:rPr>
        <w:footnoteReference w:id="25"/>
      </w:r>
    </w:p>
    <w:p w14:paraId="18369E5C" w14:textId="77777777" w:rsidR="004B1B72" w:rsidRDefault="00EF4C73" w:rsidP="004B1B72">
      <w:pPr>
        <w:spacing w:line="276" w:lineRule="auto"/>
        <w:ind w:left="720"/>
        <w:rPr>
          <w:rFonts w:ascii="Centaur" w:hAnsi="Centaur"/>
          <w:spacing w:val="-3"/>
          <w:sz w:val="26"/>
          <w:szCs w:val="26"/>
        </w:rPr>
      </w:pPr>
      <w:r w:rsidRPr="00EF4C73">
        <w:rPr>
          <w:rFonts w:ascii="Centaur" w:hAnsi="Centaur"/>
          <w:spacing w:val="-3"/>
          <w:sz w:val="26"/>
          <w:szCs w:val="26"/>
        </w:rPr>
        <w:lastRenderedPageBreak/>
        <w:t xml:space="preserve">The artist’s father was the famous artisan-entrepreneur Jacques-Fabien Gautier </w:t>
      </w:r>
      <w:proofErr w:type="spellStart"/>
      <w:r w:rsidRPr="00EF4C73">
        <w:rPr>
          <w:rFonts w:ascii="Centaur" w:hAnsi="Centaur"/>
          <w:spacing w:val="-3"/>
          <w:sz w:val="26"/>
          <w:szCs w:val="26"/>
        </w:rPr>
        <w:t>D’Agoty</w:t>
      </w:r>
      <w:proofErr w:type="spellEnd"/>
      <w:r w:rsidRPr="00EF4C73">
        <w:rPr>
          <w:rFonts w:ascii="Centaur" w:hAnsi="Centaur"/>
          <w:spacing w:val="-3"/>
          <w:sz w:val="26"/>
          <w:szCs w:val="26"/>
        </w:rPr>
        <w:t xml:space="preserve"> (</w:t>
      </w:r>
      <w:proofErr w:type="gramStart"/>
      <w:r w:rsidRPr="00EF4C73">
        <w:rPr>
          <w:rFonts w:ascii="Centaur" w:hAnsi="Centaur"/>
          <w:spacing w:val="-3"/>
          <w:sz w:val="26"/>
          <w:szCs w:val="26"/>
        </w:rPr>
        <w:t>1710?-</w:t>
      </w:r>
      <w:proofErr w:type="gramEnd"/>
      <w:r w:rsidRPr="00EF4C73">
        <w:rPr>
          <w:rFonts w:ascii="Centaur" w:hAnsi="Centaur"/>
          <w:spacing w:val="-3"/>
          <w:sz w:val="26"/>
          <w:szCs w:val="26"/>
        </w:rPr>
        <w:t>1781), who not only engraved but performed his own dissections,</w:t>
      </w:r>
      <w:r w:rsidRPr="00EF4C73">
        <w:rPr>
          <w:rStyle w:val="FootnoteReference"/>
          <w:rFonts w:ascii="Centaur" w:hAnsi="Centaur"/>
          <w:spacing w:val="-3"/>
          <w:sz w:val="26"/>
          <w:szCs w:val="26"/>
        </w:rPr>
        <w:footnoteReference w:id="26"/>
      </w:r>
      <w:r w:rsidRPr="00EF4C73">
        <w:rPr>
          <w:rFonts w:ascii="Centaur" w:hAnsi="Centaur"/>
          <w:spacing w:val="-3"/>
          <w:sz w:val="26"/>
          <w:szCs w:val="26"/>
        </w:rPr>
        <w:t xml:space="preserve"> though he also worked with specimens prepared by noted anatomist Jacques-François-Marie Duverney (1661-1748).</w:t>
      </w:r>
      <w:r w:rsidRPr="00EF4C73">
        <w:rPr>
          <w:rStyle w:val="FootnoteReference"/>
          <w:rFonts w:ascii="Centaur" w:hAnsi="Centaur"/>
          <w:spacing w:val="-3"/>
          <w:sz w:val="26"/>
          <w:szCs w:val="26"/>
        </w:rPr>
        <w:footnoteReference w:id="27"/>
      </w:r>
      <w:r w:rsidRPr="00EF4C73">
        <w:rPr>
          <w:rFonts w:ascii="Centaur" w:hAnsi="Centaur"/>
          <w:spacing w:val="-3"/>
          <w:sz w:val="26"/>
          <w:szCs w:val="26"/>
        </w:rPr>
        <w:t xml:space="preserve"> </w:t>
      </w:r>
    </w:p>
    <w:p w14:paraId="1D7B982A" w14:textId="77777777" w:rsidR="004B1B72" w:rsidRDefault="004B1B72" w:rsidP="004B1B72">
      <w:pPr>
        <w:spacing w:line="276" w:lineRule="auto"/>
        <w:ind w:left="720"/>
        <w:rPr>
          <w:rFonts w:ascii="Centaur" w:hAnsi="Centaur"/>
          <w:spacing w:val="-3"/>
          <w:sz w:val="26"/>
          <w:szCs w:val="26"/>
        </w:rPr>
      </w:pPr>
    </w:p>
    <w:p w14:paraId="52742DD9" w14:textId="1144C49F" w:rsidR="00EF4C73" w:rsidRPr="00EF4C73" w:rsidRDefault="00EF4C73" w:rsidP="004B1B72">
      <w:pPr>
        <w:spacing w:line="276" w:lineRule="auto"/>
        <w:ind w:left="720"/>
        <w:rPr>
          <w:rFonts w:ascii="Centaur" w:hAnsi="Centaur"/>
          <w:spacing w:val="-3"/>
          <w:sz w:val="26"/>
          <w:szCs w:val="26"/>
        </w:rPr>
      </w:pPr>
      <w:r w:rsidRPr="00EF4C73">
        <w:rPr>
          <w:rFonts w:ascii="Centaur" w:hAnsi="Centaur"/>
          <w:spacing w:val="-3"/>
          <w:sz w:val="26"/>
          <w:szCs w:val="26"/>
        </w:rPr>
        <w:t xml:space="preserve">Around 1738, Jacques-Fabien Gautier </w:t>
      </w:r>
      <w:proofErr w:type="spellStart"/>
      <w:r w:rsidRPr="00EF4C73">
        <w:rPr>
          <w:rFonts w:ascii="Centaur" w:hAnsi="Centaur"/>
          <w:spacing w:val="-3"/>
          <w:sz w:val="26"/>
          <w:szCs w:val="26"/>
        </w:rPr>
        <w:t>D’Agoty</w:t>
      </w:r>
      <w:proofErr w:type="spellEnd"/>
      <w:r w:rsidRPr="00EF4C73">
        <w:rPr>
          <w:rFonts w:ascii="Centaur" w:hAnsi="Centaur"/>
          <w:spacing w:val="-3"/>
          <w:sz w:val="26"/>
          <w:szCs w:val="26"/>
        </w:rPr>
        <w:t xml:space="preserve"> joined the colour-printing workshop of the inventor of printing in colours from mezzotint plates, Jakob Christoph Le Blon (1667-1741). The process he learned was based on Newton’s theory in </w:t>
      </w:r>
      <w:proofErr w:type="spellStart"/>
      <w:r w:rsidRPr="00EF4C73">
        <w:rPr>
          <w:rFonts w:ascii="Centaur" w:hAnsi="Centaur"/>
          <w:i/>
          <w:iCs/>
          <w:spacing w:val="-3"/>
          <w:sz w:val="26"/>
          <w:szCs w:val="26"/>
        </w:rPr>
        <w:t>Opticks</w:t>
      </w:r>
      <w:proofErr w:type="spellEnd"/>
      <w:r w:rsidRPr="00EF4C73">
        <w:rPr>
          <w:rFonts w:ascii="Centaur" w:hAnsi="Centaur"/>
          <w:spacing w:val="-3"/>
          <w:sz w:val="26"/>
          <w:szCs w:val="26"/>
        </w:rPr>
        <w:t xml:space="preserve"> (1704) that the whole gamut of tonic values is composed of the cardinal colours blue, yellow and red,</w:t>
      </w:r>
      <w:r w:rsidRPr="00EF4C73">
        <w:rPr>
          <w:rStyle w:val="FootnoteReference"/>
          <w:rFonts w:ascii="Centaur" w:hAnsi="Centaur"/>
          <w:spacing w:val="-3"/>
          <w:sz w:val="26"/>
          <w:szCs w:val="26"/>
        </w:rPr>
        <w:footnoteReference w:id="28"/>
      </w:r>
      <w:r w:rsidRPr="00EF4C73">
        <w:rPr>
          <w:rFonts w:ascii="Centaur" w:hAnsi="Centaur"/>
          <w:spacing w:val="-3"/>
          <w:sz w:val="26"/>
          <w:szCs w:val="26"/>
        </w:rPr>
        <w:t xml:space="preserve"> a theory, however, he would later attack.</w:t>
      </w:r>
      <w:r w:rsidRPr="00EF4C73">
        <w:rPr>
          <w:rStyle w:val="FootnoteReference"/>
          <w:rFonts w:ascii="Centaur" w:hAnsi="Centaur"/>
          <w:spacing w:val="-3"/>
          <w:sz w:val="26"/>
          <w:szCs w:val="26"/>
        </w:rPr>
        <w:footnoteReference w:id="29"/>
      </w:r>
      <w:r w:rsidRPr="00EF4C73">
        <w:rPr>
          <w:rFonts w:ascii="Centaur" w:hAnsi="Centaur"/>
          <w:spacing w:val="-3"/>
          <w:sz w:val="26"/>
          <w:szCs w:val="26"/>
        </w:rPr>
        <w:t xml:space="preserve"> The declared aim of the process is truth to the natural tones of colour, hence the ‘</w:t>
      </w:r>
      <w:proofErr w:type="spellStart"/>
      <w:r w:rsidRPr="00EF4C73">
        <w:rPr>
          <w:rFonts w:ascii="Centaur" w:hAnsi="Centaur"/>
          <w:i/>
          <w:iCs/>
          <w:sz w:val="26"/>
          <w:szCs w:val="26"/>
        </w:rPr>
        <w:t>en</w:t>
      </w:r>
      <w:proofErr w:type="spellEnd"/>
      <w:r w:rsidRPr="00EF4C73">
        <w:rPr>
          <w:rFonts w:ascii="Centaur" w:hAnsi="Centaur"/>
          <w:i/>
          <w:iCs/>
          <w:sz w:val="26"/>
          <w:szCs w:val="26"/>
        </w:rPr>
        <w:t xml:space="preserve"> couleurs </w:t>
      </w:r>
      <w:proofErr w:type="spellStart"/>
      <w:r w:rsidRPr="00EF4C73">
        <w:rPr>
          <w:rFonts w:ascii="Centaur" w:hAnsi="Centaur"/>
          <w:i/>
          <w:iCs/>
          <w:sz w:val="26"/>
          <w:szCs w:val="26"/>
        </w:rPr>
        <w:t>naturelles</w:t>
      </w:r>
      <w:proofErr w:type="spellEnd"/>
      <w:r w:rsidRPr="00EF4C73">
        <w:rPr>
          <w:rFonts w:ascii="Centaur" w:hAnsi="Centaur"/>
          <w:spacing w:val="-3"/>
          <w:sz w:val="26"/>
          <w:szCs w:val="26"/>
        </w:rPr>
        <w:t xml:space="preserve">’ in the title of </w:t>
      </w:r>
      <w:r w:rsidRPr="00EF4C73">
        <w:rPr>
          <w:rFonts w:ascii="Centaur" w:hAnsi="Centaur"/>
          <w:i/>
          <w:iCs/>
          <w:sz w:val="26"/>
          <w:szCs w:val="26"/>
        </w:rPr>
        <w:t xml:space="preserve">Cours </w:t>
      </w:r>
      <w:proofErr w:type="spellStart"/>
      <w:r w:rsidRPr="00EF4C73">
        <w:rPr>
          <w:rFonts w:ascii="Centaur" w:hAnsi="Centaur"/>
          <w:i/>
          <w:iCs/>
          <w:sz w:val="26"/>
          <w:szCs w:val="26"/>
        </w:rPr>
        <w:t>complet</w:t>
      </w:r>
      <w:proofErr w:type="spellEnd"/>
      <w:r w:rsidRPr="00EF4C73">
        <w:rPr>
          <w:rFonts w:ascii="Centaur" w:hAnsi="Centaur"/>
          <w:i/>
          <w:iCs/>
          <w:sz w:val="26"/>
          <w:szCs w:val="26"/>
        </w:rPr>
        <w:t xml:space="preserve"> </w:t>
      </w:r>
      <w:proofErr w:type="spellStart"/>
      <w:r w:rsidRPr="00EF4C73">
        <w:rPr>
          <w:rFonts w:ascii="Centaur" w:hAnsi="Centaur"/>
          <w:i/>
          <w:iCs/>
          <w:sz w:val="26"/>
          <w:szCs w:val="26"/>
        </w:rPr>
        <w:t>d’anatomie</w:t>
      </w:r>
      <w:proofErr w:type="spellEnd"/>
      <w:r w:rsidRPr="00EF4C73">
        <w:rPr>
          <w:rFonts w:ascii="Centaur" w:hAnsi="Centaur"/>
          <w:spacing w:val="-3"/>
          <w:sz w:val="26"/>
          <w:szCs w:val="26"/>
        </w:rPr>
        <w:t>. It involves engraving on a separate plate each part of the work which is to be printed in a separate cardinal colour, which by superimposition of impression should combine to give the composite result.</w:t>
      </w:r>
      <w:r w:rsidRPr="00EF4C73">
        <w:rPr>
          <w:rStyle w:val="FootnoteReference"/>
          <w:rFonts w:ascii="Centaur" w:hAnsi="Centaur"/>
          <w:spacing w:val="-3"/>
          <w:sz w:val="26"/>
          <w:szCs w:val="26"/>
        </w:rPr>
        <w:footnoteReference w:id="30"/>
      </w:r>
      <w:r w:rsidRPr="00EF4C73">
        <w:rPr>
          <w:rFonts w:ascii="Centaur" w:hAnsi="Centaur"/>
          <w:spacing w:val="-3"/>
          <w:sz w:val="26"/>
          <w:szCs w:val="26"/>
        </w:rPr>
        <w:t xml:space="preserve"> Since the time taken to engrave the plates, each printed separately in turn, allowing the sheets to dry between the processes, followed sometimes by a coat of varnish, was considerable, the plates were costly to produce and publish.</w:t>
      </w:r>
      <w:r w:rsidRPr="00EF4C73">
        <w:rPr>
          <w:rStyle w:val="FootnoteReference"/>
          <w:rFonts w:ascii="Centaur" w:hAnsi="Centaur"/>
          <w:spacing w:val="-3"/>
          <w:sz w:val="26"/>
          <w:szCs w:val="26"/>
        </w:rPr>
        <w:footnoteReference w:id="31"/>
      </w:r>
      <w:r w:rsidRPr="00EF4C73">
        <w:rPr>
          <w:rFonts w:ascii="Centaur" w:hAnsi="Centaur"/>
          <w:spacing w:val="-3"/>
          <w:sz w:val="26"/>
          <w:szCs w:val="26"/>
        </w:rPr>
        <w:t xml:space="preserve"> Le Blon secured a patent in England and the coveted </w:t>
      </w:r>
      <w:proofErr w:type="spellStart"/>
      <w:r w:rsidRPr="00EF4C73">
        <w:rPr>
          <w:rFonts w:ascii="Centaur" w:hAnsi="Centaur"/>
          <w:i/>
          <w:iCs/>
          <w:spacing w:val="-3"/>
          <w:sz w:val="26"/>
          <w:szCs w:val="26"/>
        </w:rPr>
        <w:t>privilège</w:t>
      </w:r>
      <w:proofErr w:type="spellEnd"/>
      <w:r w:rsidRPr="00EF4C73">
        <w:rPr>
          <w:rFonts w:ascii="Centaur" w:hAnsi="Centaur"/>
          <w:i/>
          <w:iCs/>
          <w:spacing w:val="-3"/>
          <w:sz w:val="26"/>
          <w:szCs w:val="26"/>
        </w:rPr>
        <w:t xml:space="preserve"> exclusive de </w:t>
      </w:r>
      <w:proofErr w:type="spellStart"/>
      <w:r w:rsidRPr="00EF4C73">
        <w:rPr>
          <w:rFonts w:ascii="Centaur" w:hAnsi="Centaur"/>
          <w:i/>
          <w:iCs/>
          <w:spacing w:val="-3"/>
          <w:sz w:val="26"/>
          <w:szCs w:val="26"/>
        </w:rPr>
        <w:t>roi</w:t>
      </w:r>
      <w:proofErr w:type="spellEnd"/>
      <w:r w:rsidRPr="00EF4C73">
        <w:rPr>
          <w:rFonts w:ascii="Centaur" w:hAnsi="Centaur"/>
          <w:spacing w:val="-3"/>
          <w:sz w:val="26"/>
          <w:szCs w:val="26"/>
        </w:rPr>
        <w:t xml:space="preserve"> for his method in Paris.</w:t>
      </w:r>
      <w:r w:rsidRPr="00EF4C73">
        <w:rPr>
          <w:rStyle w:val="FootnoteReference"/>
          <w:rFonts w:ascii="Centaur" w:hAnsi="Centaur"/>
          <w:spacing w:val="-3"/>
          <w:sz w:val="26"/>
          <w:szCs w:val="26"/>
        </w:rPr>
        <w:footnoteReference w:id="32"/>
      </w:r>
      <w:r w:rsidRPr="00EF4C73">
        <w:rPr>
          <w:rFonts w:ascii="Centaur" w:hAnsi="Centaur"/>
          <w:spacing w:val="-3"/>
          <w:sz w:val="26"/>
          <w:szCs w:val="26"/>
        </w:rPr>
        <w:t xml:space="preserve"> After his death, Jacques-Fabien Gautier </w:t>
      </w:r>
      <w:proofErr w:type="spellStart"/>
      <w:r w:rsidRPr="00EF4C73">
        <w:rPr>
          <w:rFonts w:ascii="Centaur" w:hAnsi="Centaur"/>
          <w:spacing w:val="-3"/>
          <w:sz w:val="26"/>
          <w:szCs w:val="26"/>
        </w:rPr>
        <w:t>D’Agoty</w:t>
      </w:r>
      <w:proofErr w:type="spellEnd"/>
      <w:r w:rsidRPr="00EF4C73">
        <w:rPr>
          <w:rFonts w:ascii="Centaur" w:hAnsi="Centaur"/>
          <w:spacing w:val="-3"/>
          <w:sz w:val="26"/>
          <w:szCs w:val="26"/>
        </w:rPr>
        <w:t xml:space="preserve"> acquired his privilege and claimed to have developed his process somewhat independently,</w:t>
      </w:r>
      <w:r w:rsidRPr="00EF4C73">
        <w:rPr>
          <w:rStyle w:val="FootnoteReference"/>
          <w:rFonts w:ascii="Centaur" w:hAnsi="Centaur"/>
          <w:spacing w:val="-3"/>
          <w:sz w:val="26"/>
          <w:szCs w:val="26"/>
        </w:rPr>
        <w:footnoteReference w:id="33"/>
      </w:r>
      <w:r w:rsidRPr="00EF4C73">
        <w:rPr>
          <w:rFonts w:ascii="Centaur" w:hAnsi="Centaur"/>
          <w:spacing w:val="-3"/>
          <w:sz w:val="26"/>
          <w:szCs w:val="26"/>
        </w:rPr>
        <w:t xml:space="preserve"> and to have added a fourth black plate to expedite the process, contrary to the underlying Newtonian theory, but in accord with his own theory that black and white are the primitive colours and that red, yellow and blue are secondaries. It seems that Le Blon himself may have </w:t>
      </w:r>
      <w:r w:rsidRPr="00EF4C73">
        <w:rPr>
          <w:rFonts w:ascii="Centaur" w:hAnsi="Centaur"/>
          <w:spacing w:val="-3"/>
          <w:sz w:val="26"/>
          <w:szCs w:val="26"/>
        </w:rPr>
        <w:lastRenderedPageBreak/>
        <w:t xml:space="preserve">introduced a black plate, but in a way that convinced Gautier </w:t>
      </w:r>
      <w:proofErr w:type="spellStart"/>
      <w:r w:rsidRPr="00EF4C73">
        <w:rPr>
          <w:rFonts w:ascii="Centaur" w:hAnsi="Centaur"/>
          <w:spacing w:val="-3"/>
          <w:sz w:val="26"/>
          <w:szCs w:val="26"/>
        </w:rPr>
        <w:t>D’Agoty</w:t>
      </w:r>
      <w:proofErr w:type="spellEnd"/>
      <w:r w:rsidRPr="00EF4C73">
        <w:rPr>
          <w:rFonts w:ascii="Centaur" w:hAnsi="Centaur"/>
          <w:spacing w:val="-3"/>
          <w:sz w:val="26"/>
          <w:szCs w:val="26"/>
        </w:rPr>
        <w:t xml:space="preserve"> that Le Blon did not understand the truth of the relationships between the colours.</w:t>
      </w:r>
      <w:r w:rsidRPr="00EF4C73">
        <w:rPr>
          <w:rStyle w:val="FootnoteReference"/>
          <w:rFonts w:ascii="Centaur" w:hAnsi="Centaur"/>
          <w:spacing w:val="-3"/>
          <w:sz w:val="26"/>
          <w:szCs w:val="26"/>
        </w:rPr>
        <w:footnoteReference w:id="34"/>
      </w:r>
    </w:p>
    <w:p w14:paraId="4E0FB439" w14:textId="77777777" w:rsidR="00EF4C73" w:rsidRPr="00EF4C73" w:rsidRDefault="00EF4C73" w:rsidP="00EF4C73">
      <w:pPr>
        <w:spacing w:line="276" w:lineRule="auto"/>
        <w:rPr>
          <w:rFonts w:ascii="Centaur" w:hAnsi="Centaur"/>
          <w:spacing w:val="-3"/>
          <w:sz w:val="26"/>
          <w:szCs w:val="26"/>
        </w:rPr>
      </w:pPr>
    </w:p>
    <w:p w14:paraId="0A8BD262" w14:textId="4C742AAA" w:rsidR="004B622E" w:rsidRDefault="00EF4C73" w:rsidP="004B622E">
      <w:pPr>
        <w:spacing w:line="276" w:lineRule="auto"/>
        <w:ind w:left="720"/>
        <w:rPr>
          <w:rFonts w:ascii="Centaur" w:hAnsi="Centaur"/>
          <w:spacing w:val="-3"/>
          <w:sz w:val="26"/>
          <w:szCs w:val="26"/>
        </w:rPr>
      </w:pPr>
      <w:r w:rsidRPr="00EF4C73">
        <w:rPr>
          <w:rFonts w:ascii="Centaur" w:hAnsi="Centaur"/>
          <w:spacing w:val="-3"/>
          <w:sz w:val="26"/>
          <w:szCs w:val="26"/>
        </w:rPr>
        <w:t xml:space="preserve">The need for a relatively inexpensive technique to create multiple copies of anatomical illustrations for medical students was recognised throughout Europe. The Gautier </w:t>
      </w:r>
      <w:proofErr w:type="spellStart"/>
      <w:r w:rsidRPr="00EF4C73">
        <w:rPr>
          <w:rFonts w:ascii="Centaur" w:hAnsi="Centaur"/>
          <w:spacing w:val="-3"/>
          <w:sz w:val="26"/>
          <w:szCs w:val="26"/>
        </w:rPr>
        <w:t>D’Agoty</w:t>
      </w:r>
      <w:proofErr w:type="spellEnd"/>
      <w:r w:rsidRPr="00EF4C73">
        <w:rPr>
          <w:rFonts w:ascii="Centaur" w:hAnsi="Centaur"/>
          <w:spacing w:val="-3"/>
          <w:sz w:val="26"/>
          <w:szCs w:val="26"/>
        </w:rPr>
        <w:t xml:space="preserve"> family workshop turned to developing this market, the addition of colour offering a method to distinguish muscles, veins and other parts.</w:t>
      </w:r>
      <w:r w:rsidRPr="00EF4C73">
        <w:rPr>
          <w:rStyle w:val="FootnoteReference"/>
          <w:rFonts w:ascii="Centaur" w:hAnsi="Centaur"/>
          <w:spacing w:val="-3"/>
          <w:sz w:val="26"/>
          <w:szCs w:val="26"/>
        </w:rPr>
        <w:footnoteReference w:id="35"/>
      </w:r>
      <w:r w:rsidRPr="00EF4C73">
        <w:rPr>
          <w:rFonts w:ascii="Centaur" w:hAnsi="Centaur"/>
          <w:spacing w:val="-3"/>
          <w:sz w:val="26"/>
          <w:szCs w:val="26"/>
        </w:rPr>
        <w:t xml:space="preserve"> Arnauld Éloi</w:t>
      </w:r>
      <w:r w:rsidRPr="00EF4C73">
        <w:rPr>
          <w:rFonts w:ascii="Centaur" w:hAnsi="Centaur"/>
          <w:sz w:val="26"/>
          <w:szCs w:val="26"/>
        </w:rPr>
        <w:t xml:space="preserve"> </w:t>
      </w:r>
      <w:r w:rsidRPr="00EF4C73">
        <w:rPr>
          <w:rFonts w:ascii="Centaur" w:hAnsi="Centaur"/>
          <w:spacing w:val="-3"/>
          <w:sz w:val="26"/>
          <w:szCs w:val="26"/>
        </w:rPr>
        <w:t xml:space="preserve">Gautier </w:t>
      </w:r>
      <w:proofErr w:type="spellStart"/>
      <w:r w:rsidRPr="00EF4C73">
        <w:rPr>
          <w:rFonts w:ascii="Centaur" w:hAnsi="Centaur"/>
          <w:spacing w:val="-3"/>
          <w:sz w:val="26"/>
          <w:szCs w:val="26"/>
        </w:rPr>
        <w:t>D’Agoty’s</w:t>
      </w:r>
      <w:proofErr w:type="spellEnd"/>
      <w:r w:rsidRPr="00EF4C73">
        <w:rPr>
          <w:rFonts w:ascii="Centaur" w:hAnsi="Centaur"/>
          <w:spacing w:val="-3"/>
          <w:sz w:val="26"/>
          <w:szCs w:val="26"/>
        </w:rPr>
        <w:t xml:space="preserve"> </w:t>
      </w:r>
      <w:proofErr w:type="spellStart"/>
      <w:r w:rsidRPr="00EF4C73">
        <w:rPr>
          <w:rFonts w:ascii="Centaur" w:hAnsi="Centaur"/>
          <w:i/>
          <w:iCs/>
          <w:sz w:val="26"/>
          <w:szCs w:val="26"/>
        </w:rPr>
        <w:t>privilége</w:t>
      </w:r>
      <w:proofErr w:type="spellEnd"/>
      <w:r w:rsidRPr="00EF4C73">
        <w:rPr>
          <w:rFonts w:ascii="Centaur" w:hAnsi="Centaur"/>
          <w:i/>
          <w:iCs/>
          <w:sz w:val="26"/>
          <w:szCs w:val="26"/>
        </w:rPr>
        <w:t xml:space="preserve"> du </w:t>
      </w:r>
      <w:proofErr w:type="spellStart"/>
      <w:r w:rsidRPr="00EF4C73">
        <w:rPr>
          <w:rFonts w:ascii="Centaur" w:hAnsi="Centaur"/>
          <w:i/>
          <w:iCs/>
          <w:sz w:val="26"/>
          <w:szCs w:val="26"/>
        </w:rPr>
        <w:t>roi</w:t>
      </w:r>
      <w:proofErr w:type="spellEnd"/>
      <w:r w:rsidRPr="00EF4C73">
        <w:rPr>
          <w:rFonts w:ascii="Centaur" w:hAnsi="Centaur"/>
          <w:sz w:val="26"/>
          <w:szCs w:val="26"/>
        </w:rPr>
        <w:t xml:space="preserve"> appears in </w:t>
      </w:r>
      <w:r w:rsidRPr="00EF4C73">
        <w:rPr>
          <w:rFonts w:ascii="Centaur" w:hAnsi="Centaur"/>
          <w:i/>
          <w:iCs/>
          <w:sz w:val="26"/>
          <w:szCs w:val="26"/>
        </w:rPr>
        <w:t xml:space="preserve">Cours </w:t>
      </w:r>
      <w:proofErr w:type="spellStart"/>
      <w:r w:rsidRPr="00EF4C73">
        <w:rPr>
          <w:rFonts w:ascii="Centaur" w:hAnsi="Centaur"/>
          <w:i/>
          <w:iCs/>
          <w:sz w:val="26"/>
          <w:szCs w:val="26"/>
        </w:rPr>
        <w:t>complet</w:t>
      </w:r>
      <w:proofErr w:type="spellEnd"/>
      <w:r w:rsidRPr="00EF4C73">
        <w:rPr>
          <w:rFonts w:ascii="Centaur" w:hAnsi="Centaur"/>
          <w:i/>
          <w:iCs/>
          <w:sz w:val="26"/>
          <w:szCs w:val="26"/>
        </w:rPr>
        <w:t xml:space="preserve"> </w:t>
      </w:r>
      <w:proofErr w:type="spellStart"/>
      <w:r w:rsidRPr="00EF4C73">
        <w:rPr>
          <w:rFonts w:ascii="Centaur" w:hAnsi="Centaur"/>
          <w:i/>
          <w:iCs/>
          <w:sz w:val="26"/>
          <w:szCs w:val="26"/>
        </w:rPr>
        <w:t>d’anatomie</w:t>
      </w:r>
      <w:proofErr w:type="spellEnd"/>
      <w:r w:rsidRPr="00EF4C73">
        <w:rPr>
          <w:rFonts w:ascii="Centaur" w:hAnsi="Centaur"/>
          <w:sz w:val="26"/>
          <w:szCs w:val="26"/>
        </w:rPr>
        <w:t xml:space="preserve"> (sig. *</w:t>
      </w:r>
      <w:r w:rsidRPr="00EF4C73">
        <w:rPr>
          <w:rFonts w:ascii="Centaur" w:hAnsi="Centaur"/>
          <w:sz w:val="26"/>
          <w:szCs w:val="26"/>
          <w:vertAlign w:val="superscript"/>
        </w:rPr>
        <w:t>v</w:t>
      </w:r>
      <w:r w:rsidRPr="00EF4C73">
        <w:rPr>
          <w:rFonts w:ascii="Centaur" w:hAnsi="Centaur"/>
          <w:sz w:val="26"/>
          <w:szCs w:val="26"/>
        </w:rPr>
        <w:t xml:space="preserve">). </w:t>
      </w:r>
      <w:r w:rsidRPr="00EF4C73">
        <w:rPr>
          <w:rFonts w:ascii="Centaur" w:hAnsi="Centaur"/>
          <w:spacing w:val="-3"/>
          <w:sz w:val="26"/>
          <w:szCs w:val="26"/>
        </w:rPr>
        <w:t>The style of his engravings is distinctively naturalistic, presenting anatomy as it might have appeared on a single dissection.</w:t>
      </w:r>
      <w:r w:rsidRPr="00EF4C73">
        <w:rPr>
          <w:rStyle w:val="FootnoteReference"/>
          <w:rFonts w:ascii="Centaur" w:hAnsi="Centaur"/>
          <w:spacing w:val="-3"/>
          <w:sz w:val="26"/>
          <w:szCs w:val="26"/>
        </w:rPr>
        <w:footnoteReference w:id="36"/>
      </w:r>
      <w:r w:rsidRPr="00EF4C73">
        <w:rPr>
          <w:rFonts w:ascii="Centaur" w:hAnsi="Centaur"/>
          <w:spacing w:val="-3"/>
          <w:sz w:val="26"/>
          <w:szCs w:val="26"/>
        </w:rPr>
        <w:t xml:space="preserve"> However, ‘the kind of display used in naturalistic illustration relies heavily upon knowing how to read a series of conventions’.</w:t>
      </w:r>
      <w:r w:rsidRPr="00EF4C73">
        <w:rPr>
          <w:rStyle w:val="FootnoteReference"/>
          <w:rFonts w:ascii="Centaur" w:hAnsi="Centaur"/>
          <w:spacing w:val="-3"/>
          <w:sz w:val="26"/>
          <w:szCs w:val="26"/>
        </w:rPr>
        <w:footnoteReference w:id="37"/>
      </w:r>
      <w:r w:rsidRPr="00EF4C73">
        <w:rPr>
          <w:rFonts w:ascii="Centaur" w:hAnsi="Centaur"/>
          <w:spacing w:val="-3"/>
          <w:sz w:val="26"/>
          <w:szCs w:val="26"/>
        </w:rPr>
        <w:t xml:space="preserve"> Plan XI presents the anterior view of the head in four stages of dissection (figures 1, 2, 7, and 8). A shadow is cast on the background by each of the figures, and two (7 and 8) are wrapped in the cloths used during dissection to absorb blood.</w:t>
      </w:r>
      <w:r w:rsidR="004B1B72">
        <w:rPr>
          <w:rFonts w:ascii="Centaur" w:hAnsi="Centaur"/>
          <w:spacing w:val="-3"/>
          <w:sz w:val="26"/>
          <w:szCs w:val="26"/>
        </w:rPr>
        <w:t xml:space="preserve"> These touches give the effect of reality.</w:t>
      </w:r>
      <w:r w:rsidRPr="00EF4C73">
        <w:rPr>
          <w:rFonts w:ascii="Centaur" w:hAnsi="Centaur"/>
          <w:spacing w:val="-3"/>
          <w:sz w:val="26"/>
          <w:szCs w:val="26"/>
        </w:rPr>
        <w:t xml:space="preserve"> Counterbalancing realism, the </w:t>
      </w:r>
      <w:proofErr w:type="spellStart"/>
      <w:r w:rsidRPr="00EF4C73">
        <w:rPr>
          <w:rFonts w:ascii="Centaur" w:hAnsi="Centaur"/>
          <w:spacing w:val="-3"/>
          <w:sz w:val="26"/>
          <w:szCs w:val="26"/>
        </w:rPr>
        <w:t>écorchéd</w:t>
      </w:r>
      <w:proofErr w:type="spellEnd"/>
      <w:r w:rsidRPr="00EF4C73">
        <w:rPr>
          <w:rFonts w:ascii="Centaur" w:hAnsi="Centaur"/>
          <w:spacing w:val="-3"/>
          <w:sz w:val="26"/>
          <w:szCs w:val="26"/>
        </w:rPr>
        <w:t xml:space="preserve"> (flayed) full-body figures, like Plan III, are represented as in the living body. </w:t>
      </w:r>
      <w:r w:rsidR="004B622E">
        <w:rPr>
          <w:rFonts w:ascii="Centaur" w:hAnsi="Centaur"/>
          <w:spacing w:val="-3"/>
          <w:sz w:val="26"/>
          <w:szCs w:val="26"/>
        </w:rPr>
        <w:t>Although the particularity and naturalism of these illustrations seems to be a</w:t>
      </w:r>
      <w:r w:rsidR="004B622E" w:rsidRPr="000C5BC1">
        <w:rPr>
          <w:rFonts w:ascii="Centaur" w:hAnsi="Centaur"/>
          <w:spacing w:val="-3"/>
          <w:sz w:val="26"/>
          <w:szCs w:val="26"/>
        </w:rPr>
        <w:t>t the other extreme of artistic</w:t>
      </w:r>
      <w:r w:rsidR="004B622E">
        <w:rPr>
          <w:rFonts w:ascii="Centaur" w:hAnsi="Centaur"/>
          <w:spacing w:val="-3"/>
          <w:sz w:val="26"/>
          <w:szCs w:val="26"/>
        </w:rPr>
        <w:t xml:space="preserve"> style to </w:t>
      </w:r>
      <w:r w:rsidR="004B622E" w:rsidRPr="000C5BC1">
        <w:rPr>
          <w:rFonts w:ascii="Centaur" w:hAnsi="Centaur"/>
          <w:spacing w:val="-3"/>
          <w:sz w:val="26"/>
          <w:szCs w:val="26"/>
        </w:rPr>
        <w:t xml:space="preserve">Albinus’s </w:t>
      </w:r>
      <w:r w:rsidR="004B622E" w:rsidRPr="000C5BC1">
        <w:rPr>
          <w:rFonts w:ascii="Centaur" w:hAnsi="Centaur"/>
          <w:i/>
          <w:spacing w:val="-3"/>
          <w:sz w:val="26"/>
          <w:szCs w:val="26"/>
        </w:rPr>
        <w:t>Tables</w:t>
      </w:r>
      <w:r w:rsidR="004B622E" w:rsidRPr="000C5BC1">
        <w:rPr>
          <w:rFonts w:ascii="Centaur" w:hAnsi="Centaur"/>
          <w:spacing w:val="-3"/>
          <w:sz w:val="26"/>
          <w:szCs w:val="26"/>
        </w:rPr>
        <w:t xml:space="preserve"> </w:t>
      </w:r>
      <w:r w:rsidR="004B622E">
        <w:rPr>
          <w:rFonts w:ascii="Centaur" w:hAnsi="Centaur"/>
          <w:spacing w:val="-3"/>
          <w:sz w:val="26"/>
          <w:szCs w:val="26"/>
        </w:rPr>
        <w:t>(Slide 7).</w:t>
      </w:r>
    </w:p>
    <w:p w14:paraId="36A311A0" w14:textId="77777777" w:rsidR="004B622E" w:rsidRDefault="004B622E" w:rsidP="00EF4C73">
      <w:pPr>
        <w:pStyle w:val="ListParagraph"/>
        <w:widowControl w:val="0"/>
        <w:tabs>
          <w:tab w:val="left" w:pos="-720"/>
          <w:tab w:val="left" w:pos="0"/>
        </w:tabs>
        <w:suppressAutoHyphens/>
        <w:spacing w:line="276" w:lineRule="auto"/>
        <w:rPr>
          <w:rFonts w:ascii="Centaur" w:hAnsi="Centaur"/>
          <w:spacing w:val="-3"/>
          <w:sz w:val="26"/>
          <w:szCs w:val="26"/>
        </w:rPr>
      </w:pPr>
    </w:p>
    <w:p w14:paraId="565D7607" w14:textId="3112BB2A" w:rsidR="00EF4C73" w:rsidRPr="00EF4C73" w:rsidRDefault="00EF4C73" w:rsidP="00EF4C73">
      <w:pPr>
        <w:pStyle w:val="ListParagraph"/>
        <w:widowControl w:val="0"/>
        <w:tabs>
          <w:tab w:val="left" w:pos="-720"/>
          <w:tab w:val="left" w:pos="0"/>
        </w:tabs>
        <w:suppressAutoHyphens/>
        <w:spacing w:line="276" w:lineRule="auto"/>
        <w:rPr>
          <w:rFonts w:ascii="Centaur" w:hAnsi="Centaur"/>
          <w:spacing w:val="-3"/>
          <w:sz w:val="26"/>
          <w:szCs w:val="26"/>
        </w:rPr>
      </w:pPr>
      <w:r w:rsidRPr="00EF4C73">
        <w:rPr>
          <w:rFonts w:ascii="Centaur" w:hAnsi="Centaur"/>
          <w:spacing w:val="-3"/>
          <w:sz w:val="26"/>
          <w:szCs w:val="26"/>
        </w:rPr>
        <w:t>Despite its rich potential, it is questionable whether coloured mezzotint engraving was ever satisfactory in practice.</w:t>
      </w:r>
      <w:r w:rsidRPr="00EF4C73">
        <w:rPr>
          <w:rStyle w:val="FootnoteReference"/>
          <w:rFonts w:ascii="Centaur" w:hAnsi="Centaur"/>
          <w:spacing w:val="-3"/>
          <w:sz w:val="26"/>
          <w:szCs w:val="26"/>
        </w:rPr>
        <w:footnoteReference w:id="38"/>
      </w:r>
      <w:r w:rsidRPr="00EF4C73">
        <w:rPr>
          <w:rFonts w:ascii="Centaur" w:hAnsi="Centaur"/>
          <w:spacing w:val="-3"/>
          <w:sz w:val="26"/>
          <w:szCs w:val="26"/>
        </w:rPr>
        <w:t xml:space="preserve"> Mezzotint is capable of a rich range of tone, but it may not be the art for imitative realism in colour.</w:t>
      </w:r>
      <w:r w:rsidRPr="00EF4C73">
        <w:rPr>
          <w:rStyle w:val="FootnoteReference"/>
          <w:rFonts w:ascii="Centaur" w:hAnsi="Centaur"/>
          <w:spacing w:val="-3"/>
          <w:sz w:val="26"/>
          <w:szCs w:val="26"/>
        </w:rPr>
        <w:footnoteReference w:id="39"/>
      </w:r>
      <w:r w:rsidRPr="00EF4C73">
        <w:rPr>
          <w:rFonts w:ascii="Centaur" w:hAnsi="Centaur"/>
          <w:spacing w:val="-3"/>
          <w:sz w:val="26"/>
          <w:szCs w:val="26"/>
        </w:rPr>
        <w:t xml:space="preserve"> Le Blon’s </w:t>
      </w:r>
      <w:proofErr w:type="spellStart"/>
      <w:r w:rsidRPr="00EF4C73">
        <w:rPr>
          <w:rFonts w:ascii="Centaur" w:hAnsi="Centaur"/>
          <w:i/>
          <w:iCs/>
          <w:spacing w:val="-3"/>
          <w:sz w:val="26"/>
          <w:szCs w:val="26"/>
        </w:rPr>
        <w:t>privilège</w:t>
      </w:r>
      <w:proofErr w:type="spellEnd"/>
      <w:r w:rsidRPr="00EF4C73">
        <w:rPr>
          <w:rFonts w:ascii="Centaur" w:hAnsi="Centaur"/>
          <w:spacing w:val="-3"/>
          <w:sz w:val="26"/>
          <w:szCs w:val="26"/>
        </w:rPr>
        <w:t xml:space="preserve"> specifically noted the colour method’s suitability for anatomical illustration,</w:t>
      </w:r>
      <w:r w:rsidRPr="00EF4C73">
        <w:rPr>
          <w:rStyle w:val="FootnoteReference"/>
          <w:rFonts w:ascii="Centaur" w:hAnsi="Centaur"/>
          <w:spacing w:val="-3"/>
          <w:sz w:val="26"/>
          <w:szCs w:val="26"/>
        </w:rPr>
        <w:footnoteReference w:id="40"/>
      </w:r>
      <w:r w:rsidRPr="00EF4C73">
        <w:rPr>
          <w:rFonts w:ascii="Centaur" w:hAnsi="Centaur"/>
          <w:spacing w:val="-3"/>
          <w:sz w:val="26"/>
          <w:szCs w:val="26"/>
        </w:rPr>
        <w:t xml:space="preserve"> but although colour can be used effectively for anatomical-teaching purposes, there is little natural variation in the colours of post-mortem tissues.</w:t>
      </w:r>
      <w:r w:rsidRPr="00EF4C73">
        <w:rPr>
          <w:rStyle w:val="FootnoteReference"/>
          <w:rFonts w:ascii="Centaur" w:hAnsi="Centaur"/>
          <w:spacing w:val="-3"/>
          <w:sz w:val="26"/>
          <w:szCs w:val="26"/>
        </w:rPr>
        <w:footnoteReference w:id="41"/>
      </w:r>
      <w:r w:rsidRPr="00EF4C73">
        <w:rPr>
          <w:rFonts w:ascii="Centaur" w:hAnsi="Centaur"/>
          <w:spacing w:val="-3"/>
          <w:sz w:val="26"/>
          <w:szCs w:val="26"/>
        </w:rPr>
        <w:t xml:space="preserve"> The technique moreover did not lend itself easily to the expression of fine detail, and according to Mimi </w:t>
      </w:r>
      <w:proofErr w:type="spellStart"/>
      <w:r w:rsidRPr="00EF4C73">
        <w:rPr>
          <w:rFonts w:ascii="Centaur" w:hAnsi="Centaur"/>
          <w:spacing w:val="-3"/>
          <w:sz w:val="26"/>
          <w:szCs w:val="26"/>
        </w:rPr>
        <w:t>Cazort</w:t>
      </w:r>
      <w:proofErr w:type="spellEnd"/>
      <w:r w:rsidRPr="00EF4C73">
        <w:rPr>
          <w:rFonts w:ascii="Centaur" w:hAnsi="Centaur"/>
          <w:spacing w:val="-3"/>
          <w:sz w:val="26"/>
          <w:szCs w:val="26"/>
        </w:rPr>
        <w:t xml:space="preserve"> et al., ‘none of the </w:t>
      </w:r>
      <w:proofErr w:type="spellStart"/>
      <w:r w:rsidRPr="00EF4C73">
        <w:rPr>
          <w:rFonts w:ascii="Centaur" w:hAnsi="Centaur"/>
          <w:spacing w:val="-3"/>
          <w:sz w:val="26"/>
          <w:szCs w:val="26"/>
        </w:rPr>
        <w:t>Gautiers</w:t>
      </w:r>
      <w:proofErr w:type="spellEnd"/>
      <w:r w:rsidRPr="00EF4C73">
        <w:rPr>
          <w:rFonts w:ascii="Centaur" w:hAnsi="Centaur"/>
          <w:spacing w:val="-3"/>
          <w:sz w:val="26"/>
          <w:szCs w:val="26"/>
        </w:rPr>
        <w:t xml:space="preserve"> ever mastered the scraping and burnishing techniques necessary to bring out the sharp edges and details, techniques then reaching a state of perfection in England’.</w:t>
      </w:r>
      <w:r w:rsidRPr="00EF4C73">
        <w:rPr>
          <w:rStyle w:val="FootnoteReference"/>
          <w:rFonts w:ascii="Centaur" w:hAnsi="Centaur"/>
          <w:spacing w:val="-3"/>
          <w:sz w:val="26"/>
          <w:szCs w:val="26"/>
        </w:rPr>
        <w:footnoteReference w:id="42"/>
      </w:r>
      <w:r w:rsidRPr="00EF4C73">
        <w:rPr>
          <w:rFonts w:ascii="Centaur" w:hAnsi="Centaur"/>
          <w:spacing w:val="-3"/>
          <w:sz w:val="26"/>
          <w:szCs w:val="26"/>
        </w:rPr>
        <w:t xml:space="preserve"> So coloured engravings of this kind did not become popular for medical illustrations.</w:t>
      </w:r>
    </w:p>
    <w:p w14:paraId="1EF42FFD" w14:textId="77777777" w:rsidR="00F05699" w:rsidRPr="00EF4C73" w:rsidRDefault="00F05699" w:rsidP="000C5BC1">
      <w:pPr>
        <w:spacing w:line="276" w:lineRule="auto"/>
        <w:rPr>
          <w:rFonts w:ascii="Centaur" w:hAnsi="Centaur"/>
          <w:sz w:val="26"/>
          <w:szCs w:val="26"/>
        </w:rPr>
      </w:pPr>
    </w:p>
    <w:p w14:paraId="44A84DBD" w14:textId="77777777" w:rsidR="00B5350B" w:rsidRPr="00EF4C73" w:rsidRDefault="00B5350B">
      <w:pPr>
        <w:rPr>
          <w:rFonts w:ascii="Centaur" w:hAnsi="Centaur"/>
          <w:sz w:val="26"/>
          <w:szCs w:val="26"/>
        </w:rPr>
      </w:pPr>
    </w:p>
    <w:sectPr w:rsidR="00B5350B" w:rsidRPr="00EF4C73" w:rsidSect="006A3474">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13B4BE" w14:textId="77777777" w:rsidR="001A14A5" w:rsidRDefault="001A14A5" w:rsidP="00147D65">
      <w:r>
        <w:separator/>
      </w:r>
    </w:p>
  </w:endnote>
  <w:endnote w:type="continuationSeparator" w:id="0">
    <w:p w14:paraId="67AADA1D" w14:textId="77777777" w:rsidR="001A14A5" w:rsidRDefault="001A14A5" w:rsidP="00147D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altName w:val="Wingdings 3"/>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aur">
    <w:panose1 w:val="02030504050205020304"/>
    <w:charset w:val="00"/>
    <w:family w:val="roman"/>
    <w:pitch w:val="variable"/>
    <w:sig w:usb0="00000003" w:usb1="00000000" w:usb2="00000000" w:usb3="00000000" w:csb0="00000001" w:csb1="00000000"/>
  </w:font>
  <w:font w:name="Aparajita">
    <w:charset w:val="00"/>
    <w:family w:val="roman"/>
    <w:pitch w:val="variable"/>
    <w:sig w:usb0="00008003" w:usb1="00000000" w:usb2="00000000" w:usb3="00000000" w:csb0="00000001" w:csb1="00000000"/>
  </w:font>
  <w:font w:name="Adobe Devanagari">
    <w:panose1 w:val="02040503050201020203"/>
    <w:charset w:val="00"/>
    <w:family w:val="roman"/>
    <w:notTrueType/>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SimSun">
    <w:altName w:val="?????????¡ì?????"/>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29842776"/>
      <w:docPartObj>
        <w:docPartGallery w:val="Page Numbers (Bottom of Page)"/>
        <w:docPartUnique/>
      </w:docPartObj>
    </w:sdtPr>
    <w:sdtEndPr>
      <w:rPr>
        <w:noProof/>
      </w:rPr>
    </w:sdtEndPr>
    <w:sdtContent>
      <w:p w14:paraId="2C5C02DC" w14:textId="77777777" w:rsidR="001A14A5" w:rsidRDefault="001A14A5">
        <w:pPr>
          <w:pStyle w:val="Footer"/>
          <w:jc w:val="center"/>
        </w:pPr>
        <w:r>
          <w:fldChar w:fldCharType="begin"/>
        </w:r>
        <w:r>
          <w:instrText xml:space="preserve"> PAGE   \* MERGEFORMAT </w:instrText>
        </w:r>
        <w:r>
          <w:fldChar w:fldCharType="separate"/>
        </w:r>
        <w:r w:rsidR="004075B1">
          <w:rPr>
            <w:noProof/>
          </w:rPr>
          <w:t>9</w:t>
        </w:r>
        <w:r>
          <w:rPr>
            <w:noProof/>
          </w:rPr>
          <w:fldChar w:fldCharType="end"/>
        </w:r>
      </w:p>
    </w:sdtContent>
  </w:sdt>
  <w:p w14:paraId="60E66F70" w14:textId="77777777" w:rsidR="001A14A5" w:rsidRDefault="001A14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BB1A0A" w14:textId="77777777" w:rsidR="001A14A5" w:rsidRDefault="001A14A5" w:rsidP="00147D65">
      <w:r>
        <w:separator/>
      </w:r>
    </w:p>
  </w:footnote>
  <w:footnote w:type="continuationSeparator" w:id="0">
    <w:p w14:paraId="24DF351B" w14:textId="77777777" w:rsidR="001A14A5" w:rsidRDefault="001A14A5" w:rsidP="00147D65">
      <w:r>
        <w:continuationSeparator/>
      </w:r>
    </w:p>
  </w:footnote>
  <w:footnote w:id="1">
    <w:p w14:paraId="4EE8E1C4" w14:textId="77777777" w:rsidR="000E7AEB" w:rsidRPr="000E7AEB" w:rsidRDefault="000E7AEB" w:rsidP="000E7AEB">
      <w:pPr>
        <w:pStyle w:val="FootnoteText"/>
        <w:rPr>
          <w:rFonts w:ascii="Centaur" w:hAnsi="Centaur" w:cs="Times New Roman"/>
          <w:sz w:val="22"/>
          <w:szCs w:val="22"/>
          <w:lang w:val="en-CA"/>
        </w:rPr>
      </w:pPr>
      <w:r w:rsidRPr="000E7AEB">
        <w:rPr>
          <w:rStyle w:val="FootnoteReference"/>
          <w:rFonts w:ascii="Centaur" w:hAnsi="Centaur" w:cs="Times New Roman"/>
          <w:sz w:val="22"/>
          <w:szCs w:val="22"/>
        </w:rPr>
        <w:footnoteRef/>
      </w:r>
      <w:r w:rsidRPr="000E7AEB">
        <w:rPr>
          <w:rFonts w:ascii="Centaur" w:hAnsi="Centaur" w:cs="Times New Roman"/>
          <w:sz w:val="22"/>
          <w:szCs w:val="22"/>
        </w:rPr>
        <w:t xml:space="preserve"> </w:t>
      </w:r>
      <w:r>
        <w:rPr>
          <w:rFonts w:ascii="Centaur" w:hAnsi="Centaur" w:cs="Times New Roman"/>
          <w:sz w:val="22"/>
          <w:szCs w:val="22"/>
        </w:rPr>
        <w:t xml:space="preserve">Raymond </w:t>
      </w:r>
      <w:r w:rsidRPr="000E7AEB">
        <w:rPr>
          <w:rFonts w:ascii="Centaur" w:hAnsi="Centaur" w:cs="Times New Roman"/>
          <w:sz w:val="22"/>
          <w:szCs w:val="22"/>
          <w:lang w:val="en-CA"/>
        </w:rPr>
        <w:t xml:space="preserve">Clemens and </w:t>
      </w:r>
      <w:r>
        <w:rPr>
          <w:rFonts w:ascii="Centaur" w:hAnsi="Centaur" w:cs="Times New Roman"/>
          <w:sz w:val="22"/>
          <w:szCs w:val="22"/>
          <w:lang w:val="en-CA"/>
        </w:rPr>
        <w:t xml:space="preserve">Timothy </w:t>
      </w:r>
      <w:r w:rsidRPr="000E7AEB">
        <w:rPr>
          <w:rFonts w:ascii="Centaur" w:hAnsi="Centaur" w:cs="Times New Roman"/>
          <w:sz w:val="22"/>
          <w:szCs w:val="22"/>
          <w:lang w:val="en-CA"/>
        </w:rPr>
        <w:t xml:space="preserve">Graham, </w:t>
      </w:r>
      <w:r>
        <w:rPr>
          <w:rFonts w:ascii="Centaur" w:hAnsi="Centaur" w:cs="Times New Roman"/>
          <w:sz w:val="22"/>
          <w:szCs w:val="22"/>
          <w:lang w:val="en-CA"/>
        </w:rPr>
        <w:t>‘</w:t>
      </w:r>
      <w:r w:rsidRPr="000E7AEB">
        <w:rPr>
          <w:rFonts w:ascii="Centaur" w:hAnsi="Centaur" w:cs="Times New Roman"/>
          <w:sz w:val="22"/>
          <w:szCs w:val="22"/>
          <w:lang w:val="en-CA"/>
        </w:rPr>
        <w:t>Text and Decoration</w:t>
      </w:r>
      <w:r>
        <w:rPr>
          <w:rFonts w:ascii="Centaur" w:hAnsi="Centaur" w:cs="Times New Roman"/>
          <w:sz w:val="22"/>
          <w:szCs w:val="22"/>
          <w:lang w:val="en-CA"/>
        </w:rPr>
        <w:t>’</w:t>
      </w:r>
      <w:r w:rsidRPr="000E7AEB">
        <w:rPr>
          <w:rFonts w:ascii="Centaur" w:hAnsi="Centaur" w:cs="Times New Roman"/>
          <w:sz w:val="22"/>
          <w:szCs w:val="22"/>
          <w:lang w:val="en-CA"/>
        </w:rPr>
        <w:t>,</w:t>
      </w:r>
      <w:r>
        <w:rPr>
          <w:rFonts w:ascii="Centaur" w:hAnsi="Centaur" w:cs="Times New Roman"/>
          <w:sz w:val="22"/>
          <w:szCs w:val="22"/>
          <w:lang w:val="en-CA"/>
        </w:rPr>
        <w:t xml:space="preserve"> in </w:t>
      </w:r>
      <w:r>
        <w:rPr>
          <w:rFonts w:ascii="Centaur" w:hAnsi="Centaur" w:cs="Times New Roman"/>
          <w:i/>
          <w:sz w:val="22"/>
          <w:szCs w:val="22"/>
          <w:lang w:val="en-CA"/>
        </w:rPr>
        <w:t>Introduction to Manuscript Studies</w:t>
      </w:r>
      <w:r>
        <w:rPr>
          <w:rFonts w:ascii="Centaur" w:hAnsi="Centaur" w:cs="Times New Roman"/>
          <w:sz w:val="22"/>
          <w:szCs w:val="22"/>
          <w:lang w:val="en-CA"/>
        </w:rPr>
        <w:t xml:space="preserve"> (Ithaca: Cornell University Press, 2007), pp. 18-34</w:t>
      </w:r>
      <w:r w:rsidRPr="000E7AEB">
        <w:rPr>
          <w:rFonts w:ascii="Centaur" w:hAnsi="Centaur" w:cs="Times New Roman"/>
          <w:sz w:val="22"/>
          <w:szCs w:val="22"/>
          <w:lang w:val="en-CA"/>
        </w:rPr>
        <w:t xml:space="preserve"> </w:t>
      </w:r>
      <w:r>
        <w:rPr>
          <w:rFonts w:ascii="Centaur" w:hAnsi="Centaur" w:cs="Times New Roman"/>
          <w:sz w:val="22"/>
          <w:szCs w:val="22"/>
          <w:lang w:val="en-CA"/>
        </w:rPr>
        <w:t>(</w:t>
      </w:r>
      <w:r w:rsidRPr="000E7AEB">
        <w:rPr>
          <w:rFonts w:ascii="Centaur" w:hAnsi="Centaur" w:cs="Times New Roman"/>
          <w:sz w:val="22"/>
          <w:szCs w:val="22"/>
          <w:lang w:val="en-CA"/>
        </w:rPr>
        <w:t>p. 31</w:t>
      </w:r>
      <w:r>
        <w:rPr>
          <w:rFonts w:ascii="Centaur" w:hAnsi="Centaur" w:cs="Times New Roman"/>
          <w:sz w:val="22"/>
          <w:szCs w:val="22"/>
          <w:lang w:val="en-CA"/>
        </w:rPr>
        <w:t>)</w:t>
      </w:r>
      <w:r w:rsidRPr="000E7AEB">
        <w:rPr>
          <w:rFonts w:ascii="Centaur" w:hAnsi="Centaur" w:cs="Times New Roman"/>
          <w:sz w:val="22"/>
          <w:szCs w:val="22"/>
          <w:lang w:val="en-CA"/>
        </w:rPr>
        <w:t>.</w:t>
      </w:r>
    </w:p>
  </w:footnote>
  <w:footnote w:id="2">
    <w:p w14:paraId="5729F36B" w14:textId="77777777" w:rsidR="000E7AEB" w:rsidRPr="000E7AEB" w:rsidRDefault="000E7AEB" w:rsidP="000E7AEB">
      <w:pPr>
        <w:pStyle w:val="FootnoteText"/>
        <w:rPr>
          <w:rFonts w:ascii="Centaur" w:hAnsi="Centaur" w:cs="Times New Roman"/>
          <w:sz w:val="22"/>
          <w:szCs w:val="22"/>
          <w:lang w:val="en-CA"/>
        </w:rPr>
      </w:pPr>
      <w:r w:rsidRPr="000E7AEB">
        <w:rPr>
          <w:rStyle w:val="FootnoteReference"/>
          <w:rFonts w:ascii="Centaur" w:hAnsi="Centaur" w:cs="Times New Roman"/>
          <w:sz w:val="22"/>
          <w:szCs w:val="22"/>
        </w:rPr>
        <w:footnoteRef/>
      </w:r>
      <w:r w:rsidRPr="000E7AEB">
        <w:rPr>
          <w:rFonts w:ascii="Centaur" w:hAnsi="Centaur" w:cs="Times New Roman"/>
          <w:sz w:val="22"/>
          <w:szCs w:val="22"/>
        </w:rPr>
        <w:t xml:space="preserve"> </w:t>
      </w:r>
      <w:r>
        <w:rPr>
          <w:rFonts w:ascii="Centaur" w:hAnsi="Centaur" w:cs="Times New Roman"/>
          <w:sz w:val="22"/>
          <w:szCs w:val="22"/>
        </w:rPr>
        <w:t>Clemens and Graham, p. 31.</w:t>
      </w:r>
    </w:p>
  </w:footnote>
  <w:footnote w:id="3">
    <w:p w14:paraId="7F6C3A31" w14:textId="77777777" w:rsidR="000E7AEB" w:rsidRPr="000E7AEB" w:rsidRDefault="000E7AEB" w:rsidP="000E7AEB">
      <w:pPr>
        <w:pStyle w:val="FootnoteText"/>
        <w:rPr>
          <w:rFonts w:ascii="Centaur" w:hAnsi="Centaur" w:cs="Times New Roman"/>
          <w:sz w:val="22"/>
          <w:szCs w:val="22"/>
          <w:lang w:val="en-CA"/>
        </w:rPr>
      </w:pPr>
      <w:r w:rsidRPr="000E7AEB">
        <w:rPr>
          <w:rStyle w:val="FootnoteReference"/>
          <w:rFonts w:ascii="Centaur" w:hAnsi="Centaur" w:cs="Times New Roman"/>
          <w:sz w:val="22"/>
          <w:szCs w:val="22"/>
        </w:rPr>
        <w:footnoteRef/>
      </w:r>
      <w:r w:rsidRPr="000E7AEB">
        <w:rPr>
          <w:rFonts w:ascii="Centaur" w:hAnsi="Centaur" w:cs="Times New Roman"/>
          <w:sz w:val="22"/>
          <w:szCs w:val="22"/>
        </w:rPr>
        <w:t xml:space="preserve"> </w:t>
      </w:r>
      <w:r>
        <w:rPr>
          <w:rFonts w:ascii="Centaur" w:hAnsi="Centaur" w:cs="Times New Roman"/>
          <w:sz w:val="22"/>
          <w:szCs w:val="22"/>
        </w:rPr>
        <w:t>Clemens and Graham,</w:t>
      </w:r>
      <w:r w:rsidRPr="000E7AEB">
        <w:rPr>
          <w:rFonts w:ascii="Centaur" w:hAnsi="Centaur" w:cs="Times New Roman"/>
          <w:sz w:val="22"/>
          <w:szCs w:val="22"/>
          <w:lang w:val="en-CA"/>
        </w:rPr>
        <w:t xml:space="preserve"> p. 30.</w:t>
      </w:r>
    </w:p>
  </w:footnote>
  <w:footnote w:id="4">
    <w:p w14:paraId="76016056" w14:textId="77777777" w:rsidR="000E7AEB" w:rsidRPr="000E7AEB" w:rsidRDefault="000E7AEB" w:rsidP="000E7AEB">
      <w:pPr>
        <w:pStyle w:val="FootnoteText"/>
        <w:rPr>
          <w:rFonts w:ascii="Centaur" w:hAnsi="Centaur" w:cs="Times New Roman"/>
          <w:sz w:val="22"/>
          <w:szCs w:val="22"/>
          <w:lang w:val="en-CA"/>
        </w:rPr>
      </w:pPr>
      <w:r w:rsidRPr="000E7AEB">
        <w:rPr>
          <w:rStyle w:val="FootnoteReference"/>
          <w:rFonts w:ascii="Centaur" w:hAnsi="Centaur" w:cs="Times New Roman"/>
          <w:sz w:val="22"/>
          <w:szCs w:val="22"/>
        </w:rPr>
        <w:footnoteRef/>
      </w:r>
      <w:r w:rsidRPr="000E7AEB">
        <w:rPr>
          <w:rFonts w:ascii="Centaur" w:hAnsi="Centaur" w:cs="Times New Roman"/>
          <w:sz w:val="22"/>
          <w:szCs w:val="22"/>
        </w:rPr>
        <w:t xml:space="preserve"> </w:t>
      </w:r>
      <w:r>
        <w:rPr>
          <w:rFonts w:ascii="Centaur" w:hAnsi="Centaur" w:cs="Times New Roman"/>
          <w:sz w:val="22"/>
          <w:szCs w:val="22"/>
        </w:rPr>
        <w:t>Clemens and Graham</w:t>
      </w:r>
      <w:r w:rsidRPr="000E7AEB">
        <w:rPr>
          <w:rFonts w:ascii="Centaur" w:hAnsi="Centaur" w:cs="Times New Roman"/>
          <w:sz w:val="22"/>
          <w:szCs w:val="22"/>
          <w:lang w:val="en-CA"/>
        </w:rPr>
        <w:t>, p. 31.</w:t>
      </w:r>
    </w:p>
  </w:footnote>
  <w:footnote w:id="5">
    <w:p w14:paraId="2DD9AADF" w14:textId="77777777" w:rsidR="008C6921" w:rsidRPr="000E7AEB" w:rsidRDefault="008C6921" w:rsidP="008C6921">
      <w:pPr>
        <w:pStyle w:val="FootnoteText"/>
        <w:rPr>
          <w:rFonts w:ascii="Centaur" w:hAnsi="Centaur" w:cs="Times New Roman"/>
          <w:sz w:val="22"/>
          <w:szCs w:val="22"/>
          <w:lang w:val="en-CA"/>
        </w:rPr>
      </w:pPr>
      <w:r w:rsidRPr="000E7AEB">
        <w:rPr>
          <w:rStyle w:val="FootnoteReference"/>
          <w:rFonts w:ascii="Centaur" w:hAnsi="Centaur" w:cs="Times New Roman"/>
          <w:sz w:val="22"/>
          <w:szCs w:val="22"/>
        </w:rPr>
        <w:footnoteRef/>
      </w:r>
      <w:r w:rsidRPr="000E7AEB">
        <w:rPr>
          <w:rFonts w:ascii="Centaur" w:hAnsi="Centaur" w:cs="Times New Roman"/>
          <w:sz w:val="22"/>
          <w:szCs w:val="22"/>
        </w:rPr>
        <w:t xml:space="preserve"> M. Douma, curator, </w:t>
      </w:r>
      <w:r w:rsidR="00C736C2">
        <w:rPr>
          <w:rFonts w:ascii="Centaur" w:hAnsi="Centaur" w:cs="Times New Roman"/>
          <w:sz w:val="22"/>
          <w:szCs w:val="22"/>
        </w:rPr>
        <w:t>‘</w:t>
      </w:r>
      <w:r w:rsidRPr="000E7AEB">
        <w:rPr>
          <w:rFonts w:ascii="Centaur" w:hAnsi="Centaur" w:cs="Times New Roman"/>
          <w:sz w:val="22"/>
          <w:szCs w:val="22"/>
        </w:rPr>
        <w:t xml:space="preserve">Pigments </w:t>
      </w:r>
      <w:r w:rsidR="00C736C2">
        <w:rPr>
          <w:rFonts w:ascii="Centaur" w:hAnsi="Centaur" w:cs="Times New Roman"/>
          <w:sz w:val="22"/>
          <w:szCs w:val="22"/>
        </w:rPr>
        <w:t>t</w:t>
      </w:r>
      <w:r w:rsidRPr="000E7AEB">
        <w:rPr>
          <w:rFonts w:ascii="Centaur" w:hAnsi="Centaur" w:cs="Times New Roman"/>
          <w:sz w:val="22"/>
          <w:szCs w:val="22"/>
        </w:rPr>
        <w:t>hrough the Ages</w:t>
      </w:r>
      <w:r w:rsidR="00C736C2">
        <w:rPr>
          <w:rFonts w:ascii="Centaur" w:hAnsi="Centaur" w:cs="Times New Roman"/>
          <w:sz w:val="22"/>
          <w:szCs w:val="22"/>
        </w:rPr>
        <w:t>’</w:t>
      </w:r>
      <w:r w:rsidRPr="000E7AEB">
        <w:rPr>
          <w:rFonts w:ascii="Centaur" w:hAnsi="Centaur" w:cs="Times New Roman"/>
          <w:sz w:val="22"/>
          <w:szCs w:val="22"/>
        </w:rPr>
        <w:t xml:space="preserve"> (2008)</w:t>
      </w:r>
      <w:r w:rsidR="00C736C2">
        <w:rPr>
          <w:rFonts w:ascii="Centaur" w:hAnsi="Centaur" w:cs="Times New Roman"/>
          <w:sz w:val="22"/>
          <w:szCs w:val="22"/>
        </w:rPr>
        <w:t xml:space="preserve"> &lt;http://www.webexhibits.org/pigments&gt; [accessed 23 May 2017]</w:t>
      </w:r>
    </w:p>
  </w:footnote>
  <w:footnote w:id="6">
    <w:p w14:paraId="4894BB9A" w14:textId="77777777" w:rsidR="00676E8F" w:rsidRPr="00676E8F" w:rsidRDefault="00676E8F">
      <w:pPr>
        <w:pStyle w:val="FootnoteText"/>
        <w:rPr>
          <w:rFonts w:ascii="Centaur" w:hAnsi="Centaur"/>
          <w:sz w:val="22"/>
          <w:szCs w:val="22"/>
        </w:rPr>
      </w:pPr>
      <w:r w:rsidRPr="00676E8F">
        <w:rPr>
          <w:rStyle w:val="FootnoteReference"/>
          <w:rFonts w:ascii="Centaur" w:hAnsi="Centaur"/>
          <w:sz w:val="22"/>
          <w:szCs w:val="22"/>
        </w:rPr>
        <w:footnoteRef/>
      </w:r>
      <w:r w:rsidRPr="00676E8F">
        <w:rPr>
          <w:rFonts w:ascii="Centaur" w:hAnsi="Centaur"/>
          <w:sz w:val="22"/>
          <w:szCs w:val="22"/>
        </w:rPr>
        <w:t xml:space="preserve"> </w:t>
      </w:r>
      <w:r>
        <w:rPr>
          <w:rFonts w:ascii="Centaur" w:hAnsi="Centaur"/>
          <w:sz w:val="22"/>
          <w:szCs w:val="22"/>
        </w:rPr>
        <w:t xml:space="preserve">Sachiko </w:t>
      </w:r>
      <w:proofErr w:type="spellStart"/>
      <w:r>
        <w:rPr>
          <w:rFonts w:ascii="Centaur" w:hAnsi="Centaur"/>
          <w:sz w:val="22"/>
          <w:szCs w:val="22"/>
        </w:rPr>
        <w:t>Kusukawa</w:t>
      </w:r>
      <w:proofErr w:type="spellEnd"/>
      <w:r>
        <w:rPr>
          <w:rFonts w:ascii="Centaur" w:hAnsi="Centaur"/>
          <w:sz w:val="22"/>
          <w:szCs w:val="22"/>
        </w:rPr>
        <w:t xml:space="preserve">, </w:t>
      </w:r>
      <w:r>
        <w:rPr>
          <w:rFonts w:ascii="Centaur" w:hAnsi="Centaur"/>
          <w:i/>
          <w:sz w:val="22"/>
          <w:szCs w:val="22"/>
        </w:rPr>
        <w:t>Picturing the Book of Nature: Image, Text, and Argument in Sixteenth-Century Human Anatomy and Medical Botany</w:t>
      </w:r>
      <w:r>
        <w:rPr>
          <w:rFonts w:ascii="Centaur" w:hAnsi="Centaur"/>
          <w:sz w:val="22"/>
          <w:szCs w:val="22"/>
        </w:rPr>
        <w:t xml:space="preserve"> (Chicago; London: University of Chicago Press, 2012).</w:t>
      </w:r>
    </w:p>
  </w:footnote>
  <w:footnote w:id="7">
    <w:p w14:paraId="0CEDCEA0" w14:textId="77777777" w:rsidR="00315310" w:rsidRPr="000E7AEB" w:rsidRDefault="00315310" w:rsidP="00315310">
      <w:pPr>
        <w:pStyle w:val="FootnoteText"/>
        <w:rPr>
          <w:rFonts w:ascii="Centaur" w:hAnsi="Centaur"/>
          <w:sz w:val="22"/>
          <w:szCs w:val="22"/>
        </w:rPr>
      </w:pPr>
      <w:r w:rsidRPr="000E7AEB">
        <w:rPr>
          <w:rStyle w:val="FootnoteReference"/>
          <w:rFonts w:ascii="Centaur" w:hAnsi="Centaur"/>
          <w:sz w:val="22"/>
          <w:szCs w:val="22"/>
        </w:rPr>
        <w:footnoteRef/>
      </w:r>
      <w:r w:rsidRPr="000E7AEB">
        <w:rPr>
          <w:rFonts w:ascii="Centaur" w:hAnsi="Centaur"/>
          <w:sz w:val="22"/>
          <w:szCs w:val="22"/>
        </w:rPr>
        <w:t xml:space="preserve"> </w:t>
      </w:r>
      <w:r w:rsidR="000D05D8" w:rsidRPr="000E7AEB">
        <w:rPr>
          <w:rFonts w:ascii="Centaur" w:hAnsi="Centaur"/>
          <w:sz w:val="22"/>
          <w:szCs w:val="22"/>
        </w:rPr>
        <w:t xml:space="preserve">David Landau and Peter Parshall, </w:t>
      </w:r>
      <w:r w:rsidR="000D05D8" w:rsidRPr="000E7AEB">
        <w:rPr>
          <w:rFonts w:ascii="Centaur" w:hAnsi="Centaur"/>
          <w:i/>
          <w:sz w:val="22"/>
          <w:szCs w:val="22"/>
        </w:rPr>
        <w:t>The Renaissance Print, 1470-1550</w:t>
      </w:r>
      <w:r w:rsidR="000D05D8" w:rsidRPr="000E7AEB">
        <w:rPr>
          <w:rFonts w:ascii="Centaur" w:hAnsi="Centaur"/>
          <w:sz w:val="22"/>
          <w:szCs w:val="22"/>
        </w:rPr>
        <w:t xml:space="preserve"> (New Haven and London: Yale University Press, 1994)</w:t>
      </w:r>
      <w:r w:rsidRPr="000E7AEB">
        <w:rPr>
          <w:rFonts w:ascii="Centaur" w:hAnsi="Centaur"/>
          <w:sz w:val="22"/>
          <w:szCs w:val="22"/>
        </w:rPr>
        <w:t>, pp. 257-58.</w:t>
      </w:r>
    </w:p>
  </w:footnote>
  <w:footnote w:id="8">
    <w:p w14:paraId="1A1C9523" w14:textId="77777777" w:rsidR="00315310" w:rsidRPr="000E7AEB" w:rsidRDefault="00315310" w:rsidP="00315310">
      <w:pPr>
        <w:pStyle w:val="FootnoteText"/>
        <w:rPr>
          <w:rFonts w:ascii="Centaur" w:hAnsi="Centaur"/>
          <w:sz w:val="22"/>
          <w:szCs w:val="22"/>
        </w:rPr>
      </w:pPr>
      <w:r w:rsidRPr="000E7AEB">
        <w:rPr>
          <w:rStyle w:val="FootnoteReference"/>
          <w:rFonts w:ascii="Centaur" w:hAnsi="Centaur" w:cs="Times New Roman"/>
          <w:sz w:val="22"/>
          <w:szCs w:val="22"/>
        </w:rPr>
        <w:footnoteRef/>
      </w:r>
      <w:r w:rsidRPr="000E7AEB">
        <w:rPr>
          <w:rFonts w:ascii="Centaur" w:hAnsi="Centaur" w:cs="Times New Roman"/>
          <w:sz w:val="22"/>
          <w:szCs w:val="22"/>
        </w:rPr>
        <w:t xml:space="preserve"> </w:t>
      </w:r>
      <w:proofErr w:type="spellStart"/>
      <w:r w:rsidRPr="000E7AEB">
        <w:rPr>
          <w:rFonts w:ascii="Centaur" w:hAnsi="Centaur" w:cs="Times New Roman"/>
          <w:sz w:val="22"/>
          <w:szCs w:val="22"/>
        </w:rPr>
        <w:t>Sawday</w:t>
      </w:r>
      <w:proofErr w:type="spellEnd"/>
      <w:r w:rsidRPr="000E7AEB">
        <w:rPr>
          <w:rFonts w:ascii="Centaur" w:hAnsi="Centaur" w:cs="Times New Roman"/>
          <w:sz w:val="22"/>
          <w:szCs w:val="22"/>
        </w:rPr>
        <w:t xml:space="preserve">, </w:t>
      </w:r>
      <w:r w:rsidRPr="000E7AEB">
        <w:rPr>
          <w:rFonts w:ascii="Centaur" w:hAnsi="Centaur" w:cs="Times New Roman"/>
          <w:i/>
          <w:iCs/>
          <w:sz w:val="22"/>
          <w:szCs w:val="22"/>
        </w:rPr>
        <w:t>The Body Emblazoned</w:t>
      </w:r>
      <w:r w:rsidR="000D50AB">
        <w:rPr>
          <w:rFonts w:ascii="Centaur" w:hAnsi="Centaur" w:cs="Times New Roman"/>
          <w:i/>
          <w:iCs/>
          <w:sz w:val="22"/>
          <w:szCs w:val="22"/>
        </w:rPr>
        <w:t>: Dissection and the Human Body in Renaissance Culture</w:t>
      </w:r>
      <w:r w:rsidR="000D50AB">
        <w:rPr>
          <w:rFonts w:ascii="Centaur" w:hAnsi="Centaur" w:cs="Times New Roman"/>
          <w:sz w:val="22"/>
          <w:szCs w:val="22"/>
        </w:rPr>
        <w:t xml:space="preserve"> (London: Routledge, 1995),</w:t>
      </w:r>
      <w:r w:rsidRPr="000E7AEB">
        <w:rPr>
          <w:rFonts w:ascii="Centaur" w:hAnsi="Centaur" w:cs="Times New Roman"/>
          <w:sz w:val="22"/>
          <w:szCs w:val="22"/>
        </w:rPr>
        <w:t xml:space="preserve"> p. 133.</w:t>
      </w:r>
    </w:p>
  </w:footnote>
  <w:footnote w:id="9">
    <w:p w14:paraId="55921E5B" w14:textId="77777777" w:rsidR="00315310" w:rsidRPr="000E7AEB" w:rsidRDefault="00315310" w:rsidP="00315310">
      <w:pPr>
        <w:pStyle w:val="FootnoteText"/>
        <w:rPr>
          <w:rFonts w:ascii="Centaur" w:hAnsi="Centaur"/>
          <w:sz w:val="22"/>
          <w:szCs w:val="22"/>
        </w:rPr>
      </w:pPr>
      <w:r w:rsidRPr="000E7AEB">
        <w:rPr>
          <w:rStyle w:val="FootnoteReference"/>
          <w:rFonts w:ascii="Centaur" w:hAnsi="Centaur" w:cs="Times New Roman"/>
          <w:sz w:val="22"/>
          <w:szCs w:val="22"/>
        </w:rPr>
        <w:footnoteRef/>
      </w:r>
      <w:r w:rsidRPr="000E7AEB">
        <w:rPr>
          <w:rFonts w:ascii="Centaur" w:hAnsi="Centaur" w:cs="Times New Roman"/>
          <w:sz w:val="22"/>
          <w:szCs w:val="22"/>
        </w:rPr>
        <w:t xml:space="preserve"> Bernard Schultz, </w:t>
      </w:r>
      <w:r w:rsidRPr="000E7AEB">
        <w:rPr>
          <w:rFonts w:ascii="Centaur" w:hAnsi="Centaur" w:cs="Times New Roman"/>
          <w:i/>
          <w:iCs/>
          <w:sz w:val="22"/>
          <w:szCs w:val="22"/>
        </w:rPr>
        <w:t>Art and Anatomy in Renaissance Italy</w:t>
      </w:r>
      <w:r w:rsidRPr="000E7AEB">
        <w:rPr>
          <w:rFonts w:ascii="Centaur" w:hAnsi="Centaur" w:cs="Times New Roman"/>
          <w:sz w:val="22"/>
          <w:szCs w:val="22"/>
        </w:rPr>
        <w:t>, Studies in Fine Arts: Art Theory, 12 (Ann Arbor: UMI Research, 1985), p. 72.</w:t>
      </w:r>
    </w:p>
  </w:footnote>
  <w:footnote w:id="10">
    <w:p w14:paraId="61A35D34" w14:textId="77777777" w:rsidR="00315310" w:rsidRPr="000E7AEB" w:rsidRDefault="00315310" w:rsidP="00315310">
      <w:pPr>
        <w:pStyle w:val="FootnoteText"/>
        <w:rPr>
          <w:rFonts w:ascii="Centaur" w:hAnsi="Centaur"/>
          <w:sz w:val="22"/>
          <w:szCs w:val="22"/>
        </w:rPr>
      </w:pPr>
      <w:r w:rsidRPr="000E7AEB">
        <w:rPr>
          <w:rStyle w:val="FootnoteReference"/>
          <w:rFonts w:ascii="Centaur" w:hAnsi="Centaur" w:cs="Times New Roman"/>
          <w:sz w:val="22"/>
          <w:szCs w:val="22"/>
        </w:rPr>
        <w:footnoteRef/>
      </w:r>
      <w:r w:rsidRPr="000E7AEB">
        <w:rPr>
          <w:rFonts w:ascii="Centaur" w:hAnsi="Centaur" w:cs="Times New Roman"/>
          <w:sz w:val="22"/>
          <w:szCs w:val="22"/>
        </w:rPr>
        <w:t xml:space="preserve"> </w:t>
      </w:r>
      <w:proofErr w:type="spellStart"/>
      <w:r w:rsidRPr="000E7AEB">
        <w:rPr>
          <w:rFonts w:ascii="Centaur" w:hAnsi="Centaur" w:cs="Times New Roman"/>
          <w:sz w:val="22"/>
          <w:szCs w:val="22"/>
        </w:rPr>
        <w:t>Sawday</w:t>
      </w:r>
      <w:proofErr w:type="spellEnd"/>
      <w:r w:rsidRPr="000E7AEB">
        <w:rPr>
          <w:rFonts w:ascii="Centaur" w:hAnsi="Centaur" w:cs="Times New Roman"/>
          <w:sz w:val="22"/>
          <w:szCs w:val="22"/>
        </w:rPr>
        <w:t xml:space="preserve">, </w:t>
      </w:r>
      <w:r w:rsidRPr="000E7AEB">
        <w:rPr>
          <w:rFonts w:ascii="Centaur" w:hAnsi="Centaur" w:cs="Times New Roman"/>
          <w:i/>
          <w:iCs/>
          <w:sz w:val="22"/>
          <w:szCs w:val="22"/>
        </w:rPr>
        <w:t>The Body Emblazoned</w:t>
      </w:r>
      <w:r w:rsidRPr="000E7AEB">
        <w:rPr>
          <w:rFonts w:ascii="Centaur" w:hAnsi="Centaur" w:cs="Times New Roman"/>
          <w:sz w:val="22"/>
          <w:szCs w:val="22"/>
        </w:rPr>
        <w:t>, p. 86.</w:t>
      </w:r>
    </w:p>
  </w:footnote>
  <w:footnote w:id="11">
    <w:p w14:paraId="2B96210B" w14:textId="77777777" w:rsidR="003036A9" w:rsidRPr="003036A9" w:rsidRDefault="003036A9" w:rsidP="003036A9">
      <w:pPr>
        <w:pStyle w:val="FootnoteText"/>
        <w:rPr>
          <w:rFonts w:ascii="Centaur" w:hAnsi="Centaur"/>
          <w:sz w:val="22"/>
          <w:szCs w:val="22"/>
        </w:rPr>
      </w:pPr>
      <w:r w:rsidRPr="003036A9">
        <w:rPr>
          <w:rStyle w:val="FootnoteReference"/>
          <w:rFonts w:ascii="Centaur" w:hAnsi="Centaur"/>
          <w:sz w:val="22"/>
          <w:szCs w:val="22"/>
        </w:rPr>
        <w:footnoteRef/>
      </w:r>
      <w:r w:rsidRPr="003036A9">
        <w:rPr>
          <w:rFonts w:ascii="Centaur" w:hAnsi="Centaur"/>
          <w:sz w:val="22"/>
          <w:szCs w:val="22"/>
        </w:rPr>
        <w:t xml:space="preserve"> Andrew Cunningham, </w:t>
      </w:r>
      <w:r w:rsidRPr="003036A9">
        <w:rPr>
          <w:rFonts w:ascii="Centaur" w:hAnsi="Centaur"/>
          <w:i/>
          <w:iCs/>
          <w:sz w:val="22"/>
          <w:szCs w:val="22"/>
        </w:rPr>
        <w:t>The Anatomical Renaissance: The Resurrection of the Anatomical Projects of the Ancients</w:t>
      </w:r>
      <w:r w:rsidRPr="003036A9">
        <w:rPr>
          <w:rFonts w:ascii="Centaur" w:hAnsi="Centaur"/>
          <w:sz w:val="22"/>
          <w:szCs w:val="22"/>
        </w:rPr>
        <w:t xml:space="preserve"> (Aldershot: </w:t>
      </w:r>
      <w:proofErr w:type="spellStart"/>
      <w:r w:rsidRPr="003036A9">
        <w:rPr>
          <w:rFonts w:ascii="Centaur" w:hAnsi="Centaur"/>
          <w:sz w:val="22"/>
          <w:szCs w:val="22"/>
        </w:rPr>
        <w:t>Scolar</w:t>
      </w:r>
      <w:proofErr w:type="spellEnd"/>
      <w:r w:rsidRPr="003036A9">
        <w:rPr>
          <w:rFonts w:ascii="Centaur" w:hAnsi="Centaur"/>
          <w:sz w:val="22"/>
          <w:szCs w:val="22"/>
        </w:rPr>
        <w:t xml:space="preserve"> Press, 1997), p. 91, remarks that a student at Vesalius’s first anatomy, which took place from the sixth to the twenty-fourth of December, 1537, when Vesalius was Demonstrator of Anatomy and Lecturer in Surgery at the University of Padua, said that Vesalius declared his intention to publish his illustrations of the distribution of the veins, arteries and nerves. Cunningham adds: ‘Already, in his first surgical lectures and his first anatomical demonstration, Vesalius was thinking visually’ (p. 91). The student’s notes, which Cunningham has consulted, contain sketches, copied down from diagrams produced by Vesalius in the course of the anatomical demonstrations.</w:t>
      </w:r>
    </w:p>
  </w:footnote>
  <w:footnote w:id="12">
    <w:p w14:paraId="397E70EC" w14:textId="77777777" w:rsidR="003036A9" w:rsidRPr="003036A9" w:rsidRDefault="003036A9" w:rsidP="003036A9">
      <w:pPr>
        <w:pStyle w:val="FootnoteText"/>
        <w:rPr>
          <w:rFonts w:ascii="Centaur" w:hAnsi="Centaur"/>
          <w:sz w:val="22"/>
          <w:szCs w:val="22"/>
        </w:rPr>
      </w:pPr>
      <w:r w:rsidRPr="003036A9">
        <w:rPr>
          <w:rStyle w:val="FootnoteReference"/>
          <w:rFonts w:ascii="Centaur" w:hAnsi="Centaur"/>
          <w:sz w:val="22"/>
          <w:szCs w:val="22"/>
        </w:rPr>
        <w:footnoteRef/>
      </w:r>
      <w:r w:rsidRPr="003036A9">
        <w:rPr>
          <w:rFonts w:ascii="Centaur" w:hAnsi="Centaur"/>
          <w:sz w:val="22"/>
          <w:szCs w:val="22"/>
        </w:rPr>
        <w:t xml:space="preserve"> Andreas Vesalius, </w:t>
      </w:r>
      <w:r w:rsidRPr="003036A9">
        <w:rPr>
          <w:rFonts w:ascii="Centaur" w:hAnsi="Centaur"/>
          <w:i/>
          <w:iCs/>
          <w:sz w:val="22"/>
          <w:szCs w:val="22"/>
        </w:rPr>
        <w:t xml:space="preserve">De </w:t>
      </w:r>
      <w:proofErr w:type="spellStart"/>
      <w:r w:rsidRPr="003036A9">
        <w:rPr>
          <w:rFonts w:ascii="Centaur" w:hAnsi="Centaur"/>
          <w:i/>
          <w:iCs/>
          <w:sz w:val="22"/>
          <w:szCs w:val="22"/>
        </w:rPr>
        <w:t>humani</w:t>
      </w:r>
      <w:proofErr w:type="spellEnd"/>
      <w:r w:rsidRPr="003036A9">
        <w:rPr>
          <w:rFonts w:ascii="Centaur" w:hAnsi="Centaur"/>
          <w:i/>
          <w:iCs/>
          <w:sz w:val="22"/>
          <w:szCs w:val="22"/>
        </w:rPr>
        <w:t xml:space="preserve"> corporis </w:t>
      </w:r>
      <w:proofErr w:type="spellStart"/>
      <w:r w:rsidRPr="003036A9">
        <w:rPr>
          <w:rFonts w:ascii="Centaur" w:hAnsi="Centaur"/>
          <w:i/>
          <w:iCs/>
          <w:sz w:val="22"/>
          <w:szCs w:val="22"/>
        </w:rPr>
        <w:t>fabrica</w:t>
      </w:r>
      <w:proofErr w:type="spellEnd"/>
      <w:r w:rsidRPr="003036A9">
        <w:rPr>
          <w:rFonts w:ascii="Centaur" w:hAnsi="Centaur"/>
          <w:i/>
          <w:iCs/>
          <w:sz w:val="22"/>
          <w:szCs w:val="22"/>
        </w:rPr>
        <w:t xml:space="preserve"> libri </w:t>
      </w:r>
      <w:proofErr w:type="spellStart"/>
      <w:r w:rsidRPr="003036A9">
        <w:rPr>
          <w:rFonts w:ascii="Centaur" w:hAnsi="Centaur"/>
          <w:i/>
          <w:iCs/>
          <w:sz w:val="22"/>
          <w:szCs w:val="22"/>
        </w:rPr>
        <w:t>septem</w:t>
      </w:r>
      <w:proofErr w:type="spellEnd"/>
      <w:r w:rsidRPr="003036A9">
        <w:rPr>
          <w:rFonts w:ascii="Centaur" w:hAnsi="Centaur"/>
          <w:sz w:val="22"/>
          <w:szCs w:val="22"/>
        </w:rPr>
        <w:t xml:space="preserve"> (Basle: Johann </w:t>
      </w:r>
      <w:proofErr w:type="spellStart"/>
      <w:r w:rsidRPr="003036A9">
        <w:rPr>
          <w:rFonts w:ascii="Centaur" w:hAnsi="Centaur"/>
          <w:sz w:val="22"/>
          <w:szCs w:val="22"/>
        </w:rPr>
        <w:t>Oporinus</w:t>
      </w:r>
      <w:proofErr w:type="spellEnd"/>
      <w:r w:rsidRPr="003036A9">
        <w:rPr>
          <w:rFonts w:ascii="Centaur" w:hAnsi="Centaur"/>
          <w:sz w:val="22"/>
          <w:szCs w:val="22"/>
        </w:rPr>
        <w:t>, 1543).</w:t>
      </w:r>
    </w:p>
  </w:footnote>
  <w:footnote w:id="13">
    <w:p w14:paraId="533B6D0E" w14:textId="77777777" w:rsidR="00315310" w:rsidRPr="000E7AEB" w:rsidRDefault="00315310" w:rsidP="00315310">
      <w:pPr>
        <w:pStyle w:val="FootnoteText"/>
        <w:rPr>
          <w:rFonts w:ascii="Centaur" w:hAnsi="Centaur"/>
          <w:sz w:val="22"/>
          <w:szCs w:val="22"/>
        </w:rPr>
      </w:pPr>
      <w:r w:rsidRPr="000E7AEB">
        <w:rPr>
          <w:rStyle w:val="FootnoteReference"/>
          <w:rFonts w:ascii="Centaur" w:hAnsi="Centaur"/>
          <w:sz w:val="22"/>
          <w:szCs w:val="22"/>
        </w:rPr>
        <w:footnoteRef/>
      </w:r>
      <w:r w:rsidRPr="000E7AEB">
        <w:rPr>
          <w:rFonts w:ascii="Centaur" w:hAnsi="Centaur"/>
          <w:sz w:val="22"/>
          <w:szCs w:val="22"/>
        </w:rPr>
        <w:t xml:space="preserve"> Landau and Parshall, </w:t>
      </w:r>
      <w:r w:rsidRPr="000E7AEB">
        <w:rPr>
          <w:rFonts w:ascii="Centaur" w:hAnsi="Centaur"/>
          <w:i/>
          <w:sz w:val="22"/>
          <w:szCs w:val="22"/>
        </w:rPr>
        <w:t>The Renaissance Print, 1470-1550</w:t>
      </w:r>
      <w:r w:rsidRPr="000E7AEB">
        <w:rPr>
          <w:rFonts w:ascii="Centaur" w:hAnsi="Centaur"/>
          <w:sz w:val="22"/>
          <w:szCs w:val="22"/>
        </w:rPr>
        <w:t>, p. 259.</w:t>
      </w:r>
    </w:p>
  </w:footnote>
  <w:footnote w:id="14">
    <w:p w14:paraId="29D391C5" w14:textId="77777777" w:rsidR="00315310" w:rsidRPr="000E7AEB" w:rsidRDefault="00315310" w:rsidP="00315310">
      <w:pPr>
        <w:pStyle w:val="FootnoteText"/>
        <w:rPr>
          <w:rFonts w:ascii="Centaur" w:hAnsi="Centaur"/>
          <w:sz w:val="22"/>
          <w:szCs w:val="22"/>
        </w:rPr>
      </w:pPr>
      <w:r w:rsidRPr="000E7AEB">
        <w:rPr>
          <w:rStyle w:val="FootnoteReference"/>
          <w:rFonts w:ascii="Centaur" w:hAnsi="Centaur" w:cs="Times New Roman"/>
          <w:sz w:val="22"/>
          <w:szCs w:val="22"/>
        </w:rPr>
        <w:footnoteRef/>
      </w:r>
      <w:r w:rsidRPr="000E7AEB">
        <w:rPr>
          <w:rFonts w:ascii="Centaur" w:hAnsi="Centaur" w:cs="Times New Roman"/>
          <w:sz w:val="22"/>
          <w:szCs w:val="22"/>
        </w:rPr>
        <w:t xml:space="preserve"> Kemp, ‘“The mark of truth”’, p. 89.</w:t>
      </w:r>
    </w:p>
  </w:footnote>
  <w:footnote w:id="15">
    <w:p w14:paraId="348C0AAF" w14:textId="77777777" w:rsidR="00315310" w:rsidRPr="000E7AEB" w:rsidRDefault="00315310" w:rsidP="00315310">
      <w:pPr>
        <w:pStyle w:val="FootnoteText"/>
        <w:rPr>
          <w:rFonts w:ascii="Centaur" w:hAnsi="Centaur"/>
          <w:sz w:val="22"/>
          <w:szCs w:val="22"/>
        </w:rPr>
      </w:pPr>
      <w:r w:rsidRPr="000E7AEB">
        <w:rPr>
          <w:rStyle w:val="FootnoteReference"/>
          <w:rFonts w:ascii="Centaur" w:hAnsi="Centaur" w:cs="Times New Roman"/>
          <w:sz w:val="22"/>
          <w:szCs w:val="22"/>
        </w:rPr>
        <w:footnoteRef/>
      </w:r>
      <w:r w:rsidRPr="000E7AEB">
        <w:rPr>
          <w:rFonts w:ascii="Centaur" w:hAnsi="Centaur" w:cs="Times New Roman"/>
          <w:sz w:val="22"/>
          <w:szCs w:val="22"/>
        </w:rPr>
        <w:t xml:space="preserve"> See Kemp, ‘“The mark of truth”’, pp. 88-89.</w:t>
      </w:r>
    </w:p>
  </w:footnote>
  <w:footnote w:id="16">
    <w:p w14:paraId="7B82A66D" w14:textId="77777777" w:rsidR="00580D0C" w:rsidRPr="000E7AEB" w:rsidRDefault="00580D0C" w:rsidP="00580D0C">
      <w:pPr>
        <w:pStyle w:val="FootnoteText"/>
        <w:rPr>
          <w:rFonts w:ascii="Centaur" w:hAnsi="Centaur"/>
          <w:sz w:val="22"/>
          <w:szCs w:val="22"/>
        </w:rPr>
      </w:pPr>
      <w:r w:rsidRPr="000E7AEB">
        <w:rPr>
          <w:rStyle w:val="FootnoteReference"/>
          <w:rFonts w:ascii="Centaur" w:hAnsi="Centaur"/>
          <w:sz w:val="22"/>
          <w:szCs w:val="22"/>
        </w:rPr>
        <w:footnoteRef/>
      </w:r>
      <w:r w:rsidRPr="000E7AEB">
        <w:rPr>
          <w:rFonts w:ascii="Centaur" w:hAnsi="Centaur"/>
          <w:sz w:val="22"/>
          <w:szCs w:val="22"/>
        </w:rPr>
        <w:t xml:space="preserve"> </w:t>
      </w:r>
      <w:r w:rsidR="00130C23" w:rsidRPr="000E7AEB">
        <w:rPr>
          <w:rFonts w:ascii="Centaur" w:hAnsi="Centaur"/>
          <w:sz w:val="22"/>
          <w:szCs w:val="22"/>
        </w:rPr>
        <w:t xml:space="preserve">Martin Kemp, </w:t>
      </w:r>
      <w:proofErr w:type="spellStart"/>
      <w:r w:rsidR="00130C23" w:rsidRPr="000E7AEB">
        <w:rPr>
          <w:rFonts w:ascii="Centaur" w:hAnsi="Centaur"/>
          <w:i/>
          <w:sz w:val="22"/>
          <w:szCs w:val="22"/>
        </w:rPr>
        <w:t>Bodyscapes</w:t>
      </w:r>
      <w:proofErr w:type="spellEnd"/>
      <w:r w:rsidR="00130C23" w:rsidRPr="000E7AEB">
        <w:rPr>
          <w:rFonts w:ascii="Centaur" w:hAnsi="Centaur"/>
          <w:i/>
          <w:sz w:val="22"/>
          <w:szCs w:val="22"/>
        </w:rPr>
        <w:t>: Images of Human Anatomy from the Collections of St. Andrews University</w:t>
      </w:r>
      <w:r w:rsidR="00130C23" w:rsidRPr="000E7AEB">
        <w:rPr>
          <w:rFonts w:ascii="Centaur" w:hAnsi="Centaur"/>
          <w:sz w:val="22"/>
          <w:szCs w:val="22"/>
        </w:rPr>
        <w:t xml:space="preserve"> (</w:t>
      </w:r>
      <w:proofErr w:type="spellStart"/>
      <w:r w:rsidR="00130C23" w:rsidRPr="000E7AEB">
        <w:rPr>
          <w:rFonts w:ascii="Centaur" w:hAnsi="Centaur"/>
          <w:sz w:val="22"/>
          <w:szCs w:val="22"/>
        </w:rPr>
        <w:t>n.p.</w:t>
      </w:r>
      <w:proofErr w:type="spellEnd"/>
      <w:r w:rsidR="00130C23" w:rsidRPr="000E7AEB">
        <w:rPr>
          <w:rFonts w:ascii="Centaur" w:hAnsi="Centaur"/>
          <w:sz w:val="22"/>
          <w:szCs w:val="22"/>
        </w:rPr>
        <w:t xml:space="preserve">, 1995), </w:t>
      </w:r>
      <w:r w:rsidRPr="000E7AEB">
        <w:rPr>
          <w:rFonts w:ascii="Centaur" w:hAnsi="Centaur"/>
          <w:sz w:val="22"/>
          <w:szCs w:val="22"/>
        </w:rPr>
        <w:t>p. 2.</w:t>
      </w:r>
    </w:p>
  </w:footnote>
  <w:footnote w:id="17">
    <w:p w14:paraId="5E378F0B" w14:textId="77777777" w:rsidR="00580D0C" w:rsidRPr="000E7AEB" w:rsidRDefault="00580D0C" w:rsidP="00580D0C">
      <w:pPr>
        <w:pStyle w:val="FootnoteText"/>
        <w:rPr>
          <w:rFonts w:ascii="Centaur" w:hAnsi="Centaur" w:cs="Times New Roman"/>
          <w:sz w:val="22"/>
          <w:szCs w:val="22"/>
        </w:rPr>
      </w:pPr>
      <w:r w:rsidRPr="000E7AEB">
        <w:rPr>
          <w:rStyle w:val="FootnoteReference"/>
          <w:rFonts w:ascii="Centaur" w:hAnsi="Centaur" w:cs="Times New Roman"/>
          <w:sz w:val="22"/>
          <w:szCs w:val="22"/>
        </w:rPr>
        <w:footnoteRef/>
      </w:r>
      <w:r w:rsidRPr="000E7AEB">
        <w:rPr>
          <w:rFonts w:ascii="Centaur" w:hAnsi="Centaur" w:cs="Times New Roman"/>
          <w:sz w:val="22"/>
          <w:szCs w:val="22"/>
        </w:rPr>
        <w:t xml:space="preserve"> Kemp, ‘“The mark of truth”’, pp. 85-87.</w:t>
      </w:r>
    </w:p>
  </w:footnote>
  <w:footnote w:id="18">
    <w:p w14:paraId="18D34962" w14:textId="77777777" w:rsidR="00736754" w:rsidRPr="000E7AEB" w:rsidRDefault="00736754" w:rsidP="00736754">
      <w:pPr>
        <w:pStyle w:val="FootnoteText"/>
        <w:rPr>
          <w:rFonts w:ascii="Centaur" w:hAnsi="Centaur"/>
          <w:sz w:val="22"/>
          <w:szCs w:val="22"/>
        </w:rPr>
      </w:pPr>
      <w:r w:rsidRPr="000E7AEB">
        <w:rPr>
          <w:rStyle w:val="FootnoteReference"/>
          <w:rFonts w:ascii="Centaur" w:hAnsi="Centaur"/>
          <w:sz w:val="22"/>
          <w:szCs w:val="22"/>
        </w:rPr>
        <w:footnoteRef/>
      </w:r>
      <w:r w:rsidRPr="000E7AEB">
        <w:rPr>
          <w:rFonts w:ascii="Centaur" w:hAnsi="Centaur"/>
          <w:sz w:val="22"/>
          <w:szCs w:val="22"/>
        </w:rPr>
        <w:t xml:space="preserve"> Landau and Parshall, </w:t>
      </w:r>
      <w:r w:rsidRPr="000E7AEB">
        <w:rPr>
          <w:rFonts w:ascii="Centaur" w:hAnsi="Centaur"/>
          <w:i/>
          <w:sz w:val="22"/>
          <w:szCs w:val="22"/>
        </w:rPr>
        <w:t>The Renaissance Print, 1470-1550</w:t>
      </w:r>
      <w:r w:rsidRPr="000E7AEB">
        <w:rPr>
          <w:rFonts w:ascii="Centaur" w:hAnsi="Centaur"/>
          <w:sz w:val="22"/>
          <w:szCs w:val="22"/>
        </w:rPr>
        <w:t>,</w:t>
      </w:r>
      <w:r>
        <w:rPr>
          <w:rFonts w:ascii="Centaur" w:hAnsi="Centaur"/>
          <w:sz w:val="22"/>
          <w:szCs w:val="22"/>
        </w:rPr>
        <w:t xml:space="preserve"> </w:t>
      </w:r>
      <w:r w:rsidRPr="000E7AEB">
        <w:rPr>
          <w:rFonts w:ascii="Centaur" w:hAnsi="Centaur"/>
          <w:sz w:val="22"/>
          <w:szCs w:val="22"/>
        </w:rPr>
        <w:t>p. 257.</w:t>
      </w:r>
    </w:p>
  </w:footnote>
  <w:footnote w:id="19">
    <w:p w14:paraId="7CB3067F" w14:textId="77777777" w:rsidR="00736754" w:rsidRPr="000E7AEB" w:rsidRDefault="00736754" w:rsidP="00736754">
      <w:pPr>
        <w:pStyle w:val="FootnoteText"/>
        <w:rPr>
          <w:rFonts w:ascii="Centaur" w:hAnsi="Centaur"/>
          <w:sz w:val="22"/>
          <w:szCs w:val="22"/>
        </w:rPr>
      </w:pPr>
      <w:r w:rsidRPr="000E7AEB">
        <w:rPr>
          <w:rStyle w:val="FootnoteReference"/>
          <w:rFonts w:ascii="Centaur" w:hAnsi="Centaur"/>
          <w:sz w:val="22"/>
          <w:szCs w:val="22"/>
        </w:rPr>
        <w:footnoteRef/>
      </w:r>
      <w:r w:rsidRPr="000E7AEB">
        <w:rPr>
          <w:rFonts w:ascii="Centaur" w:hAnsi="Centaur"/>
          <w:sz w:val="22"/>
          <w:szCs w:val="22"/>
        </w:rPr>
        <w:t xml:space="preserve"> John Bell, </w:t>
      </w:r>
      <w:r w:rsidRPr="000E7AEB">
        <w:rPr>
          <w:rFonts w:ascii="Centaur" w:hAnsi="Centaur"/>
          <w:i/>
          <w:sz w:val="22"/>
          <w:szCs w:val="22"/>
        </w:rPr>
        <w:t>Engravings of the Anatomy of the Bones, Muscles and Joints</w:t>
      </w:r>
      <w:r w:rsidRPr="000E7AEB">
        <w:rPr>
          <w:rFonts w:ascii="Centaur" w:hAnsi="Centaur"/>
          <w:sz w:val="22"/>
          <w:szCs w:val="22"/>
        </w:rPr>
        <w:t xml:space="preserve"> (1794), cited by Kemp, </w:t>
      </w:r>
      <w:proofErr w:type="spellStart"/>
      <w:r w:rsidRPr="000E7AEB">
        <w:rPr>
          <w:rFonts w:ascii="Centaur" w:hAnsi="Centaur"/>
          <w:i/>
          <w:sz w:val="22"/>
          <w:szCs w:val="22"/>
        </w:rPr>
        <w:t>Bodyscapes</w:t>
      </w:r>
      <w:proofErr w:type="spellEnd"/>
      <w:r w:rsidRPr="000E7AEB">
        <w:rPr>
          <w:rFonts w:ascii="Centaur" w:hAnsi="Centaur"/>
          <w:sz w:val="22"/>
          <w:szCs w:val="22"/>
        </w:rPr>
        <w:t>, p. 4.</w:t>
      </w:r>
    </w:p>
  </w:footnote>
  <w:footnote w:id="20">
    <w:p w14:paraId="6113C3B6" w14:textId="77777777" w:rsidR="00132064" w:rsidRPr="000E7AEB" w:rsidRDefault="00132064" w:rsidP="00132064">
      <w:pPr>
        <w:pStyle w:val="FootnoteText"/>
        <w:rPr>
          <w:rFonts w:ascii="Centaur" w:hAnsi="Centaur"/>
          <w:sz w:val="22"/>
          <w:szCs w:val="22"/>
        </w:rPr>
      </w:pPr>
      <w:r w:rsidRPr="000E7AEB">
        <w:rPr>
          <w:rStyle w:val="FootnoteReference"/>
          <w:rFonts w:ascii="Centaur" w:hAnsi="Centaur" w:cs="Times New Roman"/>
          <w:sz w:val="22"/>
          <w:szCs w:val="22"/>
        </w:rPr>
        <w:footnoteRef/>
      </w:r>
      <w:r w:rsidRPr="000E7AEB">
        <w:rPr>
          <w:rFonts w:ascii="Centaur" w:hAnsi="Centaur" w:cs="Times New Roman"/>
          <w:sz w:val="22"/>
          <w:szCs w:val="22"/>
        </w:rPr>
        <w:t xml:space="preserve"> </w:t>
      </w:r>
      <w:r>
        <w:rPr>
          <w:rFonts w:ascii="Centaur" w:hAnsi="Centaur" w:cs="Times New Roman"/>
          <w:sz w:val="22"/>
          <w:szCs w:val="22"/>
        </w:rPr>
        <w:t xml:space="preserve">Andreas </w:t>
      </w:r>
      <w:r w:rsidRPr="000E7AEB">
        <w:rPr>
          <w:rFonts w:ascii="Centaur" w:hAnsi="Centaur" w:cs="Times New Roman"/>
          <w:sz w:val="22"/>
          <w:szCs w:val="22"/>
        </w:rPr>
        <w:t xml:space="preserve">Vesalius, The Dedicatory Letter to Prince Philip, in L.R. Lind, ed., </w:t>
      </w:r>
      <w:r w:rsidRPr="000E7AEB">
        <w:rPr>
          <w:rFonts w:ascii="Centaur" w:hAnsi="Centaur" w:cs="Times New Roman"/>
          <w:i/>
          <w:iCs/>
          <w:sz w:val="22"/>
          <w:szCs w:val="22"/>
        </w:rPr>
        <w:t>The Epitome of Andreas Vesalius</w:t>
      </w:r>
      <w:r w:rsidRPr="000E7AEB">
        <w:rPr>
          <w:rFonts w:ascii="Centaur" w:hAnsi="Centaur" w:cs="Times New Roman"/>
          <w:iCs/>
          <w:sz w:val="22"/>
          <w:szCs w:val="22"/>
        </w:rPr>
        <w:t>, trans. from the Latin (Cambridge, Mass. &amp; London: M.I.T. Press, 1969),</w:t>
      </w:r>
      <w:r w:rsidRPr="000E7AEB">
        <w:rPr>
          <w:rFonts w:ascii="Centaur" w:hAnsi="Centaur" w:cs="Times New Roman"/>
          <w:sz w:val="22"/>
          <w:szCs w:val="22"/>
        </w:rPr>
        <w:t xml:space="preserve"> p. xxxiii.</w:t>
      </w:r>
    </w:p>
  </w:footnote>
  <w:footnote w:id="21">
    <w:p w14:paraId="4E4810BB" w14:textId="77777777" w:rsidR="00132064" w:rsidRPr="000E7AEB" w:rsidRDefault="00132064" w:rsidP="00132064">
      <w:pPr>
        <w:pStyle w:val="FootnoteText"/>
        <w:rPr>
          <w:rFonts w:ascii="Centaur" w:hAnsi="Centaur"/>
          <w:sz w:val="22"/>
          <w:szCs w:val="22"/>
        </w:rPr>
      </w:pPr>
      <w:r w:rsidRPr="000E7AEB">
        <w:rPr>
          <w:rStyle w:val="FootnoteReference"/>
          <w:rFonts w:ascii="Centaur" w:hAnsi="Centaur" w:cs="Times New Roman"/>
          <w:sz w:val="22"/>
          <w:szCs w:val="22"/>
        </w:rPr>
        <w:footnoteRef/>
      </w:r>
      <w:r w:rsidRPr="000E7AEB">
        <w:rPr>
          <w:rFonts w:ascii="Centaur" w:hAnsi="Centaur" w:cs="Times New Roman"/>
          <w:sz w:val="22"/>
          <w:szCs w:val="22"/>
        </w:rPr>
        <w:t xml:space="preserve"> William Heckscher, </w:t>
      </w:r>
      <w:r w:rsidRPr="000E7AEB">
        <w:rPr>
          <w:rFonts w:ascii="Centaur" w:hAnsi="Centaur" w:cs="Times New Roman"/>
          <w:i/>
          <w:iCs/>
          <w:sz w:val="22"/>
          <w:szCs w:val="22"/>
        </w:rPr>
        <w:t xml:space="preserve">Rembrandt’s Anatomy of </w:t>
      </w:r>
      <w:proofErr w:type="spellStart"/>
      <w:r w:rsidRPr="000E7AEB">
        <w:rPr>
          <w:rFonts w:ascii="Centaur" w:hAnsi="Centaur" w:cs="Times New Roman"/>
          <w:i/>
          <w:iCs/>
          <w:sz w:val="22"/>
          <w:szCs w:val="22"/>
        </w:rPr>
        <w:t>Dr.</w:t>
      </w:r>
      <w:proofErr w:type="spellEnd"/>
      <w:r w:rsidRPr="000E7AEB">
        <w:rPr>
          <w:rFonts w:ascii="Centaur" w:hAnsi="Centaur" w:cs="Times New Roman"/>
          <w:i/>
          <w:iCs/>
          <w:sz w:val="22"/>
          <w:szCs w:val="22"/>
        </w:rPr>
        <w:t xml:space="preserve"> Nicolaas Tulp: An Iconological Study</w:t>
      </w:r>
      <w:r w:rsidRPr="000E7AEB">
        <w:rPr>
          <w:rFonts w:ascii="Centaur" w:hAnsi="Centaur" w:cs="Times New Roman"/>
          <w:sz w:val="22"/>
          <w:szCs w:val="22"/>
        </w:rPr>
        <w:t xml:space="preserve"> (New York: New York University Press, 1958), p. 62.</w:t>
      </w:r>
    </w:p>
  </w:footnote>
  <w:footnote w:id="22">
    <w:p w14:paraId="3DB6BA30" w14:textId="77777777" w:rsidR="00132064" w:rsidRPr="000E7AEB" w:rsidRDefault="00132064" w:rsidP="00132064">
      <w:pPr>
        <w:pStyle w:val="FootnoteText"/>
        <w:rPr>
          <w:rFonts w:ascii="Centaur" w:hAnsi="Centaur"/>
          <w:sz w:val="22"/>
          <w:szCs w:val="22"/>
        </w:rPr>
      </w:pPr>
      <w:r w:rsidRPr="000E7AEB">
        <w:rPr>
          <w:rStyle w:val="FootnoteReference"/>
          <w:rFonts w:ascii="Centaur" w:hAnsi="Centaur" w:cs="Times New Roman"/>
          <w:sz w:val="22"/>
          <w:szCs w:val="22"/>
        </w:rPr>
        <w:footnoteRef/>
      </w:r>
      <w:r w:rsidRPr="000E7AEB">
        <w:rPr>
          <w:rFonts w:ascii="Centaur" w:hAnsi="Centaur" w:cs="Times New Roman"/>
          <w:sz w:val="22"/>
          <w:szCs w:val="22"/>
        </w:rPr>
        <w:t xml:space="preserve"> MS Windsor, Royal Library, 19013v, cited in Martin Kemp, ‘“The mark of truth”: Looking and Learning in Some Anatomical Illustrations from the Renaissance and Eighteenth Century’, in </w:t>
      </w:r>
      <w:r w:rsidRPr="000E7AEB">
        <w:rPr>
          <w:rFonts w:ascii="Centaur" w:hAnsi="Centaur" w:cs="Times New Roman"/>
          <w:i/>
          <w:sz w:val="22"/>
          <w:szCs w:val="22"/>
        </w:rPr>
        <w:t>Medicine and the Five Senses</w:t>
      </w:r>
      <w:r w:rsidRPr="000E7AEB">
        <w:rPr>
          <w:rFonts w:ascii="Centaur" w:hAnsi="Centaur" w:cs="Times New Roman"/>
          <w:sz w:val="22"/>
          <w:szCs w:val="22"/>
        </w:rPr>
        <w:t xml:space="preserve">, ed. by W.F. Bynum and Roy Porter (Cambridge, New York &amp; Victoria: Cambridge </w:t>
      </w:r>
      <w:r>
        <w:rPr>
          <w:rFonts w:ascii="Centaur" w:hAnsi="Centaur" w:cs="Times New Roman"/>
          <w:sz w:val="22"/>
          <w:szCs w:val="22"/>
        </w:rPr>
        <w:t>University Press, 1993), p. 94.</w:t>
      </w:r>
    </w:p>
  </w:footnote>
  <w:footnote w:id="23">
    <w:p w14:paraId="26119EA1" w14:textId="77777777" w:rsidR="00132064" w:rsidRPr="000E7AEB" w:rsidRDefault="00132064" w:rsidP="00132064">
      <w:pPr>
        <w:pStyle w:val="FootnoteText"/>
        <w:rPr>
          <w:rFonts w:ascii="Centaur" w:hAnsi="Centaur"/>
          <w:sz w:val="22"/>
          <w:szCs w:val="22"/>
        </w:rPr>
      </w:pPr>
      <w:r w:rsidRPr="000E7AEB">
        <w:rPr>
          <w:rStyle w:val="FootnoteReference"/>
          <w:rFonts w:ascii="Centaur" w:hAnsi="Centaur" w:cs="Times New Roman"/>
          <w:sz w:val="22"/>
          <w:szCs w:val="22"/>
        </w:rPr>
        <w:footnoteRef/>
      </w:r>
      <w:r w:rsidRPr="000E7AEB">
        <w:rPr>
          <w:rFonts w:ascii="Centaur" w:hAnsi="Centaur" w:cs="Times New Roman"/>
          <w:sz w:val="22"/>
          <w:szCs w:val="22"/>
        </w:rPr>
        <w:t xml:space="preserve"> Kemp, ‘“The mark of truth”’, p. 85.</w:t>
      </w:r>
    </w:p>
  </w:footnote>
  <w:footnote w:id="24">
    <w:p w14:paraId="0C1A6F72" w14:textId="68E876A9" w:rsidR="00AA724C" w:rsidRPr="000E7AEB" w:rsidRDefault="00AA724C" w:rsidP="00AA724C">
      <w:pPr>
        <w:pStyle w:val="FootnoteText"/>
        <w:rPr>
          <w:rFonts w:ascii="Centaur" w:hAnsi="Centaur"/>
          <w:sz w:val="22"/>
          <w:szCs w:val="22"/>
        </w:rPr>
      </w:pPr>
      <w:r w:rsidRPr="000E7AEB">
        <w:rPr>
          <w:rStyle w:val="FootnoteReference"/>
          <w:rFonts w:ascii="Centaur" w:hAnsi="Centaur"/>
          <w:sz w:val="22"/>
          <w:szCs w:val="22"/>
        </w:rPr>
        <w:footnoteRef/>
      </w:r>
      <w:r w:rsidRPr="000E7AEB">
        <w:rPr>
          <w:rFonts w:ascii="Centaur" w:hAnsi="Centaur"/>
          <w:sz w:val="22"/>
          <w:szCs w:val="22"/>
        </w:rPr>
        <w:t xml:space="preserve"> </w:t>
      </w:r>
      <w:r w:rsidR="004B622E" w:rsidRPr="00EF4C73">
        <w:rPr>
          <w:rFonts w:ascii="Centaur" w:hAnsi="Centaur" w:cs="Times New Roman"/>
          <w:sz w:val="22"/>
          <w:szCs w:val="22"/>
        </w:rPr>
        <w:t xml:space="preserve">Carol Déry, ‘Reading the Body: Materia Medica in the Founders’ Library’, in Peter Mitchell (ed.), </w:t>
      </w:r>
      <w:r w:rsidR="004B622E" w:rsidRPr="00EF4C73">
        <w:rPr>
          <w:rFonts w:ascii="Centaur" w:hAnsi="Centaur" w:cs="Times New Roman"/>
          <w:i/>
          <w:sz w:val="22"/>
          <w:szCs w:val="22"/>
        </w:rPr>
        <w:t>The Nature and Culture of the Human Body: Lampeter Multidisciplinary Essays</w:t>
      </w:r>
      <w:r w:rsidR="004B622E" w:rsidRPr="00EF4C73">
        <w:rPr>
          <w:rFonts w:ascii="Centaur" w:hAnsi="Centaur" w:cs="Times New Roman"/>
          <w:sz w:val="22"/>
          <w:szCs w:val="22"/>
        </w:rPr>
        <w:t xml:space="preserve">, </w:t>
      </w:r>
      <w:r w:rsidR="004B622E" w:rsidRPr="00EF4C73">
        <w:rPr>
          <w:rFonts w:ascii="Centaur" w:hAnsi="Centaur" w:cs="Times New Roman"/>
          <w:i/>
          <w:sz w:val="22"/>
          <w:szCs w:val="22"/>
        </w:rPr>
        <w:t>Trivium</w:t>
      </w:r>
      <w:r w:rsidR="004B622E" w:rsidRPr="00EF4C73">
        <w:rPr>
          <w:rFonts w:ascii="Centaur" w:hAnsi="Centaur" w:cs="Times New Roman"/>
          <w:sz w:val="22"/>
          <w:szCs w:val="22"/>
        </w:rPr>
        <w:t>, 37 (2007), 93-138 (p. 10</w:t>
      </w:r>
      <w:r w:rsidR="004B622E">
        <w:rPr>
          <w:rFonts w:ascii="Centaur" w:hAnsi="Centaur" w:cs="Times New Roman"/>
          <w:sz w:val="22"/>
          <w:szCs w:val="22"/>
        </w:rPr>
        <w:t>7</w:t>
      </w:r>
      <w:r w:rsidR="004B622E" w:rsidRPr="00EF4C73">
        <w:rPr>
          <w:rFonts w:ascii="Centaur" w:hAnsi="Centaur" w:cs="Times New Roman"/>
          <w:sz w:val="22"/>
          <w:szCs w:val="22"/>
        </w:rPr>
        <w:t>).</w:t>
      </w:r>
    </w:p>
  </w:footnote>
  <w:footnote w:id="25">
    <w:p w14:paraId="51DAA170" w14:textId="77777777" w:rsidR="00F53FEB" w:rsidRPr="00EF4C73" w:rsidRDefault="00F53FEB" w:rsidP="00F53FEB">
      <w:pPr>
        <w:pStyle w:val="FootnoteText"/>
        <w:rPr>
          <w:rFonts w:ascii="Centaur" w:hAnsi="Centaur" w:cs="Times New Roman"/>
          <w:sz w:val="22"/>
          <w:szCs w:val="22"/>
        </w:rPr>
      </w:pPr>
      <w:r w:rsidRPr="00EF4C73">
        <w:rPr>
          <w:rStyle w:val="FootnoteReference"/>
          <w:rFonts w:ascii="Centaur" w:hAnsi="Centaur" w:cs="Times New Roman"/>
          <w:sz w:val="22"/>
          <w:szCs w:val="22"/>
        </w:rPr>
        <w:footnoteRef/>
      </w:r>
      <w:r w:rsidRPr="00EF4C73">
        <w:rPr>
          <w:rFonts w:ascii="Centaur" w:hAnsi="Centaur" w:cs="Times New Roman"/>
          <w:sz w:val="22"/>
          <w:szCs w:val="22"/>
        </w:rPr>
        <w:t xml:space="preserve"> Arthur M. Hind, </w:t>
      </w:r>
      <w:r w:rsidRPr="00EF4C73">
        <w:rPr>
          <w:rFonts w:ascii="Centaur" w:hAnsi="Centaur" w:cs="Times New Roman"/>
          <w:i/>
          <w:sz w:val="22"/>
          <w:szCs w:val="22"/>
        </w:rPr>
        <w:t>A History of Engraving &amp; Etching from the 15</w:t>
      </w:r>
      <w:r w:rsidRPr="00EF4C73">
        <w:rPr>
          <w:rFonts w:ascii="Centaur" w:hAnsi="Centaur" w:cs="Times New Roman"/>
          <w:i/>
          <w:sz w:val="22"/>
          <w:szCs w:val="22"/>
          <w:vertAlign w:val="superscript"/>
        </w:rPr>
        <w:t>th</w:t>
      </w:r>
      <w:r w:rsidRPr="00EF4C73">
        <w:rPr>
          <w:rFonts w:ascii="Centaur" w:hAnsi="Centaur" w:cs="Times New Roman"/>
          <w:i/>
          <w:sz w:val="22"/>
          <w:szCs w:val="22"/>
        </w:rPr>
        <w:t xml:space="preserve"> Century to the Year 1914: Being the Third and Fully Revised Edition of ‘A Short History of Engraving and Etching’</w:t>
      </w:r>
      <w:r w:rsidRPr="00EF4C73">
        <w:rPr>
          <w:rFonts w:ascii="Centaur" w:hAnsi="Centaur" w:cs="Times New Roman"/>
          <w:sz w:val="22"/>
          <w:szCs w:val="22"/>
        </w:rPr>
        <w:t xml:space="preserve"> (Boston, Mass.: Houghton Mifflin, 1923; </w:t>
      </w:r>
      <w:proofErr w:type="spellStart"/>
      <w:r w:rsidRPr="00EF4C73">
        <w:rPr>
          <w:rFonts w:ascii="Centaur" w:hAnsi="Centaur" w:cs="Times New Roman"/>
          <w:sz w:val="22"/>
          <w:szCs w:val="22"/>
        </w:rPr>
        <w:t>repr</w:t>
      </w:r>
      <w:proofErr w:type="spellEnd"/>
      <w:r w:rsidRPr="00EF4C73">
        <w:rPr>
          <w:rFonts w:ascii="Centaur" w:hAnsi="Centaur" w:cs="Times New Roman"/>
          <w:sz w:val="22"/>
          <w:szCs w:val="22"/>
        </w:rPr>
        <w:t>. New York, N.Y.: Dover, 1963), pp. 309 n. 3, 442.</w:t>
      </w:r>
    </w:p>
  </w:footnote>
  <w:footnote w:id="26">
    <w:p w14:paraId="68A8C325" w14:textId="77777777" w:rsidR="00EF4C73" w:rsidRPr="00EF4C73" w:rsidRDefault="00EF4C73" w:rsidP="00EF4C73">
      <w:pPr>
        <w:pStyle w:val="FootnoteText"/>
        <w:rPr>
          <w:rFonts w:ascii="Centaur" w:hAnsi="Centaur" w:cs="Times New Roman"/>
          <w:sz w:val="22"/>
          <w:szCs w:val="22"/>
        </w:rPr>
      </w:pPr>
      <w:r w:rsidRPr="00EF4C73">
        <w:rPr>
          <w:rStyle w:val="FootnoteReference"/>
          <w:rFonts w:ascii="Centaur" w:hAnsi="Centaur" w:cs="Times New Roman"/>
          <w:sz w:val="22"/>
          <w:szCs w:val="22"/>
        </w:rPr>
        <w:footnoteRef/>
      </w:r>
      <w:r w:rsidRPr="00EF4C73">
        <w:rPr>
          <w:rFonts w:ascii="Centaur" w:hAnsi="Centaur" w:cs="Times New Roman"/>
          <w:sz w:val="22"/>
          <w:szCs w:val="22"/>
        </w:rPr>
        <w:t xml:space="preserve"> </w:t>
      </w:r>
      <w:r w:rsidRPr="00EF4C73">
        <w:rPr>
          <w:rFonts w:ascii="Centaur" w:hAnsi="Centaur" w:cs="Times New Roman"/>
          <w:i/>
          <w:sz w:val="22"/>
          <w:szCs w:val="22"/>
        </w:rPr>
        <w:t>Bryan’s Dictionary of Painters and Engravers</w:t>
      </w:r>
      <w:r w:rsidRPr="00EF4C73">
        <w:rPr>
          <w:rFonts w:ascii="Centaur" w:hAnsi="Centaur" w:cs="Times New Roman"/>
          <w:sz w:val="22"/>
          <w:szCs w:val="22"/>
        </w:rPr>
        <w:t xml:space="preserve">, new </w:t>
      </w:r>
      <w:proofErr w:type="spellStart"/>
      <w:r w:rsidRPr="00EF4C73">
        <w:rPr>
          <w:rFonts w:ascii="Centaur" w:hAnsi="Centaur" w:cs="Times New Roman"/>
          <w:sz w:val="22"/>
          <w:szCs w:val="22"/>
        </w:rPr>
        <w:t>edn</w:t>
      </w:r>
      <w:proofErr w:type="spellEnd"/>
      <w:r w:rsidRPr="00EF4C73">
        <w:rPr>
          <w:rFonts w:ascii="Centaur" w:hAnsi="Centaur" w:cs="Times New Roman"/>
          <w:sz w:val="22"/>
          <w:szCs w:val="22"/>
        </w:rPr>
        <w:t xml:space="preserve"> revised and enlarged under the supervision of George C. Williamson, 5 vols (Port Washington, N.Y.: </w:t>
      </w:r>
      <w:proofErr w:type="spellStart"/>
      <w:r w:rsidRPr="00EF4C73">
        <w:rPr>
          <w:rFonts w:ascii="Centaur" w:hAnsi="Centaur" w:cs="Times New Roman"/>
          <w:sz w:val="22"/>
          <w:szCs w:val="22"/>
        </w:rPr>
        <w:t>Kennikat</w:t>
      </w:r>
      <w:proofErr w:type="spellEnd"/>
      <w:r w:rsidRPr="00EF4C73">
        <w:rPr>
          <w:rFonts w:ascii="Centaur" w:hAnsi="Centaur" w:cs="Times New Roman"/>
          <w:sz w:val="22"/>
          <w:szCs w:val="22"/>
        </w:rPr>
        <w:t xml:space="preserve"> Press, 1964), II, 220; Sarah </w:t>
      </w:r>
      <w:proofErr w:type="spellStart"/>
      <w:r w:rsidRPr="00EF4C73">
        <w:rPr>
          <w:rFonts w:ascii="Centaur" w:hAnsi="Centaur" w:cs="Times New Roman"/>
          <w:sz w:val="22"/>
          <w:szCs w:val="22"/>
        </w:rPr>
        <w:t>Lowengard</w:t>
      </w:r>
      <w:proofErr w:type="spellEnd"/>
      <w:r w:rsidRPr="00EF4C73">
        <w:rPr>
          <w:rFonts w:ascii="Centaur" w:hAnsi="Centaur" w:cs="Times New Roman"/>
          <w:sz w:val="22"/>
          <w:szCs w:val="22"/>
        </w:rPr>
        <w:t xml:space="preserve">, </w:t>
      </w:r>
      <w:r w:rsidRPr="00EF4C73">
        <w:rPr>
          <w:rFonts w:ascii="Centaur" w:hAnsi="Centaur" w:cs="Times New Roman"/>
          <w:i/>
          <w:iCs/>
          <w:sz w:val="22"/>
          <w:szCs w:val="22"/>
        </w:rPr>
        <w:t xml:space="preserve">The Creation of </w:t>
      </w:r>
      <w:proofErr w:type="spellStart"/>
      <w:r w:rsidRPr="00EF4C73">
        <w:rPr>
          <w:rFonts w:ascii="Centaur" w:hAnsi="Centaur" w:cs="Times New Roman"/>
          <w:i/>
          <w:iCs/>
          <w:sz w:val="22"/>
          <w:szCs w:val="22"/>
        </w:rPr>
        <w:t>Color</w:t>
      </w:r>
      <w:proofErr w:type="spellEnd"/>
      <w:r w:rsidRPr="00EF4C73">
        <w:rPr>
          <w:rFonts w:ascii="Centaur" w:hAnsi="Centaur" w:cs="Times New Roman"/>
          <w:i/>
          <w:iCs/>
          <w:sz w:val="22"/>
          <w:szCs w:val="22"/>
        </w:rPr>
        <w:t xml:space="preserve"> in 18</w:t>
      </w:r>
      <w:r w:rsidRPr="00EF4C73">
        <w:rPr>
          <w:rFonts w:ascii="Centaur" w:hAnsi="Centaur" w:cs="Times New Roman"/>
          <w:i/>
          <w:iCs/>
          <w:sz w:val="22"/>
          <w:szCs w:val="22"/>
          <w:vertAlign w:val="superscript"/>
        </w:rPr>
        <w:t>th</w:t>
      </w:r>
      <w:r w:rsidRPr="00EF4C73">
        <w:rPr>
          <w:rFonts w:ascii="Centaur" w:hAnsi="Centaur" w:cs="Times New Roman"/>
          <w:i/>
          <w:iCs/>
          <w:sz w:val="22"/>
          <w:szCs w:val="22"/>
        </w:rPr>
        <w:t>-Century Europe</w:t>
      </w:r>
      <w:r w:rsidRPr="00EF4C73">
        <w:rPr>
          <w:rFonts w:ascii="Centaur" w:hAnsi="Centaur" w:cs="Times New Roman"/>
          <w:sz w:val="22"/>
          <w:szCs w:val="22"/>
        </w:rPr>
        <w:t xml:space="preserve"> (New York, N.Y.: Columbia University Press, 2006), Ch. 12; Deanna Petherbridge (ed.), </w:t>
      </w:r>
      <w:r w:rsidRPr="00EF4C73">
        <w:rPr>
          <w:rFonts w:ascii="Centaur" w:hAnsi="Centaur" w:cs="Times New Roman"/>
          <w:i/>
          <w:iCs/>
          <w:sz w:val="22"/>
          <w:szCs w:val="22"/>
        </w:rPr>
        <w:t>The Quick and the Dead: Artists and Anatomy</w:t>
      </w:r>
      <w:r w:rsidRPr="00EF4C73">
        <w:rPr>
          <w:rFonts w:ascii="Centaur" w:hAnsi="Centaur" w:cs="Times New Roman"/>
          <w:sz w:val="22"/>
          <w:szCs w:val="22"/>
        </w:rPr>
        <w:t xml:space="preserve"> (London: The South Bank Centre, 1997), p. 88.</w:t>
      </w:r>
    </w:p>
  </w:footnote>
  <w:footnote w:id="27">
    <w:p w14:paraId="2D53499E" w14:textId="77777777" w:rsidR="00EF4C73" w:rsidRPr="00EF4C73" w:rsidRDefault="00EF4C73" w:rsidP="00EF4C73">
      <w:pPr>
        <w:pStyle w:val="FootnoteText"/>
        <w:rPr>
          <w:rFonts w:ascii="Centaur" w:hAnsi="Centaur" w:cs="Times New Roman"/>
          <w:sz w:val="22"/>
          <w:szCs w:val="22"/>
        </w:rPr>
      </w:pPr>
      <w:r w:rsidRPr="00EF4C73">
        <w:rPr>
          <w:rStyle w:val="FootnoteReference"/>
          <w:rFonts w:ascii="Centaur" w:hAnsi="Centaur" w:cs="Times New Roman"/>
          <w:sz w:val="22"/>
          <w:szCs w:val="22"/>
        </w:rPr>
        <w:footnoteRef/>
      </w:r>
      <w:r w:rsidRPr="00EF4C73">
        <w:rPr>
          <w:rFonts w:ascii="Centaur" w:hAnsi="Centaur" w:cs="Times New Roman"/>
          <w:sz w:val="22"/>
          <w:szCs w:val="22"/>
        </w:rPr>
        <w:t xml:space="preserve"> Mimi </w:t>
      </w:r>
      <w:proofErr w:type="spellStart"/>
      <w:r w:rsidRPr="00EF4C73">
        <w:rPr>
          <w:rFonts w:ascii="Centaur" w:hAnsi="Centaur" w:cs="Times New Roman"/>
          <w:sz w:val="22"/>
          <w:szCs w:val="22"/>
        </w:rPr>
        <w:t>Cazort</w:t>
      </w:r>
      <w:proofErr w:type="spellEnd"/>
      <w:r w:rsidRPr="00EF4C73">
        <w:rPr>
          <w:rFonts w:ascii="Centaur" w:hAnsi="Centaur" w:cs="Times New Roman"/>
          <w:sz w:val="22"/>
          <w:szCs w:val="22"/>
        </w:rPr>
        <w:t xml:space="preserve">, Monique Kornell, and Bruce Hugh Russell, ‘Catalogue of Works’, in Mimi </w:t>
      </w:r>
      <w:proofErr w:type="spellStart"/>
      <w:r w:rsidRPr="00EF4C73">
        <w:rPr>
          <w:rFonts w:ascii="Centaur" w:hAnsi="Centaur" w:cs="Times New Roman"/>
          <w:sz w:val="22"/>
          <w:szCs w:val="22"/>
        </w:rPr>
        <w:t>Cazort</w:t>
      </w:r>
      <w:proofErr w:type="spellEnd"/>
      <w:r w:rsidRPr="00EF4C73">
        <w:rPr>
          <w:rFonts w:ascii="Centaur" w:hAnsi="Centaur" w:cs="Times New Roman"/>
          <w:sz w:val="22"/>
          <w:szCs w:val="22"/>
        </w:rPr>
        <w:t xml:space="preserve">, Monique Kornell, and K.B. Roberts, </w:t>
      </w:r>
      <w:r w:rsidRPr="00EF4C73">
        <w:rPr>
          <w:rFonts w:ascii="Centaur" w:hAnsi="Centaur" w:cs="Times New Roman"/>
          <w:i/>
          <w:iCs/>
          <w:sz w:val="22"/>
          <w:szCs w:val="22"/>
        </w:rPr>
        <w:t>The Ingenious Machine of Nature: Four Centuries of Art and Anatomy</w:t>
      </w:r>
      <w:r w:rsidRPr="00EF4C73">
        <w:rPr>
          <w:rFonts w:ascii="Centaur" w:hAnsi="Centaur" w:cs="Times New Roman"/>
          <w:sz w:val="22"/>
          <w:szCs w:val="22"/>
        </w:rPr>
        <w:t xml:space="preserve"> (Ottawa: National Gallery of Canada, 1996), pp. 105-240 (p. 228). The anatomist is incorrectly identified as Guichard Joseph Duverney, who died in 1730, in Petherbridge (ed.), </w:t>
      </w:r>
      <w:r w:rsidRPr="00EF4C73">
        <w:rPr>
          <w:rFonts w:ascii="Centaur" w:hAnsi="Centaur" w:cs="Times New Roman"/>
          <w:i/>
          <w:iCs/>
          <w:sz w:val="22"/>
          <w:szCs w:val="22"/>
        </w:rPr>
        <w:t>The Quick and the Dead</w:t>
      </w:r>
      <w:r w:rsidRPr="00EF4C73">
        <w:rPr>
          <w:rFonts w:ascii="Centaur" w:hAnsi="Centaur" w:cs="Times New Roman"/>
          <w:sz w:val="22"/>
          <w:szCs w:val="22"/>
        </w:rPr>
        <w:t xml:space="preserve">, p. 88, and in Philip Oldfield and Richard Landon, </w:t>
      </w:r>
      <w:r w:rsidRPr="00EF4C73">
        <w:rPr>
          <w:rFonts w:ascii="Centaur" w:hAnsi="Centaur" w:cs="Times New Roman"/>
          <w:i/>
          <w:iCs/>
          <w:sz w:val="22"/>
          <w:szCs w:val="22"/>
        </w:rPr>
        <w:t>Ars Medica: Medical Illustration Through the Ages</w:t>
      </w:r>
      <w:r w:rsidRPr="00EF4C73">
        <w:rPr>
          <w:rFonts w:ascii="Centaur" w:hAnsi="Centaur" w:cs="Times New Roman"/>
          <w:sz w:val="22"/>
          <w:szCs w:val="22"/>
        </w:rPr>
        <w:t xml:space="preserve"> (Toronto: University of Toronto Press, 2006), p. 52.</w:t>
      </w:r>
    </w:p>
  </w:footnote>
  <w:footnote w:id="28">
    <w:p w14:paraId="6E5DA9F1" w14:textId="77777777" w:rsidR="00EF4C73" w:rsidRPr="00EF4C73" w:rsidRDefault="00EF4C73" w:rsidP="00EF4C73">
      <w:pPr>
        <w:pStyle w:val="FootnoteText"/>
        <w:rPr>
          <w:rFonts w:ascii="Centaur" w:hAnsi="Centaur" w:cs="Times New Roman"/>
          <w:sz w:val="22"/>
          <w:szCs w:val="22"/>
        </w:rPr>
      </w:pPr>
      <w:r w:rsidRPr="00EF4C73">
        <w:rPr>
          <w:rStyle w:val="FootnoteReference"/>
          <w:rFonts w:ascii="Centaur" w:hAnsi="Centaur" w:cs="Times New Roman"/>
          <w:sz w:val="22"/>
          <w:szCs w:val="22"/>
        </w:rPr>
        <w:footnoteRef/>
      </w:r>
      <w:r w:rsidRPr="00EF4C73">
        <w:rPr>
          <w:rFonts w:ascii="Centaur" w:hAnsi="Centaur" w:cs="Times New Roman"/>
          <w:sz w:val="22"/>
          <w:szCs w:val="22"/>
        </w:rPr>
        <w:t xml:space="preserve"> Hind, </w:t>
      </w:r>
      <w:r w:rsidRPr="00EF4C73">
        <w:rPr>
          <w:rFonts w:ascii="Centaur" w:hAnsi="Centaur" w:cs="Times New Roman"/>
          <w:i/>
          <w:sz w:val="22"/>
          <w:szCs w:val="22"/>
        </w:rPr>
        <w:t>A History of Engraving &amp; Etching from the 15</w:t>
      </w:r>
      <w:r w:rsidRPr="00EF4C73">
        <w:rPr>
          <w:rFonts w:ascii="Centaur" w:hAnsi="Centaur" w:cs="Times New Roman"/>
          <w:i/>
          <w:sz w:val="22"/>
          <w:szCs w:val="22"/>
          <w:vertAlign w:val="superscript"/>
        </w:rPr>
        <w:t>th</w:t>
      </w:r>
      <w:r w:rsidRPr="00EF4C73">
        <w:rPr>
          <w:rFonts w:ascii="Centaur" w:hAnsi="Centaur" w:cs="Times New Roman"/>
          <w:i/>
          <w:sz w:val="22"/>
          <w:szCs w:val="22"/>
        </w:rPr>
        <w:t xml:space="preserve"> Century to the Year 1914</w:t>
      </w:r>
      <w:r w:rsidRPr="00EF4C73">
        <w:rPr>
          <w:rFonts w:ascii="Centaur" w:hAnsi="Centaur" w:cs="Times New Roman"/>
          <w:sz w:val="22"/>
          <w:szCs w:val="22"/>
        </w:rPr>
        <w:t xml:space="preserve">, p. 307. </w:t>
      </w:r>
    </w:p>
  </w:footnote>
  <w:footnote w:id="29">
    <w:p w14:paraId="1A4D6D2D" w14:textId="77777777" w:rsidR="00EF4C73" w:rsidRPr="00EF4C73" w:rsidRDefault="00EF4C73" w:rsidP="00EF4C73">
      <w:pPr>
        <w:pStyle w:val="FootnoteText"/>
        <w:rPr>
          <w:rFonts w:ascii="Centaur" w:hAnsi="Centaur" w:cs="Times New Roman"/>
          <w:sz w:val="22"/>
          <w:szCs w:val="22"/>
        </w:rPr>
      </w:pPr>
      <w:r w:rsidRPr="00EF4C73">
        <w:rPr>
          <w:rStyle w:val="FootnoteReference"/>
          <w:rFonts w:ascii="Centaur" w:hAnsi="Centaur" w:cs="Times New Roman"/>
          <w:sz w:val="22"/>
          <w:szCs w:val="22"/>
        </w:rPr>
        <w:footnoteRef/>
      </w:r>
      <w:r w:rsidRPr="00EF4C73">
        <w:rPr>
          <w:rFonts w:ascii="Centaur" w:hAnsi="Centaur" w:cs="Times New Roman"/>
          <w:sz w:val="22"/>
          <w:szCs w:val="22"/>
        </w:rPr>
        <w:t xml:space="preserve"> Royal College of Surgeons, ‘Jacques-Fabien Gautier </w:t>
      </w:r>
      <w:proofErr w:type="spellStart"/>
      <w:r w:rsidRPr="00EF4C73">
        <w:rPr>
          <w:rFonts w:ascii="Centaur" w:hAnsi="Centaur" w:cs="Times New Roman"/>
          <w:sz w:val="22"/>
          <w:szCs w:val="22"/>
        </w:rPr>
        <w:t>D’Agoty</w:t>
      </w:r>
      <w:proofErr w:type="spellEnd"/>
      <w:r w:rsidRPr="00EF4C73">
        <w:rPr>
          <w:rFonts w:ascii="Centaur" w:hAnsi="Centaur" w:cs="Times New Roman"/>
          <w:sz w:val="22"/>
          <w:szCs w:val="22"/>
        </w:rPr>
        <w:t xml:space="preserve"> – </w:t>
      </w:r>
      <w:r w:rsidRPr="00EF4C73">
        <w:rPr>
          <w:rFonts w:ascii="Centaur" w:hAnsi="Centaur" w:cs="Times New Roman"/>
          <w:i/>
          <w:iCs/>
          <w:sz w:val="22"/>
          <w:szCs w:val="22"/>
        </w:rPr>
        <w:t xml:space="preserve">Exposition </w:t>
      </w:r>
      <w:proofErr w:type="spellStart"/>
      <w:r w:rsidRPr="00EF4C73">
        <w:rPr>
          <w:rFonts w:ascii="Centaur" w:hAnsi="Centaur" w:cs="Times New Roman"/>
          <w:i/>
          <w:iCs/>
          <w:sz w:val="22"/>
          <w:szCs w:val="22"/>
        </w:rPr>
        <w:t>anatomique</w:t>
      </w:r>
      <w:proofErr w:type="spellEnd"/>
      <w:r w:rsidRPr="00EF4C73">
        <w:rPr>
          <w:rFonts w:ascii="Centaur" w:hAnsi="Centaur" w:cs="Times New Roman"/>
          <w:i/>
          <w:iCs/>
          <w:sz w:val="22"/>
          <w:szCs w:val="22"/>
        </w:rPr>
        <w:t xml:space="preserve"> des organs des </w:t>
      </w:r>
      <w:proofErr w:type="spellStart"/>
      <w:r w:rsidRPr="00EF4C73">
        <w:rPr>
          <w:rFonts w:ascii="Centaur" w:hAnsi="Centaur" w:cs="Times New Roman"/>
          <w:i/>
          <w:iCs/>
          <w:sz w:val="22"/>
          <w:szCs w:val="22"/>
        </w:rPr>
        <w:t>sens</w:t>
      </w:r>
      <w:proofErr w:type="spellEnd"/>
      <w:r w:rsidRPr="00EF4C73">
        <w:rPr>
          <w:rFonts w:ascii="Centaur" w:hAnsi="Centaur" w:cs="Times New Roman"/>
          <w:sz w:val="22"/>
          <w:szCs w:val="22"/>
        </w:rPr>
        <w:t>, 1775’ &lt;https://www.rcseng.ac.uk/library-and-publications/library/blog/jacques-fabien-gautier-dagoty-exposition/&gt;</w:t>
      </w:r>
    </w:p>
  </w:footnote>
  <w:footnote w:id="30">
    <w:p w14:paraId="27621D1C" w14:textId="77777777" w:rsidR="00EF4C73" w:rsidRPr="00EF4C73" w:rsidRDefault="00EF4C73" w:rsidP="00EF4C73">
      <w:pPr>
        <w:pStyle w:val="FootnoteText"/>
        <w:rPr>
          <w:rFonts w:ascii="Centaur" w:hAnsi="Centaur" w:cs="Times New Roman"/>
          <w:sz w:val="22"/>
          <w:szCs w:val="22"/>
        </w:rPr>
      </w:pPr>
      <w:r w:rsidRPr="00EF4C73">
        <w:rPr>
          <w:rStyle w:val="FootnoteReference"/>
          <w:rFonts w:ascii="Centaur" w:hAnsi="Centaur" w:cs="Times New Roman"/>
          <w:sz w:val="22"/>
          <w:szCs w:val="22"/>
        </w:rPr>
        <w:footnoteRef/>
      </w:r>
      <w:r w:rsidRPr="00EF4C73">
        <w:rPr>
          <w:rFonts w:ascii="Centaur" w:hAnsi="Centaur" w:cs="Times New Roman"/>
          <w:sz w:val="22"/>
          <w:szCs w:val="22"/>
        </w:rPr>
        <w:t xml:space="preserve"> Hind, </w:t>
      </w:r>
      <w:r w:rsidRPr="00EF4C73">
        <w:rPr>
          <w:rFonts w:ascii="Centaur" w:hAnsi="Centaur" w:cs="Times New Roman"/>
          <w:i/>
          <w:sz w:val="22"/>
          <w:szCs w:val="22"/>
        </w:rPr>
        <w:t>A History of Engraving &amp; Etching from the 15</w:t>
      </w:r>
      <w:r w:rsidRPr="00EF4C73">
        <w:rPr>
          <w:rFonts w:ascii="Centaur" w:hAnsi="Centaur" w:cs="Times New Roman"/>
          <w:i/>
          <w:sz w:val="22"/>
          <w:szCs w:val="22"/>
          <w:vertAlign w:val="superscript"/>
        </w:rPr>
        <w:t>th</w:t>
      </w:r>
      <w:r w:rsidRPr="00EF4C73">
        <w:rPr>
          <w:rFonts w:ascii="Centaur" w:hAnsi="Centaur" w:cs="Times New Roman"/>
          <w:i/>
          <w:sz w:val="22"/>
          <w:szCs w:val="22"/>
        </w:rPr>
        <w:t xml:space="preserve"> Century to the Year 1914</w:t>
      </w:r>
      <w:r w:rsidRPr="00EF4C73">
        <w:rPr>
          <w:rFonts w:ascii="Centaur" w:hAnsi="Centaur" w:cs="Times New Roman"/>
          <w:sz w:val="22"/>
          <w:szCs w:val="22"/>
        </w:rPr>
        <w:t>, pp. 307, 310.</w:t>
      </w:r>
    </w:p>
  </w:footnote>
  <w:footnote w:id="31">
    <w:p w14:paraId="7A0372C4" w14:textId="77777777" w:rsidR="00EF4C73" w:rsidRPr="00EF4C73" w:rsidRDefault="00EF4C73" w:rsidP="00EF4C73">
      <w:pPr>
        <w:pStyle w:val="FootnoteText"/>
        <w:rPr>
          <w:rFonts w:ascii="Centaur" w:hAnsi="Centaur" w:cs="Times New Roman"/>
          <w:sz w:val="22"/>
          <w:szCs w:val="22"/>
        </w:rPr>
      </w:pPr>
      <w:r w:rsidRPr="00EF4C73">
        <w:rPr>
          <w:rStyle w:val="FootnoteReference"/>
          <w:rFonts w:ascii="Centaur" w:hAnsi="Centaur" w:cs="Times New Roman"/>
          <w:sz w:val="22"/>
          <w:szCs w:val="22"/>
        </w:rPr>
        <w:footnoteRef/>
      </w:r>
      <w:r w:rsidRPr="00EF4C73">
        <w:rPr>
          <w:rFonts w:ascii="Centaur" w:hAnsi="Centaur" w:cs="Times New Roman"/>
          <w:sz w:val="22"/>
          <w:szCs w:val="22"/>
        </w:rPr>
        <w:t xml:space="preserve"> John L. Thornton and Carole Reeves, </w:t>
      </w:r>
      <w:r w:rsidRPr="00EF4C73">
        <w:rPr>
          <w:rFonts w:ascii="Centaur" w:hAnsi="Centaur" w:cs="Times New Roman"/>
          <w:i/>
          <w:sz w:val="22"/>
          <w:szCs w:val="22"/>
        </w:rPr>
        <w:t>Medical Book Illustration: A Short History</w:t>
      </w:r>
      <w:r w:rsidRPr="00EF4C73">
        <w:rPr>
          <w:rFonts w:ascii="Centaur" w:hAnsi="Centaur" w:cs="Times New Roman"/>
          <w:sz w:val="22"/>
          <w:szCs w:val="22"/>
        </w:rPr>
        <w:t xml:space="preserve"> (Cambridge: The Oleander Press, 1983), p. 78</w:t>
      </w:r>
    </w:p>
  </w:footnote>
  <w:footnote w:id="32">
    <w:p w14:paraId="7156C0DC" w14:textId="77777777" w:rsidR="00EF4C73" w:rsidRPr="00EF4C73" w:rsidRDefault="00EF4C73" w:rsidP="00EF4C73">
      <w:pPr>
        <w:pStyle w:val="FootnoteText"/>
        <w:rPr>
          <w:rFonts w:ascii="Centaur" w:hAnsi="Centaur" w:cs="Times New Roman"/>
          <w:sz w:val="22"/>
          <w:szCs w:val="22"/>
        </w:rPr>
      </w:pPr>
      <w:r w:rsidRPr="00EF4C73">
        <w:rPr>
          <w:rStyle w:val="FootnoteReference"/>
          <w:rFonts w:ascii="Centaur" w:hAnsi="Centaur" w:cs="Times New Roman"/>
          <w:sz w:val="22"/>
          <w:szCs w:val="22"/>
        </w:rPr>
        <w:footnoteRef/>
      </w:r>
      <w:r w:rsidRPr="00EF4C73">
        <w:rPr>
          <w:rFonts w:ascii="Centaur" w:hAnsi="Centaur" w:cs="Times New Roman"/>
          <w:sz w:val="22"/>
          <w:szCs w:val="22"/>
        </w:rPr>
        <w:t xml:space="preserve"> S.T. Prideaux, </w:t>
      </w:r>
      <w:r w:rsidRPr="00EF4C73">
        <w:rPr>
          <w:rFonts w:ascii="Centaur" w:hAnsi="Centaur" w:cs="Times New Roman"/>
          <w:i/>
          <w:sz w:val="22"/>
          <w:szCs w:val="22"/>
        </w:rPr>
        <w:t>Aquatint Engraving: A Chapter in the History of Book Illustration</w:t>
      </w:r>
      <w:r w:rsidRPr="00EF4C73">
        <w:rPr>
          <w:rFonts w:ascii="Centaur" w:hAnsi="Centaur" w:cs="Times New Roman"/>
          <w:sz w:val="22"/>
          <w:szCs w:val="22"/>
        </w:rPr>
        <w:t xml:space="preserve"> (London: W. &amp; G. Foyle, 1968), p. 36.</w:t>
      </w:r>
    </w:p>
  </w:footnote>
  <w:footnote w:id="33">
    <w:p w14:paraId="2831BB46" w14:textId="77777777" w:rsidR="00EF4C73" w:rsidRPr="00EF4C73" w:rsidRDefault="00EF4C73" w:rsidP="00EF4C73">
      <w:pPr>
        <w:pStyle w:val="FootnoteText"/>
        <w:rPr>
          <w:rFonts w:ascii="Centaur" w:hAnsi="Centaur" w:cs="Times New Roman"/>
          <w:sz w:val="22"/>
          <w:szCs w:val="22"/>
        </w:rPr>
      </w:pPr>
      <w:r w:rsidRPr="00EF4C73">
        <w:rPr>
          <w:rStyle w:val="FootnoteReference"/>
          <w:rFonts w:ascii="Centaur" w:hAnsi="Centaur" w:cs="Times New Roman"/>
          <w:sz w:val="22"/>
          <w:szCs w:val="22"/>
        </w:rPr>
        <w:footnoteRef/>
      </w:r>
      <w:r w:rsidRPr="00EF4C73">
        <w:rPr>
          <w:rFonts w:ascii="Centaur" w:hAnsi="Centaur" w:cs="Times New Roman"/>
          <w:sz w:val="22"/>
          <w:szCs w:val="22"/>
        </w:rPr>
        <w:t xml:space="preserve"> Hind, </w:t>
      </w:r>
      <w:r w:rsidRPr="00EF4C73">
        <w:rPr>
          <w:rFonts w:ascii="Centaur" w:hAnsi="Centaur" w:cs="Times New Roman"/>
          <w:i/>
          <w:sz w:val="22"/>
          <w:szCs w:val="22"/>
        </w:rPr>
        <w:t>A History of Engraving &amp; Etching from the 15</w:t>
      </w:r>
      <w:r w:rsidRPr="00EF4C73">
        <w:rPr>
          <w:rFonts w:ascii="Centaur" w:hAnsi="Centaur" w:cs="Times New Roman"/>
          <w:i/>
          <w:sz w:val="22"/>
          <w:szCs w:val="22"/>
          <w:vertAlign w:val="superscript"/>
        </w:rPr>
        <w:t>th</w:t>
      </w:r>
      <w:r w:rsidRPr="00EF4C73">
        <w:rPr>
          <w:rFonts w:ascii="Centaur" w:hAnsi="Centaur" w:cs="Times New Roman"/>
          <w:i/>
          <w:sz w:val="22"/>
          <w:szCs w:val="22"/>
        </w:rPr>
        <w:t xml:space="preserve"> Century to the Year 1914</w:t>
      </w:r>
      <w:r w:rsidRPr="00EF4C73">
        <w:rPr>
          <w:rFonts w:ascii="Centaur" w:hAnsi="Centaur" w:cs="Times New Roman"/>
          <w:sz w:val="22"/>
          <w:szCs w:val="22"/>
        </w:rPr>
        <w:t>, p. 309.</w:t>
      </w:r>
    </w:p>
  </w:footnote>
  <w:footnote w:id="34">
    <w:p w14:paraId="16EA2FF1" w14:textId="77777777" w:rsidR="00EF4C73" w:rsidRPr="00EF4C73" w:rsidRDefault="00EF4C73" w:rsidP="00EF4C73">
      <w:pPr>
        <w:pStyle w:val="FootnoteText"/>
        <w:rPr>
          <w:rFonts w:ascii="Centaur" w:hAnsi="Centaur" w:cs="Times New Roman"/>
          <w:sz w:val="22"/>
          <w:szCs w:val="22"/>
        </w:rPr>
      </w:pPr>
      <w:r w:rsidRPr="00EF4C73">
        <w:rPr>
          <w:rStyle w:val="FootnoteReference"/>
          <w:rFonts w:ascii="Centaur" w:hAnsi="Centaur" w:cs="Times New Roman"/>
          <w:sz w:val="22"/>
          <w:szCs w:val="22"/>
        </w:rPr>
        <w:footnoteRef/>
      </w:r>
      <w:r w:rsidRPr="00EF4C73">
        <w:rPr>
          <w:rFonts w:ascii="Centaur" w:hAnsi="Centaur" w:cs="Times New Roman"/>
          <w:sz w:val="22"/>
          <w:szCs w:val="22"/>
        </w:rPr>
        <w:t xml:space="preserve"> Prideaux, </w:t>
      </w:r>
      <w:r w:rsidRPr="00EF4C73">
        <w:rPr>
          <w:rFonts w:ascii="Centaur" w:hAnsi="Centaur" w:cs="Times New Roman"/>
          <w:i/>
          <w:sz w:val="22"/>
          <w:szCs w:val="22"/>
        </w:rPr>
        <w:t>Aquatint Engraving</w:t>
      </w:r>
      <w:r w:rsidRPr="00EF4C73">
        <w:rPr>
          <w:rFonts w:ascii="Centaur" w:hAnsi="Centaur" w:cs="Times New Roman"/>
          <w:sz w:val="22"/>
          <w:szCs w:val="22"/>
        </w:rPr>
        <w:t xml:space="preserve">, p. 36; Thornton and Reeves, </w:t>
      </w:r>
      <w:r w:rsidRPr="00EF4C73">
        <w:rPr>
          <w:rFonts w:ascii="Centaur" w:hAnsi="Centaur" w:cs="Times New Roman"/>
          <w:i/>
          <w:sz w:val="22"/>
          <w:szCs w:val="22"/>
        </w:rPr>
        <w:t>Medical Book Illustration</w:t>
      </w:r>
      <w:r w:rsidRPr="00EF4C73">
        <w:rPr>
          <w:rFonts w:ascii="Centaur" w:hAnsi="Centaur" w:cs="Times New Roman"/>
          <w:sz w:val="22"/>
          <w:szCs w:val="22"/>
        </w:rPr>
        <w:t xml:space="preserve">, p. 78; Hind, </w:t>
      </w:r>
      <w:r w:rsidRPr="00EF4C73">
        <w:rPr>
          <w:rFonts w:ascii="Centaur" w:hAnsi="Centaur" w:cs="Times New Roman"/>
          <w:i/>
          <w:sz w:val="22"/>
          <w:szCs w:val="22"/>
        </w:rPr>
        <w:t>A History of Engraving &amp; Etching from the 15</w:t>
      </w:r>
      <w:r w:rsidRPr="00EF4C73">
        <w:rPr>
          <w:rFonts w:ascii="Centaur" w:hAnsi="Centaur" w:cs="Times New Roman"/>
          <w:i/>
          <w:sz w:val="22"/>
          <w:szCs w:val="22"/>
          <w:vertAlign w:val="superscript"/>
        </w:rPr>
        <w:t>th</w:t>
      </w:r>
      <w:r w:rsidRPr="00EF4C73">
        <w:rPr>
          <w:rFonts w:ascii="Centaur" w:hAnsi="Centaur" w:cs="Times New Roman"/>
          <w:i/>
          <w:sz w:val="22"/>
          <w:szCs w:val="22"/>
        </w:rPr>
        <w:t xml:space="preserve"> Century to the Year 1914</w:t>
      </w:r>
      <w:r w:rsidRPr="00EF4C73">
        <w:rPr>
          <w:rFonts w:ascii="Centaur" w:hAnsi="Centaur" w:cs="Times New Roman"/>
          <w:sz w:val="22"/>
          <w:szCs w:val="22"/>
        </w:rPr>
        <w:t xml:space="preserve">, p. 308; </w:t>
      </w:r>
      <w:proofErr w:type="spellStart"/>
      <w:r w:rsidRPr="00EF4C73">
        <w:rPr>
          <w:rFonts w:ascii="Centaur" w:hAnsi="Centaur" w:cs="Times New Roman"/>
          <w:sz w:val="22"/>
          <w:szCs w:val="22"/>
        </w:rPr>
        <w:t>Lowengard</w:t>
      </w:r>
      <w:proofErr w:type="spellEnd"/>
      <w:r w:rsidRPr="00EF4C73">
        <w:rPr>
          <w:rFonts w:ascii="Centaur" w:hAnsi="Centaur" w:cs="Times New Roman"/>
          <w:sz w:val="22"/>
          <w:szCs w:val="22"/>
        </w:rPr>
        <w:t xml:space="preserve">, </w:t>
      </w:r>
      <w:r w:rsidRPr="00EF4C73">
        <w:rPr>
          <w:rFonts w:ascii="Centaur" w:hAnsi="Centaur" w:cs="Times New Roman"/>
          <w:i/>
          <w:iCs/>
          <w:sz w:val="22"/>
          <w:szCs w:val="22"/>
        </w:rPr>
        <w:t xml:space="preserve">The Creation of </w:t>
      </w:r>
      <w:proofErr w:type="spellStart"/>
      <w:r w:rsidRPr="00EF4C73">
        <w:rPr>
          <w:rFonts w:ascii="Centaur" w:hAnsi="Centaur" w:cs="Times New Roman"/>
          <w:i/>
          <w:iCs/>
          <w:sz w:val="22"/>
          <w:szCs w:val="22"/>
        </w:rPr>
        <w:t>Color</w:t>
      </w:r>
      <w:proofErr w:type="spellEnd"/>
      <w:r w:rsidRPr="00EF4C73">
        <w:rPr>
          <w:rFonts w:ascii="Centaur" w:hAnsi="Centaur" w:cs="Times New Roman"/>
          <w:i/>
          <w:iCs/>
          <w:sz w:val="22"/>
          <w:szCs w:val="22"/>
        </w:rPr>
        <w:t xml:space="preserve"> in 18</w:t>
      </w:r>
      <w:r w:rsidRPr="00EF4C73">
        <w:rPr>
          <w:rFonts w:ascii="Centaur" w:hAnsi="Centaur" w:cs="Times New Roman"/>
          <w:i/>
          <w:iCs/>
          <w:sz w:val="22"/>
          <w:szCs w:val="22"/>
          <w:vertAlign w:val="superscript"/>
        </w:rPr>
        <w:t>th</w:t>
      </w:r>
      <w:r w:rsidRPr="00EF4C73">
        <w:rPr>
          <w:rFonts w:ascii="Centaur" w:hAnsi="Centaur" w:cs="Times New Roman"/>
          <w:i/>
          <w:iCs/>
          <w:sz w:val="22"/>
          <w:szCs w:val="22"/>
        </w:rPr>
        <w:t>-Century Europe</w:t>
      </w:r>
      <w:r w:rsidRPr="00EF4C73">
        <w:rPr>
          <w:rFonts w:ascii="Centaur" w:hAnsi="Centaur" w:cs="Times New Roman"/>
          <w:sz w:val="22"/>
          <w:szCs w:val="22"/>
        </w:rPr>
        <w:t>, Ch. 12.</w:t>
      </w:r>
    </w:p>
  </w:footnote>
  <w:footnote w:id="35">
    <w:p w14:paraId="313DFD47" w14:textId="77777777" w:rsidR="00EF4C73" w:rsidRPr="00EF4C73" w:rsidRDefault="00EF4C73" w:rsidP="00EF4C73">
      <w:pPr>
        <w:pStyle w:val="FootnoteText"/>
        <w:rPr>
          <w:rFonts w:ascii="Centaur" w:hAnsi="Centaur" w:cs="Times New Roman"/>
          <w:sz w:val="22"/>
          <w:szCs w:val="22"/>
        </w:rPr>
      </w:pPr>
      <w:r w:rsidRPr="00EF4C73">
        <w:rPr>
          <w:rStyle w:val="FootnoteReference"/>
          <w:rFonts w:ascii="Centaur" w:hAnsi="Centaur" w:cs="Times New Roman"/>
          <w:sz w:val="22"/>
          <w:szCs w:val="22"/>
        </w:rPr>
        <w:footnoteRef/>
      </w:r>
      <w:r w:rsidRPr="00EF4C73">
        <w:rPr>
          <w:rFonts w:ascii="Centaur" w:hAnsi="Centaur" w:cs="Times New Roman"/>
          <w:sz w:val="22"/>
          <w:szCs w:val="22"/>
        </w:rPr>
        <w:t xml:space="preserve"> </w:t>
      </w:r>
      <w:proofErr w:type="spellStart"/>
      <w:r w:rsidRPr="00EF4C73">
        <w:rPr>
          <w:rFonts w:ascii="Centaur" w:hAnsi="Centaur" w:cs="Times New Roman"/>
          <w:sz w:val="22"/>
          <w:szCs w:val="22"/>
        </w:rPr>
        <w:t>Lowengard</w:t>
      </w:r>
      <w:proofErr w:type="spellEnd"/>
      <w:r w:rsidRPr="00EF4C73">
        <w:rPr>
          <w:rFonts w:ascii="Centaur" w:hAnsi="Centaur" w:cs="Times New Roman"/>
          <w:sz w:val="22"/>
          <w:szCs w:val="22"/>
        </w:rPr>
        <w:t xml:space="preserve">, </w:t>
      </w:r>
      <w:r w:rsidRPr="00EF4C73">
        <w:rPr>
          <w:rFonts w:ascii="Centaur" w:hAnsi="Centaur" w:cs="Times New Roman"/>
          <w:i/>
          <w:iCs/>
          <w:sz w:val="22"/>
          <w:szCs w:val="22"/>
        </w:rPr>
        <w:t xml:space="preserve">The Creation of </w:t>
      </w:r>
      <w:proofErr w:type="spellStart"/>
      <w:r w:rsidRPr="00EF4C73">
        <w:rPr>
          <w:rFonts w:ascii="Centaur" w:hAnsi="Centaur" w:cs="Times New Roman"/>
          <w:i/>
          <w:iCs/>
          <w:sz w:val="22"/>
          <w:szCs w:val="22"/>
        </w:rPr>
        <w:t>Color</w:t>
      </w:r>
      <w:proofErr w:type="spellEnd"/>
      <w:r w:rsidRPr="00EF4C73">
        <w:rPr>
          <w:rFonts w:ascii="Centaur" w:hAnsi="Centaur" w:cs="Times New Roman"/>
          <w:i/>
          <w:iCs/>
          <w:sz w:val="22"/>
          <w:szCs w:val="22"/>
        </w:rPr>
        <w:t xml:space="preserve"> in 18</w:t>
      </w:r>
      <w:r w:rsidRPr="00EF4C73">
        <w:rPr>
          <w:rFonts w:ascii="Centaur" w:hAnsi="Centaur" w:cs="Times New Roman"/>
          <w:i/>
          <w:iCs/>
          <w:sz w:val="22"/>
          <w:szCs w:val="22"/>
          <w:vertAlign w:val="superscript"/>
        </w:rPr>
        <w:t>th</w:t>
      </w:r>
      <w:r w:rsidRPr="00EF4C73">
        <w:rPr>
          <w:rFonts w:ascii="Centaur" w:hAnsi="Centaur" w:cs="Times New Roman"/>
          <w:i/>
          <w:iCs/>
          <w:sz w:val="22"/>
          <w:szCs w:val="22"/>
        </w:rPr>
        <w:t>-Century Europe</w:t>
      </w:r>
      <w:r w:rsidRPr="00EF4C73">
        <w:rPr>
          <w:rFonts w:ascii="Centaur" w:hAnsi="Centaur" w:cs="Times New Roman"/>
          <w:sz w:val="22"/>
          <w:szCs w:val="22"/>
        </w:rPr>
        <w:t>, Ch. 12.</w:t>
      </w:r>
    </w:p>
  </w:footnote>
  <w:footnote w:id="36">
    <w:p w14:paraId="322A66A2" w14:textId="4E9E6455" w:rsidR="00EF4C73" w:rsidRPr="00EF4C73" w:rsidRDefault="00EF4C73" w:rsidP="00EF4C73">
      <w:pPr>
        <w:pStyle w:val="FootnoteText"/>
        <w:rPr>
          <w:rFonts w:ascii="Centaur" w:hAnsi="Centaur" w:cs="Times New Roman"/>
          <w:sz w:val="22"/>
          <w:szCs w:val="22"/>
        </w:rPr>
      </w:pPr>
      <w:r w:rsidRPr="00EF4C73">
        <w:rPr>
          <w:rStyle w:val="FootnoteReference"/>
          <w:rFonts w:ascii="Centaur" w:hAnsi="Centaur" w:cs="Times New Roman"/>
          <w:sz w:val="22"/>
          <w:szCs w:val="22"/>
        </w:rPr>
        <w:footnoteRef/>
      </w:r>
      <w:r w:rsidRPr="00EF4C73">
        <w:rPr>
          <w:rFonts w:ascii="Centaur" w:hAnsi="Centaur" w:cs="Times New Roman"/>
          <w:sz w:val="22"/>
          <w:szCs w:val="22"/>
        </w:rPr>
        <w:t xml:space="preserve"> Déry, ‘Reading the Body: Materia Medica in the Founders’ Library’, p. 106.</w:t>
      </w:r>
    </w:p>
  </w:footnote>
  <w:footnote w:id="37">
    <w:p w14:paraId="1FB02687" w14:textId="7FE543F6" w:rsidR="00EF4C73" w:rsidRPr="00EF4C73" w:rsidRDefault="00EF4C73" w:rsidP="00EF4C73">
      <w:pPr>
        <w:pStyle w:val="FootnoteText"/>
        <w:rPr>
          <w:rFonts w:ascii="Centaur" w:hAnsi="Centaur" w:cs="Times New Roman"/>
          <w:sz w:val="22"/>
          <w:szCs w:val="22"/>
        </w:rPr>
      </w:pPr>
      <w:r w:rsidRPr="00EF4C73">
        <w:rPr>
          <w:rStyle w:val="FootnoteReference"/>
          <w:rFonts w:ascii="Centaur" w:hAnsi="Centaur" w:cs="Times New Roman"/>
          <w:sz w:val="22"/>
          <w:szCs w:val="22"/>
        </w:rPr>
        <w:footnoteRef/>
      </w:r>
      <w:r w:rsidRPr="00EF4C73">
        <w:rPr>
          <w:rFonts w:ascii="Centaur" w:hAnsi="Centaur" w:cs="Times New Roman"/>
          <w:sz w:val="22"/>
          <w:szCs w:val="22"/>
        </w:rPr>
        <w:t xml:space="preserve"> Kemp, ‘“The mark of truth”’, p. 87.</w:t>
      </w:r>
    </w:p>
  </w:footnote>
  <w:footnote w:id="38">
    <w:p w14:paraId="43C2BC12" w14:textId="77777777" w:rsidR="00EF4C73" w:rsidRPr="00EF4C73" w:rsidRDefault="00EF4C73" w:rsidP="00EF4C73">
      <w:pPr>
        <w:pStyle w:val="FootnoteText"/>
        <w:rPr>
          <w:rFonts w:ascii="Centaur" w:hAnsi="Centaur" w:cs="Times New Roman"/>
          <w:sz w:val="22"/>
          <w:szCs w:val="22"/>
        </w:rPr>
      </w:pPr>
      <w:r w:rsidRPr="00EF4C73">
        <w:rPr>
          <w:rStyle w:val="FootnoteReference"/>
          <w:rFonts w:ascii="Centaur" w:hAnsi="Centaur" w:cs="Times New Roman"/>
          <w:sz w:val="22"/>
          <w:szCs w:val="22"/>
        </w:rPr>
        <w:footnoteRef/>
      </w:r>
      <w:r w:rsidRPr="00EF4C73">
        <w:rPr>
          <w:rFonts w:ascii="Centaur" w:hAnsi="Centaur" w:cs="Times New Roman"/>
          <w:sz w:val="22"/>
          <w:szCs w:val="22"/>
        </w:rPr>
        <w:t xml:space="preserve"> Prideaux, </w:t>
      </w:r>
      <w:r w:rsidRPr="00EF4C73">
        <w:rPr>
          <w:rFonts w:ascii="Centaur" w:hAnsi="Centaur" w:cs="Times New Roman"/>
          <w:i/>
          <w:sz w:val="22"/>
          <w:szCs w:val="22"/>
        </w:rPr>
        <w:t>Aquatint Engraving</w:t>
      </w:r>
      <w:r w:rsidRPr="00EF4C73">
        <w:rPr>
          <w:rFonts w:ascii="Centaur" w:hAnsi="Centaur" w:cs="Times New Roman"/>
          <w:sz w:val="22"/>
          <w:szCs w:val="22"/>
        </w:rPr>
        <w:t>, p. 37.</w:t>
      </w:r>
    </w:p>
  </w:footnote>
  <w:footnote w:id="39">
    <w:p w14:paraId="20B5CCC4" w14:textId="77777777" w:rsidR="00EF4C73" w:rsidRPr="00EF4C73" w:rsidRDefault="00EF4C73" w:rsidP="00EF4C73">
      <w:pPr>
        <w:pStyle w:val="FootnoteText"/>
        <w:rPr>
          <w:rFonts w:ascii="Centaur" w:hAnsi="Centaur" w:cs="Times New Roman"/>
          <w:sz w:val="22"/>
          <w:szCs w:val="22"/>
        </w:rPr>
      </w:pPr>
      <w:r w:rsidRPr="00EF4C73">
        <w:rPr>
          <w:rStyle w:val="FootnoteReference"/>
          <w:rFonts w:ascii="Centaur" w:hAnsi="Centaur" w:cs="Times New Roman"/>
          <w:sz w:val="22"/>
          <w:szCs w:val="22"/>
        </w:rPr>
        <w:footnoteRef/>
      </w:r>
      <w:r w:rsidRPr="00EF4C73">
        <w:rPr>
          <w:rFonts w:ascii="Centaur" w:hAnsi="Centaur" w:cs="Times New Roman"/>
          <w:sz w:val="22"/>
          <w:szCs w:val="22"/>
        </w:rPr>
        <w:t xml:space="preserve"> Hind, </w:t>
      </w:r>
      <w:r w:rsidRPr="00EF4C73">
        <w:rPr>
          <w:rFonts w:ascii="Centaur" w:hAnsi="Centaur" w:cs="Times New Roman"/>
          <w:i/>
          <w:sz w:val="22"/>
          <w:szCs w:val="22"/>
        </w:rPr>
        <w:t>A History of Engraving &amp; Etching from the 15</w:t>
      </w:r>
      <w:r w:rsidRPr="00EF4C73">
        <w:rPr>
          <w:rFonts w:ascii="Centaur" w:hAnsi="Centaur" w:cs="Times New Roman"/>
          <w:i/>
          <w:sz w:val="22"/>
          <w:szCs w:val="22"/>
          <w:vertAlign w:val="superscript"/>
        </w:rPr>
        <w:t>th</w:t>
      </w:r>
      <w:r w:rsidRPr="00EF4C73">
        <w:rPr>
          <w:rFonts w:ascii="Centaur" w:hAnsi="Centaur" w:cs="Times New Roman"/>
          <w:i/>
          <w:sz w:val="22"/>
          <w:szCs w:val="22"/>
        </w:rPr>
        <w:t xml:space="preserve"> Century to the Year 1914</w:t>
      </w:r>
      <w:r w:rsidRPr="00EF4C73">
        <w:rPr>
          <w:rFonts w:ascii="Centaur" w:hAnsi="Centaur" w:cs="Times New Roman"/>
          <w:sz w:val="22"/>
          <w:szCs w:val="22"/>
        </w:rPr>
        <w:t xml:space="preserve">, p. 310; Martin Kemp &amp; Marina Wallace, </w:t>
      </w:r>
      <w:r w:rsidRPr="00EF4C73">
        <w:rPr>
          <w:rFonts w:ascii="Centaur" w:hAnsi="Centaur" w:cs="Times New Roman"/>
          <w:i/>
          <w:iCs/>
          <w:sz w:val="22"/>
          <w:szCs w:val="22"/>
        </w:rPr>
        <w:t>Spectacular Bodies: The Art and Science of the Human Body from Leonardo to Now</w:t>
      </w:r>
      <w:r w:rsidRPr="00EF4C73">
        <w:rPr>
          <w:rFonts w:ascii="Centaur" w:hAnsi="Centaur" w:cs="Times New Roman"/>
          <w:sz w:val="22"/>
          <w:szCs w:val="22"/>
        </w:rPr>
        <w:t xml:space="preserve"> (Berkeley, Calif.: University of California Press, 2000), p. 52.</w:t>
      </w:r>
    </w:p>
  </w:footnote>
  <w:footnote w:id="40">
    <w:p w14:paraId="797D46F4" w14:textId="77777777" w:rsidR="00EF4C73" w:rsidRPr="00EF4C73" w:rsidRDefault="00EF4C73" w:rsidP="00EF4C73">
      <w:pPr>
        <w:pStyle w:val="FootnoteText"/>
        <w:rPr>
          <w:rFonts w:ascii="Centaur" w:hAnsi="Centaur" w:cs="Times New Roman"/>
          <w:sz w:val="22"/>
          <w:szCs w:val="22"/>
        </w:rPr>
      </w:pPr>
      <w:r w:rsidRPr="00EF4C73">
        <w:rPr>
          <w:rStyle w:val="FootnoteReference"/>
          <w:rFonts w:ascii="Centaur" w:hAnsi="Centaur" w:cs="Times New Roman"/>
          <w:sz w:val="22"/>
          <w:szCs w:val="22"/>
        </w:rPr>
        <w:footnoteRef/>
      </w:r>
      <w:r w:rsidRPr="00EF4C73">
        <w:rPr>
          <w:rFonts w:ascii="Centaur" w:hAnsi="Centaur" w:cs="Times New Roman"/>
          <w:sz w:val="22"/>
          <w:szCs w:val="22"/>
        </w:rPr>
        <w:t xml:space="preserve"> </w:t>
      </w:r>
      <w:proofErr w:type="spellStart"/>
      <w:r w:rsidRPr="00EF4C73">
        <w:rPr>
          <w:rFonts w:ascii="Centaur" w:hAnsi="Centaur" w:cs="Times New Roman"/>
          <w:sz w:val="22"/>
          <w:szCs w:val="22"/>
        </w:rPr>
        <w:t>Cazort</w:t>
      </w:r>
      <w:proofErr w:type="spellEnd"/>
      <w:r w:rsidRPr="00EF4C73">
        <w:rPr>
          <w:rFonts w:ascii="Centaur" w:hAnsi="Centaur" w:cs="Times New Roman"/>
          <w:sz w:val="22"/>
          <w:szCs w:val="22"/>
        </w:rPr>
        <w:t>, Kornell, and Russell, ‘Catalogue of Works’, p. 226.</w:t>
      </w:r>
    </w:p>
  </w:footnote>
  <w:footnote w:id="41">
    <w:p w14:paraId="5617F0FB" w14:textId="77777777" w:rsidR="00EF4C73" w:rsidRPr="00EF4C73" w:rsidRDefault="00EF4C73" w:rsidP="00EF4C73">
      <w:pPr>
        <w:pStyle w:val="FootnoteText"/>
        <w:rPr>
          <w:rFonts w:ascii="Centaur" w:hAnsi="Centaur" w:cs="Times New Roman"/>
          <w:sz w:val="22"/>
          <w:szCs w:val="22"/>
        </w:rPr>
      </w:pPr>
      <w:r w:rsidRPr="00EF4C73">
        <w:rPr>
          <w:rStyle w:val="FootnoteReference"/>
          <w:rFonts w:ascii="Centaur" w:hAnsi="Centaur" w:cs="Times New Roman"/>
          <w:sz w:val="22"/>
          <w:szCs w:val="22"/>
        </w:rPr>
        <w:footnoteRef/>
      </w:r>
      <w:r w:rsidRPr="00EF4C73">
        <w:rPr>
          <w:rFonts w:ascii="Centaur" w:hAnsi="Centaur" w:cs="Times New Roman"/>
          <w:sz w:val="22"/>
          <w:szCs w:val="22"/>
        </w:rPr>
        <w:t xml:space="preserve"> Thornton and Reeves, </w:t>
      </w:r>
      <w:r w:rsidRPr="00EF4C73">
        <w:rPr>
          <w:rFonts w:ascii="Centaur" w:hAnsi="Centaur" w:cs="Times New Roman"/>
          <w:i/>
          <w:sz w:val="22"/>
          <w:szCs w:val="22"/>
        </w:rPr>
        <w:t>Medical Book Illustration</w:t>
      </w:r>
      <w:r w:rsidRPr="00EF4C73">
        <w:rPr>
          <w:rFonts w:ascii="Centaur" w:hAnsi="Centaur" w:cs="Times New Roman"/>
          <w:sz w:val="22"/>
          <w:szCs w:val="22"/>
        </w:rPr>
        <w:t>, p. 78.</w:t>
      </w:r>
    </w:p>
  </w:footnote>
  <w:footnote w:id="42">
    <w:p w14:paraId="6F84AE37" w14:textId="77777777" w:rsidR="00EF4C73" w:rsidRPr="00EF4C73" w:rsidRDefault="00EF4C73" w:rsidP="00EF4C73">
      <w:pPr>
        <w:pStyle w:val="FootnoteText"/>
        <w:rPr>
          <w:rFonts w:ascii="Centaur" w:hAnsi="Centaur" w:cs="Times New Roman"/>
          <w:sz w:val="22"/>
          <w:szCs w:val="22"/>
        </w:rPr>
      </w:pPr>
      <w:r w:rsidRPr="00EF4C73">
        <w:rPr>
          <w:rStyle w:val="FootnoteReference"/>
          <w:rFonts w:ascii="Centaur" w:hAnsi="Centaur" w:cs="Times New Roman"/>
          <w:sz w:val="22"/>
          <w:szCs w:val="22"/>
        </w:rPr>
        <w:footnoteRef/>
      </w:r>
      <w:r w:rsidRPr="00EF4C73">
        <w:rPr>
          <w:rFonts w:ascii="Centaur" w:hAnsi="Centaur" w:cs="Times New Roman"/>
          <w:sz w:val="22"/>
          <w:szCs w:val="22"/>
        </w:rPr>
        <w:t xml:space="preserve"> </w:t>
      </w:r>
      <w:proofErr w:type="spellStart"/>
      <w:r w:rsidRPr="00EF4C73">
        <w:rPr>
          <w:rFonts w:ascii="Centaur" w:hAnsi="Centaur" w:cs="Times New Roman"/>
          <w:sz w:val="22"/>
          <w:szCs w:val="22"/>
        </w:rPr>
        <w:t>Cazort</w:t>
      </w:r>
      <w:proofErr w:type="spellEnd"/>
      <w:r w:rsidRPr="00EF4C73">
        <w:rPr>
          <w:rFonts w:ascii="Centaur" w:hAnsi="Centaur" w:cs="Times New Roman"/>
          <w:sz w:val="22"/>
          <w:szCs w:val="22"/>
        </w:rPr>
        <w:t>, Kornell, and Russell, ‘Catalogue of Works’, p. 226.</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B153695"/>
    <w:multiLevelType w:val="hybridMultilevel"/>
    <w:tmpl w:val="A9F2318C"/>
    <w:lvl w:ilvl="0" w:tplc="1BA0464A">
      <w:start w:val="1"/>
      <w:numFmt w:val="lowerRoman"/>
      <w:lvlText w:val="(%1)"/>
      <w:lvlJc w:val="left"/>
      <w:pPr>
        <w:ind w:left="720" w:hanging="720"/>
      </w:pPr>
      <w:rPr>
        <w:rFonts w:hint="default"/>
        <w:u w:val="none"/>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7E8B77C5"/>
    <w:multiLevelType w:val="hybridMultilevel"/>
    <w:tmpl w:val="33DE1F5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65947057">
    <w:abstractNumId w:val="1"/>
  </w:num>
  <w:num w:numId="2" w16cid:durableId="16873608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2082"/>
    <w:rsid w:val="000025D5"/>
    <w:rsid w:val="00013108"/>
    <w:rsid w:val="000135DE"/>
    <w:rsid w:val="0003193E"/>
    <w:rsid w:val="000374C5"/>
    <w:rsid w:val="00047FF3"/>
    <w:rsid w:val="0005015C"/>
    <w:rsid w:val="00060BE4"/>
    <w:rsid w:val="0007508D"/>
    <w:rsid w:val="000774E6"/>
    <w:rsid w:val="0009104F"/>
    <w:rsid w:val="000A7D17"/>
    <w:rsid w:val="000B3078"/>
    <w:rsid w:val="000C5BC1"/>
    <w:rsid w:val="000D05D8"/>
    <w:rsid w:val="000D50AB"/>
    <w:rsid w:val="000E7AEB"/>
    <w:rsid w:val="0012293C"/>
    <w:rsid w:val="00130C23"/>
    <w:rsid w:val="00132064"/>
    <w:rsid w:val="001410EF"/>
    <w:rsid w:val="001451DD"/>
    <w:rsid w:val="00147D65"/>
    <w:rsid w:val="001540AE"/>
    <w:rsid w:val="001717C6"/>
    <w:rsid w:val="00181F77"/>
    <w:rsid w:val="00184336"/>
    <w:rsid w:val="001978C1"/>
    <w:rsid w:val="001A0288"/>
    <w:rsid w:val="001A14A5"/>
    <w:rsid w:val="001A4CAF"/>
    <w:rsid w:val="001E202B"/>
    <w:rsid w:val="0020070C"/>
    <w:rsid w:val="00213AD6"/>
    <w:rsid w:val="0021761F"/>
    <w:rsid w:val="00284C70"/>
    <w:rsid w:val="002D7E36"/>
    <w:rsid w:val="003036A9"/>
    <w:rsid w:val="00315310"/>
    <w:rsid w:val="0032143A"/>
    <w:rsid w:val="003558A9"/>
    <w:rsid w:val="00390659"/>
    <w:rsid w:val="00393A68"/>
    <w:rsid w:val="004075B1"/>
    <w:rsid w:val="004230BC"/>
    <w:rsid w:val="00436683"/>
    <w:rsid w:val="00494AD8"/>
    <w:rsid w:val="004A2A4B"/>
    <w:rsid w:val="004B1B72"/>
    <w:rsid w:val="004B622E"/>
    <w:rsid w:val="004D06DA"/>
    <w:rsid w:val="004E1CF5"/>
    <w:rsid w:val="004F32CC"/>
    <w:rsid w:val="00510D57"/>
    <w:rsid w:val="005114D6"/>
    <w:rsid w:val="0054246A"/>
    <w:rsid w:val="00564244"/>
    <w:rsid w:val="00580D0C"/>
    <w:rsid w:val="00585004"/>
    <w:rsid w:val="005C7627"/>
    <w:rsid w:val="005D0F78"/>
    <w:rsid w:val="005E7951"/>
    <w:rsid w:val="00646E3F"/>
    <w:rsid w:val="00662DFF"/>
    <w:rsid w:val="00676E8F"/>
    <w:rsid w:val="006A3474"/>
    <w:rsid w:val="006A6AF8"/>
    <w:rsid w:val="006B10FB"/>
    <w:rsid w:val="006F2854"/>
    <w:rsid w:val="006F58EA"/>
    <w:rsid w:val="0073287C"/>
    <w:rsid w:val="00736754"/>
    <w:rsid w:val="0074024E"/>
    <w:rsid w:val="00767130"/>
    <w:rsid w:val="00797FD4"/>
    <w:rsid w:val="008420DF"/>
    <w:rsid w:val="008C6921"/>
    <w:rsid w:val="008D73F4"/>
    <w:rsid w:val="009042A2"/>
    <w:rsid w:val="009165BD"/>
    <w:rsid w:val="00924F05"/>
    <w:rsid w:val="00947929"/>
    <w:rsid w:val="00952C1F"/>
    <w:rsid w:val="00974E39"/>
    <w:rsid w:val="00981A8E"/>
    <w:rsid w:val="009C3F02"/>
    <w:rsid w:val="009E6F19"/>
    <w:rsid w:val="009F2082"/>
    <w:rsid w:val="009F47DB"/>
    <w:rsid w:val="00A155AF"/>
    <w:rsid w:val="00AA724C"/>
    <w:rsid w:val="00AC69FD"/>
    <w:rsid w:val="00B11ADD"/>
    <w:rsid w:val="00B4044D"/>
    <w:rsid w:val="00B421A8"/>
    <w:rsid w:val="00B5350B"/>
    <w:rsid w:val="00BA2132"/>
    <w:rsid w:val="00BB63D7"/>
    <w:rsid w:val="00BD4403"/>
    <w:rsid w:val="00BE3739"/>
    <w:rsid w:val="00C200D9"/>
    <w:rsid w:val="00C3714C"/>
    <w:rsid w:val="00C736C2"/>
    <w:rsid w:val="00CC2601"/>
    <w:rsid w:val="00D02CFC"/>
    <w:rsid w:val="00D045A1"/>
    <w:rsid w:val="00D21B4E"/>
    <w:rsid w:val="00D23F4C"/>
    <w:rsid w:val="00D309D2"/>
    <w:rsid w:val="00D34C7C"/>
    <w:rsid w:val="00D94D24"/>
    <w:rsid w:val="00DA01E9"/>
    <w:rsid w:val="00DA060A"/>
    <w:rsid w:val="00DA2BBB"/>
    <w:rsid w:val="00DC2D97"/>
    <w:rsid w:val="00E257B6"/>
    <w:rsid w:val="00E35413"/>
    <w:rsid w:val="00E96FBD"/>
    <w:rsid w:val="00EC3E85"/>
    <w:rsid w:val="00EC4312"/>
    <w:rsid w:val="00ED5264"/>
    <w:rsid w:val="00EF4C73"/>
    <w:rsid w:val="00F036C5"/>
    <w:rsid w:val="00F05699"/>
    <w:rsid w:val="00F279E5"/>
    <w:rsid w:val="00F43E86"/>
    <w:rsid w:val="00F53FEB"/>
    <w:rsid w:val="00F77368"/>
    <w:rsid w:val="00F96CF9"/>
    <w:rsid w:val="00FC382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01D7446"/>
  <w15:docId w15:val="{6884529A-A8FD-4544-A202-E2E3FC6DE0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2082"/>
    <w:pPr>
      <w:spacing w:after="0" w:line="240" w:lineRule="auto"/>
    </w:pPr>
    <w:rPr>
      <w:rFonts w:ascii="Calibri" w:hAnsi="Calibri"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47D65"/>
    <w:pPr>
      <w:ind w:left="720"/>
      <w:contextualSpacing/>
    </w:pPr>
  </w:style>
  <w:style w:type="paragraph" w:styleId="FootnoteText">
    <w:name w:val="footnote text"/>
    <w:basedOn w:val="Normal"/>
    <w:link w:val="FootnoteTextChar"/>
    <w:unhideWhenUsed/>
    <w:rsid w:val="00147D65"/>
    <w:rPr>
      <w:rFonts w:asciiTheme="minorHAnsi" w:hAnsiTheme="minorHAnsi" w:cstheme="minorBidi"/>
      <w:sz w:val="20"/>
      <w:szCs w:val="20"/>
      <w:lang w:eastAsia="en-US"/>
    </w:rPr>
  </w:style>
  <w:style w:type="character" w:customStyle="1" w:styleId="FootnoteTextChar">
    <w:name w:val="Footnote Text Char"/>
    <w:basedOn w:val="DefaultParagraphFont"/>
    <w:link w:val="FootnoteText"/>
    <w:rsid w:val="00147D65"/>
    <w:rPr>
      <w:sz w:val="20"/>
      <w:szCs w:val="20"/>
    </w:rPr>
  </w:style>
  <w:style w:type="character" w:styleId="FootnoteReference">
    <w:name w:val="footnote reference"/>
    <w:basedOn w:val="DefaultParagraphFont"/>
    <w:unhideWhenUsed/>
    <w:rsid w:val="00147D65"/>
    <w:rPr>
      <w:vertAlign w:val="superscript"/>
    </w:rPr>
  </w:style>
  <w:style w:type="paragraph" w:styleId="Header">
    <w:name w:val="header"/>
    <w:basedOn w:val="Normal"/>
    <w:link w:val="HeaderChar"/>
    <w:uiPriority w:val="99"/>
    <w:unhideWhenUsed/>
    <w:rsid w:val="00B11ADD"/>
    <w:pPr>
      <w:tabs>
        <w:tab w:val="center" w:pos="4513"/>
        <w:tab w:val="right" w:pos="9026"/>
      </w:tabs>
    </w:pPr>
  </w:style>
  <w:style w:type="character" w:customStyle="1" w:styleId="HeaderChar">
    <w:name w:val="Header Char"/>
    <w:basedOn w:val="DefaultParagraphFont"/>
    <w:link w:val="Header"/>
    <w:uiPriority w:val="99"/>
    <w:rsid w:val="00B11ADD"/>
    <w:rPr>
      <w:rFonts w:ascii="Calibri" w:hAnsi="Calibri" w:cs="Times New Roman"/>
      <w:lang w:eastAsia="en-GB"/>
    </w:rPr>
  </w:style>
  <w:style w:type="paragraph" w:styleId="Footer">
    <w:name w:val="footer"/>
    <w:basedOn w:val="Normal"/>
    <w:link w:val="FooterChar"/>
    <w:uiPriority w:val="99"/>
    <w:unhideWhenUsed/>
    <w:rsid w:val="00B11ADD"/>
    <w:pPr>
      <w:tabs>
        <w:tab w:val="center" w:pos="4513"/>
        <w:tab w:val="right" w:pos="9026"/>
      </w:tabs>
    </w:pPr>
  </w:style>
  <w:style w:type="character" w:customStyle="1" w:styleId="FooterChar">
    <w:name w:val="Footer Char"/>
    <w:basedOn w:val="DefaultParagraphFont"/>
    <w:link w:val="Footer"/>
    <w:uiPriority w:val="99"/>
    <w:rsid w:val="00B11ADD"/>
    <w:rPr>
      <w:rFonts w:ascii="Calibri" w:hAnsi="Calibri" w:cs="Times New Roman"/>
      <w:lang w:eastAsia="en-GB"/>
    </w:rPr>
  </w:style>
  <w:style w:type="paragraph" w:customStyle="1" w:styleId="xmsonormal">
    <w:name w:val="x_msonormal"/>
    <w:basedOn w:val="Normal"/>
    <w:rsid w:val="00F036C5"/>
    <w:pPr>
      <w:spacing w:before="100" w:beforeAutospacing="1" w:after="100" w:afterAutospacing="1"/>
    </w:pPr>
    <w:rPr>
      <w:rFonts w:ascii="Times New Roman" w:eastAsia="Times New Roman" w:hAnsi="Times New Roman"/>
      <w:sz w:val="24"/>
      <w:szCs w:val="24"/>
    </w:rPr>
  </w:style>
  <w:style w:type="character" w:customStyle="1" w:styleId="apple-converted-space">
    <w:name w:val="apple-converted-space"/>
    <w:basedOn w:val="DefaultParagraphFont"/>
    <w:rsid w:val="00F036C5"/>
  </w:style>
  <w:style w:type="character" w:styleId="Hyperlink">
    <w:name w:val="Hyperlink"/>
    <w:basedOn w:val="DefaultParagraphFont"/>
    <w:uiPriority w:val="99"/>
    <w:unhideWhenUsed/>
    <w:rsid w:val="00C736C2"/>
    <w:rPr>
      <w:color w:val="0000FF" w:themeColor="hyperlink"/>
      <w:u w:val="single"/>
    </w:rPr>
  </w:style>
  <w:style w:type="paragraph" w:styleId="NormalWeb">
    <w:name w:val="Normal (Web)"/>
    <w:basedOn w:val="Normal"/>
    <w:uiPriority w:val="99"/>
    <w:semiHidden/>
    <w:unhideWhenUsed/>
    <w:rsid w:val="00676E8F"/>
    <w:pPr>
      <w:spacing w:before="100" w:beforeAutospacing="1" w:after="100" w:afterAutospacing="1"/>
    </w:pPr>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42234">
      <w:bodyDiv w:val="1"/>
      <w:marLeft w:val="0"/>
      <w:marRight w:val="0"/>
      <w:marTop w:val="0"/>
      <w:marBottom w:val="0"/>
      <w:divBdr>
        <w:top w:val="none" w:sz="0" w:space="0" w:color="auto"/>
        <w:left w:val="none" w:sz="0" w:space="0" w:color="auto"/>
        <w:bottom w:val="none" w:sz="0" w:space="0" w:color="auto"/>
        <w:right w:val="none" w:sz="0" w:space="0" w:color="auto"/>
      </w:divBdr>
    </w:div>
    <w:div w:id="390887468">
      <w:bodyDiv w:val="1"/>
      <w:marLeft w:val="0"/>
      <w:marRight w:val="0"/>
      <w:marTop w:val="0"/>
      <w:marBottom w:val="0"/>
      <w:divBdr>
        <w:top w:val="none" w:sz="0" w:space="0" w:color="auto"/>
        <w:left w:val="none" w:sz="0" w:space="0" w:color="auto"/>
        <w:bottom w:val="none" w:sz="0" w:space="0" w:color="auto"/>
        <w:right w:val="none" w:sz="0" w:space="0" w:color="auto"/>
      </w:divBdr>
    </w:div>
    <w:div w:id="866796437">
      <w:bodyDiv w:val="1"/>
      <w:marLeft w:val="0"/>
      <w:marRight w:val="0"/>
      <w:marTop w:val="0"/>
      <w:marBottom w:val="0"/>
      <w:divBdr>
        <w:top w:val="none" w:sz="0" w:space="0" w:color="auto"/>
        <w:left w:val="none" w:sz="0" w:space="0" w:color="auto"/>
        <w:bottom w:val="none" w:sz="0" w:space="0" w:color="auto"/>
        <w:right w:val="none" w:sz="0" w:space="0" w:color="auto"/>
      </w:divBdr>
    </w:div>
    <w:div w:id="915700029">
      <w:bodyDiv w:val="1"/>
      <w:marLeft w:val="0"/>
      <w:marRight w:val="0"/>
      <w:marTop w:val="0"/>
      <w:marBottom w:val="0"/>
      <w:divBdr>
        <w:top w:val="none" w:sz="0" w:space="0" w:color="auto"/>
        <w:left w:val="none" w:sz="0" w:space="0" w:color="auto"/>
        <w:bottom w:val="none" w:sz="0" w:space="0" w:color="auto"/>
        <w:right w:val="none" w:sz="0" w:space="0" w:color="auto"/>
      </w:divBdr>
    </w:div>
    <w:div w:id="1023437772">
      <w:bodyDiv w:val="1"/>
      <w:marLeft w:val="0"/>
      <w:marRight w:val="0"/>
      <w:marTop w:val="0"/>
      <w:marBottom w:val="0"/>
      <w:divBdr>
        <w:top w:val="none" w:sz="0" w:space="0" w:color="auto"/>
        <w:left w:val="none" w:sz="0" w:space="0" w:color="auto"/>
        <w:bottom w:val="none" w:sz="0" w:space="0" w:color="auto"/>
        <w:right w:val="none" w:sz="0" w:space="0" w:color="auto"/>
      </w:divBdr>
    </w:div>
    <w:div w:id="1737436066">
      <w:bodyDiv w:val="1"/>
      <w:marLeft w:val="0"/>
      <w:marRight w:val="0"/>
      <w:marTop w:val="0"/>
      <w:marBottom w:val="0"/>
      <w:divBdr>
        <w:top w:val="none" w:sz="0" w:space="0" w:color="auto"/>
        <w:left w:val="none" w:sz="0" w:space="0" w:color="auto"/>
        <w:bottom w:val="none" w:sz="0" w:space="0" w:color="auto"/>
        <w:right w:val="none" w:sz="0" w:space="0" w:color="auto"/>
      </w:divBdr>
    </w:div>
    <w:div w:id="1811052875">
      <w:bodyDiv w:val="1"/>
      <w:marLeft w:val="0"/>
      <w:marRight w:val="0"/>
      <w:marTop w:val="0"/>
      <w:marBottom w:val="0"/>
      <w:divBdr>
        <w:top w:val="none" w:sz="0" w:space="0" w:color="auto"/>
        <w:left w:val="none" w:sz="0" w:space="0" w:color="auto"/>
        <w:bottom w:val="none" w:sz="0" w:space="0" w:color="auto"/>
        <w:right w:val="none" w:sz="0" w:space="0" w:color="auto"/>
      </w:divBdr>
    </w:div>
    <w:div w:id="1874879226">
      <w:bodyDiv w:val="1"/>
      <w:marLeft w:val="0"/>
      <w:marRight w:val="0"/>
      <w:marTop w:val="0"/>
      <w:marBottom w:val="0"/>
      <w:divBdr>
        <w:top w:val="none" w:sz="0" w:space="0" w:color="auto"/>
        <w:left w:val="none" w:sz="0" w:space="0" w:color="auto"/>
        <w:bottom w:val="none" w:sz="0" w:space="0" w:color="auto"/>
        <w:right w:val="none" w:sz="0" w:space="0" w:color="auto"/>
      </w:divBdr>
    </w:div>
    <w:div w:id="2061174274">
      <w:bodyDiv w:val="1"/>
      <w:marLeft w:val="0"/>
      <w:marRight w:val="0"/>
      <w:marTop w:val="0"/>
      <w:marBottom w:val="0"/>
      <w:divBdr>
        <w:top w:val="none" w:sz="0" w:space="0" w:color="auto"/>
        <w:left w:val="none" w:sz="0" w:space="0" w:color="auto"/>
        <w:bottom w:val="none" w:sz="0" w:space="0" w:color="auto"/>
        <w:right w:val="none" w:sz="0" w:space="0" w:color="auto"/>
      </w:divBdr>
      <w:divsChild>
        <w:div w:id="2066367932">
          <w:marLeft w:val="0"/>
          <w:marRight w:val="0"/>
          <w:marTop w:val="0"/>
          <w:marBottom w:val="0"/>
          <w:divBdr>
            <w:top w:val="none" w:sz="0" w:space="0" w:color="auto"/>
            <w:left w:val="none" w:sz="0" w:space="0" w:color="auto"/>
            <w:bottom w:val="none" w:sz="0" w:space="0" w:color="auto"/>
            <w:right w:val="none" w:sz="0" w:space="0" w:color="auto"/>
          </w:divBdr>
        </w:div>
        <w:div w:id="1689791929">
          <w:marLeft w:val="0"/>
          <w:marRight w:val="0"/>
          <w:marTop w:val="0"/>
          <w:marBottom w:val="0"/>
          <w:divBdr>
            <w:top w:val="none" w:sz="0" w:space="0" w:color="auto"/>
            <w:left w:val="none" w:sz="0" w:space="0" w:color="auto"/>
            <w:bottom w:val="none" w:sz="0" w:space="0" w:color="auto"/>
            <w:right w:val="none" w:sz="0" w:space="0" w:color="auto"/>
          </w:divBdr>
        </w:div>
        <w:div w:id="864712701">
          <w:marLeft w:val="0"/>
          <w:marRight w:val="0"/>
          <w:marTop w:val="0"/>
          <w:marBottom w:val="0"/>
          <w:divBdr>
            <w:top w:val="none" w:sz="0" w:space="0" w:color="auto"/>
            <w:left w:val="none" w:sz="0" w:space="0" w:color="auto"/>
            <w:bottom w:val="none" w:sz="0" w:space="0" w:color="auto"/>
            <w:right w:val="none" w:sz="0" w:space="0" w:color="auto"/>
          </w:divBdr>
        </w:div>
        <w:div w:id="1666085514">
          <w:marLeft w:val="0"/>
          <w:marRight w:val="0"/>
          <w:marTop w:val="0"/>
          <w:marBottom w:val="0"/>
          <w:divBdr>
            <w:top w:val="none" w:sz="0" w:space="0" w:color="auto"/>
            <w:left w:val="none" w:sz="0" w:space="0" w:color="auto"/>
            <w:bottom w:val="none" w:sz="0" w:space="0" w:color="auto"/>
            <w:right w:val="none" w:sz="0" w:space="0" w:color="auto"/>
          </w:divBdr>
        </w:div>
        <w:div w:id="1432124999">
          <w:marLeft w:val="0"/>
          <w:marRight w:val="0"/>
          <w:marTop w:val="0"/>
          <w:marBottom w:val="0"/>
          <w:divBdr>
            <w:top w:val="none" w:sz="0" w:space="0" w:color="auto"/>
            <w:left w:val="none" w:sz="0" w:space="0" w:color="auto"/>
            <w:bottom w:val="none" w:sz="0" w:space="0" w:color="auto"/>
            <w:right w:val="none" w:sz="0" w:space="0" w:color="auto"/>
          </w:divBdr>
        </w:div>
        <w:div w:id="531186676">
          <w:marLeft w:val="0"/>
          <w:marRight w:val="0"/>
          <w:marTop w:val="0"/>
          <w:marBottom w:val="0"/>
          <w:divBdr>
            <w:top w:val="none" w:sz="0" w:space="0" w:color="auto"/>
            <w:left w:val="none" w:sz="0" w:space="0" w:color="auto"/>
            <w:bottom w:val="none" w:sz="0" w:space="0" w:color="auto"/>
            <w:right w:val="none" w:sz="0" w:space="0" w:color="auto"/>
          </w:divBdr>
        </w:div>
        <w:div w:id="11617611">
          <w:marLeft w:val="0"/>
          <w:marRight w:val="0"/>
          <w:marTop w:val="0"/>
          <w:marBottom w:val="0"/>
          <w:divBdr>
            <w:top w:val="none" w:sz="0" w:space="0" w:color="auto"/>
            <w:left w:val="none" w:sz="0" w:space="0" w:color="auto"/>
            <w:bottom w:val="none" w:sz="0" w:space="0" w:color="auto"/>
            <w:right w:val="none" w:sz="0" w:space="0" w:color="auto"/>
          </w:divBdr>
        </w:div>
        <w:div w:id="1979148555">
          <w:marLeft w:val="0"/>
          <w:marRight w:val="0"/>
          <w:marTop w:val="0"/>
          <w:marBottom w:val="0"/>
          <w:divBdr>
            <w:top w:val="none" w:sz="0" w:space="0" w:color="auto"/>
            <w:left w:val="none" w:sz="0" w:space="0" w:color="auto"/>
            <w:bottom w:val="none" w:sz="0" w:space="0" w:color="auto"/>
            <w:right w:val="none" w:sz="0" w:space="0" w:color="auto"/>
          </w:divBdr>
        </w:div>
        <w:div w:id="1926764562">
          <w:marLeft w:val="0"/>
          <w:marRight w:val="0"/>
          <w:marTop w:val="0"/>
          <w:marBottom w:val="0"/>
          <w:divBdr>
            <w:top w:val="none" w:sz="0" w:space="0" w:color="auto"/>
            <w:left w:val="none" w:sz="0" w:space="0" w:color="auto"/>
            <w:bottom w:val="none" w:sz="0" w:space="0" w:color="auto"/>
            <w:right w:val="none" w:sz="0" w:space="0" w:color="auto"/>
          </w:divBdr>
        </w:div>
        <w:div w:id="1847355599">
          <w:marLeft w:val="0"/>
          <w:marRight w:val="0"/>
          <w:marTop w:val="0"/>
          <w:marBottom w:val="0"/>
          <w:divBdr>
            <w:top w:val="none" w:sz="0" w:space="0" w:color="auto"/>
            <w:left w:val="none" w:sz="0" w:space="0" w:color="auto"/>
            <w:bottom w:val="none" w:sz="0" w:space="0" w:color="auto"/>
            <w:right w:val="none" w:sz="0" w:space="0" w:color="auto"/>
          </w:divBdr>
        </w:div>
        <w:div w:id="1671593001">
          <w:marLeft w:val="0"/>
          <w:marRight w:val="0"/>
          <w:marTop w:val="0"/>
          <w:marBottom w:val="0"/>
          <w:divBdr>
            <w:top w:val="none" w:sz="0" w:space="0" w:color="auto"/>
            <w:left w:val="none" w:sz="0" w:space="0" w:color="auto"/>
            <w:bottom w:val="none" w:sz="0" w:space="0" w:color="auto"/>
            <w:right w:val="none" w:sz="0" w:space="0" w:color="auto"/>
          </w:divBdr>
        </w:div>
        <w:div w:id="1694309668">
          <w:marLeft w:val="0"/>
          <w:marRight w:val="0"/>
          <w:marTop w:val="0"/>
          <w:marBottom w:val="0"/>
          <w:divBdr>
            <w:top w:val="none" w:sz="0" w:space="0" w:color="auto"/>
            <w:left w:val="none" w:sz="0" w:space="0" w:color="auto"/>
            <w:bottom w:val="none" w:sz="0" w:space="0" w:color="auto"/>
            <w:right w:val="none" w:sz="0" w:space="0" w:color="auto"/>
          </w:divBdr>
        </w:div>
        <w:div w:id="1940024894">
          <w:marLeft w:val="0"/>
          <w:marRight w:val="0"/>
          <w:marTop w:val="0"/>
          <w:marBottom w:val="0"/>
          <w:divBdr>
            <w:top w:val="none" w:sz="0" w:space="0" w:color="auto"/>
            <w:left w:val="none" w:sz="0" w:space="0" w:color="auto"/>
            <w:bottom w:val="none" w:sz="0" w:space="0" w:color="auto"/>
            <w:right w:val="none" w:sz="0" w:space="0" w:color="auto"/>
          </w:divBdr>
        </w:div>
        <w:div w:id="1549487611">
          <w:marLeft w:val="0"/>
          <w:marRight w:val="0"/>
          <w:marTop w:val="0"/>
          <w:marBottom w:val="0"/>
          <w:divBdr>
            <w:top w:val="none" w:sz="0" w:space="0" w:color="auto"/>
            <w:left w:val="none" w:sz="0" w:space="0" w:color="auto"/>
            <w:bottom w:val="none" w:sz="0" w:space="0" w:color="auto"/>
            <w:right w:val="none" w:sz="0" w:space="0" w:color="auto"/>
          </w:divBdr>
        </w:div>
        <w:div w:id="697465278">
          <w:marLeft w:val="0"/>
          <w:marRight w:val="0"/>
          <w:marTop w:val="0"/>
          <w:marBottom w:val="0"/>
          <w:divBdr>
            <w:top w:val="none" w:sz="0" w:space="0" w:color="auto"/>
            <w:left w:val="none" w:sz="0" w:space="0" w:color="auto"/>
            <w:bottom w:val="none" w:sz="0" w:space="0" w:color="auto"/>
            <w:right w:val="none" w:sz="0" w:space="0" w:color="auto"/>
          </w:divBdr>
        </w:div>
        <w:div w:id="172502928">
          <w:marLeft w:val="0"/>
          <w:marRight w:val="0"/>
          <w:marTop w:val="0"/>
          <w:marBottom w:val="0"/>
          <w:divBdr>
            <w:top w:val="none" w:sz="0" w:space="0" w:color="auto"/>
            <w:left w:val="none" w:sz="0" w:space="0" w:color="auto"/>
            <w:bottom w:val="none" w:sz="0" w:space="0" w:color="auto"/>
            <w:right w:val="none" w:sz="0" w:space="0" w:color="auto"/>
          </w:divBdr>
        </w:div>
        <w:div w:id="1331980257">
          <w:marLeft w:val="0"/>
          <w:marRight w:val="0"/>
          <w:marTop w:val="0"/>
          <w:marBottom w:val="0"/>
          <w:divBdr>
            <w:top w:val="none" w:sz="0" w:space="0" w:color="auto"/>
            <w:left w:val="none" w:sz="0" w:space="0" w:color="auto"/>
            <w:bottom w:val="none" w:sz="0" w:space="0" w:color="auto"/>
            <w:right w:val="none" w:sz="0" w:space="0" w:color="auto"/>
          </w:divBdr>
        </w:div>
        <w:div w:id="1497500193">
          <w:marLeft w:val="0"/>
          <w:marRight w:val="0"/>
          <w:marTop w:val="0"/>
          <w:marBottom w:val="0"/>
          <w:divBdr>
            <w:top w:val="none" w:sz="0" w:space="0" w:color="auto"/>
            <w:left w:val="none" w:sz="0" w:space="0" w:color="auto"/>
            <w:bottom w:val="none" w:sz="0" w:space="0" w:color="auto"/>
            <w:right w:val="none" w:sz="0" w:space="0" w:color="auto"/>
          </w:divBdr>
        </w:div>
        <w:div w:id="373962565">
          <w:marLeft w:val="0"/>
          <w:marRight w:val="0"/>
          <w:marTop w:val="0"/>
          <w:marBottom w:val="0"/>
          <w:divBdr>
            <w:top w:val="none" w:sz="0" w:space="0" w:color="auto"/>
            <w:left w:val="none" w:sz="0" w:space="0" w:color="auto"/>
            <w:bottom w:val="none" w:sz="0" w:space="0" w:color="auto"/>
            <w:right w:val="none" w:sz="0" w:space="0" w:color="auto"/>
          </w:divBdr>
        </w:div>
        <w:div w:id="2032762340">
          <w:marLeft w:val="0"/>
          <w:marRight w:val="0"/>
          <w:marTop w:val="0"/>
          <w:marBottom w:val="0"/>
          <w:divBdr>
            <w:top w:val="none" w:sz="0" w:space="0" w:color="auto"/>
            <w:left w:val="none" w:sz="0" w:space="0" w:color="auto"/>
            <w:bottom w:val="none" w:sz="0" w:space="0" w:color="auto"/>
            <w:right w:val="none" w:sz="0" w:space="0" w:color="auto"/>
          </w:divBdr>
        </w:div>
        <w:div w:id="1405831489">
          <w:marLeft w:val="0"/>
          <w:marRight w:val="0"/>
          <w:marTop w:val="0"/>
          <w:marBottom w:val="0"/>
          <w:divBdr>
            <w:top w:val="none" w:sz="0" w:space="0" w:color="auto"/>
            <w:left w:val="none" w:sz="0" w:space="0" w:color="auto"/>
            <w:bottom w:val="none" w:sz="0" w:space="0" w:color="auto"/>
            <w:right w:val="none" w:sz="0" w:space="0" w:color="auto"/>
          </w:divBdr>
        </w:div>
        <w:div w:id="1714306080">
          <w:marLeft w:val="0"/>
          <w:marRight w:val="0"/>
          <w:marTop w:val="0"/>
          <w:marBottom w:val="0"/>
          <w:divBdr>
            <w:top w:val="none" w:sz="0" w:space="0" w:color="auto"/>
            <w:left w:val="none" w:sz="0" w:space="0" w:color="auto"/>
            <w:bottom w:val="none" w:sz="0" w:space="0" w:color="auto"/>
            <w:right w:val="none" w:sz="0" w:space="0" w:color="auto"/>
          </w:divBdr>
        </w:div>
        <w:div w:id="516963495">
          <w:marLeft w:val="0"/>
          <w:marRight w:val="0"/>
          <w:marTop w:val="0"/>
          <w:marBottom w:val="0"/>
          <w:divBdr>
            <w:top w:val="none" w:sz="0" w:space="0" w:color="auto"/>
            <w:left w:val="none" w:sz="0" w:space="0" w:color="auto"/>
            <w:bottom w:val="none" w:sz="0" w:space="0" w:color="auto"/>
            <w:right w:val="none" w:sz="0" w:space="0" w:color="auto"/>
          </w:divBdr>
        </w:div>
        <w:div w:id="1810126117">
          <w:marLeft w:val="0"/>
          <w:marRight w:val="0"/>
          <w:marTop w:val="0"/>
          <w:marBottom w:val="0"/>
          <w:divBdr>
            <w:top w:val="none" w:sz="0" w:space="0" w:color="auto"/>
            <w:left w:val="none" w:sz="0" w:space="0" w:color="auto"/>
            <w:bottom w:val="none" w:sz="0" w:space="0" w:color="auto"/>
            <w:right w:val="none" w:sz="0" w:space="0" w:color="auto"/>
          </w:divBdr>
        </w:div>
        <w:div w:id="339433650">
          <w:marLeft w:val="0"/>
          <w:marRight w:val="0"/>
          <w:marTop w:val="0"/>
          <w:marBottom w:val="0"/>
          <w:divBdr>
            <w:top w:val="none" w:sz="0" w:space="0" w:color="auto"/>
            <w:left w:val="none" w:sz="0" w:space="0" w:color="auto"/>
            <w:bottom w:val="none" w:sz="0" w:space="0" w:color="auto"/>
            <w:right w:val="none" w:sz="0" w:space="0" w:color="auto"/>
          </w:divBdr>
        </w:div>
        <w:div w:id="1296061939">
          <w:marLeft w:val="0"/>
          <w:marRight w:val="0"/>
          <w:marTop w:val="0"/>
          <w:marBottom w:val="0"/>
          <w:divBdr>
            <w:top w:val="none" w:sz="0" w:space="0" w:color="auto"/>
            <w:left w:val="none" w:sz="0" w:space="0" w:color="auto"/>
            <w:bottom w:val="none" w:sz="0" w:space="0" w:color="auto"/>
            <w:right w:val="none" w:sz="0" w:space="0" w:color="auto"/>
          </w:divBdr>
        </w:div>
        <w:div w:id="21158993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FAD7A2-72E1-406B-8A5E-E53F81A7AF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1603</TotalTime>
  <Pages>14</Pages>
  <Words>5090</Words>
  <Characters>29014</Characters>
  <Application>Microsoft Office Word</Application>
  <DocSecurity>0</DocSecurity>
  <Lines>241</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pn021</dc:creator>
  <cp:keywords/>
  <dc:description/>
  <cp:lastModifiedBy>Peter Mitchell</cp:lastModifiedBy>
  <cp:revision>34</cp:revision>
  <dcterms:created xsi:type="dcterms:W3CDTF">2017-04-24T13:45:00Z</dcterms:created>
  <dcterms:modified xsi:type="dcterms:W3CDTF">2023-10-08T18:52:00Z</dcterms:modified>
</cp:coreProperties>
</file>