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777BF" w14:textId="038D878F" w:rsidR="001D56F4" w:rsidRPr="00A70224" w:rsidRDefault="001D56F4" w:rsidP="00A70224">
      <w:pPr>
        <w:spacing w:line="360" w:lineRule="auto"/>
        <w:ind w:right="531"/>
        <w:rPr>
          <w:rFonts w:asciiTheme="minorHAnsi" w:eastAsia="Calibri" w:hAnsiTheme="minorHAnsi" w:cs="Arial"/>
          <w:b/>
          <w:bCs/>
          <w:sz w:val="24"/>
          <w:szCs w:val="24"/>
        </w:rPr>
      </w:pPr>
      <w:r w:rsidRPr="00A70224">
        <w:rPr>
          <w:rFonts w:asciiTheme="minorHAnsi" w:eastAsia="Calibri" w:hAnsiTheme="minorHAnsi" w:cs="Arial"/>
          <w:b/>
          <w:bCs/>
          <w:sz w:val="24"/>
          <w:szCs w:val="24"/>
        </w:rPr>
        <w:t>IOAN RHUN DAVENPORT HUGHES                                       2319967</w:t>
      </w:r>
    </w:p>
    <w:p w14:paraId="03769DE0" w14:textId="77777777" w:rsidR="001D56F4" w:rsidRPr="00A70224" w:rsidRDefault="001D56F4" w:rsidP="00A70224">
      <w:pPr>
        <w:spacing w:line="360" w:lineRule="auto"/>
        <w:ind w:right="531"/>
        <w:rPr>
          <w:rFonts w:asciiTheme="minorHAnsi" w:eastAsia="Calibri" w:hAnsiTheme="minorHAnsi" w:cs="Arial"/>
          <w:b/>
          <w:bCs/>
          <w:sz w:val="24"/>
          <w:szCs w:val="24"/>
        </w:rPr>
      </w:pPr>
    </w:p>
    <w:p w14:paraId="7D6E1986" w14:textId="03D633ED" w:rsidR="001D56F4" w:rsidRPr="00A70224" w:rsidRDefault="001D56F4" w:rsidP="00A70224">
      <w:pPr>
        <w:spacing w:line="360" w:lineRule="auto"/>
        <w:ind w:right="531"/>
        <w:rPr>
          <w:rFonts w:asciiTheme="minorHAnsi" w:eastAsia="Calibri" w:hAnsiTheme="minorHAnsi" w:cs="Arial"/>
          <w:b/>
          <w:bCs/>
          <w:sz w:val="24"/>
          <w:szCs w:val="24"/>
        </w:rPr>
      </w:pPr>
      <w:r w:rsidRPr="00A70224">
        <w:rPr>
          <w:rFonts w:asciiTheme="minorHAnsi" w:eastAsia="Calibri" w:hAnsiTheme="minorHAnsi" w:cs="Arial"/>
          <w:b/>
          <w:bCs/>
          <w:sz w:val="24"/>
          <w:szCs w:val="24"/>
        </w:rPr>
        <w:t>BMPP6005D</w:t>
      </w:r>
    </w:p>
    <w:p w14:paraId="0AF2218A" w14:textId="77777777" w:rsidR="001D56F4" w:rsidRPr="00A70224" w:rsidRDefault="001D56F4" w:rsidP="00A70224">
      <w:pPr>
        <w:spacing w:line="360" w:lineRule="auto"/>
        <w:ind w:right="531"/>
        <w:rPr>
          <w:rFonts w:asciiTheme="minorHAnsi" w:eastAsia="Calibri" w:hAnsiTheme="minorHAnsi" w:cs="Arial"/>
          <w:b/>
          <w:bCs/>
          <w:sz w:val="24"/>
          <w:szCs w:val="24"/>
        </w:rPr>
      </w:pPr>
    </w:p>
    <w:p w14:paraId="502D6E32" w14:textId="6A693F10" w:rsidR="001D56F4" w:rsidRPr="00A70224" w:rsidRDefault="001D56F4" w:rsidP="00A70224">
      <w:pPr>
        <w:spacing w:line="360" w:lineRule="auto"/>
        <w:ind w:right="531"/>
        <w:rPr>
          <w:rFonts w:asciiTheme="minorHAnsi" w:hAnsiTheme="minorHAnsi" w:cs="Arial"/>
          <w:b/>
          <w:sz w:val="24"/>
          <w:szCs w:val="24"/>
        </w:rPr>
      </w:pPr>
      <w:r w:rsidRPr="00A70224">
        <w:rPr>
          <w:rFonts w:asciiTheme="minorHAnsi" w:hAnsiTheme="minorHAnsi" w:cs="Arial"/>
          <w:b/>
          <w:sz w:val="24"/>
          <w:szCs w:val="24"/>
        </w:rPr>
        <w:t>Academic assignment</w:t>
      </w:r>
      <w:r w:rsidRPr="00A70224">
        <w:rPr>
          <w:rFonts w:asciiTheme="minorHAnsi" w:hAnsiTheme="minorHAnsi" w:cs="Arial"/>
          <w:b/>
          <w:sz w:val="24"/>
          <w:szCs w:val="24"/>
        </w:rPr>
        <w:t xml:space="preserve"> DHEP</w:t>
      </w:r>
    </w:p>
    <w:p w14:paraId="79F1CFFE" w14:textId="77777777" w:rsidR="001D56F4" w:rsidRPr="00A70224" w:rsidRDefault="001D56F4" w:rsidP="00A70224">
      <w:pPr>
        <w:spacing w:line="360" w:lineRule="auto"/>
        <w:ind w:right="531"/>
        <w:rPr>
          <w:rFonts w:asciiTheme="minorHAnsi" w:eastAsia="Calibri" w:hAnsiTheme="minorHAnsi" w:cs="Arial"/>
          <w:b/>
          <w:bCs/>
          <w:sz w:val="24"/>
          <w:szCs w:val="24"/>
        </w:rPr>
      </w:pPr>
    </w:p>
    <w:p w14:paraId="48016024" w14:textId="77777777" w:rsidR="001D56F4" w:rsidRPr="00A70224" w:rsidRDefault="001D56F4" w:rsidP="00A70224">
      <w:pPr>
        <w:spacing w:line="360" w:lineRule="auto"/>
        <w:ind w:right="531"/>
        <w:rPr>
          <w:rFonts w:asciiTheme="minorHAnsi" w:eastAsia="Calibri" w:hAnsiTheme="minorHAnsi" w:cs="Arial"/>
          <w:b/>
          <w:bCs/>
          <w:sz w:val="24"/>
          <w:szCs w:val="24"/>
        </w:rPr>
      </w:pPr>
    </w:p>
    <w:p w14:paraId="462F5AAE" w14:textId="2D7B17A9" w:rsidR="001D56F4" w:rsidRPr="00A70224" w:rsidRDefault="001D56F4" w:rsidP="00A70224">
      <w:pPr>
        <w:spacing w:line="360" w:lineRule="auto"/>
        <w:ind w:right="531"/>
        <w:rPr>
          <w:rFonts w:asciiTheme="minorHAnsi" w:eastAsia="Calibri" w:hAnsiTheme="minorHAnsi" w:cs="Arial"/>
          <w:b/>
          <w:bCs/>
          <w:sz w:val="24"/>
          <w:szCs w:val="24"/>
        </w:rPr>
      </w:pPr>
      <w:r w:rsidRPr="00A70224">
        <w:rPr>
          <w:rFonts w:asciiTheme="minorHAnsi" w:eastAsia="Calibri" w:hAnsiTheme="minorHAnsi" w:cs="Arial"/>
          <w:b/>
          <w:bCs/>
          <w:sz w:val="24"/>
          <w:szCs w:val="24"/>
        </w:rPr>
        <w:t>Essay one:</w:t>
      </w:r>
    </w:p>
    <w:p w14:paraId="74B8D622" w14:textId="4D4D5131"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sz w:val="24"/>
          <w:szCs w:val="24"/>
        </w:rPr>
        <w:t>How effectively has the police service adapted to accommodate diversity within the UK? Consider the police force itself and/or the way police engage with diverse communities.</w:t>
      </w:r>
      <w:r w:rsidRPr="00A70224">
        <w:rPr>
          <w:rFonts w:asciiTheme="minorHAnsi" w:eastAsia="Calibri" w:hAnsiTheme="minorHAnsi" w:cs="Arial"/>
          <w:sz w:val="24"/>
          <w:szCs w:val="24"/>
        </w:rPr>
        <w:t xml:space="preserve"> </w:t>
      </w:r>
      <w:r w:rsidRPr="00A70224">
        <w:rPr>
          <w:rFonts w:asciiTheme="minorHAnsi" w:eastAsia="Calibri" w:hAnsiTheme="minorHAnsi" w:cs="Arial"/>
          <w:sz w:val="24"/>
          <w:szCs w:val="24"/>
        </w:rPr>
        <w:t>Your answer must be based on academic research.</w:t>
      </w:r>
    </w:p>
    <w:p w14:paraId="71FBDF8B" w14:textId="0879D001"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b/>
          <w:bCs/>
          <w:sz w:val="24"/>
          <w:szCs w:val="24"/>
        </w:rPr>
        <w:t xml:space="preserve">Word limit: </w:t>
      </w:r>
      <w:r w:rsidRPr="00A70224">
        <w:rPr>
          <w:rFonts w:asciiTheme="minorHAnsi" w:eastAsia="Calibri" w:hAnsiTheme="minorHAnsi" w:cs="Arial"/>
          <w:sz w:val="24"/>
          <w:szCs w:val="24"/>
        </w:rPr>
        <w:t xml:space="preserve">1000 words. </w:t>
      </w:r>
      <w:r w:rsidRPr="00A70224">
        <w:rPr>
          <w:rFonts w:asciiTheme="minorHAnsi" w:eastAsia="Calibri" w:hAnsiTheme="minorHAnsi" w:cs="Arial"/>
          <w:sz w:val="24"/>
          <w:szCs w:val="24"/>
        </w:rPr>
        <w:t>-</w:t>
      </w:r>
      <w:r w:rsidR="00293B36">
        <w:rPr>
          <w:rFonts w:asciiTheme="minorHAnsi" w:eastAsia="Calibri" w:hAnsiTheme="minorHAnsi" w:cs="Arial"/>
          <w:sz w:val="24"/>
          <w:szCs w:val="24"/>
        </w:rPr>
        <w:t xml:space="preserve"> 933</w:t>
      </w:r>
    </w:p>
    <w:p w14:paraId="6DD5FCDD" w14:textId="77777777" w:rsidR="001D56F4" w:rsidRPr="00A70224" w:rsidRDefault="001D56F4" w:rsidP="00A70224">
      <w:pPr>
        <w:spacing w:line="360" w:lineRule="auto"/>
        <w:ind w:right="531"/>
        <w:rPr>
          <w:rFonts w:asciiTheme="minorHAnsi" w:eastAsia="Calibri" w:hAnsiTheme="minorHAnsi" w:cs="Arial"/>
          <w:sz w:val="24"/>
          <w:szCs w:val="24"/>
        </w:rPr>
      </w:pPr>
    </w:p>
    <w:p w14:paraId="25F28623"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t>The Brixton riots of 1981 were localised however the consequences have been far reaching. Ever since this event, where one of the causes was the build-up of tension between black communities and the Metropolitan police, diversity within the police has been a part of the public interest. The Scarman report of that time found that there was no institutional racism at play however noted that individual officers were prejudicial in their use of the sus laws (powers related to stop and search). It did highlight the need to include more diversity in the police force and introduce positive discrimination in recruitment.</w:t>
      </w:r>
    </w:p>
    <w:p w14:paraId="6410ACED" w14:textId="77777777" w:rsidR="00A70224" w:rsidRPr="00A70224" w:rsidRDefault="00A70224" w:rsidP="00A70224">
      <w:pPr>
        <w:spacing w:line="360" w:lineRule="auto"/>
        <w:rPr>
          <w:rFonts w:asciiTheme="minorHAnsi" w:hAnsiTheme="minorHAnsi"/>
          <w:sz w:val="24"/>
          <w:szCs w:val="24"/>
        </w:rPr>
      </w:pPr>
    </w:p>
    <w:p w14:paraId="6EC6F37C"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t xml:space="preserve">The question remains however, how well have the police force accommodated diversity. One indication may be recruitment figures. One parliament publication includes a summary as well as criticism to police efforts of recruiting BAME people into policing. According to this document, the number of BAME officers has increased over the last ten years (taken from 2020) however it states that representation is still lower than the portion of the population that identify as these backgrounds. Targets were not being </w:t>
      </w:r>
      <w:proofErr w:type="gramStart"/>
      <w:r w:rsidRPr="00A70224">
        <w:rPr>
          <w:rFonts w:asciiTheme="minorHAnsi" w:hAnsiTheme="minorHAnsi"/>
          <w:sz w:val="24"/>
          <w:szCs w:val="24"/>
        </w:rPr>
        <w:t>met</w:t>
      </w:r>
      <w:proofErr w:type="gramEnd"/>
      <w:r w:rsidRPr="00A70224">
        <w:rPr>
          <w:rFonts w:asciiTheme="minorHAnsi" w:hAnsiTheme="minorHAnsi"/>
          <w:sz w:val="24"/>
          <w:szCs w:val="24"/>
        </w:rPr>
        <w:t xml:space="preserve"> and this was to the frustration of the Metropolitan Police association of Muslim police argued that nothing would change unless senior officers were held accountable and potentially sanctioned. </w:t>
      </w:r>
    </w:p>
    <w:p w14:paraId="6177D1C2" w14:textId="77777777" w:rsidR="00A70224" w:rsidRPr="00A70224" w:rsidRDefault="00A70224" w:rsidP="00A70224">
      <w:pPr>
        <w:spacing w:line="360" w:lineRule="auto"/>
        <w:rPr>
          <w:rFonts w:asciiTheme="minorHAnsi" w:hAnsiTheme="minorHAnsi"/>
          <w:sz w:val="24"/>
          <w:szCs w:val="24"/>
        </w:rPr>
      </w:pPr>
    </w:p>
    <w:p w14:paraId="4CB6E71A"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lastRenderedPageBreak/>
        <w:t>I would argue that this is an unfair conclusion however and one could argue that it was not necessarily a failure, especially a failing in accommodating diversity.</w:t>
      </w:r>
    </w:p>
    <w:p w14:paraId="1FCCB24E"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noProof/>
          <w:sz w:val="24"/>
          <w:szCs w:val="24"/>
        </w:rPr>
        <w:drawing>
          <wp:inline distT="0" distB="0" distL="0" distR="0" wp14:anchorId="51DCF06A" wp14:editId="23FFF45E">
            <wp:extent cx="5731510" cy="2799715"/>
            <wp:effectExtent l="0" t="0" r="2540" b="635"/>
            <wp:docPr id="164372812" name="Picture 1" descr="A graph of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72812" name="Picture 1" descr="A graph of numbers and a line&#10;&#10;AI-generated content may be incorrect."/>
                    <pic:cNvPicPr/>
                  </pic:nvPicPr>
                  <pic:blipFill>
                    <a:blip r:embed="rId5"/>
                    <a:stretch>
                      <a:fillRect/>
                    </a:stretch>
                  </pic:blipFill>
                  <pic:spPr>
                    <a:xfrm>
                      <a:off x="0" y="0"/>
                      <a:ext cx="5731510" cy="2799715"/>
                    </a:xfrm>
                    <a:prstGeom prst="rect">
                      <a:avLst/>
                    </a:prstGeom>
                  </pic:spPr>
                </pic:pic>
              </a:graphicData>
            </a:graphic>
          </wp:inline>
        </w:drawing>
      </w:r>
    </w:p>
    <w:p w14:paraId="0AE1165B"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t xml:space="preserve">The above figure is a graph showing the number of police officers between 2006 to 2022. Upon reviewing the graph, the police force in general was in decline regarding numbers and so to blame recruitment figures not being met is not a failure of inclusion but a failure of recruitment in general. Safe to say that negative reinforcement would not improve the police’s ability to engage with or recruit from under-represented communities. </w:t>
      </w:r>
    </w:p>
    <w:p w14:paraId="7823677D" w14:textId="77777777" w:rsidR="00A70224" w:rsidRPr="00A70224" w:rsidRDefault="00A70224" w:rsidP="00A70224">
      <w:pPr>
        <w:spacing w:line="360" w:lineRule="auto"/>
        <w:rPr>
          <w:rFonts w:asciiTheme="minorHAnsi" w:hAnsiTheme="minorHAnsi"/>
          <w:sz w:val="24"/>
          <w:szCs w:val="24"/>
        </w:rPr>
      </w:pPr>
    </w:p>
    <w:p w14:paraId="01461CBA"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t xml:space="preserve">What appears to be successful and </w:t>
      </w:r>
      <w:proofErr w:type="gramStart"/>
      <w:r w:rsidRPr="00A70224">
        <w:rPr>
          <w:rFonts w:asciiTheme="minorHAnsi" w:hAnsiTheme="minorHAnsi"/>
          <w:sz w:val="24"/>
          <w:szCs w:val="24"/>
        </w:rPr>
        <w:t>as a result of</w:t>
      </w:r>
      <w:proofErr w:type="gramEnd"/>
      <w:r w:rsidRPr="00A70224">
        <w:rPr>
          <w:rFonts w:asciiTheme="minorHAnsi" w:hAnsiTheme="minorHAnsi"/>
          <w:sz w:val="24"/>
          <w:szCs w:val="24"/>
        </w:rPr>
        <w:t xml:space="preserve"> police initiatives, is the use of targeted events with recruiting. Greater Manchester police launched targeted events recruiting BAME individuals with the help of local staff who ere of that community. The Metropolitan police service introduced similar initiatives with their “meet the met” programmes for people who had expressed an interest. BAME individuals who applied also experienced 1:1 guidance throughout the recruitment process. </w:t>
      </w:r>
    </w:p>
    <w:p w14:paraId="79C8B7DA" w14:textId="77777777" w:rsidR="00A70224" w:rsidRPr="00A70224" w:rsidRDefault="00A70224" w:rsidP="00A70224">
      <w:pPr>
        <w:spacing w:line="360" w:lineRule="auto"/>
        <w:rPr>
          <w:rFonts w:asciiTheme="minorHAnsi" w:hAnsiTheme="minorHAnsi"/>
          <w:sz w:val="24"/>
          <w:szCs w:val="24"/>
        </w:rPr>
      </w:pPr>
    </w:p>
    <w:p w14:paraId="24420D73"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t xml:space="preserve">Although this essay has introduced the question of diversity in the police </w:t>
      </w:r>
      <w:proofErr w:type="gramStart"/>
      <w:r w:rsidRPr="00A70224">
        <w:rPr>
          <w:rFonts w:asciiTheme="minorHAnsi" w:hAnsiTheme="minorHAnsi"/>
          <w:sz w:val="24"/>
          <w:szCs w:val="24"/>
        </w:rPr>
        <w:t>in regard to</w:t>
      </w:r>
      <w:proofErr w:type="gramEnd"/>
      <w:r w:rsidRPr="00A70224">
        <w:rPr>
          <w:rFonts w:asciiTheme="minorHAnsi" w:hAnsiTheme="minorHAnsi"/>
          <w:sz w:val="24"/>
          <w:szCs w:val="24"/>
        </w:rPr>
        <w:t xml:space="preserve"> ethnicity, less visible diversity such as neurodiversity/mental health is equally important. Police forces have adopted an individualised recruitment process with medical conditions. That is to say that medical conditions and conditions concerning neurodivergence are assessed on an individual basis. This is a positive factor in </w:t>
      </w:r>
      <w:r w:rsidRPr="00A70224">
        <w:rPr>
          <w:rFonts w:asciiTheme="minorHAnsi" w:hAnsiTheme="minorHAnsi"/>
          <w:sz w:val="24"/>
          <w:szCs w:val="24"/>
        </w:rPr>
        <w:lastRenderedPageBreak/>
        <w:t xml:space="preserve">recruitment as it shows that having ADHD, autism or a history of mental health is not an automatic bar to recruitment whereas prior, it may have been. A study based on neurodivergent people in the police force revealed some insight into their experience working for the police as well as being recruited by them. They reported that autistic people tended to struggle more with interviews. Interviewing, being a key part of any job application would suggest that the police force has not adjusted to this aspect of diversity. Not only does this affect initial recruitment but career progression as well, for example interviews for different departments or promotions. </w:t>
      </w:r>
    </w:p>
    <w:p w14:paraId="150ABF55" w14:textId="77777777" w:rsidR="00A70224" w:rsidRPr="00A70224" w:rsidRDefault="00A70224" w:rsidP="00A70224">
      <w:pPr>
        <w:spacing w:line="360" w:lineRule="auto"/>
        <w:rPr>
          <w:rFonts w:asciiTheme="minorHAnsi" w:hAnsiTheme="minorHAnsi"/>
          <w:sz w:val="24"/>
          <w:szCs w:val="24"/>
        </w:rPr>
      </w:pPr>
    </w:p>
    <w:p w14:paraId="585AEF74" w14:textId="77777777" w:rsidR="00A70224" w:rsidRP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t xml:space="preserve">Ultimately, the solution is to recognise neurodiversity or rather the strengths of an individual and place them in a role most suited to their strengths. Policies on services making a commitment is not sufficient as the results are not particularly tangible. Consider how the public respond to a service stating they are going to act compared to showing the results of action. Psychometric tests in conjunction with interviews can potentially highlight the strengths of individuals without casting them into homogenous groups for example neurodivergent vs non neurodivergent. A case-by-case basis is the fair approach and while police forces have adopted this in some instances for example for medicals, the case does not apply nationally. In short, there are signs of adaption but as this source shows, there is much work to be done. </w:t>
      </w:r>
    </w:p>
    <w:p w14:paraId="33A10B3C" w14:textId="77777777" w:rsidR="00A70224" w:rsidRPr="00A70224" w:rsidRDefault="00A70224" w:rsidP="00A70224">
      <w:pPr>
        <w:spacing w:line="360" w:lineRule="auto"/>
        <w:rPr>
          <w:rFonts w:asciiTheme="minorHAnsi" w:hAnsiTheme="minorHAnsi"/>
          <w:sz w:val="24"/>
          <w:szCs w:val="24"/>
        </w:rPr>
      </w:pPr>
    </w:p>
    <w:p w14:paraId="4438CB52" w14:textId="236DD1C0" w:rsidR="00A70224" w:rsidRDefault="00A70224" w:rsidP="00A70224">
      <w:pPr>
        <w:spacing w:line="360" w:lineRule="auto"/>
        <w:rPr>
          <w:rFonts w:asciiTheme="minorHAnsi" w:hAnsiTheme="minorHAnsi"/>
          <w:sz w:val="24"/>
          <w:szCs w:val="24"/>
        </w:rPr>
      </w:pPr>
      <w:r w:rsidRPr="00A70224">
        <w:rPr>
          <w:rFonts w:asciiTheme="minorHAnsi" w:hAnsiTheme="minorHAnsi"/>
          <w:sz w:val="24"/>
          <w:szCs w:val="24"/>
        </w:rPr>
        <w:t xml:space="preserve">The LGTBQ+ community and the police also have a difficult relationship historically and so analysing how well the police have accommodated this community is also a reflection of how they value diversity and inclusion. One thing that shows valuing diversity and inclusion is the introduction of specialist LGBTQ+ liaison officers. The London LGBT+ Independent Advisory Group </w:t>
      </w:r>
      <w:proofErr w:type="gramStart"/>
      <w:r w:rsidRPr="00A70224">
        <w:rPr>
          <w:rFonts w:asciiTheme="minorHAnsi" w:hAnsiTheme="minorHAnsi"/>
          <w:sz w:val="24"/>
          <w:szCs w:val="24"/>
        </w:rPr>
        <w:t>in particular is</w:t>
      </w:r>
      <w:proofErr w:type="gramEnd"/>
      <w:r w:rsidRPr="00A70224">
        <w:rPr>
          <w:rFonts w:asciiTheme="minorHAnsi" w:hAnsiTheme="minorHAnsi"/>
          <w:sz w:val="24"/>
          <w:szCs w:val="24"/>
        </w:rPr>
        <w:t xml:space="preserve"> also a way for members of the public to provide advice and guidance on a range of policing issues and incidents. As a force that is built on policing by consent, this principle not only satisfies that aim (the heart of UK policing) but it also</w:t>
      </w:r>
      <w:r w:rsidR="001F753B">
        <w:rPr>
          <w:rFonts w:asciiTheme="minorHAnsi" w:hAnsiTheme="minorHAnsi"/>
          <w:sz w:val="24"/>
          <w:szCs w:val="24"/>
        </w:rPr>
        <w:t xml:space="preserve"> gives the LGBTQ+ a safe space to have a voice in policing. </w:t>
      </w:r>
      <w:r w:rsidRPr="00A70224">
        <w:rPr>
          <w:rFonts w:asciiTheme="minorHAnsi" w:hAnsiTheme="minorHAnsi"/>
          <w:sz w:val="24"/>
          <w:szCs w:val="24"/>
        </w:rPr>
        <w:t xml:space="preserve"> </w:t>
      </w:r>
    </w:p>
    <w:p w14:paraId="79541AAE" w14:textId="77777777" w:rsidR="00B04B9B" w:rsidRDefault="00B04B9B" w:rsidP="00A70224">
      <w:pPr>
        <w:spacing w:line="360" w:lineRule="auto"/>
        <w:rPr>
          <w:rFonts w:asciiTheme="minorHAnsi" w:hAnsiTheme="minorHAnsi"/>
          <w:sz w:val="24"/>
          <w:szCs w:val="24"/>
        </w:rPr>
      </w:pPr>
    </w:p>
    <w:p w14:paraId="05D97F91" w14:textId="21136ECA" w:rsidR="00B04B9B" w:rsidRDefault="00B04B9B" w:rsidP="00A70224">
      <w:pPr>
        <w:spacing w:line="360" w:lineRule="auto"/>
        <w:rPr>
          <w:rFonts w:asciiTheme="minorHAnsi" w:hAnsiTheme="minorHAnsi"/>
          <w:sz w:val="24"/>
          <w:szCs w:val="24"/>
        </w:rPr>
      </w:pPr>
      <w:proofErr w:type="gramStart"/>
      <w:r>
        <w:rPr>
          <w:rFonts w:asciiTheme="minorHAnsi" w:hAnsiTheme="minorHAnsi"/>
          <w:sz w:val="24"/>
          <w:szCs w:val="24"/>
        </w:rPr>
        <w:t>In regards to</w:t>
      </w:r>
      <w:proofErr w:type="gramEnd"/>
      <w:r>
        <w:rPr>
          <w:rFonts w:asciiTheme="minorHAnsi" w:hAnsiTheme="minorHAnsi"/>
          <w:sz w:val="24"/>
          <w:szCs w:val="24"/>
        </w:rPr>
        <w:t xml:space="preserve"> victims of crime, if a LGTBQ+ person is a victim of a hate crime, they are entitled to enhanced service due to the traumatic nature of the crime. On the other </w:t>
      </w:r>
      <w:r>
        <w:rPr>
          <w:rFonts w:asciiTheme="minorHAnsi" w:hAnsiTheme="minorHAnsi"/>
          <w:sz w:val="24"/>
          <w:szCs w:val="24"/>
        </w:rPr>
        <w:lastRenderedPageBreak/>
        <w:t>hand</w:t>
      </w:r>
      <w:r w:rsidR="00CB014B">
        <w:rPr>
          <w:rFonts w:asciiTheme="minorHAnsi" w:hAnsiTheme="minorHAnsi"/>
          <w:sz w:val="24"/>
          <w:szCs w:val="24"/>
        </w:rPr>
        <w:t>, relations have been strained between police and LGBTQ+ with some pride events outright refused the presence of uniformed officers.</w:t>
      </w:r>
      <w:r w:rsidR="00C2043F">
        <w:rPr>
          <w:rFonts w:asciiTheme="minorHAnsi" w:hAnsiTheme="minorHAnsi"/>
          <w:sz w:val="24"/>
          <w:szCs w:val="24"/>
        </w:rPr>
        <w:t xml:space="preserve"> While efforts have been made by the police to repair relations</w:t>
      </w:r>
      <w:r w:rsidR="004B3A70">
        <w:rPr>
          <w:rFonts w:asciiTheme="minorHAnsi" w:hAnsiTheme="minorHAnsi"/>
          <w:sz w:val="24"/>
          <w:szCs w:val="24"/>
        </w:rPr>
        <w:t xml:space="preserve"> as well as improve inclusion. Public faith in the police has deteriorated. </w:t>
      </w:r>
    </w:p>
    <w:p w14:paraId="3CEEC125" w14:textId="77777777" w:rsidR="004B3A70" w:rsidRDefault="004B3A70" w:rsidP="00A70224">
      <w:pPr>
        <w:spacing w:line="360" w:lineRule="auto"/>
        <w:rPr>
          <w:rFonts w:asciiTheme="minorHAnsi" w:hAnsiTheme="minorHAnsi"/>
          <w:sz w:val="24"/>
          <w:szCs w:val="24"/>
        </w:rPr>
      </w:pPr>
    </w:p>
    <w:p w14:paraId="484F0EED" w14:textId="2FDA8033" w:rsidR="004B3A70" w:rsidRPr="00A70224" w:rsidRDefault="004B3A70" w:rsidP="00A70224">
      <w:pPr>
        <w:spacing w:line="360" w:lineRule="auto"/>
        <w:rPr>
          <w:rFonts w:asciiTheme="minorHAnsi" w:hAnsiTheme="minorHAnsi"/>
          <w:sz w:val="24"/>
          <w:szCs w:val="24"/>
        </w:rPr>
      </w:pPr>
      <w:r>
        <w:rPr>
          <w:rFonts w:asciiTheme="minorHAnsi" w:hAnsiTheme="minorHAnsi"/>
          <w:sz w:val="24"/>
          <w:szCs w:val="24"/>
        </w:rPr>
        <w:t>To conclude, diversity and inclusion is a key part of policing by consent which is the cornerstone of British policing. Enforcing change may not be productive however, the change must be gradual as the process of societal change takes a long time. What remains a constant however is that police must adapt to the times but not prematurely.</w:t>
      </w:r>
    </w:p>
    <w:p w14:paraId="411A3866" w14:textId="77777777" w:rsidR="00A70224" w:rsidRPr="00A70224" w:rsidRDefault="00A70224" w:rsidP="00A70224">
      <w:pPr>
        <w:spacing w:line="360" w:lineRule="auto"/>
        <w:ind w:right="531"/>
        <w:rPr>
          <w:rFonts w:asciiTheme="minorHAnsi" w:eastAsia="Calibri" w:hAnsiTheme="minorHAnsi" w:cs="Arial"/>
          <w:sz w:val="24"/>
          <w:szCs w:val="24"/>
        </w:rPr>
      </w:pPr>
    </w:p>
    <w:p w14:paraId="0BDF97B7" w14:textId="77777777" w:rsidR="001D56F4" w:rsidRPr="00A70224" w:rsidRDefault="001D56F4" w:rsidP="00A70224">
      <w:pPr>
        <w:spacing w:line="360" w:lineRule="auto"/>
        <w:ind w:right="531"/>
        <w:rPr>
          <w:rFonts w:asciiTheme="minorHAnsi" w:eastAsia="Calibri" w:hAnsiTheme="minorHAnsi" w:cs="Arial"/>
          <w:sz w:val="24"/>
          <w:szCs w:val="24"/>
        </w:rPr>
      </w:pPr>
    </w:p>
    <w:p w14:paraId="7B41FC5B" w14:textId="77777777" w:rsidR="001D56F4" w:rsidRPr="00A70224" w:rsidRDefault="001D56F4" w:rsidP="00A70224">
      <w:pPr>
        <w:spacing w:line="360" w:lineRule="auto"/>
        <w:ind w:right="531"/>
        <w:rPr>
          <w:rFonts w:asciiTheme="minorHAnsi" w:eastAsia="Calibri" w:hAnsiTheme="minorHAnsi" w:cs="Arial"/>
          <w:sz w:val="24"/>
          <w:szCs w:val="24"/>
        </w:rPr>
      </w:pPr>
    </w:p>
    <w:p w14:paraId="48D03E77" w14:textId="77777777" w:rsidR="001D56F4" w:rsidRPr="00A70224" w:rsidRDefault="001D56F4" w:rsidP="00A70224">
      <w:pPr>
        <w:spacing w:line="360" w:lineRule="auto"/>
        <w:ind w:left="567" w:right="531"/>
        <w:rPr>
          <w:rFonts w:asciiTheme="minorHAnsi" w:hAnsiTheme="minorHAnsi" w:cs="Arial"/>
          <w:sz w:val="24"/>
          <w:szCs w:val="24"/>
        </w:rPr>
      </w:pPr>
    </w:p>
    <w:p w14:paraId="1CBBD933" w14:textId="77777777" w:rsidR="001D56F4" w:rsidRPr="00A70224" w:rsidRDefault="001D56F4" w:rsidP="00A70224">
      <w:pPr>
        <w:spacing w:line="360" w:lineRule="auto"/>
        <w:ind w:right="531"/>
        <w:rPr>
          <w:rFonts w:asciiTheme="minorHAnsi" w:hAnsiTheme="minorHAnsi" w:cs="Arial"/>
          <w:sz w:val="24"/>
          <w:szCs w:val="24"/>
        </w:rPr>
      </w:pPr>
    </w:p>
    <w:p w14:paraId="25EC8F22" w14:textId="3D5D4B19" w:rsidR="001D56F4" w:rsidRPr="00A70224" w:rsidRDefault="001D56F4" w:rsidP="00A70224">
      <w:pPr>
        <w:spacing w:line="360" w:lineRule="auto"/>
        <w:ind w:right="531"/>
        <w:rPr>
          <w:rFonts w:asciiTheme="minorHAnsi" w:hAnsiTheme="minorHAnsi" w:cs="Arial"/>
          <w:b/>
          <w:bCs/>
          <w:sz w:val="24"/>
          <w:szCs w:val="24"/>
        </w:rPr>
      </w:pPr>
      <w:r w:rsidRPr="00A70224">
        <w:rPr>
          <w:rFonts w:asciiTheme="minorHAnsi" w:hAnsiTheme="minorHAnsi" w:cs="Arial"/>
          <w:b/>
          <w:bCs/>
          <w:sz w:val="24"/>
          <w:szCs w:val="24"/>
        </w:rPr>
        <w:t>Essay two:</w:t>
      </w:r>
    </w:p>
    <w:p w14:paraId="1582A88D" w14:textId="1BEAE0B9"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b/>
          <w:bCs/>
          <w:sz w:val="24"/>
          <w:szCs w:val="24"/>
        </w:rPr>
        <w:t xml:space="preserve">Response policing </w:t>
      </w:r>
      <w:r w:rsidRPr="00A70224">
        <w:rPr>
          <w:rFonts w:asciiTheme="minorHAnsi" w:eastAsia="Calibri" w:hAnsiTheme="minorHAnsi" w:cs="Arial"/>
          <w:sz w:val="24"/>
          <w:szCs w:val="24"/>
        </w:rPr>
        <w:t>– Why is it important to manage mental wellbeing in policing? What can be the consequences if mental wellbeing is not managed appropriately?</w:t>
      </w:r>
    </w:p>
    <w:p w14:paraId="3537460F" w14:textId="36F1D059" w:rsidR="001D56F4" w:rsidRPr="00A70224" w:rsidRDefault="001D56F4" w:rsidP="00A70224">
      <w:pPr>
        <w:spacing w:line="360" w:lineRule="auto"/>
        <w:ind w:right="531"/>
        <w:rPr>
          <w:rFonts w:asciiTheme="minorHAnsi" w:hAnsiTheme="minorHAnsi" w:cs="Arial"/>
          <w:sz w:val="24"/>
          <w:szCs w:val="24"/>
        </w:rPr>
      </w:pPr>
      <w:r w:rsidRPr="00A70224">
        <w:rPr>
          <w:rFonts w:asciiTheme="minorHAnsi" w:eastAsia="Calibri" w:hAnsiTheme="minorHAnsi" w:cs="Arial"/>
          <w:b/>
          <w:bCs/>
          <w:sz w:val="24"/>
          <w:szCs w:val="24"/>
        </w:rPr>
        <w:t xml:space="preserve">Word limit: </w:t>
      </w:r>
      <w:r w:rsidRPr="00A70224">
        <w:rPr>
          <w:rFonts w:asciiTheme="minorHAnsi" w:eastAsia="Calibri" w:hAnsiTheme="minorHAnsi" w:cs="Arial"/>
          <w:sz w:val="24"/>
          <w:szCs w:val="24"/>
        </w:rPr>
        <w:t xml:space="preserve">1000 words. </w:t>
      </w:r>
      <w:r w:rsidRPr="00A70224">
        <w:rPr>
          <w:rFonts w:asciiTheme="minorHAnsi" w:eastAsia="Calibri" w:hAnsiTheme="minorHAnsi" w:cs="Arial"/>
          <w:sz w:val="24"/>
          <w:szCs w:val="24"/>
        </w:rPr>
        <w:t>-</w:t>
      </w:r>
      <w:r w:rsidR="0069034E" w:rsidRPr="00A70224">
        <w:rPr>
          <w:rFonts w:asciiTheme="minorHAnsi" w:eastAsia="Calibri" w:hAnsiTheme="minorHAnsi" w:cs="Arial"/>
          <w:sz w:val="24"/>
          <w:szCs w:val="24"/>
        </w:rPr>
        <w:t xml:space="preserve"> 917</w:t>
      </w:r>
    </w:p>
    <w:p w14:paraId="69E7D018" w14:textId="77777777" w:rsidR="001D56F4" w:rsidRPr="00A70224" w:rsidRDefault="001D56F4" w:rsidP="00A70224">
      <w:pPr>
        <w:spacing w:line="360" w:lineRule="auto"/>
        <w:ind w:right="531"/>
        <w:rPr>
          <w:rFonts w:asciiTheme="minorHAnsi" w:hAnsiTheme="minorHAnsi" w:cs="Arial"/>
          <w:sz w:val="24"/>
          <w:szCs w:val="24"/>
        </w:rPr>
      </w:pPr>
    </w:p>
    <w:p w14:paraId="6CE17B2E" w14:textId="77777777" w:rsidR="001D56F4" w:rsidRPr="00A70224" w:rsidRDefault="001D56F4" w:rsidP="00A70224">
      <w:pPr>
        <w:spacing w:line="360" w:lineRule="auto"/>
        <w:rPr>
          <w:rFonts w:asciiTheme="minorHAnsi" w:hAnsiTheme="minorHAnsi"/>
          <w:sz w:val="24"/>
          <w:szCs w:val="24"/>
        </w:rPr>
      </w:pPr>
      <w:r w:rsidRPr="00A70224">
        <w:rPr>
          <w:rFonts w:asciiTheme="minorHAnsi" w:hAnsiTheme="minorHAnsi"/>
          <w:sz w:val="24"/>
          <w:szCs w:val="24"/>
        </w:rPr>
        <w:t>On average a serving police constable may witness between 400 and 600 traumatic incidents during their career whereas the average person may experience 4 serious events in their lifetime. This quote from Iain Prideaux, Chair of Avon and Somerset Police Federation best encapsulates the importance of managing mental wellbeing for officers. He goes on to state that the consequences of this can be officers either taking time off for stress related matters or outright resigning. He states that “Nationally, nearly 10,000 police officers took time off due to stress,</w:t>
      </w:r>
      <w:r w:rsidRPr="00A70224">
        <w:rPr>
          <w:rFonts w:asciiTheme="minorHAnsi" w:hAnsiTheme="minorHAnsi" w:cs="Open Sans"/>
          <w:color w:val="000000"/>
          <w:sz w:val="24"/>
          <w:szCs w:val="24"/>
          <w:shd w:val="clear" w:color="auto" w:fill="FFFFFF"/>
        </w:rPr>
        <w:t xml:space="preserve"> </w:t>
      </w:r>
      <w:r w:rsidRPr="00A70224">
        <w:rPr>
          <w:rFonts w:asciiTheme="minorHAnsi" w:hAnsiTheme="minorHAnsi"/>
          <w:sz w:val="24"/>
          <w:szCs w:val="24"/>
        </w:rPr>
        <w:t xml:space="preserve">depression, anxiety and post-traumatic stress disorder in the past year (2021)”. For reference, the Met Police have approximately 33,000 police officers in service. </w:t>
      </w:r>
    </w:p>
    <w:p w14:paraId="213F8C7F" w14:textId="77777777" w:rsidR="001D56F4" w:rsidRPr="00A70224" w:rsidRDefault="001D56F4" w:rsidP="00A70224">
      <w:pPr>
        <w:spacing w:line="360" w:lineRule="auto"/>
        <w:rPr>
          <w:rFonts w:asciiTheme="minorHAnsi" w:hAnsiTheme="minorHAnsi"/>
          <w:sz w:val="24"/>
          <w:szCs w:val="24"/>
        </w:rPr>
      </w:pPr>
    </w:p>
    <w:p w14:paraId="1DFDB67C" w14:textId="77777777" w:rsidR="001D56F4" w:rsidRPr="00A70224" w:rsidRDefault="001D56F4" w:rsidP="00A70224">
      <w:pPr>
        <w:spacing w:line="360" w:lineRule="auto"/>
        <w:rPr>
          <w:rFonts w:asciiTheme="minorHAnsi" w:hAnsiTheme="minorHAnsi"/>
          <w:sz w:val="24"/>
          <w:szCs w:val="24"/>
        </w:rPr>
      </w:pPr>
      <w:r w:rsidRPr="00A70224">
        <w:rPr>
          <w:rFonts w:asciiTheme="minorHAnsi" w:hAnsiTheme="minorHAnsi"/>
          <w:sz w:val="24"/>
          <w:szCs w:val="24"/>
        </w:rPr>
        <w:t xml:space="preserve">The 10,000 </w:t>
      </w:r>
      <w:proofErr w:type="gramStart"/>
      <w:r w:rsidRPr="00A70224">
        <w:rPr>
          <w:rFonts w:asciiTheme="minorHAnsi" w:hAnsiTheme="minorHAnsi"/>
          <w:sz w:val="24"/>
          <w:szCs w:val="24"/>
        </w:rPr>
        <w:t>figure</w:t>
      </w:r>
      <w:proofErr w:type="gramEnd"/>
      <w:r w:rsidRPr="00A70224">
        <w:rPr>
          <w:rFonts w:asciiTheme="minorHAnsi" w:hAnsiTheme="minorHAnsi"/>
          <w:sz w:val="24"/>
          <w:szCs w:val="24"/>
        </w:rPr>
        <w:t xml:space="preserve"> rose in 2024 to over 14,500 officers leaving the job for stress related issues. Overall, there is clear and unambiguous evidence to support that mental health within the police force is a current and real problem. The number increase also </w:t>
      </w:r>
      <w:r w:rsidRPr="00A70224">
        <w:rPr>
          <w:rFonts w:asciiTheme="minorHAnsi" w:hAnsiTheme="minorHAnsi"/>
          <w:sz w:val="24"/>
          <w:szCs w:val="24"/>
        </w:rPr>
        <w:lastRenderedPageBreak/>
        <w:t xml:space="preserve">indicates that the needs of officers are perhaps not being met. A consequence of police officers leaving the job is detrimental to the public at large. It means decreased presence which can result in reduced detection and prevention of crime. It can also mean that investigations are progressed slower due to individual officers assuming higher workloads. </w:t>
      </w:r>
    </w:p>
    <w:p w14:paraId="294E7E6D" w14:textId="77777777" w:rsidR="001D56F4" w:rsidRPr="00A70224" w:rsidRDefault="001D56F4" w:rsidP="00A70224">
      <w:pPr>
        <w:spacing w:line="360" w:lineRule="auto"/>
        <w:rPr>
          <w:rFonts w:asciiTheme="minorHAnsi" w:hAnsiTheme="minorHAnsi"/>
          <w:sz w:val="24"/>
          <w:szCs w:val="24"/>
        </w:rPr>
      </w:pPr>
    </w:p>
    <w:p w14:paraId="4354EB19" w14:textId="213F6941" w:rsidR="001D56F4" w:rsidRPr="00A70224" w:rsidRDefault="001D56F4" w:rsidP="00A70224">
      <w:pPr>
        <w:spacing w:line="360" w:lineRule="auto"/>
        <w:rPr>
          <w:rFonts w:asciiTheme="minorHAnsi" w:hAnsiTheme="minorHAnsi"/>
          <w:sz w:val="24"/>
          <w:szCs w:val="24"/>
        </w:rPr>
      </w:pPr>
      <w:r w:rsidRPr="00A70224">
        <w:rPr>
          <w:rFonts w:asciiTheme="minorHAnsi" w:hAnsiTheme="minorHAnsi"/>
          <w:sz w:val="24"/>
          <w:szCs w:val="24"/>
        </w:rPr>
        <w:t>Equally, a consequence of that are higher demands being placed on individual officers who they themselves may end up leaving for stress related reasons. What results may be a snowball effect as evidenced by the Federation. The Police Federation will state that in the financial year 2023-2024, approximately 412 police officers of Sussex Police were signed off due to mental health related reasons. In its extreme form, mental wellbeing (if not addressed) can result in suicide, and this is no different for police officers than with members of the public. Statistics held from ONS indicate that between 2019 and 2023, 1,172 senior ranked police officers were suspected to have died from suicide, 3,312 sergeants and below, and 3,315 support officers. This leaves a total of approximately 8,000 suicide related deaths. One note to add is that due to the nature of the deaths being investigated (suspected suicide), lengthy coronial inquests are held meaning that this figure could be higher with potentially higher figures in following years after those investigations have been concluded.</w:t>
      </w:r>
    </w:p>
    <w:p w14:paraId="2BCBED35" w14:textId="77777777" w:rsidR="001D56F4" w:rsidRPr="00A70224" w:rsidRDefault="001D56F4" w:rsidP="00A70224">
      <w:pPr>
        <w:spacing w:line="360" w:lineRule="auto"/>
        <w:rPr>
          <w:rFonts w:asciiTheme="minorHAnsi" w:hAnsiTheme="minorHAnsi"/>
          <w:sz w:val="24"/>
          <w:szCs w:val="24"/>
        </w:rPr>
      </w:pPr>
    </w:p>
    <w:p w14:paraId="4957DCE6" w14:textId="77777777" w:rsidR="001D56F4" w:rsidRPr="00A70224" w:rsidRDefault="001D56F4" w:rsidP="00A70224">
      <w:pPr>
        <w:spacing w:line="360" w:lineRule="auto"/>
        <w:rPr>
          <w:rFonts w:asciiTheme="minorHAnsi" w:hAnsiTheme="minorHAnsi"/>
          <w:sz w:val="24"/>
          <w:szCs w:val="24"/>
        </w:rPr>
      </w:pPr>
      <w:r w:rsidRPr="00A70224">
        <w:rPr>
          <w:rFonts w:asciiTheme="minorHAnsi" w:hAnsiTheme="minorHAnsi"/>
          <w:sz w:val="24"/>
          <w:szCs w:val="24"/>
        </w:rPr>
        <w:t xml:space="preserve">Managing mental wellbeing of police officers is therefore imperative given the risks associated with suicide. Of those 400 traumatic events an officer may witness in their career, many may stay with them. Work has been done investigating the links between exposure to trauma and risk of suicide. An article titled ‘The interactive effects of AS and trauma exposure on suicide capability and suicide risk’ notes that trauma exposure has been inconclusively linked with suicide risk. One observation noted by the study is that a factor making someone at risk of suicide is a desensitisation or manipulation of a fear of violence/death. To clarify, someone who may attempt suicide multiple times is at more risk of committing suicide than someone with no prior history of attempts. While the link between trauma exposure and risk of suicide alone is inconclusive, it argues that trauma exposure and anxiety sensitivity does increase the risk. This also </w:t>
      </w:r>
      <w:r w:rsidRPr="00A70224">
        <w:rPr>
          <w:rFonts w:asciiTheme="minorHAnsi" w:hAnsiTheme="minorHAnsi"/>
          <w:sz w:val="24"/>
          <w:szCs w:val="24"/>
        </w:rPr>
        <w:lastRenderedPageBreak/>
        <w:t>states that increased trauma exposure can lead to increased anxiety sensitivity. It should be noted that the links between the three have not yet been fully examined.</w:t>
      </w:r>
    </w:p>
    <w:p w14:paraId="4AC24ACE" w14:textId="77777777" w:rsidR="001D56F4" w:rsidRPr="00A70224" w:rsidRDefault="001D56F4" w:rsidP="00A70224">
      <w:pPr>
        <w:spacing w:line="360" w:lineRule="auto"/>
        <w:rPr>
          <w:rFonts w:asciiTheme="minorHAnsi" w:hAnsiTheme="minorHAnsi"/>
          <w:sz w:val="24"/>
          <w:szCs w:val="24"/>
        </w:rPr>
      </w:pPr>
    </w:p>
    <w:p w14:paraId="1ABCA637" w14:textId="77777777" w:rsidR="001D56F4" w:rsidRPr="00A70224" w:rsidRDefault="001D56F4" w:rsidP="00A70224">
      <w:pPr>
        <w:spacing w:line="360" w:lineRule="auto"/>
        <w:rPr>
          <w:rFonts w:asciiTheme="minorHAnsi" w:hAnsiTheme="minorHAnsi"/>
          <w:sz w:val="24"/>
          <w:szCs w:val="24"/>
        </w:rPr>
      </w:pPr>
      <w:r w:rsidRPr="00A70224">
        <w:rPr>
          <w:rFonts w:asciiTheme="minorHAnsi" w:hAnsiTheme="minorHAnsi"/>
          <w:sz w:val="24"/>
          <w:szCs w:val="24"/>
        </w:rPr>
        <w:t xml:space="preserve"> One observation drawn from the results of the study is that becoming desensitised to death and violence is a potential factor in increased risk of suicide. It would not be unrealistic to suggest that with increased trauma exposure, as much as people can exhibit increased anxiety sensitivity, they too can become desensitised to what they see ergo become increasingly at risk of suicide. It has been highlighted in this essay that police officers are exposed to multiple traumatic events over the course of their careers. This is therefore further evidence that poor management of officer mental wellbeing can lead to suicide </w:t>
      </w:r>
      <w:proofErr w:type="gramStart"/>
      <w:r w:rsidRPr="00A70224">
        <w:rPr>
          <w:rFonts w:asciiTheme="minorHAnsi" w:hAnsiTheme="minorHAnsi"/>
          <w:sz w:val="24"/>
          <w:szCs w:val="24"/>
        </w:rPr>
        <w:t>as a consequence</w:t>
      </w:r>
      <w:proofErr w:type="gramEnd"/>
      <w:r w:rsidRPr="00A70224">
        <w:rPr>
          <w:rFonts w:asciiTheme="minorHAnsi" w:hAnsiTheme="minorHAnsi"/>
          <w:sz w:val="24"/>
          <w:szCs w:val="24"/>
        </w:rPr>
        <w:t>.</w:t>
      </w:r>
    </w:p>
    <w:p w14:paraId="52415C9A" w14:textId="77777777" w:rsidR="001D56F4" w:rsidRPr="00A70224" w:rsidRDefault="001D56F4" w:rsidP="00A70224">
      <w:pPr>
        <w:spacing w:line="360" w:lineRule="auto"/>
        <w:rPr>
          <w:rFonts w:asciiTheme="minorHAnsi" w:hAnsiTheme="minorHAnsi"/>
          <w:sz w:val="24"/>
          <w:szCs w:val="24"/>
        </w:rPr>
      </w:pPr>
    </w:p>
    <w:p w14:paraId="308A6ADF" w14:textId="6C5B20C1" w:rsidR="001D56F4" w:rsidRPr="00A70224" w:rsidRDefault="001D56F4" w:rsidP="00A70224">
      <w:pPr>
        <w:spacing w:line="360" w:lineRule="auto"/>
        <w:rPr>
          <w:rFonts w:asciiTheme="minorHAnsi" w:hAnsiTheme="minorHAnsi"/>
          <w:sz w:val="24"/>
          <w:szCs w:val="24"/>
        </w:rPr>
      </w:pPr>
      <w:r w:rsidRPr="00A70224">
        <w:rPr>
          <w:rFonts w:asciiTheme="minorHAnsi" w:hAnsiTheme="minorHAnsi"/>
          <w:sz w:val="24"/>
          <w:szCs w:val="24"/>
        </w:rPr>
        <w:t xml:space="preserve">To conclude, incorrect and unempathetic management of mental health in the police is a plague not just on officers but for the public at large also. Recruitment and retention are already issues within the service and increasing resignations/dismissals on the grounds of mental health is only evidence of a problem that requires urgent intervention. The good news however is that efforts are being made to improve this with mental health in the workplace becoming less stigmatised. An example of this is the trauma management referral process known as </w:t>
      </w:r>
      <w:proofErr w:type="spellStart"/>
      <w:r w:rsidRPr="00A70224">
        <w:rPr>
          <w:rFonts w:asciiTheme="minorHAnsi" w:hAnsiTheme="minorHAnsi"/>
          <w:sz w:val="24"/>
          <w:szCs w:val="24"/>
        </w:rPr>
        <w:t>TRiM</w:t>
      </w:r>
      <w:proofErr w:type="spellEnd"/>
      <w:r w:rsidRPr="00A70224">
        <w:rPr>
          <w:rFonts w:asciiTheme="minorHAnsi" w:hAnsiTheme="minorHAnsi"/>
          <w:sz w:val="24"/>
          <w:szCs w:val="24"/>
        </w:rPr>
        <w:t xml:space="preserve">. Policing will never be able to remove traumatic incidents, and these are a fact of the job. Management will come through referrals and risk assessments of officers who may be at risk of struggling with mental health issues in policing. </w:t>
      </w:r>
      <w:proofErr w:type="spellStart"/>
      <w:r w:rsidRPr="00A70224">
        <w:rPr>
          <w:rFonts w:asciiTheme="minorHAnsi" w:hAnsiTheme="minorHAnsi"/>
          <w:sz w:val="24"/>
          <w:szCs w:val="24"/>
        </w:rPr>
        <w:t>TRiM</w:t>
      </w:r>
      <w:proofErr w:type="spellEnd"/>
      <w:r w:rsidRPr="00A70224">
        <w:rPr>
          <w:rFonts w:asciiTheme="minorHAnsi" w:hAnsiTheme="minorHAnsi"/>
          <w:sz w:val="24"/>
          <w:szCs w:val="24"/>
        </w:rPr>
        <w:t xml:space="preserve"> has had some promising results with it having a substantial impact on the stigma of mental health in policing. It was reported that officers who utilised </w:t>
      </w:r>
      <w:proofErr w:type="spellStart"/>
      <w:r w:rsidRPr="00A70224">
        <w:rPr>
          <w:rFonts w:asciiTheme="minorHAnsi" w:hAnsiTheme="minorHAnsi"/>
          <w:sz w:val="24"/>
          <w:szCs w:val="24"/>
        </w:rPr>
        <w:t>TRiM</w:t>
      </w:r>
      <w:proofErr w:type="spellEnd"/>
      <w:r w:rsidRPr="00A70224">
        <w:rPr>
          <w:rFonts w:asciiTheme="minorHAnsi" w:hAnsiTheme="minorHAnsi"/>
          <w:sz w:val="24"/>
          <w:szCs w:val="24"/>
        </w:rPr>
        <w:t xml:space="preserve"> were less likely to suffer from symptoms associated with PTSD, anxiety, depression and other stress related conditions. One criticism of it however was that it was typically used after severe incidents. The key to management of mental wellbeing however is that long term support</w:t>
      </w:r>
      <w:r w:rsidR="0069034E" w:rsidRPr="00A70224">
        <w:rPr>
          <w:rFonts w:asciiTheme="minorHAnsi" w:hAnsiTheme="minorHAnsi"/>
          <w:sz w:val="24"/>
          <w:szCs w:val="24"/>
        </w:rPr>
        <w:t xml:space="preserve"> and education</w:t>
      </w:r>
      <w:r w:rsidRPr="00A70224">
        <w:rPr>
          <w:rFonts w:asciiTheme="minorHAnsi" w:hAnsiTheme="minorHAnsi"/>
          <w:sz w:val="24"/>
          <w:szCs w:val="24"/>
        </w:rPr>
        <w:t xml:space="preserve"> is a must, particularly when the job is faced with growing instances of violent crime and the sheer number of traumatic incidents that police will face throughout their career. </w:t>
      </w:r>
      <w:r w:rsidR="0069034E" w:rsidRPr="00A70224">
        <w:rPr>
          <w:rFonts w:asciiTheme="minorHAnsi" w:hAnsiTheme="minorHAnsi"/>
          <w:sz w:val="24"/>
          <w:szCs w:val="24"/>
        </w:rPr>
        <w:t>A combination of support from management and education from services is the best way to manage mental wellbeing appropriately.</w:t>
      </w:r>
    </w:p>
    <w:p w14:paraId="03287A73" w14:textId="77777777" w:rsidR="001D56F4" w:rsidRPr="00A70224" w:rsidRDefault="001D56F4" w:rsidP="00A70224">
      <w:pPr>
        <w:spacing w:line="360" w:lineRule="auto"/>
        <w:ind w:right="531"/>
        <w:rPr>
          <w:rFonts w:asciiTheme="minorHAnsi" w:hAnsiTheme="minorHAnsi" w:cs="Arial"/>
          <w:sz w:val="24"/>
          <w:szCs w:val="24"/>
        </w:rPr>
      </w:pPr>
    </w:p>
    <w:p w14:paraId="4AC59B37" w14:textId="77777777" w:rsidR="001D56F4" w:rsidRPr="00A70224" w:rsidRDefault="001D56F4" w:rsidP="00A70224">
      <w:pPr>
        <w:spacing w:line="360" w:lineRule="auto"/>
        <w:ind w:right="531"/>
        <w:rPr>
          <w:rFonts w:asciiTheme="minorHAnsi" w:hAnsiTheme="minorHAnsi" w:cs="Arial"/>
          <w:sz w:val="24"/>
          <w:szCs w:val="24"/>
        </w:rPr>
      </w:pPr>
    </w:p>
    <w:p w14:paraId="7046C814" w14:textId="77777777" w:rsidR="001D56F4" w:rsidRPr="00A70224" w:rsidRDefault="001D56F4" w:rsidP="00A70224">
      <w:pPr>
        <w:spacing w:line="360" w:lineRule="auto"/>
        <w:ind w:right="531"/>
        <w:rPr>
          <w:rFonts w:asciiTheme="minorHAnsi" w:hAnsiTheme="minorHAnsi" w:cs="Arial"/>
          <w:sz w:val="24"/>
          <w:szCs w:val="24"/>
        </w:rPr>
      </w:pPr>
    </w:p>
    <w:p w14:paraId="60B60A49" w14:textId="77777777" w:rsidR="001D56F4" w:rsidRPr="00A70224" w:rsidRDefault="001D56F4" w:rsidP="00A70224">
      <w:pPr>
        <w:spacing w:line="360" w:lineRule="auto"/>
        <w:ind w:right="531"/>
        <w:rPr>
          <w:rFonts w:asciiTheme="minorHAnsi" w:hAnsiTheme="minorHAnsi" w:cs="Arial"/>
          <w:sz w:val="24"/>
          <w:szCs w:val="24"/>
        </w:rPr>
      </w:pPr>
    </w:p>
    <w:p w14:paraId="56AC30BE" w14:textId="77777777" w:rsidR="001D56F4" w:rsidRPr="00A70224" w:rsidRDefault="001D56F4" w:rsidP="00A70224">
      <w:pPr>
        <w:spacing w:line="360" w:lineRule="auto"/>
        <w:ind w:right="531"/>
        <w:rPr>
          <w:rFonts w:asciiTheme="minorHAnsi" w:hAnsiTheme="minorHAnsi" w:cs="Arial"/>
          <w:b/>
          <w:bCs/>
          <w:sz w:val="24"/>
          <w:szCs w:val="24"/>
        </w:rPr>
      </w:pPr>
      <w:r w:rsidRPr="00A70224">
        <w:rPr>
          <w:rFonts w:asciiTheme="minorHAnsi" w:hAnsiTheme="minorHAnsi" w:cs="Arial"/>
          <w:b/>
          <w:bCs/>
          <w:sz w:val="24"/>
          <w:szCs w:val="24"/>
        </w:rPr>
        <w:t xml:space="preserve">Essay four: </w:t>
      </w:r>
    </w:p>
    <w:p w14:paraId="1746723D" w14:textId="0A5F0E5F"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sz w:val="24"/>
          <w:szCs w:val="24"/>
        </w:rPr>
        <w:t>Outline potential links between serious and organised crime and public protection issues. What characteristics make some people more vulnerable to exploitation by serious and organised crime gangs?</w:t>
      </w:r>
      <w:r w:rsidRPr="00A70224">
        <w:rPr>
          <w:rFonts w:asciiTheme="minorHAnsi" w:eastAsia="Calibri" w:hAnsiTheme="minorHAnsi" w:cs="Arial"/>
          <w:sz w:val="24"/>
          <w:szCs w:val="24"/>
        </w:rPr>
        <w:t xml:space="preserve"> </w:t>
      </w:r>
      <w:r w:rsidRPr="00A70224">
        <w:rPr>
          <w:rFonts w:asciiTheme="minorHAnsi" w:eastAsia="Calibri" w:hAnsiTheme="minorHAnsi" w:cs="Arial"/>
          <w:sz w:val="24"/>
          <w:szCs w:val="24"/>
        </w:rPr>
        <w:t>Your answer must be based on academic research.</w:t>
      </w:r>
    </w:p>
    <w:p w14:paraId="04993C65" w14:textId="5ECBCEB9"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b/>
          <w:bCs/>
          <w:sz w:val="24"/>
          <w:szCs w:val="24"/>
        </w:rPr>
        <w:t xml:space="preserve">Word limit: </w:t>
      </w:r>
      <w:r w:rsidRPr="00A70224">
        <w:rPr>
          <w:rFonts w:asciiTheme="minorHAnsi" w:eastAsia="Calibri" w:hAnsiTheme="minorHAnsi" w:cs="Arial"/>
          <w:sz w:val="24"/>
          <w:szCs w:val="24"/>
        </w:rPr>
        <w:t xml:space="preserve">1000 words. </w:t>
      </w:r>
      <w:r w:rsidR="0069034E" w:rsidRPr="00A70224">
        <w:rPr>
          <w:rFonts w:asciiTheme="minorHAnsi" w:eastAsia="Calibri" w:hAnsiTheme="minorHAnsi" w:cs="Arial"/>
          <w:sz w:val="24"/>
          <w:szCs w:val="24"/>
        </w:rPr>
        <w:t>– 9</w:t>
      </w:r>
      <w:r w:rsidR="00203E30" w:rsidRPr="00A70224">
        <w:rPr>
          <w:rFonts w:asciiTheme="minorHAnsi" w:eastAsia="Calibri" w:hAnsiTheme="minorHAnsi" w:cs="Arial"/>
          <w:sz w:val="24"/>
          <w:szCs w:val="24"/>
        </w:rPr>
        <w:t>51</w:t>
      </w:r>
    </w:p>
    <w:p w14:paraId="5DC33A6F" w14:textId="77777777" w:rsidR="0069034E" w:rsidRPr="00A70224" w:rsidRDefault="0069034E" w:rsidP="00A70224">
      <w:pPr>
        <w:spacing w:line="360" w:lineRule="auto"/>
        <w:ind w:right="531"/>
        <w:rPr>
          <w:rFonts w:asciiTheme="minorHAnsi" w:eastAsia="Calibri" w:hAnsiTheme="minorHAnsi" w:cs="Arial"/>
          <w:sz w:val="24"/>
          <w:szCs w:val="24"/>
        </w:rPr>
      </w:pPr>
    </w:p>
    <w:p w14:paraId="53D19E55"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This essay will aim to outline the potential links between serious and organised crime and public protection, highlighting characteristics that make vulnerable people more susceptible to exploitation by these groups. The UK government’s guidance for criminal exploitation of children and vulnerable adults includes a comprehensive list of these characteristics, referring to this list will form the basis of this essay. It is relevant to public protection as this document is guidance for multiple agencies including health, education, policing and housing. </w:t>
      </w:r>
      <w:proofErr w:type="gramStart"/>
      <w:r w:rsidRPr="00A70224">
        <w:rPr>
          <w:rFonts w:asciiTheme="minorHAnsi" w:hAnsiTheme="minorHAnsi"/>
          <w:sz w:val="24"/>
          <w:szCs w:val="24"/>
        </w:rPr>
        <w:t>It should be understood that vulnerable</w:t>
      </w:r>
      <w:proofErr w:type="gramEnd"/>
      <w:r w:rsidRPr="00A70224">
        <w:rPr>
          <w:rFonts w:asciiTheme="minorHAnsi" w:hAnsiTheme="minorHAnsi"/>
          <w:sz w:val="24"/>
          <w:szCs w:val="24"/>
        </w:rPr>
        <w:t xml:space="preserve"> people are not in strict sense participants of organised crime but are they themselves victims of it. Factors such as neurodivergence, ethnicities or familial circumstances are not causes of serious/organised crime but are means to exploit.</w:t>
      </w:r>
    </w:p>
    <w:p w14:paraId="2BB3FBE5" w14:textId="77777777" w:rsidR="0069034E" w:rsidRPr="00A70224" w:rsidRDefault="0069034E" w:rsidP="00A70224">
      <w:pPr>
        <w:spacing w:line="360" w:lineRule="auto"/>
        <w:rPr>
          <w:rFonts w:asciiTheme="minorHAnsi" w:hAnsiTheme="minorHAnsi"/>
          <w:sz w:val="24"/>
          <w:szCs w:val="24"/>
        </w:rPr>
      </w:pPr>
    </w:p>
    <w:p w14:paraId="32D351F0"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The first risk factor making people more vulnerable to exploitation is familial. In respect to this, children of parents involved in crime are vulnerable to exploitation. From birth the hand dealt to them is difficult as their world already features criminality. Families tend to be close knit groups making it difficult for partner agencies and frontline workers to break this cycle. As reported by the EUCPN paper on family-based crime, “these families are often impenetrable for outsiders, making it difficult to counteract the process”. Partner agencies and frontline workers, in trying to safeguard people are attempting to ask vulnerable people to trust strangers over their families. </w:t>
      </w:r>
    </w:p>
    <w:p w14:paraId="6FFB448B" w14:textId="77777777" w:rsidR="0069034E" w:rsidRPr="00A70224" w:rsidRDefault="0069034E" w:rsidP="00A70224">
      <w:pPr>
        <w:spacing w:line="360" w:lineRule="auto"/>
        <w:rPr>
          <w:rFonts w:asciiTheme="minorHAnsi" w:hAnsiTheme="minorHAnsi"/>
          <w:sz w:val="24"/>
          <w:szCs w:val="24"/>
        </w:rPr>
      </w:pPr>
    </w:p>
    <w:p w14:paraId="158178F7"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A key part of organised crime/gangs is the grooming process of people into these environments. As being born into a criminal family, the influence family has over the </w:t>
      </w:r>
      <w:r w:rsidRPr="00A70224">
        <w:rPr>
          <w:rFonts w:asciiTheme="minorHAnsi" w:hAnsiTheme="minorHAnsi"/>
          <w:sz w:val="24"/>
          <w:szCs w:val="24"/>
        </w:rPr>
        <w:lastRenderedPageBreak/>
        <w:t xml:space="preserve">vulnerable person is already entrenched simply by virtue of them being family. According to catch-22, a service that works with communities and offender management, they highlight 3 stages in the pattern of exploitation. The first stage is friendship, where the groomer builds a rapport with the person to make them feel like a part of the group. The vulnerable person will receive gifts in the form of money, lifts in their car, alcohol and even drugs. The second stage is where the groomer will impart responsibilities on the vulnerable person, making them feel like they are a trusted member of the group. It is at the third stage where threats are incorporated. By this time, the vulnerable person has been party to crimes or has witnessed them. As such, the exploiter will use the threat of violence to the vulnerable person or their family. </w:t>
      </w:r>
    </w:p>
    <w:p w14:paraId="230A67EF" w14:textId="77777777" w:rsidR="0069034E" w:rsidRPr="00A70224" w:rsidRDefault="0069034E" w:rsidP="00A70224">
      <w:pPr>
        <w:spacing w:line="360" w:lineRule="auto"/>
        <w:rPr>
          <w:rFonts w:asciiTheme="minorHAnsi" w:hAnsiTheme="minorHAnsi"/>
          <w:sz w:val="24"/>
          <w:szCs w:val="24"/>
        </w:rPr>
      </w:pPr>
    </w:p>
    <w:p w14:paraId="61420B3F"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These stages, coupled with a family context are particularly strong influences on a person. Firstly, the friendship stage is already established within a family as those bonds already exist. The second stage of imparting responsibilities is present in a familial setting as these crime families could relate responsibilities with coming of age or maturity. This creates a massive issue for public protection agencies as they are competing with strong bonds. Partner agencies (who are effectively strangers) to the vulnerable person will be competing with people who are their main role models in life. Breaking this cycle will therefore require a great degree of rapport building and experience. The third stage of threats/violence may not even have to be made out when this environment could potentially be normalised for the vulnerable person, therefore the need to apply threats of violence may not even need to be made out. Rather, the threat of isolation from the family, being without a support network and family are powerful motivations already for remaining within these situations. These risk factors are best evidenced in the NHI’s systematic review on the individual risk factors into recruitment. There, it reported that family background has a strong influence on it as does economic condition. </w:t>
      </w:r>
    </w:p>
    <w:p w14:paraId="3DB65E68" w14:textId="77777777" w:rsidR="0069034E" w:rsidRPr="00A70224" w:rsidRDefault="0069034E" w:rsidP="00A70224">
      <w:pPr>
        <w:spacing w:line="360" w:lineRule="auto"/>
        <w:rPr>
          <w:rFonts w:asciiTheme="minorHAnsi" w:hAnsiTheme="minorHAnsi"/>
          <w:sz w:val="24"/>
          <w:szCs w:val="24"/>
        </w:rPr>
      </w:pPr>
    </w:p>
    <w:p w14:paraId="1850928D"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Interestingly, ethnicity came high as a factor however this is in no way shape or form stating that ethnicities are predisposed to being members of OCGS. Rather, accompanying factors such as a sensitive economic condition or a very weak support network, particularly if a person may be a first-generation immigrant. To illustrate my </w:t>
      </w:r>
      <w:r w:rsidRPr="00A70224">
        <w:rPr>
          <w:rFonts w:asciiTheme="minorHAnsi" w:hAnsiTheme="minorHAnsi"/>
          <w:sz w:val="24"/>
          <w:szCs w:val="24"/>
        </w:rPr>
        <w:lastRenderedPageBreak/>
        <w:t>point, I will refer to the following that was taken from the association and prevention of torture website.</w:t>
      </w:r>
    </w:p>
    <w:p w14:paraId="5E1772BA" w14:textId="77777777" w:rsidR="0069034E" w:rsidRPr="00A70224" w:rsidRDefault="0069034E" w:rsidP="00A70224">
      <w:pPr>
        <w:spacing w:line="360" w:lineRule="auto"/>
        <w:rPr>
          <w:rFonts w:asciiTheme="minorHAnsi" w:hAnsiTheme="minorHAnsi"/>
          <w:sz w:val="24"/>
          <w:szCs w:val="24"/>
        </w:rPr>
      </w:pPr>
    </w:p>
    <w:p w14:paraId="020A7D98" w14:textId="77777777" w:rsidR="0069034E" w:rsidRPr="00A70224" w:rsidRDefault="0069034E" w:rsidP="00A70224">
      <w:pPr>
        <w:spacing w:line="360" w:lineRule="auto"/>
        <w:rPr>
          <w:rFonts w:asciiTheme="minorHAnsi" w:hAnsiTheme="minorHAnsi"/>
          <w:sz w:val="24"/>
          <w:szCs w:val="24"/>
        </w:rPr>
      </w:pPr>
    </w:p>
    <w:p w14:paraId="6612EBBC"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noProof/>
          <w:sz w:val="24"/>
          <w:szCs w:val="24"/>
        </w:rPr>
        <w:drawing>
          <wp:inline distT="0" distB="0" distL="0" distR="0" wp14:anchorId="1BFE0F15" wp14:editId="7C954ECC">
            <wp:extent cx="5731510" cy="2417445"/>
            <wp:effectExtent l="0" t="0" r="2540" b="1905"/>
            <wp:docPr id="1940948438" name="Picture 1"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948438" name="Picture 1" descr="A close-up of a screen&#10;&#10;AI-generated content may be incorrect."/>
                    <pic:cNvPicPr/>
                  </pic:nvPicPr>
                  <pic:blipFill>
                    <a:blip r:embed="rId6"/>
                    <a:stretch>
                      <a:fillRect/>
                    </a:stretch>
                  </pic:blipFill>
                  <pic:spPr>
                    <a:xfrm>
                      <a:off x="0" y="0"/>
                      <a:ext cx="5731510" cy="2417445"/>
                    </a:xfrm>
                    <a:prstGeom prst="rect">
                      <a:avLst/>
                    </a:prstGeom>
                  </pic:spPr>
                </pic:pic>
              </a:graphicData>
            </a:graphic>
          </wp:inline>
        </w:drawing>
      </w:r>
    </w:p>
    <w:p w14:paraId="7EEA7431" w14:textId="77777777" w:rsidR="0069034E" w:rsidRPr="00A70224" w:rsidRDefault="0069034E" w:rsidP="00A70224">
      <w:pPr>
        <w:spacing w:line="360" w:lineRule="auto"/>
        <w:rPr>
          <w:rFonts w:asciiTheme="minorHAnsi" w:hAnsiTheme="minorHAnsi"/>
          <w:sz w:val="24"/>
          <w:szCs w:val="24"/>
        </w:rPr>
      </w:pPr>
    </w:p>
    <w:p w14:paraId="4351D4E9" w14:textId="77777777" w:rsidR="0069034E" w:rsidRPr="00A70224" w:rsidRDefault="0069034E" w:rsidP="00A70224">
      <w:pPr>
        <w:spacing w:line="360" w:lineRule="auto"/>
        <w:rPr>
          <w:rFonts w:asciiTheme="minorHAnsi" w:hAnsiTheme="minorHAnsi"/>
          <w:sz w:val="24"/>
          <w:szCs w:val="24"/>
        </w:rPr>
      </w:pPr>
    </w:p>
    <w:p w14:paraId="03788765" w14:textId="44992CA0"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The above photo is a </w:t>
      </w:r>
      <w:proofErr w:type="spellStart"/>
      <w:r w:rsidRPr="00A70224">
        <w:rPr>
          <w:rFonts w:asciiTheme="minorHAnsi" w:hAnsiTheme="minorHAnsi"/>
          <w:sz w:val="24"/>
          <w:szCs w:val="24"/>
        </w:rPr>
        <w:t>venn</w:t>
      </w:r>
      <w:proofErr w:type="spellEnd"/>
      <w:r w:rsidRPr="00A70224">
        <w:rPr>
          <w:rFonts w:asciiTheme="minorHAnsi" w:hAnsiTheme="minorHAnsi"/>
          <w:sz w:val="24"/>
          <w:szCs w:val="24"/>
        </w:rPr>
        <w:t xml:space="preserve"> diagram highlighting factors of vulnerability. The darker the spot, the more vulnerable the person. By referring to the model I discussed in this </w:t>
      </w:r>
      <w:proofErr w:type="gramStart"/>
      <w:r w:rsidRPr="00A70224">
        <w:rPr>
          <w:rFonts w:asciiTheme="minorHAnsi" w:hAnsiTheme="minorHAnsi"/>
          <w:sz w:val="24"/>
          <w:szCs w:val="24"/>
        </w:rPr>
        <w:t>essay ;</w:t>
      </w:r>
      <w:proofErr w:type="gramEnd"/>
      <w:r w:rsidRPr="00A70224">
        <w:rPr>
          <w:rFonts w:asciiTheme="minorHAnsi" w:hAnsiTheme="minorHAnsi"/>
          <w:sz w:val="24"/>
          <w:szCs w:val="24"/>
        </w:rPr>
        <w:t xml:space="preserve"> friendship/gift giving, responsibilities, threats, we can better understand the risk factors involved with organised crime groups exploiting people from the BAME community. </w:t>
      </w:r>
    </w:p>
    <w:p w14:paraId="41EEF074" w14:textId="77777777" w:rsidR="0069034E" w:rsidRPr="00A70224" w:rsidRDefault="0069034E" w:rsidP="00A70224">
      <w:pPr>
        <w:spacing w:line="360" w:lineRule="auto"/>
        <w:rPr>
          <w:rFonts w:asciiTheme="minorHAnsi" w:hAnsiTheme="minorHAnsi"/>
          <w:sz w:val="24"/>
          <w:szCs w:val="24"/>
        </w:rPr>
      </w:pPr>
    </w:p>
    <w:p w14:paraId="068B65EA"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As an example, we could consider an individual with a family who comes to the United Kingdom with the legitimate aim of providing for themselves and their family. A legal way of attaining this may have failed and instead may find themselves lured into criminality, particularly in cases of organised immigration crime which has links to modern day slavery. This scenario was as reported by the National Crime agency intelligence assessment on pathways into organised and serious crime. In this scenario, an organised crime group may approach this person offering support financially (</w:t>
      </w:r>
      <w:proofErr w:type="spellStart"/>
      <w:r w:rsidRPr="00A70224">
        <w:rPr>
          <w:rFonts w:asciiTheme="minorHAnsi" w:hAnsiTheme="minorHAnsi"/>
          <w:sz w:val="24"/>
          <w:szCs w:val="24"/>
        </w:rPr>
        <w:t>e.g</w:t>
      </w:r>
      <w:proofErr w:type="spellEnd"/>
      <w:r w:rsidRPr="00A70224">
        <w:rPr>
          <w:rFonts w:asciiTheme="minorHAnsi" w:hAnsiTheme="minorHAnsi"/>
          <w:sz w:val="24"/>
          <w:szCs w:val="24"/>
        </w:rPr>
        <w:t xml:space="preserve"> the friendship stage). In some cases, this financial aid could then be used </w:t>
      </w:r>
      <w:proofErr w:type="gramStart"/>
      <w:r w:rsidRPr="00A70224">
        <w:rPr>
          <w:rFonts w:asciiTheme="minorHAnsi" w:hAnsiTheme="minorHAnsi"/>
          <w:sz w:val="24"/>
          <w:szCs w:val="24"/>
        </w:rPr>
        <w:t>as a way to</w:t>
      </w:r>
      <w:proofErr w:type="gramEnd"/>
      <w:r w:rsidRPr="00A70224">
        <w:rPr>
          <w:rFonts w:asciiTheme="minorHAnsi" w:hAnsiTheme="minorHAnsi"/>
          <w:sz w:val="24"/>
          <w:szCs w:val="24"/>
        </w:rPr>
        <w:t xml:space="preserve"> incur a debt on the individual, a debt that will never be fulfilled therefore effectively tying the individual to the criminal group. In terms of the responsibility stage, this may be satisfied in this scenario with the individual’s existing </w:t>
      </w:r>
      <w:r w:rsidRPr="00A70224">
        <w:rPr>
          <w:rFonts w:asciiTheme="minorHAnsi" w:hAnsiTheme="minorHAnsi"/>
          <w:sz w:val="24"/>
          <w:szCs w:val="24"/>
        </w:rPr>
        <w:lastRenderedPageBreak/>
        <w:t xml:space="preserve">responsibility in providing for their family. Threats in this case can certainly be real as the individual’s family may not only be known to the group but also reliant on them. </w:t>
      </w:r>
    </w:p>
    <w:p w14:paraId="60BDFE46" w14:textId="77777777" w:rsidR="001D56F4" w:rsidRPr="00A70224" w:rsidRDefault="001D56F4" w:rsidP="00A70224">
      <w:pPr>
        <w:spacing w:line="360" w:lineRule="auto"/>
        <w:rPr>
          <w:rFonts w:asciiTheme="minorHAnsi" w:hAnsiTheme="minorHAnsi"/>
          <w:sz w:val="24"/>
          <w:szCs w:val="24"/>
        </w:rPr>
      </w:pPr>
    </w:p>
    <w:p w14:paraId="421D7990" w14:textId="2936C3BD" w:rsidR="001D56F4" w:rsidRPr="00A70224" w:rsidRDefault="00203E30" w:rsidP="00A70224">
      <w:pPr>
        <w:spacing w:line="360" w:lineRule="auto"/>
        <w:rPr>
          <w:rFonts w:asciiTheme="minorHAnsi" w:hAnsiTheme="minorHAnsi"/>
          <w:sz w:val="24"/>
          <w:szCs w:val="24"/>
        </w:rPr>
      </w:pPr>
      <w:r w:rsidRPr="00A70224">
        <w:rPr>
          <w:rFonts w:asciiTheme="minorHAnsi" w:hAnsiTheme="minorHAnsi"/>
          <w:sz w:val="24"/>
          <w:szCs w:val="24"/>
        </w:rPr>
        <w:t>To conclude, organised crime is particularly heinous as a key feature of criminals in this field is targeting vulnerable people. Public protection is vital in safeguarding these individuals as well as identifying those at risk of exploitation by serious and organised crime.</w:t>
      </w:r>
    </w:p>
    <w:p w14:paraId="71E9591A" w14:textId="77777777" w:rsidR="001D56F4" w:rsidRPr="00A70224" w:rsidRDefault="001D56F4" w:rsidP="00A70224">
      <w:pPr>
        <w:spacing w:line="360" w:lineRule="auto"/>
        <w:rPr>
          <w:rFonts w:asciiTheme="minorHAnsi" w:hAnsiTheme="minorHAnsi"/>
          <w:sz w:val="24"/>
          <w:szCs w:val="24"/>
        </w:rPr>
      </w:pPr>
    </w:p>
    <w:p w14:paraId="6324DADC" w14:textId="77777777" w:rsidR="001D56F4" w:rsidRPr="00A70224" w:rsidRDefault="001D56F4" w:rsidP="00A70224">
      <w:pPr>
        <w:spacing w:line="360" w:lineRule="auto"/>
        <w:ind w:right="531"/>
        <w:rPr>
          <w:rFonts w:asciiTheme="minorHAnsi" w:hAnsiTheme="minorHAnsi" w:cs="Arial"/>
          <w:sz w:val="24"/>
          <w:szCs w:val="24"/>
        </w:rPr>
      </w:pPr>
      <w:r w:rsidRPr="00A70224">
        <w:rPr>
          <w:rFonts w:asciiTheme="minorHAnsi" w:eastAsia="Calibri" w:hAnsiTheme="minorHAnsi" w:cs="Arial"/>
          <w:b/>
          <w:bCs/>
          <w:sz w:val="24"/>
          <w:szCs w:val="24"/>
        </w:rPr>
        <w:t xml:space="preserve">Essay five: </w:t>
      </w:r>
    </w:p>
    <w:p w14:paraId="17ED1B24" w14:textId="481E7F8C"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sz w:val="24"/>
          <w:szCs w:val="24"/>
        </w:rPr>
        <w:t>How effective is early intervention an effective means of preventing young people from</w:t>
      </w:r>
      <w:r w:rsidRPr="00A70224">
        <w:rPr>
          <w:rFonts w:asciiTheme="minorHAnsi" w:eastAsia="Calibri" w:hAnsiTheme="minorHAnsi" w:cs="Arial"/>
          <w:sz w:val="24"/>
          <w:szCs w:val="24"/>
        </w:rPr>
        <w:t xml:space="preserve"> </w:t>
      </w:r>
      <w:r w:rsidRPr="00A70224">
        <w:rPr>
          <w:rFonts w:asciiTheme="minorHAnsi" w:eastAsia="Calibri" w:hAnsiTheme="minorHAnsi" w:cs="Arial"/>
          <w:sz w:val="24"/>
          <w:szCs w:val="24"/>
        </w:rPr>
        <w:t>offending or re-offending?</w:t>
      </w:r>
    </w:p>
    <w:p w14:paraId="7E36F929" w14:textId="77777777"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sz w:val="24"/>
          <w:szCs w:val="24"/>
        </w:rPr>
        <w:t xml:space="preserve">Your answer must be based on academic research, but you may </w:t>
      </w:r>
      <w:proofErr w:type="gramStart"/>
      <w:r w:rsidRPr="00A70224">
        <w:rPr>
          <w:rFonts w:asciiTheme="minorHAnsi" w:eastAsia="Calibri" w:hAnsiTheme="minorHAnsi" w:cs="Arial"/>
          <w:sz w:val="24"/>
          <w:szCs w:val="24"/>
        </w:rPr>
        <w:t>make reference</w:t>
      </w:r>
      <w:proofErr w:type="gramEnd"/>
      <w:r w:rsidRPr="00A70224">
        <w:rPr>
          <w:rFonts w:asciiTheme="minorHAnsi" w:eastAsia="Calibri" w:hAnsiTheme="minorHAnsi" w:cs="Arial"/>
          <w:sz w:val="24"/>
          <w:szCs w:val="24"/>
        </w:rPr>
        <w:t xml:space="preserve"> to relevant case studies.</w:t>
      </w:r>
    </w:p>
    <w:p w14:paraId="1E0185DE" w14:textId="1D88EF5C" w:rsidR="001D56F4" w:rsidRPr="00A70224" w:rsidRDefault="001D56F4" w:rsidP="00A70224">
      <w:pPr>
        <w:spacing w:line="360" w:lineRule="auto"/>
        <w:ind w:right="531"/>
        <w:rPr>
          <w:rFonts w:asciiTheme="minorHAnsi" w:eastAsia="Calibri" w:hAnsiTheme="minorHAnsi" w:cs="Arial"/>
          <w:sz w:val="24"/>
          <w:szCs w:val="24"/>
        </w:rPr>
      </w:pPr>
      <w:r w:rsidRPr="00A70224">
        <w:rPr>
          <w:rFonts w:asciiTheme="minorHAnsi" w:eastAsia="Calibri" w:hAnsiTheme="minorHAnsi" w:cs="Arial"/>
          <w:b/>
          <w:bCs/>
          <w:sz w:val="24"/>
          <w:szCs w:val="24"/>
        </w:rPr>
        <w:t xml:space="preserve">Word limit: </w:t>
      </w:r>
      <w:r w:rsidRPr="00A70224">
        <w:rPr>
          <w:rFonts w:asciiTheme="minorHAnsi" w:eastAsia="Calibri" w:hAnsiTheme="minorHAnsi" w:cs="Arial"/>
          <w:sz w:val="24"/>
          <w:szCs w:val="24"/>
        </w:rPr>
        <w:t xml:space="preserve">1000 words. </w:t>
      </w:r>
      <w:r w:rsidR="0069034E" w:rsidRPr="00A70224">
        <w:rPr>
          <w:rFonts w:asciiTheme="minorHAnsi" w:eastAsia="Calibri" w:hAnsiTheme="minorHAnsi" w:cs="Arial"/>
          <w:sz w:val="24"/>
          <w:szCs w:val="24"/>
        </w:rPr>
        <w:t>– 942</w:t>
      </w:r>
    </w:p>
    <w:p w14:paraId="58E85EA8" w14:textId="77777777" w:rsidR="0069034E" w:rsidRPr="00A70224" w:rsidRDefault="0069034E" w:rsidP="00A70224">
      <w:pPr>
        <w:spacing w:line="360" w:lineRule="auto"/>
        <w:ind w:right="531"/>
        <w:rPr>
          <w:rFonts w:asciiTheme="minorHAnsi" w:eastAsia="Calibri" w:hAnsiTheme="minorHAnsi" w:cs="Arial"/>
          <w:sz w:val="24"/>
          <w:szCs w:val="24"/>
        </w:rPr>
      </w:pPr>
    </w:p>
    <w:p w14:paraId="10412A42"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Early intervention </w:t>
      </w:r>
      <w:proofErr w:type="gramStart"/>
      <w:r w:rsidRPr="00A70224">
        <w:rPr>
          <w:rFonts w:asciiTheme="minorHAnsi" w:hAnsiTheme="minorHAnsi"/>
          <w:sz w:val="24"/>
          <w:szCs w:val="24"/>
        </w:rPr>
        <w:t>as a means to</w:t>
      </w:r>
      <w:proofErr w:type="gramEnd"/>
      <w:r w:rsidRPr="00A70224">
        <w:rPr>
          <w:rFonts w:asciiTheme="minorHAnsi" w:hAnsiTheme="minorHAnsi"/>
          <w:sz w:val="24"/>
          <w:szCs w:val="24"/>
        </w:rPr>
        <w:t xml:space="preserve"> prevent young people from becoming offenders and to prevent young offenders from reoffending is relatively new. What is confusing about early intervention, however, is that the exact definition is confusing. Susannah Hancock, Youth justice board member notes “there is widespread confusion over definitions of intervention practices”. For example, is early intervention best described as the “two strikes” principle (a reprimand for first time offenders, a final warning and then court if there is a third incident) by Barry Goldson in his indictment of that approach or is early prevention best characterised as Goldson’s preferred approach, prevention and diversion. Barry Goldson also </w:t>
      </w:r>
      <w:proofErr w:type="gramStart"/>
      <w:r w:rsidRPr="00A70224">
        <w:rPr>
          <w:rFonts w:asciiTheme="minorHAnsi" w:hAnsiTheme="minorHAnsi"/>
          <w:sz w:val="24"/>
          <w:szCs w:val="24"/>
        </w:rPr>
        <w:t>makes reference</w:t>
      </w:r>
      <w:proofErr w:type="gramEnd"/>
      <w:r w:rsidRPr="00A70224">
        <w:rPr>
          <w:rFonts w:asciiTheme="minorHAnsi" w:hAnsiTheme="minorHAnsi"/>
          <w:sz w:val="24"/>
          <w:szCs w:val="24"/>
        </w:rPr>
        <w:t xml:space="preserve"> to a “risk based pre-emptive intervention” approach </w:t>
      </w:r>
      <w:proofErr w:type="gramStart"/>
      <w:r w:rsidRPr="00A70224">
        <w:rPr>
          <w:rFonts w:asciiTheme="minorHAnsi" w:hAnsiTheme="minorHAnsi"/>
          <w:sz w:val="24"/>
          <w:szCs w:val="24"/>
        </w:rPr>
        <w:t>as a means to</w:t>
      </w:r>
      <w:proofErr w:type="gramEnd"/>
      <w:r w:rsidRPr="00A70224">
        <w:rPr>
          <w:rFonts w:asciiTheme="minorHAnsi" w:hAnsiTheme="minorHAnsi"/>
          <w:sz w:val="24"/>
          <w:szCs w:val="24"/>
        </w:rPr>
        <w:t xml:space="preserve"> prevent and reduce offending/reoffending. </w:t>
      </w:r>
    </w:p>
    <w:p w14:paraId="2EFEE059" w14:textId="77777777" w:rsidR="0069034E" w:rsidRPr="00A70224" w:rsidRDefault="0069034E" w:rsidP="00A70224">
      <w:pPr>
        <w:spacing w:line="360" w:lineRule="auto"/>
        <w:rPr>
          <w:rFonts w:asciiTheme="minorHAnsi" w:hAnsiTheme="minorHAnsi"/>
          <w:sz w:val="24"/>
          <w:szCs w:val="24"/>
        </w:rPr>
      </w:pPr>
    </w:p>
    <w:p w14:paraId="02F17CEB"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The case can be made that intervention in its traditional approach (for argument’s sake the two strikes and then court approach) has shown to be ineffective. Minimal intervention but maximum diversion however is the most effective approach. A report from youth justice services, titled prevention and diversion project (YJS, 2023) states that high caseloads for prevention and diversion is a positive reflection of this form of </w:t>
      </w:r>
      <w:r w:rsidRPr="00A70224">
        <w:rPr>
          <w:rFonts w:asciiTheme="minorHAnsi" w:hAnsiTheme="minorHAnsi"/>
          <w:sz w:val="24"/>
          <w:szCs w:val="24"/>
        </w:rPr>
        <w:lastRenderedPageBreak/>
        <w:t xml:space="preserve">intervention. Goldson asserts a more scathing reflection of early intervention and states that “guilt is no longer the founding principle; intervention can be triggered without an offence being committed, premised instead upon a condition, a character or a way of life that is judged to be failing or posing risk.”. Premature intervention can be viewed as harmful for preventing young people from offending because of the assumption that normal misbehaviour warrants intervention from an agency. Rather than preventing the individual from harmful behaviour, the intervention could inspire resistance to change. The damning sentiment is that difference in character is being criminalised. </w:t>
      </w:r>
    </w:p>
    <w:p w14:paraId="0551FAE6" w14:textId="77777777" w:rsidR="0069034E" w:rsidRPr="00A70224" w:rsidRDefault="0069034E" w:rsidP="00A70224">
      <w:pPr>
        <w:spacing w:line="360" w:lineRule="auto"/>
        <w:rPr>
          <w:rFonts w:asciiTheme="minorHAnsi" w:hAnsiTheme="minorHAnsi"/>
          <w:sz w:val="24"/>
          <w:szCs w:val="24"/>
        </w:rPr>
      </w:pPr>
    </w:p>
    <w:p w14:paraId="3512ED86"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Goldson also raises a valid concern as part of this intervention which is the premise that the individual is reprimanded based on what they might do and not what they have done. In 2021, an evaluation was conducted on the ‘Think Family Early Intervention programme’. This early intervention programme was led by the Avon and Somerset police force in the Bristol and Somerset area, but it was a multi-agency approach. The findings of the evaluation were that “youth crime and domestic violence incidents dropped significantly both six and 12 months following the intervention compared to a similar period of time before the intervention.” ASB however saw no reduction whereas crime fell by 53%, youth crime by 59%. These results are certainly positive for the argument that early intervention is effective in preventing young persons from offending.</w:t>
      </w:r>
    </w:p>
    <w:p w14:paraId="322EFF58" w14:textId="77777777" w:rsidR="0069034E" w:rsidRPr="00A70224" w:rsidRDefault="0069034E" w:rsidP="00A70224">
      <w:pPr>
        <w:spacing w:line="360" w:lineRule="auto"/>
        <w:rPr>
          <w:rFonts w:asciiTheme="minorHAnsi" w:hAnsiTheme="minorHAnsi"/>
          <w:sz w:val="24"/>
          <w:szCs w:val="24"/>
        </w:rPr>
      </w:pPr>
    </w:p>
    <w:p w14:paraId="50069D1C"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Before concluding if early intervention is successful based on this report, key considerations must be explored. Firstly, this initiative was a concerted effort in two areas. It has shown to be effective in this instance however a national initiative may not be as successful. </w:t>
      </w:r>
    </w:p>
    <w:p w14:paraId="28C61DF7" w14:textId="77777777" w:rsidR="0069034E" w:rsidRPr="00A70224" w:rsidRDefault="0069034E" w:rsidP="00A70224">
      <w:pPr>
        <w:spacing w:line="360" w:lineRule="auto"/>
        <w:rPr>
          <w:rFonts w:asciiTheme="minorHAnsi" w:hAnsiTheme="minorHAnsi"/>
          <w:sz w:val="24"/>
          <w:szCs w:val="24"/>
        </w:rPr>
      </w:pPr>
    </w:p>
    <w:p w14:paraId="53786658"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Defining intervention is already a problematic subject and each force area will have different needs based on their community needs. This approach is based on partner agencies identifying the needs of families and support that they need. Not only could such an initiative be cost intensive but also resource intensive. An added issue is that community officers raised several issues for them in attending these matters. Firstly, </w:t>
      </w:r>
      <w:r w:rsidRPr="00A70224">
        <w:rPr>
          <w:rFonts w:asciiTheme="minorHAnsi" w:hAnsiTheme="minorHAnsi"/>
          <w:sz w:val="24"/>
          <w:szCs w:val="24"/>
        </w:rPr>
        <w:lastRenderedPageBreak/>
        <w:t xml:space="preserve">they stated that training and procedure was not being followed due to officers struggling to remember these procedures. There were also concerns regarding the type of intervention and the responsibilities of agencies in supporting families. For example, should the intervention sit with the police? </w:t>
      </w:r>
    </w:p>
    <w:p w14:paraId="4CFB2119" w14:textId="77777777" w:rsidR="0069034E" w:rsidRPr="00A70224" w:rsidRDefault="0069034E" w:rsidP="00A70224">
      <w:pPr>
        <w:spacing w:line="360" w:lineRule="auto"/>
        <w:rPr>
          <w:rFonts w:asciiTheme="minorHAnsi" w:hAnsiTheme="minorHAnsi"/>
          <w:sz w:val="24"/>
          <w:szCs w:val="24"/>
        </w:rPr>
      </w:pPr>
    </w:p>
    <w:p w14:paraId="5931A1D5"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This leads back to Goldson’s concern of premature intervention and the stigma attached to such interventions. If police take ownership of the early interventions, families may feel that instead of being supported, they are being investigated. Much of this programme’s success was on families’ engagement with police and the rapport between officers and families. Furthermore, the early intervention foundation website states that intervention should focus on addressing behavioural problems and cognitive development, including adverse circumstances based on economic hardship. </w:t>
      </w:r>
    </w:p>
    <w:p w14:paraId="601A5BD7" w14:textId="77777777" w:rsidR="0069034E" w:rsidRPr="00A70224" w:rsidRDefault="0069034E" w:rsidP="00A70224">
      <w:pPr>
        <w:spacing w:line="360" w:lineRule="auto"/>
        <w:rPr>
          <w:rFonts w:asciiTheme="minorHAnsi" w:hAnsiTheme="minorHAnsi"/>
          <w:sz w:val="24"/>
          <w:szCs w:val="24"/>
        </w:rPr>
      </w:pPr>
    </w:p>
    <w:p w14:paraId="6E4243C9"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Addressing these concerns based on the research presented in this essay as a form of early intervention has been known to be effective. For example, it supports Goldson’s conclusion and the intervention programme that diversion and prevention should be emphasised. For this intervention to be effective, qualified experts should take the lead and not police. Police as a service should primarily address crime and safeguard the public from crime. On top of existing demands of expertise in laws and powers, is it reasonable and achievable for officers to attain an understanding in for example matters regarding speech language development? Or mental health? Can the required competency be reached by frontline police officers? </w:t>
      </w:r>
    </w:p>
    <w:p w14:paraId="7F2F5972" w14:textId="77777777" w:rsidR="0069034E" w:rsidRPr="00A70224" w:rsidRDefault="0069034E" w:rsidP="00A70224">
      <w:pPr>
        <w:spacing w:line="360" w:lineRule="auto"/>
        <w:rPr>
          <w:rFonts w:asciiTheme="minorHAnsi" w:hAnsiTheme="minorHAnsi"/>
          <w:sz w:val="24"/>
          <w:szCs w:val="24"/>
        </w:rPr>
      </w:pPr>
    </w:p>
    <w:p w14:paraId="56876C1D"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Goldson states that courts are already swamped with the ‘two strikes’ method which is arguably less time consuming than the diversionary approach. Diversion is a long-term approach. </w:t>
      </w:r>
      <w:proofErr w:type="gramStart"/>
      <w:r w:rsidRPr="00A70224">
        <w:rPr>
          <w:rFonts w:asciiTheme="minorHAnsi" w:hAnsiTheme="minorHAnsi"/>
          <w:sz w:val="24"/>
          <w:szCs w:val="24"/>
        </w:rPr>
        <w:t>By all means police</w:t>
      </w:r>
      <w:proofErr w:type="gramEnd"/>
      <w:r w:rsidRPr="00A70224">
        <w:rPr>
          <w:rFonts w:asciiTheme="minorHAnsi" w:hAnsiTheme="minorHAnsi"/>
          <w:sz w:val="24"/>
          <w:szCs w:val="24"/>
        </w:rPr>
        <w:t xml:space="preserve"> can assist however early intervention can only work via a multi-agency approach. </w:t>
      </w:r>
    </w:p>
    <w:p w14:paraId="244B7E90" w14:textId="77777777" w:rsidR="0069034E" w:rsidRPr="00A70224" w:rsidRDefault="0069034E" w:rsidP="00A70224">
      <w:pPr>
        <w:spacing w:line="360" w:lineRule="auto"/>
        <w:rPr>
          <w:rFonts w:asciiTheme="minorHAnsi" w:hAnsiTheme="minorHAnsi"/>
          <w:sz w:val="24"/>
          <w:szCs w:val="24"/>
        </w:rPr>
      </w:pPr>
      <w:r w:rsidRPr="00A70224">
        <w:rPr>
          <w:rFonts w:asciiTheme="minorHAnsi" w:hAnsiTheme="minorHAnsi"/>
          <w:sz w:val="24"/>
          <w:szCs w:val="24"/>
        </w:rPr>
        <w:t xml:space="preserve">In conclusion, early intervention as a means of preventing people from offending or reoffending can be effective. The cost of undertaking these measures both fiscally and staff wise is significant. Furthermore, the definitions for early intervention must be confirmed. There is a place for the two-strike approach as well as the diversionary approach. This is because the two-strike approach has shown to be premature in </w:t>
      </w:r>
      <w:r w:rsidRPr="00A70224">
        <w:rPr>
          <w:rFonts w:asciiTheme="minorHAnsi" w:hAnsiTheme="minorHAnsi"/>
          <w:sz w:val="24"/>
          <w:szCs w:val="24"/>
        </w:rPr>
        <w:lastRenderedPageBreak/>
        <w:t>execution. Young offenders in particular who have committed offences, especially those pertinent to areas of public interest must be dealt with robustly. They however must not be criminalised too early as there must be an actual case of wrongdoing and not a result based on risk. Early intervention that focuses on supporting these individuals is more appropriate for the latter scenario.</w:t>
      </w:r>
    </w:p>
    <w:p w14:paraId="7B94A314" w14:textId="77777777" w:rsidR="0069034E" w:rsidRPr="00A70224" w:rsidRDefault="0069034E" w:rsidP="00A70224">
      <w:pPr>
        <w:spacing w:line="360" w:lineRule="auto"/>
        <w:ind w:right="531"/>
        <w:rPr>
          <w:rFonts w:asciiTheme="minorHAnsi" w:eastAsia="Calibri" w:hAnsiTheme="minorHAnsi" w:cs="Arial"/>
          <w:sz w:val="24"/>
          <w:szCs w:val="24"/>
        </w:rPr>
      </w:pPr>
    </w:p>
    <w:p w14:paraId="103883CC" w14:textId="77777777" w:rsidR="001D56F4" w:rsidRPr="00A70224" w:rsidRDefault="001D56F4" w:rsidP="00A70224">
      <w:pPr>
        <w:spacing w:line="360" w:lineRule="auto"/>
        <w:rPr>
          <w:rFonts w:asciiTheme="minorHAnsi" w:hAnsiTheme="minorHAnsi"/>
          <w:sz w:val="24"/>
          <w:szCs w:val="24"/>
        </w:rPr>
      </w:pPr>
    </w:p>
    <w:p w14:paraId="3B688A93" w14:textId="77777777" w:rsidR="007104C5" w:rsidRPr="00A70224" w:rsidRDefault="007104C5" w:rsidP="00A70224">
      <w:pPr>
        <w:spacing w:line="360" w:lineRule="auto"/>
        <w:rPr>
          <w:rFonts w:asciiTheme="minorHAnsi" w:hAnsiTheme="minorHAnsi"/>
          <w:sz w:val="24"/>
          <w:szCs w:val="24"/>
        </w:rPr>
      </w:pPr>
    </w:p>
    <w:p w14:paraId="6F011D77" w14:textId="77777777" w:rsidR="007104C5" w:rsidRPr="00A70224" w:rsidRDefault="007104C5" w:rsidP="00A70224">
      <w:pPr>
        <w:spacing w:line="360" w:lineRule="auto"/>
        <w:rPr>
          <w:rFonts w:asciiTheme="minorHAnsi" w:hAnsiTheme="minorHAnsi"/>
          <w:sz w:val="24"/>
          <w:szCs w:val="24"/>
        </w:rPr>
      </w:pPr>
    </w:p>
    <w:p w14:paraId="25E15DF4" w14:textId="77777777" w:rsidR="007104C5" w:rsidRPr="00A70224" w:rsidRDefault="007104C5" w:rsidP="00A70224">
      <w:pPr>
        <w:spacing w:line="360" w:lineRule="auto"/>
        <w:rPr>
          <w:rFonts w:asciiTheme="minorHAnsi" w:hAnsiTheme="minorHAnsi"/>
          <w:sz w:val="24"/>
          <w:szCs w:val="24"/>
        </w:rPr>
      </w:pPr>
    </w:p>
    <w:p w14:paraId="02523321" w14:textId="77777777" w:rsidR="0089267A" w:rsidRDefault="0089267A" w:rsidP="00A70224">
      <w:pPr>
        <w:spacing w:line="360" w:lineRule="auto"/>
        <w:rPr>
          <w:rFonts w:asciiTheme="minorHAnsi" w:hAnsiTheme="minorHAnsi"/>
          <w:b/>
          <w:bCs/>
          <w:sz w:val="24"/>
          <w:szCs w:val="24"/>
        </w:rPr>
      </w:pPr>
    </w:p>
    <w:p w14:paraId="206169F2" w14:textId="77777777" w:rsidR="0089267A" w:rsidRDefault="0089267A" w:rsidP="00A70224">
      <w:pPr>
        <w:spacing w:line="360" w:lineRule="auto"/>
        <w:rPr>
          <w:rFonts w:asciiTheme="minorHAnsi" w:hAnsiTheme="minorHAnsi"/>
          <w:b/>
          <w:bCs/>
          <w:sz w:val="24"/>
          <w:szCs w:val="24"/>
        </w:rPr>
      </w:pPr>
    </w:p>
    <w:p w14:paraId="737B015A" w14:textId="77777777" w:rsidR="0089267A" w:rsidRDefault="0089267A" w:rsidP="00A70224">
      <w:pPr>
        <w:spacing w:line="360" w:lineRule="auto"/>
        <w:rPr>
          <w:rFonts w:asciiTheme="minorHAnsi" w:hAnsiTheme="minorHAnsi"/>
          <w:b/>
          <w:bCs/>
          <w:sz w:val="24"/>
          <w:szCs w:val="24"/>
        </w:rPr>
      </w:pPr>
    </w:p>
    <w:p w14:paraId="2CC96848" w14:textId="542A3D35" w:rsidR="007104C5" w:rsidRPr="00A70224" w:rsidRDefault="007104C5" w:rsidP="00A70224">
      <w:pPr>
        <w:spacing w:line="360" w:lineRule="auto"/>
        <w:rPr>
          <w:rFonts w:asciiTheme="minorHAnsi" w:hAnsiTheme="minorHAnsi"/>
          <w:b/>
          <w:bCs/>
          <w:sz w:val="24"/>
          <w:szCs w:val="24"/>
        </w:rPr>
      </w:pPr>
      <w:r w:rsidRPr="00A70224">
        <w:rPr>
          <w:rFonts w:asciiTheme="minorHAnsi" w:hAnsiTheme="minorHAnsi"/>
          <w:b/>
          <w:bCs/>
          <w:sz w:val="24"/>
          <w:szCs w:val="24"/>
        </w:rPr>
        <w:t>BIBLIOGRAPHY</w:t>
      </w:r>
    </w:p>
    <w:p w14:paraId="55A98F58" w14:textId="28A7E564" w:rsidR="007104C5" w:rsidRDefault="007104C5" w:rsidP="00A70224">
      <w:pPr>
        <w:spacing w:line="360" w:lineRule="auto"/>
        <w:rPr>
          <w:rFonts w:asciiTheme="minorHAnsi" w:hAnsiTheme="minorHAnsi"/>
          <w:b/>
          <w:bCs/>
          <w:sz w:val="24"/>
          <w:szCs w:val="24"/>
        </w:rPr>
      </w:pPr>
      <w:r w:rsidRPr="00A70224">
        <w:rPr>
          <w:rFonts w:asciiTheme="minorHAnsi" w:hAnsiTheme="minorHAnsi"/>
          <w:b/>
          <w:bCs/>
          <w:sz w:val="24"/>
          <w:szCs w:val="24"/>
        </w:rPr>
        <w:t>ESSAY ONE</w:t>
      </w:r>
    </w:p>
    <w:p w14:paraId="29257DCD" w14:textId="7E673A68" w:rsidR="00B04B9B" w:rsidRPr="00B04B9B" w:rsidRDefault="00B04B9B" w:rsidP="00B04B9B">
      <w:pPr>
        <w:spacing w:line="360" w:lineRule="auto"/>
        <w:rPr>
          <w:rFonts w:asciiTheme="minorHAnsi" w:hAnsiTheme="minorHAnsi"/>
          <w:sz w:val="24"/>
          <w:szCs w:val="24"/>
        </w:rPr>
      </w:pPr>
      <w:r w:rsidRPr="00B04B9B">
        <w:rPr>
          <w:rFonts w:asciiTheme="minorHAnsi" w:hAnsiTheme="minorHAnsi"/>
          <w:sz w:val="24"/>
          <w:szCs w:val="24"/>
        </w:rPr>
        <w:t>Jessup, S. (2023). The uneasy relationship between the police and Pride. </w:t>
      </w:r>
      <w:r w:rsidRPr="00B04B9B">
        <w:rPr>
          <w:rFonts w:asciiTheme="minorHAnsi" w:hAnsiTheme="minorHAnsi"/>
          <w:i/>
          <w:iCs/>
          <w:sz w:val="24"/>
          <w:szCs w:val="24"/>
        </w:rPr>
        <w:t>BBC News</w:t>
      </w:r>
      <w:r w:rsidRPr="00B04B9B">
        <w:rPr>
          <w:rFonts w:asciiTheme="minorHAnsi" w:hAnsiTheme="minorHAnsi"/>
          <w:sz w:val="24"/>
          <w:szCs w:val="24"/>
        </w:rPr>
        <w:t>. [online] 1 Jul. Available at: https://www.bbc.co.uk/news/uk-england-london-66067990.</w:t>
      </w:r>
    </w:p>
    <w:p w14:paraId="1E4912DA" w14:textId="77777777" w:rsidR="00B04B9B" w:rsidRPr="00A70224" w:rsidRDefault="00B04B9B" w:rsidP="00A70224">
      <w:pPr>
        <w:spacing w:line="360" w:lineRule="auto"/>
        <w:rPr>
          <w:rFonts w:asciiTheme="minorHAnsi" w:hAnsiTheme="minorHAnsi"/>
          <w:b/>
          <w:bCs/>
          <w:sz w:val="24"/>
          <w:szCs w:val="24"/>
        </w:rPr>
      </w:pPr>
    </w:p>
    <w:p w14:paraId="3530DA3D" w14:textId="4E3BED8F" w:rsidR="00C96F19" w:rsidRPr="00A70224" w:rsidRDefault="00C96F19" w:rsidP="00A70224">
      <w:pPr>
        <w:spacing w:line="360" w:lineRule="auto"/>
        <w:rPr>
          <w:rFonts w:asciiTheme="minorHAnsi" w:hAnsiTheme="minorHAnsi"/>
          <w:sz w:val="24"/>
          <w:szCs w:val="24"/>
        </w:rPr>
      </w:pPr>
      <w:r w:rsidRPr="005134AF">
        <w:rPr>
          <w:rFonts w:asciiTheme="minorHAnsi" w:hAnsiTheme="minorHAnsi"/>
          <w:sz w:val="24"/>
          <w:szCs w:val="24"/>
        </w:rPr>
        <w:t>Hills, J. (2021). </w:t>
      </w:r>
      <w:r w:rsidRPr="005134AF">
        <w:rPr>
          <w:rFonts w:asciiTheme="minorHAnsi" w:hAnsiTheme="minorHAnsi"/>
          <w:i/>
          <w:iCs/>
          <w:sz w:val="24"/>
          <w:szCs w:val="24"/>
        </w:rPr>
        <w:t>The Macpherson Report: Twenty-two years on - Home Affairs Committee - House of Commons</w:t>
      </w:r>
      <w:r w:rsidRPr="005134AF">
        <w:rPr>
          <w:rFonts w:asciiTheme="minorHAnsi" w:hAnsiTheme="minorHAnsi"/>
          <w:sz w:val="24"/>
          <w:szCs w:val="24"/>
        </w:rPr>
        <w:t xml:space="preserve">. [online] publications.parliament.uk. Available at: </w:t>
      </w:r>
      <w:hyperlink r:id="rId7" w:history="1">
        <w:r w:rsidRPr="005134AF">
          <w:rPr>
            <w:rStyle w:val="Hyperlink"/>
            <w:rFonts w:asciiTheme="minorHAnsi" w:hAnsiTheme="minorHAnsi"/>
            <w:sz w:val="24"/>
            <w:szCs w:val="24"/>
          </w:rPr>
          <w:t>https://publications.parliament.uk/pa/cm5802/cmselect/cmhaff/139/13907.htm</w:t>
        </w:r>
      </w:hyperlink>
      <w:r w:rsidRPr="005134AF">
        <w:rPr>
          <w:rFonts w:asciiTheme="minorHAnsi" w:hAnsiTheme="minorHAnsi"/>
          <w:sz w:val="24"/>
          <w:szCs w:val="24"/>
        </w:rPr>
        <w:t>.</w:t>
      </w:r>
    </w:p>
    <w:p w14:paraId="75151554" w14:textId="77777777" w:rsidR="00C96F19" w:rsidRPr="005134AF" w:rsidRDefault="00C96F19" w:rsidP="00A70224">
      <w:pPr>
        <w:spacing w:line="360" w:lineRule="auto"/>
        <w:rPr>
          <w:rFonts w:asciiTheme="minorHAnsi" w:hAnsiTheme="minorHAnsi"/>
          <w:sz w:val="24"/>
          <w:szCs w:val="24"/>
        </w:rPr>
      </w:pPr>
    </w:p>
    <w:p w14:paraId="2E311686" w14:textId="4CC0AC6C" w:rsidR="00C96F19" w:rsidRPr="00A70224" w:rsidRDefault="00C96F19" w:rsidP="00A70224">
      <w:pPr>
        <w:spacing w:line="360" w:lineRule="auto"/>
        <w:rPr>
          <w:rFonts w:asciiTheme="minorHAnsi" w:hAnsiTheme="minorHAnsi"/>
          <w:sz w:val="24"/>
          <w:szCs w:val="24"/>
        </w:rPr>
      </w:pPr>
      <w:r w:rsidRPr="009303AD">
        <w:rPr>
          <w:rFonts w:asciiTheme="minorHAnsi" w:hAnsiTheme="minorHAnsi"/>
          <w:sz w:val="24"/>
          <w:szCs w:val="24"/>
        </w:rPr>
        <w:t>Home Office (2012). </w:t>
      </w:r>
      <w:r w:rsidRPr="009303AD">
        <w:rPr>
          <w:rFonts w:asciiTheme="minorHAnsi" w:hAnsiTheme="minorHAnsi"/>
          <w:i/>
          <w:iCs/>
          <w:sz w:val="24"/>
          <w:szCs w:val="24"/>
        </w:rPr>
        <w:t>Definition of Policing by Consent</w:t>
      </w:r>
      <w:r w:rsidRPr="009303AD">
        <w:rPr>
          <w:rFonts w:asciiTheme="minorHAnsi" w:hAnsiTheme="minorHAnsi"/>
          <w:sz w:val="24"/>
          <w:szCs w:val="24"/>
        </w:rPr>
        <w:t xml:space="preserve">. [online] GOV.UK. Available at: </w:t>
      </w:r>
      <w:hyperlink r:id="rId8" w:history="1">
        <w:r w:rsidRPr="009303AD">
          <w:rPr>
            <w:rStyle w:val="Hyperlink"/>
            <w:rFonts w:asciiTheme="minorHAnsi" w:hAnsiTheme="minorHAnsi"/>
            <w:sz w:val="24"/>
            <w:szCs w:val="24"/>
          </w:rPr>
          <w:t>https://www.gov.uk/government/publications/policing-by-consent/definition-of-policing-by-consent</w:t>
        </w:r>
      </w:hyperlink>
      <w:r w:rsidRPr="009303AD">
        <w:rPr>
          <w:rFonts w:asciiTheme="minorHAnsi" w:hAnsiTheme="minorHAnsi"/>
          <w:sz w:val="24"/>
          <w:szCs w:val="24"/>
        </w:rPr>
        <w:t>.</w:t>
      </w:r>
    </w:p>
    <w:p w14:paraId="0A18239A" w14:textId="77777777" w:rsidR="00C96F19" w:rsidRPr="009303AD" w:rsidRDefault="00C96F19" w:rsidP="00A70224">
      <w:pPr>
        <w:spacing w:line="360" w:lineRule="auto"/>
        <w:rPr>
          <w:rFonts w:asciiTheme="minorHAnsi" w:hAnsiTheme="minorHAnsi"/>
          <w:sz w:val="24"/>
          <w:szCs w:val="24"/>
        </w:rPr>
      </w:pPr>
    </w:p>
    <w:p w14:paraId="2C39EDA5" w14:textId="77777777" w:rsidR="00C96F19" w:rsidRPr="00A70224" w:rsidRDefault="00C96F19" w:rsidP="00A70224">
      <w:pPr>
        <w:spacing w:line="360" w:lineRule="auto"/>
        <w:rPr>
          <w:rFonts w:asciiTheme="minorHAnsi" w:hAnsiTheme="minorHAnsi"/>
          <w:sz w:val="24"/>
          <w:szCs w:val="24"/>
        </w:rPr>
      </w:pPr>
      <w:r w:rsidRPr="005134AF">
        <w:rPr>
          <w:rFonts w:asciiTheme="minorHAnsi" w:hAnsiTheme="minorHAnsi"/>
          <w:sz w:val="24"/>
          <w:szCs w:val="24"/>
        </w:rPr>
        <w:t>Home Office (2023). </w:t>
      </w:r>
      <w:r w:rsidRPr="005134AF">
        <w:rPr>
          <w:rFonts w:asciiTheme="minorHAnsi" w:hAnsiTheme="minorHAnsi"/>
          <w:i/>
          <w:iCs/>
          <w:sz w:val="24"/>
          <w:szCs w:val="24"/>
        </w:rPr>
        <w:t>Police workforce, England and Wales: 30 September 2022</w:t>
      </w:r>
      <w:r w:rsidRPr="005134AF">
        <w:rPr>
          <w:rFonts w:asciiTheme="minorHAnsi" w:hAnsiTheme="minorHAnsi"/>
          <w:sz w:val="24"/>
          <w:szCs w:val="24"/>
        </w:rPr>
        <w:t xml:space="preserve">. [online] HOME OFFICE. Available at: </w:t>
      </w:r>
      <w:hyperlink r:id="rId9" w:history="1">
        <w:r w:rsidRPr="005134AF">
          <w:rPr>
            <w:rStyle w:val="Hyperlink"/>
            <w:rFonts w:asciiTheme="minorHAnsi" w:hAnsiTheme="minorHAnsi"/>
            <w:sz w:val="24"/>
            <w:szCs w:val="24"/>
          </w:rPr>
          <w:t>https://www.gov.uk/government/statistics/police-workforce-england-and-wales-30-september-2022/police-workforce-england-and-wales-30-september-2022</w:t>
        </w:r>
      </w:hyperlink>
      <w:r w:rsidRPr="005134AF">
        <w:rPr>
          <w:rFonts w:asciiTheme="minorHAnsi" w:hAnsiTheme="minorHAnsi"/>
          <w:sz w:val="24"/>
          <w:szCs w:val="24"/>
        </w:rPr>
        <w:t>.</w:t>
      </w:r>
    </w:p>
    <w:p w14:paraId="1C1505FB" w14:textId="77777777" w:rsidR="00C96F19" w:rsidRPr="00A70224" w:rsidRDefault="00C96F19" w:rsidP="00A70224">
      <w:pPr>
        <w:spacing w:line="360" w:lineRule="auto"/>
        <w:rPr>
          <w:rFonts w:asciiTheme="minorHAnsi" w:hAnsiTheme="minorHAnsi"/>
          <w:sz w:val="24"/>
          <w:szCs w:val="24"/>
        </w:rPr>
      </w:pPr>
    </w:p>
    <w:p w14:paraId="455E9A0C" w14:textId="77777777" w:rsidR="00C96F19" w:rsidRPr="00A70224" w:rsidRDefault="00C96F19" w:rsidP="00A70224">
      <w:pPr>
        <w:spacing w:line="360" w:lineRule="auto"/>
        <w:rPr>
          <w:rFonts w:asciiTheme="minorHAnsi" w:hAnsiTheme="minorHAnsi"/>
          <w:sz w:val="24"/>
          <w:szCs w:val="24"/>
        </w:rPr>
      </w:pPr>
      <w:r w:rsidRPr="00A70224">
        <w:rPr>
          <w:rFonts w:asciiTheme="minorHAnsi" w:hAnsiTheme="minorHAnsi"/>
          <w:sz w:val="24"/>
          <w:szCs w:val="24"/>
        </w:rPr>
        <w:lastRenderedPageBreak/>
        <w:t xml:space="preserve">Michelle O’ Reilly, Samuel </w:t>
      </w:r>
      <w:proofErr w:type="spellStart"/>
      <w:r w:rsidRPr="00A70224">
        <w:rPr>
          <w:rFonts w:asciiTheme="minorHAnsi" w:hAnsiTheme="minorHAnsi"/>
          <w:sz w:val="24"/>
          <w:szCs w:val="24"/>
        </w:rPr>
        <w:t>Tromans</w:t>
      </w:r>
      <w:proofErr w:type="spellEnd"/>
      <w:r w:rsidRPr="00A70224">
        <w:rPr>
          <w:rFonts w:asciiTheme="minorHAnsi" w:hAnsiTheme="minorHAnsi"/>
          <w:sz w:val="24"/>
          <w:szCs w:val="24"/>
        </w:rPr>
        <w:t xml:space="preserve">. </w:t>
      </w:r>
      <w:r w:rsidRPr="00A70224">
        <w:rPr>
          <w:rFonts w:asciiTheme="minorHAnsi" w:hAnsiTheme="minorHAnsi"/>
          <w:i/>
          <w:iCs/>
          <w:sz w:val="24"/>
          <w:szCs w:val="24"/>
        </w:rPr>
        <w:t xml:space="preserve">Neurodiverse Police Officers and staff: Learning Information about their Career Experiences. </w:t>
      </w:r>
      <w:r w:rsidRPr="00A70224">
        <w:rPr>
          <w:rFonts w:asciiTheme="minorHAnsi" w:hAnsiTheme="minorHAnsi"/>
          <w:sz w:val="24"/>
          <w:szCs w:val="24"/>
        </w:rPr>
        <w:t>Report for the NPAA. University of Leicester, 2024.</w:t>
      </w:r>
    </w:p>
    <w:p w14:paraId="40C6FED5" w14:textId="77777777" w:rsidR="00C96F19" w:rsidRPr="005134AF" w:rsidRDefault="00C96F19" w:rsidP="00A70224">
      <w:pPr>
        <w:spacing w:line="360" w:lineRule="auto"/>
        <w:rPr>
          <w:rFonts w:asciiTheme="minorHAnsi" w:hAnsiTheme="minorHAnsi"/>
          <w:sz w:val="24"/>
          <w:szCs w:val="24"/>
        </w:rPr>
      </w:pPr>
    </w:p>
    <w:p w14:paraId="5948A6A9" w14:textId="77777777" w:rsidR="00C96F19" w:rsidRPr="00A70224" w:rsidRDefault="00C96F19" w:rsidP="00A70224">
      <w:pPr>
        <w:spacing w:line="360" w:lineRule="auto"/>
        <w:rPr>
          <w:rFonts w:asciiTheme="minorHAnsi" w:hAnsiTheme="minorHAnsi"/>
          <w:sz w:val="24"/>
          <w:szCs w:val="24"/>
        </w:rPr>
      </w:pPr>
      <w:r w:rsidRPr="005134AF">
        <w:rPr>
          <w:rFonts w:asciiTheme="minorHAnsi" w:hAnsiTheme="minorHAnsi"/>
          <w:sz w:val="24"/>
          <w:szCs w:val="24"/>
        </w:rPr>
        <w:t>Wikipedia Contributors (2019). </w:t>
      </w:r>
      <w:r w:rsidRPr="005134AF">
        <w:rPr>
          <w:rFonts w:asciiTheme="minorHAnsi" w:hAnsiTheme="minorHAnsi"/>
          <w:i/>
          <w:iCs/>
          <w:sz w:val="24"/>
          <w:szCs w:val="24"/>
        </w:rPr>
        <w:t>1981 Brixton riot</w:t>
      </w:r>
      <w:r w:rsidRPr="005134AF">
        <w:rPr>
          <w:rFonts w:asciiTheme="minorHAnsi" w:hAnsiTheme="minorHAnsi"/>
          <w:sz w:val="24"/>
          <w:szCs w:val="24"/>
        </w:rPr>
        <w:t xml:space="preserve">. [online] Wikipedia. Available at: </w:t>
      </w:r>
      <w:hyperlink r:id="rId10" w:history="1">
        <w:r w:rsidRPr="005134AF">
          <w:rPr>
            <w:rStyle w:val="Hyperlink"/>
            <w:rFonts w:asciiTheme="minorHAnsi" w:hAnsiTheme="minorHAnsi"/>
            <w:sz w:val="24"/>
            <w:szCs w:val="24"/>
          </w:rPr>
          <w:t>https://en.wikipedia.org/wiki/1981_Brixton_riot</w:t>
        </w:r>
      </w:hyperlink>
      <w:r w:rsidRPr="005134AF">
        <w:rPr>
          <w:rFonts w:asciiTheme="minorHAnsi" w:hAnsiTheme="minorHAnsi"/>
          <w:sz w:val="24"/>
          <w:szCs w:val="24"/>
        </w:rPr>
        <w:t>.</w:t>
      </w:r>
    </w:p>
    <w:p w14:paraId="691AA0D7" w14:textId="77777777" w:rsidR="00C96F19" w:rsidRPr="00A70224" w:rsidRDefault="00C96F19" w:rsidP="00A70224">
      <w:pPr>
        <w:spacing w:line="360" w:lineRule="auto"/>
        <w:rPr>
          <w:rFonts w:asciiTheme="minorHAnsi" w:hAnsiTheme="minorHAnsi"/>
          <w:sz w:val="24"/>
          <w:szCs w:val="24"/>
        </w:rPr>
      </w:pPr>
    </w:p>
    <w:p w14:paraId="532E753D" w14:textId="77777777" w:rsidR="00C96F19" w:rsidRPr="005134AF" w:rsidRDefault="00C96F19" w:rsidP="00A70224">
      <w:pPr>
        <w:spacing w:line="360" w:lineRule="auto"/>
        <w:rPr>
          <w:rFonts w:asciiTheme="minorHAnsi" w:hAnsiTheme="minorHAnsi"/>
          <w:sz w:val="24"/>
          <w:szCs w:val="24"/>
        </w:rPr>
      </w:pPr>
      <w:r w:rsidRPr="005134AF">
        <w:rPr>
          <w:rFonts w:asciiTheme="minorHAnsi" w:hAnsiTheme="minorHAnsi"/>
          <w:sz w:val="24"/>
          <w:szCs w:val="24"/>
        </w:rPr>
        <w:t>Wikipedia Contributors (2019). </w:t>
      </w:r>
      <w:r w:rsidRPr="005134AF">
        <w:rPr>
          <w:rFonts w:asciiTheme="minorHAnsi" w:hAnsiTheme="minorHAnsi"/>
          <w:i/>
          <w:iCs/>
          <w:sz w:val="24"/>
          <w:szCs w:val="24"/>
        </w:rPr>
        <w:t>Scarman Report</w:t>
      </w:r>
      <w:r w:rsidRPr="005134AF">
        <w:rPr>
          <w:rFonts w:asciiTheme="minorHAnsi" w:hAnsiTheme="minorHAnsi"/>
          <w:sz w:val="24"/>
          <w:szCs w:val="24"/>
        </w:rPr>
        <w:t>. [online] Wikipedia. Available at: https://en.wikipedia.org/wiki/Scarman_Report.</w:t>
      </w:r>
    </w:p>
    <w:p w14:paraId="6C05F045" w14:textId="3167FEAA" w:rsidR="005134AF" w:rsidRPr="005134AF" w:rsidRDefault="005134AF" w:rsidP="00A70224">
      <w:pPr>
        <w:spacing w:line="360" w:lineRule="auto"/>
        <w:rPr>
          <w:rFonts w:asciiTheme="minorHAnsi" w:hAnsiTheme="minorHAnsi"/>
          <w:sz w:val="24"/>
          <w:szCs w:val="24"/>
        </w:rPr>
      </w:pPr>
      <w:r w:rsidRPr="005134AF">
        <w:rPr>
          <w:rFonts w:asciiTheme="minorHAnsi" w:hAnsiTheme="minorHAnsi"/>
          <w:sz w:val="24"/>
          <w:szCs w:val="24"/>
        </w:rPr>
        <w:t>‌</w:t>
      </w:r>
    </w:p>
    <w:p w14:paraId="4714A9FB" w14:textId="77777777" w:rsidR="005134AF" w:rsidRPr="005134AF" w:rsidRDefault="005134AF" w:rsidP="00A70224">
      <w:pPr>
        <w:spacing w:line="360" w:lineRule="auto"/>
        <w:rPr>
          <w:rFonts w:asciiTheme="minorHAnsi" w:hAnsiTheme="minorHAnsi"/>
          <w:sz w:val="24"/>
          <w:szCs w:val="24"/>
        </w:rPr>
      </w:pPr>
    </w:p>
    <w:p w14:paraId="602072B6" w14:textId="77777777" w:rsidR="005134AF" w:rsidRPr="005134AF" w:rsidRDefault="005134AF" w:rsidP="00A70224">
      <w:pPr>
        <w:spacing w:line="360" w:lineRule="auto"/>
        <w:rPr>
          <w:rFonts w:asciiTheme="minorHAnsi" w:hAnsiTheme="minorHAnsi"/>
          <w:b/>
          <w:bCs/>
          <w:sz w:val="24"/>
          <w:szCs w:val="24"/>
        </w:rPr>
      </w:pPr>
      <w:r w:rsidRPr="005134AF">
        <w:rPr>
          <w:rFonts w:asciiTheme="minorHAnsi" w:hAnsiTheme="minorHAnsi"/>
          <w:b/>
          <w:bCs/>
          <w:sz w:val="24"/>
          <w:szCs w:val="24"/>
        </w:rPr>
        <w:t>‌</w:t>
      </w:r>
    </w:p>
    <w:p w14:paraId="5D9F8203" w14:textId="77777777" w:rsidR="005134AF" w:rsidRPr="00A70224" w:rsidRDefault="005134AF" w:rsidP="00A70224">
      <w:pPr>
        <w:spacing w:line="360" w:lineRule="auto"/>
        <w:rPr>
          <w:rFonts w:asciiTheme="minorHAnsi" w:hAnsiTheme="minorHAnsi"/>
          <w:b/>
          <w:bCs/>
          <w:sz w:val="24"/>
          <w:szCs w:val="24"/>
        </w:rPr>
      </w:pPr>
    </w:p>
    <w:p w14:paraId="5D38FF3A" w14:textId="77777777" w:rsidR="007104C5" w:rsidRPr="00A70224" w:rsidRDefault="007104C5" w:rsidP="00A70224">
      <w:pPr>
        <w:spacing w:line="360" w:lineRule="auto"/>
        <w:rPr>
          <w:rFonts w:asciiTheme="minorHAnsi" w:hAnsiTheme="minorHAnsi"/>
          <w:b/>
          <w:bCs/>
          <w:sz w:val="24"/>
          <w:szCs w:val="24"/>
        </w:rPr>
      </w:pPr>
    </w:p>
    <w:p w14:paraId="1C2B2271" w14:textId="77777777" w:rsidR="0089267A" w:rsidRDefault="0089267A" w:rsidP="00A70224">
      <w:pPr>
        <w:spacing w:line="360" w:lineRule="auto"/>
        <w:rPr>
          <w:rFonts w:asciiTheme="minorHAnsi" w:hAnsiTheme="minorHAnsi"/>
          <w:b/>
          <w:bCs/>
          <w:sz w:val="24"/>
          <w:szCs w:val="24"/>
        </w:rPr>
      </w:pPr>
    </w:p>
    <w:p w14:paraId="3266907F" w14:textId="77777777" w:rsidR="0089267A" w:rsidRDefault="0089267A" w:rsidP="00A70224">
      <w:pPr>
        <w:spacing w:line="360" w:lineRule="auto"/>
        <w:rPr>
          <w:rFonts w:asciiTheme="minorHAnsi" w:hAnsiTheme="minorHAnsi"/>
          <w:b/>
          <w:bCs/>
          <w:sz w:val="24"/>
          <w:szCs w:val="24"/>
        </w:rPr>
      </w:pPr>
    </w:p>
    <w:p w14:paraId="699A114C" w14:textId="77777777" w:rsidR="0089267A" w:rsidRDefault="0089267A" w:rsidP="00A70224">
      <w:pPr>
        <w:spacing w:line="360" w:lineRule="auto"/>
        <w:rPr>
          <w:rFonts w:asciiTheme="minorHAnsi" w:hAnsiTheme="minorHAnsi"/>
          <w:b/>
          <w:bCs/>
          <w:sz w:val="24"/>
          <w:szCs w:val="24"/>
        </w:rPr>
      </w:pPr>
    </w:p>
    <w:p w14:paraId="2D9E7D01" w14:textId="23C221DE" w:rsidR="007104C5" w:rsidRPr="00A70224" w:rsidRDefault="007104C5" w:rsidP="00A70224">
      <w:pPr>
        <w:spacing w:line="360" w:lineRule="auto"/>
        <w:rPr>
          <w:rFonts w:asciiTheme="minorHAnsi" w:hAnsiTheme="minorHAnsi"/>
          <w:b/>
          <w:bCs/>
          <w:sz w:val="24"/>
          <w:szCs w:val="24"/>
        </w:rPr>
      </w:pPr>
      <w:r w:rsidRPr="00A70224">
        <w:rPr>
          <w:rFonts w:asciiTheme="minorHAnsi" w:hAnsiTheme="minorHAnsi"/>
          <w:b/>
          <w:bCs/>
          <w:sz w:val="24"/>
          <w:szCs w:val="24"/>
        </w:rPr>
        <w:t>ESSAY TWO</w:t>
      </w:r>
    </w:p>
    <w:p w14:paraId="5C0F7720" w14:textId="77777777" w:rsidR="005826AF" w:rsidRPr="00A70224" w:rsidRDefault="005826AF" w:rsidP="00A70224">
      <w:pPr>
        <w:spacing w:line="360" w:lineRule="auto"/>
        <w:rPr>
          <w:rFonts w:asciiTheme="minorHAnsi" w:hAnsiTheme="minorHAnsi"/>
          <w:sz w:val="24"/>
          <w:szCs w:val="24"/>
        </w:rPr>
      </w:pPr>
      <w:r w:rsidRPr="00F223F8">
        <w:rPr>
          <w:rFonts w:asciiTheme="minorHAnsi" w:hAnsiTheme="minorHAnsi"/>
          <w:sz w:val="24"/>
          <w:szCs w:val="24"/>
        </w:rPr>
        <w:t>Metropolitan Police (2019). </w:t>
      </w:r>
      <w:r w:rsidRPr="00F223F8">
        <w:rPr>
          <w:rFonts w:asciiTheme="minorHAnsi" w:hAnsiTheme="minorHAnsi"/>
          <w:i/>
          <w:iCs/>
          <w:sz w:val="24"/>
          <w:szCs w:val="24"/>
        </w:rPr>
        <w:t>The structure of the Met | The Met</w:t>
      </w:r>
      <w:r w:rsidRPr="00F223F8">
        <w:rPr>
          <w:rFonts w:asciiTheme="minorHAnsi" w:hAnsiTheme="minorHAnsi"/>
          <w:sz w:val="24"/>
          <w:szCs w:val="24"/>
        </w:rPr>
        <w:t>. [online] met.police.uk. Available at: https://www.met.police.uk/police-forces/metropolitan-police/areas/about-us/about-the-met/structure/.</w:t>
      </w:r>
      <w:r w:rsidRPr="00A70224">
        <w:rPr>
          <w:rFonts w:asciiTheme="minorHAnsi" w:hAnsiTheme="minorHAnsi"/>
          <w:sz w:val="24"/>
          <w:szCs w:val="24"/>
        </w:rPr>
        <w:t xml:space="preserve"> </w:t>
      </w:r>
    </w:p>
    <w:p w14:paraId="0754A0F6" w14:textId="77777777" w:rsidR="005826AF" w:rsidRPr="00A70224" w:rsidRDefault="005826AF" w:rsidP="00A70224">
      <w:pPr>
        <w:spacing w:line="360" w:lineRule="auto"/>
        <w:rPr>
          <w:rFonts w:asciiTheme="minorHAnsi" w:hAnsiTheme="minorHAnsi"/>
          <w:sz w:val="24"/>
          <w:szCs w:val="24"/>
        </w:rPr>
      </w:pPr>
    </w:p>
    <w:p w14:paraId="5859EA5A" w14:textId="77777777" w:rsidR="005826AF" w:rsidRPr="00A70224" w:rsidRDefault="005826AF" w:rsidP="00A70224">
      <w:pPr>
        <w:spacing w:line="360" w:lineRule="auto"/>
        <w:rPr>
          <w:rFonts w:asciiTheme="minorHAnsi" w:hAnsiTheme="minorHAnsi"/>
          <w:sz w:val="24"/>
          <w:szCs w:val="24"/>
        </w:rPr>
      </w:pPr>
    </w:p>
    <w:p w14:paraId="0C8075D6" w14:textId="77777777" w:rsidR="005826AF" w:rsidRPr="00A70224" w:rsidRDefault="005826AF" w:rsidP="00A70224">
      <w:pPr>
        <w:spacing w:line="360" w:lineRule="auto"/>
        <w:rPr>
          <w:rFonts w:asciiTheme="minorHAnsi" w:hAnsiTheme="minorHAnsi"/>
          <w:sz w:val="24"/>
          <w:szCs w:val="24"/>
        </w:rPr>
      </w:pPr>
      <w:r w:rsidRPr="00F223F8">
        <w:rPr>
          <w:rFonts w:asciiTheme="minorHAnsi" w:hAnsiTheme="minorHAnsi"/>
          <w:sz w:val="24"/>
          <w:szCs w:val="24"/>
        </w:rPr>
        <w:t>Police Federation (2021). </w:t>
      </w:r>
      <w:r w:rsidRPr="00F223F8">
        <w:rPr>
          <w:rFonts w:asciiTheme="minorHAnsi" w:hAnsiTheme="minorHAnsi"/>
          <w:i/>
          <w:iCs/>
          <w:sz w:val="24"/>
          <w:szCs w:val="24"/>
        </w:rPr>
        <w:t xml:space="preserve">Capture Data </w:t>
      </w:r>
      <w:proofErr w:type="gramStart"/>
      <w:r w:rsidRPr="00F223F8">
        <w:rPr>
          <w:rFonts w:asciiTheme="minorHAnsi" w:hAnsiTheme="minorHAnsi"/>
          <w:i/>
          <w:iCs/>
          <w:sz w:val="24"/>
          <w:szCs w:val="24"/>
        </w:rPr>
        <w:t>On</w:t>
      </w:r>
      <w:proofErr w:type="gramEnd"/>
      <w:r w:rsidRPr="00F223F8">
        <w:rPr>
          <w:rFonts w:asciiTheme="minorHAnsi" w:hAnsiTheme="minorHAnsi"/>
          <w:i/>
          <w:iCs/>
          <w:sz w:val="24"/>
          <w:szCs w:val="24"/>
        </w:rPr>
        <w:t xml:space="preserve"> Traumatic Incidents</w:t>
      </w:r>
      <w:r w:rsidRPr="00F223F8">
        <w:rPr>
          <w:rFonts w:asciiTheme="minorHAnsi" w:hAnsiTheme="minorHAnsi"/>
          <w:sz w:val="24"/>
          <w:szCs w:val="24"/>
        </w:rPr>
        <w:t>. [online] www.polfed.org. Available at: https://www.polfed.org/avonsom/news/news-articles/capture-data-on-traumatic-incidents/.</w:t>
      </w:r>
      <w:r w:rsidRPr="00A70224">
        <w:rPr>
          <w:rFonts w:asciiTheme="minorHAnsi" w:hAnsiTheme="minorHAnsi"/>
          <w:sz w:val="24"/>
          <w:szCs w:val="24"/>
        </w:rPr>
        <w:t xml:space="preserve"> </w:t>
      </w:r>
    </w:p>
    <w:p w14:paraId="37353EE0" w14:textId="77777777" w:rsidR="005826AF" w:rsidRPr="00A70224" w:rsidRDefault="005826AF" w:rsidP="00A70224">
      <w:pPr>
        <w:spacing w:line="360" w:lineRule="auto"/>
        <w:rPr>
          <w:rFonts w:asciiTheme="minorHAnsi" w:hAnsiTheme="minorHAnsi"/>
          <w:sz w:val="24"/>
          <w:szCs w:val="24"/>
        </w:rPr>
      </w:pPr>
    </w:p>
    <w:p w14:paraId="10B9F0B1" w14:textId="77777777" w:rsidR="005826AF" w:rsidRPr="00A70224" w:rsidRDefault="005826AF" w:rsidP="00A70224">
      <w:pPr>
        <w:spacing w:line="360" w:lineRule="auto"/>
        <w:rPr>
          <w:rFonts w:asciiTheme="minorHAnsi" w:hAnsiTheme="minorHAnsi"/>
          <w:sz w:val="24"/>
          <w:szCs w:val="24"/>
        </w:rPr>
      </w:pPr>
      <w:r w:rsidRPr="00F223F8">
        <w:rPr>
          <w:rFonts w:asciiTheme="minorHAnsi" w:hAnsiTheme="minorHAnsi"/>
          <w:sz w:val="24"/>
          <w:szCs w:val="24"/>
        </w:rPr>
        <w:t>Sussex Police Federation (2024). </w:t>
      </w:r>
      <w:r w:rsidRPr="00F223F8">
        <w:rPr>
          <w:rFonts w:asciiTheme="minorHAnsi" w:hAnsiTheme="minorHAnsi"/>
          <w:i/>
          <w:iCs/>
          <w:sz w:val="24"/>
          <w:szCs w:val="24"/>
        </w:rPr>
        <w:t>Startling rise in mental ill health among police officers</w:t>
      </w:r>
      <w:r w:rsidRPr="00F223F8">
        <w:rPr>
          <w:rFonts w:asciiTheme="minorHAnsi" w:hAnsiTheme="minorHAnsi"/>
          <w:sz w:val="24"/>
          <w:szCs w:val="24"/>
        </w:rPr>
        <w:t>. [online] Polfed.org. Available at: https://www.polfed.org/sussex/news/2024/startling-rise-in-mental-ill-health-among-police-officers/.</w:t>
      </w:r>
      <w:r w:rsidRPr="00A70224">
        <w:rPr>
          <w:rFonts w:asciiTheme="minorHAnsi" w:hAnsiTheme="minorHAnsi"/>
          <w:sz w:val="24"/>
          <w:szCs w:val="24"/>
        </w:rPr>
        <w:t xml:space="preserve"> </w:t>
      </w:r>
    </w:p>
    <w:p w14:paraId="48537D8F" w14:textId="77777777" w:rsidR="005826AF" w:rsidRPr="00A70224" w:rsidRDefault="005826AF" w:rsidP="00A70224">
      <w:pPr>
        <w:spacing w:line="360" w:lineRule="auto"/>
        <w:rPr>
          <w:rFonts w:asciiTheme="minorHAnsi" w:hAnsiTheme="minorHAnsi"/>
          <w:sz w:val="24"/>
          <w:szCs w:val="24"/>
        </w:rPr>
      </w:pPr>
    </w:p>
    <w:p w14:paraId="4604A6D3" w14:textId="77777777" w:rsidR="005826AF" w:rsidRPr="00F223F8" w:rsidRDefault="005826AF" w:rsidP="00A70224">
      <w:pPr>
        <w:spacing w:after="160" w:line="360" w:lineRule="auto"/>
        <w:rPr>
          <w:rFonts w:asciiTheme="minorHAnsi" w:hAnsiTheme="minorHAnsi"/>
          <w:sz w:val="24"/>
          <w:szCs w:val="24"/>
        </w:rPr>
      </w:pPr>
      <w:r w:rsidRPr="00F223F8">
        <w:rPr>
          <w:rFonts w:asciiTheme="minorHAnsi" w:hAnsiTheme="minorHAnsi"/>
          <w:sz w:val="24"/>
          <w:szCs w:val="24"/>
        </w:rPr>
        <w:lastRenderedPageBreak/>
        <w:t>Office for National Statistics (2023). </w:t>
      </w:r>
      <w:r w:rsidRPr="00F223F8">
        <w:rPr>
          <w:rFonts w:asciiTheme="minorHAnsi" w:hAnsiTheme="minorHAnsi"/>
          <w:i/>
          <w:iCs/>
          <w:sz w:val="24"/>
          <w:szCs w:val="24"/>
        </w:rPr>
        <w:t>Police officer deaths by suicide 2019 to 2023 - Office for National Statistics</w:t>
      </w:r>
      <w:r w:rsidRPr="00F223F8">
        <w:rPr>
          <w:rFonts w:asciiTheme="minorHAnsi" w:hAnsiTheme="minorHAnsi"/>
          <w:sz w:val="24"/>
          <w:szCs w:val="24"/>
        </w:rPr>
        <w:t>. [online] www.ons.gov.uk. Available at: https://www.ons.gov.uk/aboutus/transparencyandgovernance/freedomofinformationfoi/policeofficerdeathsbysuicide2019to2023.</w:t>
      </w:r>
    </w:p>
    <w:p w14:paraId="3B80B841" w14:textId="77777777" w:rsidR="005826AF" w:rsidRPr="00A70224" w:rsidRDefault="005826AF" w:rsidP="00A70224">
      <w:pPr>
        <w:spacing w:line="360" w:lineRule="auto"/>
        <w:rPr>
          <w:rFonts w:asciiTheme="minorHAnsi" w:hAnsiTheme="minorHAnsi"/>
          <w:sz w:val="24"/>
          <w:szCs w:val="24"/>
        </w:rPr>
      </w:pPr>
    </w:p>
    <w:p w14:paraId="54297A04" w14:textId="77777777" w:rsidR="005826AF" w:rsidRPr="00A70224" w:rsidRDefault="005826AF" w:rsidP="00A70224">
      <w:pPr>
        <w:spacing w:line="360" w:lineRule="auto"/>
        <w:rPr>
          <w:rFonts w:asciiTheme="minorHAnsi" w:hAnsiTheme="minorHAnsi"/>
          <w:sz w:val="24"/>
          <w:szCs w:val="24"/>
        </w:rPr>
      </w:pPr>
      <w:hyperlink r:id="rId11" w:history="1">
        <w:r w:rsidRPr="00A70224">
          <w:rPr>
            <w:rStyle w:val="Hyperlink"/>
            <w:rFonts w:asciiTheme="minorHAnsi" w:hAnsiTheme="minorHAnsi"/>
            <w:sz w:val="24"/>
            <w:szCs w:val="24"/>
          </w:rPr>
          <w:t>2019-survey-police-service-summary.pdf</w:t>
        </w:r>
      </w:hyperlink>
    </w:p>
    <w:p w14:paraId="563AD494" w14:textId="77777777" w:rsidR="005826AF" w:rsidRPr="00A70224" w:rsidRDefault="005826AF" w:rsidP="00A70224">
      <w:pPr>
        <w:spacing w:line="360" w:lineRule="auto"/>
        <w:rPr>
          <w:rFonts w:asciiTheme="minorHAnsi" w:hAnsiTheme="minorHAnsi"/>
          <w:sz w:val="24"/>
          <w:szCs w:val="24"/>
        </w:rPr>
      </w:pPr>
      <w:r w:rsidRPr="00A70224">
        <w:rPr>
          <w:rFonts w:asciiTheme="minorHAnsi" w:hAnsiTheme="minorHAnsi"/>
          <w:sz w:val="24"/>
          <w:szCs w:val="24"/>
        </w:rPr>
        <w:t>CITE</w:t>
      </w:r>
    </w:p>
    <w:p w14:paraId="29FA058A" w14:textId="77777777" w:rsidR="005826AF" w:rsidRPr="00A70224" w:rsidRDefault="005826AF" w:rsidP="00A70224">
      <w:pPr>
        <w:spacing w:line="360" w:lineRule="auto"/>
        <w:rPr>
          <w:rFonts w:asciiTheme="minorHAnsi" w:hAnsiTheme="minorHAnsi"/>
          <w:sz w:val="24"/>
          <w:szCs w:val="24"/>
        </w:rPr>
      </w:pPr>
    </w:p>
    <w:p w14:paraId="77B33574" w14:textId="77777777" w:rsidR="005826AF" w:rsidRPr="00A70224" w:rsidRDefault="005826AF" w:rsidP="00A70224">
      <w:pPr>
        <w:spacing w:line="360" w:lineRule="auto"/>
        <w:rPr>
          <w:rFonts w:asciiTheme="minorHAnsi" w:hAnsiTheme="minorHAnsi"/>
          <w:sz w:val="24"/>
          <w:szCs w:val="24"/>
        </w:rPr>
      </w:pPr>
    </w:p>
    <w:p w14:paraId="3116976E" w14:textId="77777777" w:rsidR="005826AF" w:rsidRPr="00313562" w:rsidRDefault="005826AF" w:rsidP="00A70224">
      <w:pPr>
        <w:spacing w:after="160" w:line="360" w:lineRule="auto"/>
        <w:rPr>
          <w:rFonts w:asciiTheme="minorHAnsi" w:hAnsiTheme="minorHAnsi"/>
          <w:sz w:val="24"/>
          <w:szCs w:val="24"/>
        </w:rPr>
      </w:pPr>
      <w:r w:rsidRPr="00313562">
        <w:rPr>
          <w:rFonts w:asciiTheme="minorHAnsi" w:hAnsiTheme="minorHAnsi"/>
          <w:sz w:val="24"/>
          <w:szCs w:val="24"/>
        </w:rPr>
        <w:t>Fox, H., Preston, T.J., Morabito, D., Schmidt, N.B. and Albanese, B.J. (2023). The interactive effects of AS and trauma exposure on suicide capability and suicide risk. </w:t>
      </w:r>
      <w:r w:rsidRPr="00313562">
        <w:rPr>
          <w:rFonts w:asciiTheme="minorHAnsi" w:hAnsiTheme="minorHAnsi"/>
          <w:i/>
          <w:iCs/>
          <w:sz w:val="24"/>
          <w:szCs w:val="24"/>
        </w:rPr>
        <w:t>Journal of psychiatric research</w:t>
      </w:r>
      <w:r w:rsidRPr="00313562">
        <w:rPr>
          <w:rFonts w:asciiTheme="minorHAnsi" w:hAnsiTheme="minorHAnsi"/>
          <w:sz w:val="24"/>
          <w:szCs w:val="24"/>
        </w:rPr>
        <w:t xml:space="preserve">, 167, pp.100–107. </w:t>
      </w:r>
      <w:proofErr w:type="spellStart"/>
      <w:proofErr w:type="gramStart"/>
      <w:r w:rsidRPr="00313562">
        <w:rPr>
          <w:rFonts w:asciiTheme="minorHAnsi" w:hAnsiTheme="minorHAnsi"/>
          <w:sz w:val="24"/>
          <w:szCs w:val="24"/>
        </w:rPr>
        <w:t>doi:https</w:t>
      </w:r>
      <w:proofErr w:type="spellEnd"/>
      <w:r w:rsidRPr="00313562">
        <w:rPr>
          <w:rFonts w:asciiTheme="minorHAnsi" w:hAnsiTheme="minorHAnsi"/>
          <w:sz w:val="24"/>
          <w:szCs w:val="24"/>
        </w:rPr>
        <w:t>://doi.org/10.1016/j.jpsychires.2023.10.011</w:t>
      </w:r>
      <w:proofErr w:type="gramEnd"/>
      <w:r w:rsidRPr="00313562">
        <w:rPr>
          <w:rFonts w:asciiTheme="minorHAnsi" w:hAnsiTheme="minorHAnsi"/>
          <w:sz w:val="24"/>
          <w:szCs w:val="24"/>
        </w:rPr>
        <w:t>.</w:t>
      </w:r>
    </w:p>
    <w:p w14:paraId="4ABC2D34" w14:textId="77777777" w:rsidR="005826AF" w:rsidRPr="00A70224" w:rsidRDefault="005826AF" w:rsidP="00A70224">
      <w:pPr>
        <w:spacing w:line="360" w:lineRule="auto"/>
        <w:rPr>
          <w:rFonts w:asciiTheme="minorHAnsi" w:hAnsiTheme="minorHAnsi"/>
          <w:sz w:val="24"/>
          <w:szCs w:val="24"/>
        </w:rPr>
      </w:pPr>
    </w:p>
    <w:p w14:paraId="301F005A" w14:textId="77777777" w:rsidR="005826AF" w:rsidRPr="00313562" w:rsidRDefault="005826AF" w:rsidP="00A70224">
      <w:pPr>
        <w:spacing w:after="160" w:line="360" w:lineRule="auto"/>
        <w:rPr>
          <w:rFonts w:asciiTheme="minorHAnsi" w:hAnsiTheme="minorHAnsi"/>
          <w:sz w:val="24"/>
          <w:szCs w:val="24"/>
        </w:rPr>
      </w:pPr>
      <w:r w:rsidRPr="00313562">
        <w:rPr>
          <w:rFonts w:asciiTheme="minorHAnsi" w:hAnsiTheme="minorHAnsi"/>
          <w:sz w:val="24"/>
          <w:szCs w:val="24"/>
        </w:rPr>
        <w:t>Porter, C.N. and Gavin, P. (2024). ‘Constant pressures from all angles’: Understanding the mental health of UK police officers. </w:t>
      </w:r>
      <w:r w:rsidRPr="00313562">
        <w:rPr>
          <w:rFonts w:asciiTheme="minorHAnsi" w:hAnsiTheme="minorHAnsi"/>
          <w:i/>
          <w:iCs/>
          <w:sz w:val="24"/>
          <w:szCs w:val="24"/>
        </w:rPr>
        <w:t>The Police Journal Theory Practice and Principles</w:t>
      </w:r>
      <w:r w:rsidRPr="00313562">
        <w:rPr>
          <w:rFonts w:asciiTheme="minorHAnsi" w:hAnsiTheme="minorHAnsi"/>
          <w:sz w:val="24"/>
          <w:szCs w:val="24"/>
        </w:rPr>
        <w:t xml:space="preserve">, [online] 98(2). </w:t>
      </w:r>
      <w:proofErr w:type="spellStart"/>
      <w:proofErr w:type="gramStart"/>
      <w:r w:rsidRPr="00313562">
        <w:rPr>
          <w:rFonts w:asciiTheme="minorHAnsi" w:hAnsiTheme="minorHAnsi"/>
          <w:sz w:val="24"/>
          <w:szCs w:val="24"/>
        </w:rPr>
        <w:t>doi:https</w:t>
      </w:r>
      <w:proofErr w:type="spellEnd"/>
      <w:r w:rsidRPr="00313562">
        <w:rPr>
          <w:rFonts w:asciiTheme="minorHAnsi" w:hAnsiTheme="minorHAnsi"/>
          <w:sz w:val="24"/>
          <w:szCs w:val="24"/>
        </w:rPr>
        <w:t>://doi.org/10.1177/0032258x241280217</w:t>
      </w:r>
      <w:proofErr w:type="gramEnd"/>
      <w:r w:rsidRPr="00313562">
        <w:rPr>
          <w:rFonts w:asciiTheme="minorHAnsi" w:hAnsiTheme="minorHAnsi"/>
          <w:sz w:val="24"/>
          <w:szCs w:val="24"/>
        </w:rPr>
        <w:t>.</w:t>
      </w:r>
    </w:p>
    <w:p w14:paraId="7BED5CD6" w14:textId="77777777" w:rsidR="005826AF" w:rsidRPr="00A70224" w:rsidRDefault="005826AF" w:rsidP="00A70224">
      <w:pPr>
        <w:spacing w:line="360" w:lineRule="auto"/>
        <w:rPr>
          <w:rFonts w:asciiTheme="minorHAnsi" w:hAnsiTheme="minorHAnsi"/>
          <w:b/>
          <w:bCs/>
          <w:sz w:val="24"/>
          <w:szCs w:val="24"/>
        </w:rPr>
      </w:pPr>
    </w:p>
    <w:p w14:paraId="4F6ABEB7" w14:textId="77777777" w:rsidR="007104C5" w:rsidRPr="00A70224" w:rsidRDefault="007104C5" w:rsidP="00A70224">
      <w:pPr>
        <w:spacing w:line="360" w:lineRule="auto"/>
        <w:rPr>
          <w:rFonts w:asciiTheme="minorHAnsi" w:hAnsiTheme="minorHAnsi"/>
          <w:b/>
          <w:bCs/>
          <w:sz w:val="24"/>
          <w:szCs w:val="24"/>
        </w:rPr>
      </w:pPr>
    </w:p>
    <w:p w14:paraId="142F0C64" w14:textId="6D46193B" w:rsidR="007104C5" w:rsidRPr="00A70224" w:rsidRDefault="007104C5" w:rsidP="00A70224">
      <w:pPr>
        <w:spacing w:line="360" w:lineRule="auto"/>
        <w:rPr>
          <w:rFonts w:asciiTheme="minorHAnsi" w:hAnsiTheme="minorHAnsi"/>
          <w:b/>
          <w:bCs/>
          <w:sz w:val="24"/>
          <w:szCs w:val="24"/>
        </w:rPr>
      </w:pPr>
      <w:r w:rsidRPr="00A70224">
        <w:rPr>
          <w:rFonts w:asciiTheme="minorHAnsi" w:hAnsiTheme="minorHAnsi"/>
          <w:b/>
          <w:bCs/>
          <w:sz w:val="24"/>
          <w:szCs w:val="24"/>
        </w:rPr>
        <w:t>ESSAY FOUR</w:t>
      </w:r>
    </w:p>
    <w:p w14:paraId="02BEB3F7" w14:textId="77777777" w:rsidR="007104C5" w:rsidRPr="00A70224" w:rsidRDefault="007104C5" w:rsidP="00A70224">
      <w:pPr>
        <w:spacing w:line="360" w:lineRule="auto"/>
        <w:rPr>
          <w:rFonts w:asciiTheme="minorHAnsi" w:hAnsiTheme="minorHAnsi"/>
          <w:sz w:val="24"/>
          <w:szCs w:val="24"/>
        </w:rPr>
      </w:pPr>
      <w:proofErr w:type="spellStart"/>
      <w:r w:rsidRPr="00F226D5">
        <w:rPr>
          <w:rFonts w:asciiTheme="minorHAnsi" w:hAnsiTheme="minorHAnsi"/>
          <w:sz w:val="24"/>
          <w:szCs w:val="24"/>
        </w:rPr>
        <w:t>Adamse</w:t>
      </w:r>
      <w:proofErr w:type="spellEnd"/>
      <w:r w:rsidRPr="00F226D5">
        <w:rPr>
          <w:rFonts w:asciiTheme="minorHAnsi" w:hAnsiTheme="minorHAnsi"/>
          <w:sz w:val="24"/>
          <w:szCs w:val="24"/>
        </w:rPr>
        <w:t xml:space="preserve">, I., Veroni </w:t>
      </w:r>
      <w:proofErr w:type="spellStart"/>
      <w:r w:rsidRPr="00F226D5">
        <w:rPr>
          <w:rFonts w:asciiTheme="minorHAnsi" w:hAnsiTheme="minorHAnsi"/>
          <w:sz w:val="24"/>
          <w:szCs w:val="24"/>
        </w:rPr>
        <w:t>Eichelsheim</w:t>
      </w:r>
      <w:proofErr w:type="spellEnd"/>
      <w:r w:rsidRPr="00F226D5">
        <w:rPr>
          <w:rFonts w:asciiTheme="minorHAnsi" w:hAnsiTheme="minorHAnsi"/>
          <w:sz w:val="24"/>
          <w:szCs w:val="24"/>
        </w:rPr>
        <w:t xml:space="preserve">, Arjan Blokland and </w:t>
      </w:r>
      <w:proofErr w:type="spellStart"/>
      <w:r w:rsidRPr="00F226D5">
        <w:rPr>
          <w:rFonts w:asciiTheme="minorHAnsi" w:hAnsiTheme="minorHAnsi"/>
          <w:sz w:val="24"/>
          <w:szCs w:val="24"/>
        </w:rPr>
        <w:t>Schoonmade</w:t>
      </w:r>
      <w:proofErr w:type="spellEnd"/>
      <w:r w:rsidRPr="00F226D5">
        <w:rPr>
          <w:rFonts w:asciiTheme="minorHAnsi" w:hAnsiTheme="minorHAnsi"/>
          <w:sz w:val="24"/>
          <w:szCs w:val="24"/>
        </w:rPr>
        <w:t xml:space="preserve">, L. (2024). The risk and protective factors for entering organized crime groups and their association with different entering mechanisms: A systematic review using </w:t>
      </w:r>
      <w:proofErr w:type="spellStart"/>
      <w:r w:rsidRPr="00F226D5">
        <w:rPr>
          <w:rFonts w:asciiTheme="minorHAnsi" w:hAnsiTheme="minorHAnsi"/>
          <w:sz w:val="24"/>
          <w:szCs w:val="24"/>
        </w:rPr>
        <w:t>ASReview</w:t>
      </w:r>
      <w:proofErr w:type="spellEnd"/>
      <w:r w:rsidRPr="00F226D5">
        <w:rPr>
          <w:rFonts w:asciiTheme="minorHAnsi" w:hAnsiTheme="minorHAnsi"/>
          <w:sz w:val="24"/>
          <w:szCs w:val="24"/>
        </w:rPr>
        <w:t>. </w:t>
      </w:r>
      <w:r w:rsidRPr="00F226D5">
        <w:rPr>
          <w:rFonts w:asciiTheme="minorHAnsi" w:hAnsiTheme="minorHAnsi"/>
          <w:i/>
          <w:iCs/>
          <w:sz w:val="24"/>
          <w:szCs w:val="24"/>
        </w:rPr>
        <w:t>European Journal of Criminology</w:t>
      </w:r>
      <w:r w:rsidRPr="00F226D5">
        <w:rPr>
          <w:rFonts w:asciiTheme="minorHAnsi" w:hAnsiTheme="minorHAnsi"/>
          <w:sz w:val="24"/>
          <w:szCs w:val="24"/>
        </w:rPr>
        <w:t xml:space="preserve">. </w:t>
      </w:r>
      <w:proofErr w:type="spellStart"/>
      <w:proofErr w:type="gramStart"/>
      <w:r w:rsidRPr="00F226D5">
        <w:rPr>
          <w:rFonts w:asciiTheme="minorHAnsi" w:hAnsiTheme="minorHAnsi"/>
          <w:sz w:val="24"/>
          <w:szCs w:val="24"/>
        </w:rPr>
        <w:t>doi:https</w:t>
      </w:r>
      <w:proofErr w:type="spellEnd"/>
      <w:r w:rsidRPr="00F226D5">
        <w:rPr>
          <w:rFonts w:asciiTheme="minorHAnsi" w:hAnsiTheme="minorHAnsi"/>
          <w:sz w:val="24"/>
          <w:szCs w:val="24"/>
        </w:rPr>
        <w:t>://doi.org/10.1177/14773708241250278</w:t>
      </w:r>
      <w:proofErr w:type="gramEnd"/>
      <w:r w:rsidRPr="00F226D5">
        <w:rPr>
          <w:rFonts w:asciiTheme="minorHAnsi" w:hAnsiTheme="minorHAnsi"/>
          <w:sz w:val="24"/>
          <w:szCs w:val="24"/>
        </w:rPr>
        <w:t>.</w:t>
      </w:r>
      <w:r w:rsidRPr="00A70224">
        <w:rPr>
          <w:rFonts w:asciiTheme="minorHAnsi" w:hAnsiTheme="minorHAnsi"/>
          <w:sz w:val="24"/>
          <w:szCs w:val="24"/>
        </w:rPr>
        <w:t xml:space="preserve"> </w:t>
      </w:r>
    </w:p>
    <w:p w14:paraId="690ACAF1" w14:textId="77777777" w:rsidR="007104C5" w:rsidRPr="00A70224" w:rsidRDefault="007104C5" w:rsidP="00A70224">
      <w:pPr>
        <w:spacing w:line="360" w:lineRule="auto"/>
        <w:rPr>
          <w:rFonts w:asciiTheme="minorHAnsi" w:hAnsiTheme="minorHAnsi"/>
          <w:sz w:val="24"/>
          <w:szCs w:val="24"/>
        </w:rPr>
      </w:pPr>
    </w:p>
    <w:p w14:paraId="5E1872F1" w14:textId="77777777" w:rsidR="007104C5" w:rsidRPr="00A70224" w:rsidRDefault="007104C5" w:rsidP="00A70224">
      <w:pPr>
        <w:spacing w:line="360" w:lineRule="auto"/>
        <w:rPr>
          <w:rFonts w:asciiTheme="minorHAnsi" w:hAnsiTheme="minorHAnsi"/>
          <w:sz w:val="24"/>
          <w:szCs w:val="24"/>
        </w:rPr>
      </w:pPr>
      <w:r w:rsidRPr="00F226D5">
        <w:rPr>
          <w:rFonts w:asciiTheme="minorHAnsi" w:hAnsiTheme="minorHAnsi"/>
          <w:sz w:val="24"/>
          <w:szCs w:val="24"/>
        </w:rPr>
        <w:t xml:space="preserve">Calderoni, F., Comunale, T., </w:t>
      </w:r>
      <w:proofErr w:type="spellStart"/>
      <w:r w:rsidRPr="00F226D5">
        <w:rPr>
          <w:rFonts w:asciiTheme="minorHAnsi" w:hAnsiTheme="minorHAnsi"/>
          <w:sz w:val="24"/>
          <w:szCs w:val="24"/>
        </w:rPr>
        <w:t>Campedelli</w:t>
      </w:r>
      <w:proofErr w:type="spellEnd"/>
      <w:r w:rsidRPr="00F226D5">
        <w:rPr>
          <w:rFonts w:asciiTheme="minorHAnsi" w:hAnsiTheme="minorHAnsi"/>
          <w:sz w:val="24"/>
          <w:szCs w:val="24"/>
        </w:rPr>
        <w:t xml:space="preserve">, G.M., Marchesi, M., Manzi, D. and </w:t>
      </w:r>
      <w:proofErr w:type="spellStart"/>
      <w:r w:rsidRPr="00F226D5">
        <w:rPr>
          <w:rFonts w:asciiTheme="minorHAnsi" w:hAnsiTheme="minorHAnsi"/>
          <w:sz w:val="24"/>
          <w:szCs w:val="24"/>
        </w:rPr>
        <w:t>Frualdo</w:t>
      </w:r>
      <w:proofErr w:type="spellEnd"/>
      <w:r w:rsidRPr="00F226D5">
        <w:rPr>
          <w:rFonts w:asciiTheme="minorHAnsi" w:hAnsiTheme="minorHAnsi"/>
          <w:sz w:val="24"/>
          <w:szCs w:val="24"/>
        </w:rPr>
        <w:t>, N. (2022). Organized crime groups: A systematic review of individual</w:t>
      </w:r>
      <w:r w:rsidRPr="00F226D5">
        <w:rPr>
          <w:rFonts w:ascii="Cambria Math" w:hAnsi="Cambria Math" w:cs="Cambria Math"/>
          <w:sz w:val="24"/>
          <w:szCs w:val="24"/>
        </w:rPr>
        <w:t>‐</w:t>
      </w:r>
      <w:r w:rsidRPr="00F226D5">
        <w:rPr>
          <w:rFonts w:asciiTheme="minorHAnsi" w:hAnsiTheme="minorHAnsi"/>
          <w:sz w:val="24"/>
          <w:szCs w:val="24"/>
        </w:rPr>
        <w:t>level risk factors related to recruitment.</w:t>
      </w:r>
      <w:r w:rsidRPr="00F226D5">
        <w:rPr>
          <w:rFonts w:asciiTheme="minorHAnsi" w:hAnsiTheme="minorHAnsi" w:cs="Aptos"/>
          <w:sz w:val="24"/>
          <w:szCs w:val="24"/>
        </w:rPr>
        <w:t> </w:t>
      </w:r>
      <w:r w:rsidRPr="00F226D5">
        <w:rPr>
          <w:rFonts w:asciiTheme="minorHAnsi" w:hAnsiTheme="minorHAnsi"/>
          <w:i/>
          <w:iCs/>
          <w:sz w:val="24"/>
          <w:szCs w:val="24"/>
        </w:rPr>
        <w:t>Campbell Systematic Reviews</w:t>
      </w:r>
      <w:r w:rsidRPr="00F226D5">
        <w:rPr>
          <w:rFonts w:asciiTheme="minorHAnsi" w:hAnsiTheme="minorHAnsi"/>
          <w:sz w:val="24"/>
          <w:szCs w:val="24"/>
        </w:rPr>
        <w:t xml:space="preserve">, 18(1). </w:t>
      </w:r>
      <w:proofErr w:type="spellStart"/>
      <w:proofErr w:type="gramStart"/>
      <w:r w:rsidRPr="00F226D5">
        <w:rPr>
          <w:rFonts w:asciiTheme="minorHAnsi" w:hAnsiTheme="minorHAnsi"/>
          <w:sz w:val="24"/>
          <w:szCs w:val="24"/>
        </w:rPr>
        <w:t>doi:https</w:t>
      </w:r>
      <w:proofErr w:type="spellEnd"/>
      <w:r w:rsidRPr="00F226D5">
        <w:rPr>
          <w:rFonts w:asciiTheme="minorHAnsi" w:hAnsiTheme="minorHAnsi"/>
          <w:sz w:val="24"/>
          <w:szCs w:val="24"/>
        </w:rPr>
        <w:t>://doi.org/10.1002/cl2.1218</w:t>
      </w:r>
      <w:proofErr w:type="gramEnd"/>
      <w:r w:rsidRPr="00F226D5">
        <w:rPr>
          <w:rFonts w:asciiTheme="minorHAnsi" w:hAnsiTheme="minorHAnsi"/>
          <w:sz w:val="24"/>
          <w:szCs w:val="24"/>
        </w:rPr>
        <w:t>.</w:t>
      </w:r>
      <w:r w:rsidRPr="00A70224">
        <w:rPr>
          <w:rFonts w:asciiTheme="minorHAnsi" w:hAnsiTheme="minorHAnsi"/>
          <w:sz w:val="24"/>
          <w:szCs w:val="24"/>
        </w:rPr>
        <w:t xml:space="preserve"> </w:t>
      </w:r>
    </w:p>
    <w:p w14:paraId="6AFE6DE7" w14:textId="77777777" w:rsidR="007104C5" w:rsidRPr="00A70224" w:rsidRDefault="007104C5" w:rsidP="00A70224">
      <w:pPr>
        <w:spacing w:line="360" w:lineRule="auto"/>
        <w:rPr>
          <w:rFonts w:asciiTheme="minorHAnsi" w:hAnsiTheme="minorHAnsi"/>
          <w:sz w:val="24"/>
          <w:szCs w:val="24"/>
        </w:rPr>
      </w:pPr>
    </w:p>
    <w:p w14:paraId="3DCB1567" w14:textId="77777777" w:rsidR="007104C5" w:rsidRPr="00A70224" w:rsidRDefault="007104C5" w:rsidP="00A70224">
      <w:pPr>
        <w:spacing w:line="360" w:lineRule="auto"/>
        <w:rPr>
          <w:rFonts w:asciiTheme="minorHAnsi" w:hAnsiTheme="minorHAnsi"/>
          <w:sz w:val="24"/>
          <w:szCs w:val="24"/>
        </w:rPr>
      </w:pPr>
      <w:r w:rsidRPr="005F750B">
        <w:rPr>
          <w:rFonts w:asciiTheme="minorHAnsi" w:hAnsiTheme="minorHAnsi"/>
          <w:sz w:val="24"/>
          <w:szCs w:val="24"/>
        </w:rPr>
        <w:lastRenderedPageBreak/>
        <w:t>GOV.UK. (n.d.). </w:t>
      </w:r>
      <w:r w:rsidRPr="005F750B">
        <w:rPr>
          <w:rFonts w:asciiTheme="minorHAnsi" w:hAnsiTheme="minorHAnsi"/>
          <w:i/>
          <w:iCs/>
          <w:sz w:val="24"/>
          <w:szCs w:val="24"/>
        </w:rPr>
        <w:t>Criminal exploitation of children and vulnerable adults: county lines</w:t>
      </w:r>
      <w:r w:rsidRPr="005F750B">
        <w:rPr>
          <w:rFonts w:asciiTheme="minorHAnsi" w:hAnsiTheme="minorHAnsi"/>
          <w:sz w:val="24"/>
          <w:szCs w:val="24"/>
        </w:rPr>
        <w:t xml:space="preserve">. [online] Available at: </w:t>
      </w:r>
      <w:hyperlink r:id="rId12" w:history="1">
        <w:r w:rsidRPr="005F750B">
          <w:rPr>
            <w:rStyle w:val="Hyperlink"/>
            <w:rFonts w:asciiTheme="minorHAnsi" w:hAnsiTheme="minorHAnsi"/>
            <w:sz w:val="24"/>
            <w:szCs w:val="24"/>
          </w:rPr>
          <w:t>https://www.gov.uk/government/publications/criminal-exploitation-of-children-and-vulnerable-adults-county-lines/criminal-exploitation-of-children-and-vulnerable-adults-county-lines#who-is-vulnerable-to-county-lines-exploitation</w:t>
        </w:r>
      </w:hyperlink>
      <w:r w:rsidRPr="005F750B">
        <w:rPr>
          <w:rFonts w:asciiTheme="minorHAnsi" w:hAnsiTheme="minorHAnsi"/>
          <w:sz w:val="24"/>
          <w:szCs w:val="24"/>
        </w:rPr>
        <w:t>.</w:t>
      </w:r>
    </w:p>
    <w:p w14:paraId="3300EC35" w14:textId="77777777" w:rsidR="007104C5" w:rsidRPr="005F750B" w:rsidRDefault="007104C5" w:rsidP="00A70224">
      <w:pPr>
        <w:spacing w:after="160" w:line="360" w:lineRule="auto"/>
        <w:rPr>
          <w:rFonts w:asciiTheme="minorHAnsi" w:hAnsiTheme="minorHAnsi"/>
          <w:sz w:val="24"/>
          <w:szCs w:val="24"/>
        </w:rPr>
      </w:pPr>
    </w:p>
    <w:p w14:paraId="45727449" w14:textId="77777777" w:rsidR="007104C5" w:rsidRPr="00A70224" w:rsidRDefault="007104C5" w:rsidP="00A70224">
      <w:pPr>
        <w:spacing w:line="360" w:lineRule="auto"/>
        <w:rPr>
          <w:rFonts w:asciiTheme="minorHAnsi" w:hAnsiTheme="minorHAnsi"/>
          <w:sz w:val="24"/>
          <w:szCs w:val="24"/>
        </w:rPr>
      </w:pPr>
      <w:r w:rsidRPr="00F226D5">
        <w:rPr>
          <w:rFonts w:asciiTheme="minorHAnsi" w:hAnsiTheme="minorHAnsi"/>
          <w:sz w:val="24"/>
          <w:szCs w:val="24"/>
        </w:rPr>
        <w:t>Home Office (2023). </w:t>
      </w:r>
      <w:r w:rsidRPr="00F226D5">
        <w:rPr>
          <w:rFonts w:asciiTheme="minorHAnsi" w:hAnsiTheme="minorHAnsi"/>
          <w:i/>
          <w:iCs/>
          <w:sz w:val="24"/>
          <w:szCs w:val="24"/>
        </w:rPr>
        <w:t>Criminal exploitation of children and vulnerable adults: county lines</w:t>
      </w:r>
      <w:r w:rsidRPr="00F226D5">
        <w:rPr>
          <w:rFonts w:asciiTheme="minorHAnsi" w:hAnsiTheme="minorHAnsi"/>
          <w:sz w:val="24"/>
          <w:szCs w:val="24"/>
        </w:rPr>
        <w:t xml:space="preserve">. [online] Gov.uk. Available at: </w:t>
      </w:r>
      <w:hyperlink r:id="rId13" w:history="1">
        <w:r w:rsidRPr="00F226D5">
          <w:rPr>
            <w:rStyle w:val="Hyperlink"/>
            <w:rFonts w:asciiTheme="minorHAnsi" w:hAnsiTheme="minorHAnsi"/>
            <w:sz w:val="24"/>
            <w:szCs w:val="24"/>
          </w:rPr>
          <w:t>https://www.gov.uk/government/publications/criminal-exploitation-of-children-and-vulnerable-adults-county-lines/criminal-exploitation-of-children-and-vulnerable-adults-county-lines</w:t>
        </w:r>
      </w:hyperlink>
      <w:r w:rsidRPr="00F226D5">
        <w:rPr>
          <w:rFonts w:asciiTheme="minorHAnsi" w:hAnsiTheme="minorHAnsi"/>
          <w:sz w:val="24"/>
          <w:szCs w:val="24"/>
        </w:rPr>
        <w:t>.</w:t>
      </w:r>
    </w:p>
    <w:p w14:paraId="52E3F5DA" w14:textId="77777777" w:rsidR="007104C5" w:rsidRPr="00A70224" w:rsidRDefault="007104C5" w:rsidP="00A70224">
      <w:pPr>
        <w:spacing w:line="360" w:lineRule="auto"/>
        <w:rPr>
          <w:rFonts w:asciiTheme="minorHAnsi" w:hAnsiTheme="minorHAnsi"/>
          <w:sz w:val="24"/>
          <w:szCs w:val="24"/>
        </w:rPr>
      </w:pPr>
    </w:p>
    <w:p w14:paraId="0E5B842A" w14:textId="77777777" w:rsidR="007104C5" w:rsidRPr="00A70224" w:rsidRDefault="007104C5" w:rsidP="00A70224">
      <w:pPr>
        <w:spacing w:line="360" w:lineRule="auto"/>
        <w:rPr>
          <w:rFonts w:asciiTheme="minorHAnsi" w:hAnsiTheme="minorHAnsi"/>
          <w:sz w:val="24"/>
          <w:szCs w:val="24"/>
        </w:rPr>
      </w:pPr>
      <w:r w:rsidRPr="00F226D5">
        <w:rPr>
          <w:rFonts w:asciiTheme="minorHAnsi" w:hAnsiTheme="minorHAnsi"/>
          <w:sz w:val="24"/>
          <w:szCs w:val="24"/>
        </w:rPr>
        <w:t>Parr-Morley, B. (2018). </w:t>
      </w:r>
      <w:r w:rsidRPr="00F226D5">
        <w:rPr>
          <w:rFonts w:asciiTheme="minorHAnsi" w:hAnsiTheme="minorHAnsi"/>
          <w:i/>
          <w:iCs/>
          <w:sz w:val="24"/>
          <w:szCs w:val="24"/>
        </w:rPr>
        <w:t>Child criminal exploitation: how do gangs recruit and coerce young people?</w:t>
      </w:r>
      <w:r w:rsidRPr="00F226D5">
        <w:rPr>
          <w:rFonts w:asciiTheme="minorHAnsi" w:hAnsiTheme="minorHAnsi"/>
          <w:sz w:val="24"/>
          <w:szCs w:val="24"/>
        </w:rPr>
        <w:t xml:space="preserve"> [online] Catch22. Available at: </w:t>
      </w:r>
      <w:hyperlink r:id="rId14" w:history="1">
        <w:r w:rsidRPr="00F226D5">
          <w:rPr>
            <w:rStyle w:val="Hyperlink"/>
            <w:rFonts w:asciiTheme="minorHAnsi" w:hAnsiTheme="minorHAnsi"/>
            <w:sz w:val="24"/>
            <w:szCs w:val="24"/>
          </w:rPr>
          <w:t>https://www.catch-22.org.uk/resources/how-do-gangs-recruit-and-coerce-young-people/</w:t>
        </w:r>
      </w:hyperlink>
      <w:r w:rsidRPr="00F226D5">
        <w:rPr>
          <w:rFonts w:asciiTheme="minorHAnsi" w:hAnsiTheme="minorHAnsi"/>
          <w:sz w:val="24"/>
          <w:szCs w:val="24"/>
        </w:rPr>
        <w:t>.</w:t>
      </w:r>
    </w:p>
    <w:p w14:paraId="67E9FC2C" w14:textId="77777777" w:rsidR="007104C5" w:rsidRPr="00F226D5" w:rsidRDefault="007104C5" w:rsidP="00A70224">
      <w:pPr>
        <w:spacing w:after="160" w:line="360" w:lineRule="auto"/>
        <w:rPr>
          <w:rFonts w:asciiTheme="minorHAnsi" w:hAnsiTheme="minorHAnsi"/>
          <w:sz w:val="24"/>
          <w:szCs w:val="24"/>
        </w:rPr>
      </w:pPr>
    </w:p>
    <w:p w14:paraId="167C17AD" w14:textId="77777777" w:rsidR="007104C5" w:rsidRPr="00F226D5" w:rsidRDefault="007104C5" w:rsidP="00A70224">
      <w:pPr>
        <w:spacing w:after="160" w:line="360" w:lineRule="auto"/>
        <w:rPr>
          <w:rFonts w:asciiTheme="minorHAnsi" w:hAnsiTheme="minorHAnsi"/>
          <w:sz w:val="24"/>
          <w:szCs w:val="24"/>
        </w:rPr>
      </w:pPr>
      <w:r w:rsidRPr="00F226D5">
        <w:rPr>
          <w:rFonts w:asciiTheme="minorHAnsi" w:hAnsiTheme="minorHAnsi"/>
          <w:sz w:val="24"/>
          <w:szCs w:val="24"/>
        </w:rPr>
        <w:t>Part of the Toolbox on FAMILY-BASED CRIME Background and theory of prevention. (n.d.). Available at: https://eucpn.org/sites/default/files/document/files/2011_Toolbox_Family-based%20crime-THEORY_LR.pdf.</w:t>
      </w:r>
    </w:p>
    <w:p w14:paraId="5B77171E" w14:textId="77777777" w:rsidR="007104C5" w:rsidRPr="00A70224" w:rsidRDefault="007104C5" w:rsidP="00A70224">
      <w:pPr>
        <w:spacing w:line="360" w:lineRule="auto"/>
        <w:rPr>
          <w:rFonts w:asciiTheme="minorHAnsi" w:hAnsiTheme="minorHAnsi"/>
          <w:b/>
          <w:bCs/>
          <w:sz w:val="24"/>
          <w:szCs w:val="24"/>
        </w:rPr>
      </w:pPr>
    </w:p>
    <w:p w14:paraId="633DBDCE" w14:textId="18954C66" w:rsidR="007104C5" w:rsidRPr="00A70224" w:rsidRDefault="007104C5" w:rsidP="00A70224">
      <w:pPr>
        <w:spacing w:line="360" w:lineRule="auto"/>
        <w:rPr>
          <w:rFonts w:asciiTheme="minorHAnsi" w:hAnsiTheme="minorHAnsi"/>
          <w:b/>
          <w:bCs/>
          <w:sz w:val="24"/>
          <w:szCs w:val="24"/>
        </w:rPr>
      </w:pPr>
      <w:r w:rsidRPr="00A70224">
        <w:rPr>
          <w:rFonts w:asciiTheme="minorHAnsi" w:hAnsiTheme="minorHAnsi"/>
          <w:b/>
          <w:bCs/>
          <w:sz w:val="24"/>
          <w:szCs w:val="24"/>
        </w:rPr>
        <w:t>ESSAY FIVE</w:t>
      </w:r>
    </w:p>
    <w:p w14:paraId="533ADFD0" w14:textId="77777777" w:rsidR="007104C5" w:rsidRPr="00A70224" w:rsidRDefault="007104C5" w:rsidP="00A70224">
      <w:pPr>
        <w:spacing w:line="360" w:lineRule="auto"/>
        <w:rPr>
          <w:rFonts w:asciiTheme="minorHAnsi" w:hAnsiTheme="minorHAnsi"/>
          <w:sz w:val="24"/>
          <w:szCs w:val="24"/>
        </w:rPr>
      </w:pPr>
      <w:r w:rsidRPr="00BC1CAA">
        <w:rPr>
          <w:rFonts w:asciiTheme="minorHAnsi" w:hAnsiTheme="minorHAnsi"/>
          <w:sz w:val="24"/>
          <w:szCs w:val="24"/>
        </w:rPr>
        <w:t>Early Intervention Foundation (2018). </w:t>
      </w:r>
      <w:r w:rsidRPr="00BC1CAA">
        <w:rPr>
          <w:rFonts w:asciiTheme="minorHAnsi" w:hAnsiTheme="minorHAnsi"/>
          <w:i/>
          <w:iCs/>
          <w:sz w:val="24"/>
          <w:szCs w:val="24"/>
        </w:rPr>
        <w:t>Why Is It Good for Children and Families?</w:t>
      </w:r>
      <w:r w:rsidRPr="00BC1CAA">
        <w:rPr>
          <w:rFonts w:asciiTheme="minorHAnsi" w:hAnsiTheme="minorHAnsi"/>
          <w:sz w:val="24"/>
          <w:szCs w:val="24"/>
        </w:rPr>
        <w:t xml:space="preserve"> [online] Early Intervention Foundation. Available at: </w:t>
      </w:r>
      <w:hyperlink r:id="rId15" w:history="1">
        <w:r w:rsidRPr="00BC1CAA">
          <w:rPr>
            <w:rStyle w:val="Hyperlink"/>
            <w:rFonts w:asciiTheme="minorHAnsi" w:hAnsiTheme="minorHAnsi"/>
            <w:sz w:val="24"/>
            <w:szCs w:val="24"/>
          </w:rPr>
          <w:t>https://www.eif.org.uk/why-it-matters/why-is-it-good-for-children-and-families</w:t>
        </w:r>
      </w:hyperlink>
      <w:r w:rsidRPr="00BC1CAA">
        <w:rPr>
          <w:rFonts w:asciiTheme="minorHAnsi" w:hAnsiTheme="minorHAnsi"/>
          <w:sz w:val="24"/>
          <w:szCs w:val="24"/>
        </w:rPr>
        <w:t>.</w:t>
      </w:r>
    </w:p>
    <w:p w14:paraId="14A9148B" w14:textId="77777777" w:rsidR="007104C5" w:rsidRPr="00BC1CAA" w:rsidRDefault="007104C5" w:rsidP="00A70224">
      <w:pPr>
        <w:spacing w:after="160" w:line="360" w:lineRule="auto"/>
        <w:rPr>
          <w:rFonts w:asciiTheme="minorHAnsi" w:hAnsiTheme="minorHAnsi"/>
          <w:sz w:val="24"/>
          <w:szCs w:val="24"/>
        </w:rPr>
      </w:pPr>
    </w:p>
    <w:p w14:paraId="3585D424" w14:textId="77777777" w:rsidR="007104C5" w:rsidRPr="00A70224" w:rsidRDefault="007104C5" w:rsidP="00A70224">
      <w:pPr>
        <w:spacing w:line="360" w:lineRule="auto"/>
        <w:rPr>
          <w:rFonts w:asciiTheme="minorHAnsi" w:hAnsiTheme="minorHAnsi"/>
          <w:sz w:val="24"/>
          <w:szCs w:val="24"/>
        </w:rPr>
      </w:pPr>
      <w:r w:rsidRPr="00BC1CAA">
        <w:rPr>
          <w:rFonts w:asciiTheme="minorHAnsi" w:hAnsiTheme="minorHAnsi"/>
          <w:sz w:val="24"/>
          <w:szCs w:val="24"/>
        </w:rPr>
        <w:t>Goldson, B. (2019). </w:t>
      </w:r>
      <w:r w:rsidRPr="00BC1CAA">
        <w:rPr>
          <w:rFonts w:asciiTheme="minorHAnsi" w:hAnsiTheme="minorHAnsi"/>
          <w:i/>
          <w:iCs/>
          <w:sz w:val="24"/>
          <w:szCs w:val="24"/>
        </w:rPr>
        <w:t>Child Criminalisation and the Mistake of Early Intervention | Centre for Crime and Justice Studies</w:t>
      </w:r>
      <w:r w:rsidRPr="00BC1CAA">
        <w:rPr>
          <w:rFonts w:asciiTheme="minorHAnsi" w:hAnsiTheme="minorHAnsi"/>
          <w:sz w:val="24"/>
          <w:szCs w:val="24"/>
        </w:rPr>
        <w:t xml:space="preserve">. [online] Crimeandjustice.org.uk. Available at: </w:t>
      </w:r>
      <w:hyperlink r:id="rId16" w:history="1">
        <w:r w:rsidRPr="00BC1CAA">
          <w:rPr>
            <w:rStyle w:val="Hyperlink"/>
            <w:rFonts w:asciiTheme="minorHAnsi" w:hAnsiTheme="minorHAnsi"/>
            <w:sz w:val="24"/>
            <w:szCs w:val="24"/>
          </w:rPr>
          <w:t>https://www.crimeandjustice.org.uk/publications/cjm/article/child-criminalisation-and-mistake-early-intervention</w:t>
        </w:r>
      </w:hyperlink>
      <w:r w:rsidRPr="00BC1CAA">
        <w:rPr>
          <w:rFonts w:asciiTheme="minorHAnsi" w:hAnsiTheme="minorHAnsi"/>
          <w:sz w:val="24"/>
          <w:szCs w:val="24"/>
        </w:rPr>
        <w:t>.</w:t>
      </w:r>
      <w:r w:rsidRPr="00A70224">
        <w:rPr>
          <w:rFonts w:asciiTheme="minorHAnsi" w:hAnsiTheme="minorHAnsi"/>
          <w:sz w:val="24"/>
          <w:szCs w:val="24"/>
        </w:rPr>
        <w:t xml:space="preserve"> </w:t>
      </w:r>
    </w:p>
    <w:p w14:paraId="6A283308" w14:textId="77777777" w:rsidR="007104C5" w:rsidRPr="00A70224" w:rsidRDefault="007104C5" w:rsidP="00A70224">
      <w:pPr>
        <w:spacing w:line="360" w:lineRule="auto"/>
        <w:rPr>
          <w:rFonts w:asciiTheme="minorHAnsi" w:hAnsiTheme="minorHAnsi"/>
          <w:sz w:val="24"/>
          <w:szCs w:val="24"/>
        </w:rPr>
      </w:pPr>
    </w:p>
    <w:p w14:paraId="233A9E76" w14:textId="77777777" w:rsidR="007104C5" w:rsidRPr="00A70224" w:rsidRDefault="007104C5" w:rsidP="00A70224">
      <w:pPr>
        <w:spacing w:line="360" w:lineRule="auto"/>
        <w:rPr>
          <w:rFonts w:asciiTheme="minorHAnsi" w:hAnsiTheme="minorHAnsi"/>
          <w:sz w:val="24"/>
          <w:szCs w:val="24"/>
        </w:rPr>
      </w:pPr>
      <w:r w:rsidRPr="00BC1CAA">
        <w:rPr>
          <w:rFonts w:asciiTheme="minorHAnsi" w:hAnsiTheme="minorHAnsi"/>
          <w:sz w:val="24"/>
          <w:szCs w:val="24"/>
        </w:rPr>
        <w:t xml:space="preserve">Prevention and Diversion Project -final report. (2023). Available at: </w:t>
      </w:r>
      <w:hyperlink r:id="rId17" w:history="1">
        <w:r w:rsidRPr="00BC1CAA">
          <w:rPr>
            <w:rStyle w:val="Hyperlink"/>
            <w:rFonts w:asciiTheme="minorHAnsi" w:hAnsiTheme="minorHAnsi"/>
            <w:sz w:val="24"/>
            <w:szCs w:val="24"/>
          </w:rPr>
          <w:t>https://yjresourcehub.uk/wp-content/uploads/media/Prevention_and_Diversion_Project_Final_Report_YJB_Feb_2023.pdf</w:t>
        </w:r>
      </w:hyperlink>
      <w:r w:rsidRPr="00BC1CAA">
        <w:rPr>
          <w:rFonts w:asciiTheme="minorHAnsi" w:hAnsiTheme="minorHAnsi"/>
          <w:sz w:val="24"/>
          <w:szCs w:val="24"/>
        </w:rPr>
        <w:t>.</w:t>
      </w:r>
    </w:p>
    <w:p w14:paraId="1ADDE591" w14:textId="77777777" w:rsidR="007104C5" w:rsidRPr="00A70224" w:rsidRDefault="007104C5" w:rsidP="00A70224">
      <w:pPr>
        <w:spacing w:line="360" w:lineRule="auto"/>
        <w:rPr>
          <w:rFonts w:asciiTheme="minorHAnsi" w:hAnsiTheme="minorHAnsi"/>
          <w:sz w:val="24"/>
          <w:szCs w:val="24"/>
        </w:rPr>
      </w:pPr>
    </w:p>
    <w:p w14:paraId="4DBCB734" w14:textId="77777777" w:rsidR="007104C5" w:rsidRPr="00A70224" w:rsidRDefault="007104C5" w:rsidP="00A70224">
      <w:pPr>
        <w:spacing w:line="360" w:lineRule="auto"/>
        <w:rPr>
          <w:rFonts w:asciiTheme="minorHAnsi" w:hAnsiTheme="minorHAnsi"/>
          <w:sz w:val="24"/>
          <w:szCs w:val="24"/>
        </w:rPr>
      </w:pPr>
      <w:r w:rsidRPr="00BC1CAA">
        <w:rPr>
          <w:rFonts w:asciiTheme="minorHAnsi" w:hAnsiTheme="minorHAnsi"/>
          <w:sz w:val="24"/>
          <w:szCs w:val="24"/>
        </w:rPr>
        <w:t xml:space="preserve">Vulnerability and Violent Crime Programme Evaluation of the Think Family Early Intervention </w:t>
      </w:r>
      <w:proofErr w:type="gramStart"/>
      <w:r w:rsidRPr="00BC1CAA">
        <w:rPr>
          <w:rFonts w:asciiTheme="minorHAnsi" w:hAnsiTheme="minorHAnsi"/>
          <w:sz w:val="24"/>
          <w:szCs w:val="24"/>
        </w:rPr>
        <w:t>programme</w:t>
      </w:r>
      <w:proofErr w:type="gramEnd"/>
      <w:r w:rsidRPr="00BC1CAA">
        <w:rPr>
          <w:rFonts w:asciiTheme="minorHAnsi" w:hAnsiTheme="minorHAnsi"/>
          <w:sz w:val="24"/>
          <w:szCs w:val="24"/>
        </w:rPr>
        <w:t xml:space="preserve"> Full technical report. (2021). Available at: </w:t>
      </w:r>
      <w:hyperlink r:id="rId18" w:history="1">
        <w:r w:rsidRPr="00BC1CAA">
          <w:rPr>
            <w:rStyle w:val="Hyperlink"/>
            <w:rFonts w:asciiTheme="minorHAnsi" w:hAnsiTheme="minorHAnsi"/>
            <w:sz w:val="24"/>
            <w:szCs w:val="24"/>
          </w:rPr>
          <w:t>https://assets.college.police.uk/s3fs-public/2021-07/vvcp-evaluation-of-tfei.pdf</w:t>
        </w:r>
      </w:hyperlink>
      <w:r w:rsidRPr="00BC1CAA">
        <w:rPr>
          <w:rFonts w:asciiTheme="minorHAnsi" w:hAnsiTheme="minorHAnsi"/>
          <w:sz w:val="24"/>
          <w:szCs w:val="24"/>
        </w:rPr>
        <w:t>.</w:t>
      </w:r>
      <w:r w:rsidRPr="00A70224">
        <w:rPr>
          <w:rFonts w:asciiTheme="minorHAnsi" w:hAnsiTheme="minorHAnsi"/>
          <w:sz w:val="24"/>
          <w:szCs w:val="24"/>
        </w:rPr>
        <w:t xml:space="preserve"> </w:t>
      </w:r>
    </w:p>
    <w:p w14:paraId="3372B948" w14:textId="77777777" w:rsidR="007104C5" w:rsidRPr="00A70224" w:rsidRDefault="007104C5" w:rsidP="00A70224">
      <w:pPr>
        <w:spacing w:line="360" w:lineRule="auto"/>
        <w:rPr>
          <w:rFonts w:asciiTheme="minorHAnsi" w:hAnsiTheme="minorHAnsi"/>
          <w:b/>
          <w:bCs/>
          <w:sz w:val="24"/>
          <w:szCs w:val="24"/>
        </w:rPr>
      </w:pPr>
    </w:p>
    <w:sectPr w:rsidR="007104C5" w:rsidRPr="00A702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6F4"/>
    <w:rsid w:val="001D56F4"/>
    <w:rsid w:val="001F753B"/>
    <w:rsid w:val="00203E30"/>
    <w:rsid w:val="00293B36"/>
    <w:rsid w:val="00420758"/>
    <w:rsid w:val="004B3A70"/>
    <w:rsid w:val="005134AF"/>
    <w:rsid w:val="005826AF"/>
    <w:rsid w:val="0069034E"/>
    <w:rsid w:val="007104C5"/>
    <w:rsid w:val="0089267A"/>
    <w:rsid w:val="00916A91"/>
    <w:rsid w:val="009303AD"/>
    <w:rsid w:val="009E6C96"/>
    <w:rsid w:val="00A70224"/>
    <w:rsid w:val="00B04B9B"/>
    <w:rsid w:val="00B81F5E"/>
    <w:rsid w:val="00C03A0C"/>
    <w:rsid w:val="00C2043F"/>
    <w:rsid w:val="00C96F19"/>
    <w:rsid w:val="00CB0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8E98D"/>
  <w15:chartTrackingRefBased/>
  <w15:docId w15:val="{5D595158-DB98-475D-9B44-7D208BC7C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6F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D56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56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56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6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56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56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6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6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6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6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56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56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56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56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56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6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6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6F4"/>
    <w:rPr>
      <w:rFonts w:eastAsiaTheme="majorEastAsia" w:cstheme="majorBidi"/>
      <w:color w:val="272727" w:themeColor="text1" w:themeTint="D8"/>
    </w:rPr>
  </w:style>
  <w:style w:type="paragraph" w:styleId="Title">
    <w:name w:val="Title"/>
    <w:basedOn w:val="Normal"/>
    <w:next w:val="Normal"/>
    <w:link w:val="TitleChar"/>
    <w:uiPriority w:val="10"/>
    <w:qFormat/>
    <w:rsid w:val="001D56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6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6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6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6F4"/>
    <w:pPr>
      <w:spacing w:before="160"/>
      <w:jc w:val="center"/>
    </w:pPr>
    <w:rPr>
      <w:i/>
      <w:iCs/>
      <w:color w:val="404040" w:themeColor="text1" w:themeTint="BF"/>
    </w:rPr>
  </w:style>
  <w:style w:type="character" w:customStyle="1" w:styleId="QuoteChar">
    <w:name w:val="Quote Char"/>
    <w:basedOn w:val="DefaultParagraphFont"/>
    <w:link w:val="Quote"/>
    <w:uiPriority w:val="29"/>
    <w:rsid w:val="001D56F4"/>
    <w:rPr>
      <w:i/>
      <w:iCs/>
      <w:color w:val="404040" w:themeColor="text1" w:themeTint="BF"/>
    </w:rPr>
  </w:style>
  <w:style w:type="paragraph" w:styleId="ListParagraph">
    <w:name w:val="List Paragraph"/>
    <w:basedOn w:val="Normal"/>
    <w:uiPriority w:val="34"/>
    <w:qFormat/>
    <w:rsid w:val="001D56F4"/>
    <w:pPr>
      <w:ind w:left="720"/>
      <w:contextualSpacing/>
    </w:pPr>
  </w:style>
  <w:style w:type="character" w:styleId="IntenseEmphasis">
    <w:name w:val="Intense Emphasis"/>
    <w:basedOn w:val="DefaultParagraphFont"/>
    <w:uiPriority w:val="21"/>
    <w:qFormat/>
    <w:rsid w:val="001D56F4"/>
    <w:rPr>
      <w:i/>
      <w:iCs/>
      <w:color w:val="0F4761" w:themeColor="accent1" w:themeShade="BF"/>
    </w:rPr>
  </w:style>
  <w:style w:type="paragraph" w:styleId="IntenseQuote">
    <w:name w:val="Intense Quote"/>
    <w:basedOn w:val="Normal"/>
    <w:next w:val="Normal"/>
    <w:link w:val="IntenseQuoteChar"/>
    <w:uiPriority w:val="30"/>
    <w:qFormat/>
    <w:rsid w:val="001D56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6F4"/>
    <w:rPr>
      <w:i/>
      <w:iCs/>
      <w:color w:val="0F4761" w:themeColor="accent1" w:themeShade="BF"/>
    </w:rPr>
  </w:style>
  <w:style w:type="character" w:styleId="IntenseReference">
    <w:name w:val="Intense Reference"/>
    <w:basedOn w:val="DefaultParagraphFont"/>
    <w:uiPriority w:val="32"/>
    <w:qFormat/>
    <w:rsid w:val="001D56F4"/>
    <w:rPr>
      <w:b/>
      <w:bCs/>
      <w:smallCaps/>
      <w:color w:val="0F4761" w:themeColor="accent1" w:themeShade="BF"/>
      <w:spacing w:val="5"/>
    </w:rPr>
  </w:style>
  <w:style w:type="character" w:styleId="Hyperlink">
    <w:name w:val="Hyperlink"/>
    <w:basedOn w:val="DefaultParagraphFont"/>
    <w:uiPriority w:val="99"/>
    <w:unhideWhenUsed/>
    <w:rsid w:val="007104C5"/>
    <w:rPr>
      <w:color w:val="467886" w:themeColor="hyperlink"/>
      <w:u w:val="single"/>
    </w:rPr>
  </w:style>
  <w:style w:type="character" w:styleId="UnresolvedMention">
    <w:name w:val="Unresolved Mention"/>
    <w:basedOn w:val="DefaultParagraphFont"/>
    <w:uiPriority w:val="99"/>
    <w:semiHidden/>
    <w:unhideWhenUsed/>
    <w:rsid w:val="005134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219597">
      <w:bodyDiv w:val="1"/>
      <w:marLeft w:val="0"/>
      <w:marRight w:val="0"/>
      <w:marTop w:val="0"/>
      <w:marBottom w:val="0"/>
      <w:divBdr>
        <w:top w:val="none" w:sz="0" w:space="0" w:color="auto"/>
        <w:left w:val="none" w:sz="0" w:space="0" w:color="auto"/>
        <w:bottom w:val="none" w:sz="0" w:space="0" w:color="auto"/>
        <w:right w:val="none" w:sz="0" w:space="0" w:color="auto"/>
      </w:divBdr>
    </w:div>
    <w:div w:id="267589515">
      <w:bodyDiv w:val="1"/>
      <w:marLeft w:val="0"/>
      <w:marRight w:val="0"/>
      <w:marTop w:val="0"/>
      <w:marBottom w:val="0"/>
      <w:divBdr>
        <w:top w:val="none" w:sz="0" w:space="0" w:color="auto"/>
        <w:left w:val="none" w:sz="0" w:space="0" w:color="auto"/>
        <w:bottom w:val="none" w:sz="0" w:space="0" w:color="auto"/>
        <w:right w:val="none" w:sz="0" w:space="0" w:color="auto"/>
      </w:divBdr>
    </w:div>
    <w:div w:id="553664571">
      <w:bodyDiv w:val="1"/>
      <w:marLeft w:val="0"/>
      <w:marRight w:val="0"/>
      <w:marTop w:val="0"/>
      <w:marBottom w:val="0"/>
      <w:divBdr>
        <w:top w:val="none" w:sz="0" w:space="0" w:color="auto"/>
        <w:left w:val="none" w:sz="0" w:space="0" w:color="auto"/>
        <w:bottom w:val="none" w:sz="0" w:space="0" w:color="auto"/>
        <w:right w:val="none" w:sz="0" w:space="0" w:color="auto"/>
      </w:divBdr>
    </w:div>
    <w:div w:id="757680054">
      <w:bodyDiv w:val="1"/>
      <w:marLeft w:val="0"/>
      <w:marRight w:val="0"/>
      <w:marTop w:val="0"/>
      <w:marBottom w:val="0"/>
      <w:divBdr>
        <w:top w:val="none" w:sz="0" w:space="0" w:color="auto"/>
        <w:left w:val="none" w:sz="0" w:space="0" w:color="auto"/>
        <w:bottom w:val="none" w:sz="0" w:space="0" w:color="auto"/>
        <w:right w:val="none" w:sz="0" w:space="0" w:color="auto"/>
      </w:divBdr>
    </w:div>
    <w:div w:id="776146571">
      <w:bodyDiv w:val="1"/>
      <w:marLeft w:val="0"/>
      <w:marRight w:val="0"/>
      <w:marTop w:val="0"/>
      <w:marBottom w:val="0"/>
      <w:divBdr>
        <w:top w:val="none" w:sz="0" w:space="0" w:color="auto"/>
        <w:left w:val="none" w:sz="0" w:space="0" w:color="auto"/>
        <w:bottom w:val="none" w:sz="0" w:space="0" w:color="auto"/>
        <w:right w:val="none" w:sz="0" w:space="0" w:color="auto"/>
      </w:divBdr>
    </w:div>
    <w:div w:id="915669071">
      <w:bodyDiv w:val="1"/>
      <w:marLeft w:val="0"/>
      <w:marRight w:val="0"/>
      <w:marTop w:val="0"/>
      <w:marBottom w:val="0"/>
      <w:divBdr>
        <w:top w:val="none" w:sz="0" w:space="0" w:color="auto"/>
        <w:left w:val="none" w:sz="0" w:space="0" w:color="auto"/>
        <w:bottom w:val="none" w:sz="0" w:space="0" w:color="auto"/>
        <w:right w:val="none" w:sz="0" w:space="0" w:color="auto"/>
      </w:divBdr>
    </w:div>
    <w:div w:id="1026558602">
      <w:bodyDiv w:val="1"/>
      <w:marLeft w:val="0"/>
      <w:marRight w:val="0"/>
      <w:marTop w:val="0"/>
      <w:marBottom w:val="0"/>
      <w:divBdr>
        <w:top w:val="none" w:sz="0" w:space="0" w:color="auto"/>
        <w:left w:val="none" w:sz="0" w:space="0" w:color="auto"/>
        <w:bottom w:val="none" w:sz="0" w:space="0" w:color="auto"/>
        <w:right w:val="none" w:sz="0" w:space="0" w:color="auto"/>
      </w:divBdr>
    </w:div>
    <w:div w:id="1172530975">
      <w:bodyDiv w:val="1"/>
      <w:marLeft w:val="0"/>
      <w:marRight w:val="0"/>
      <w:marTop w:val="0"/>
      <w:marBottom w:val="0"/>
      <w:divBdr>
        <w:top w:val="none" w:sz="0" w:space="0" w:color="auto"/>
        <w:left w:val="none" w:sz="0" w:space="0" w:color="auto"/>
        <w:bottom w:val="none" w:sz="0" w:space="0" w:color="auto"/>
        <w:right w:val="none" w:sz="0" w:space="0" w:color="auto"/>
      </w:divBdr>
    </w:div>
    <w:div w:id="1418021180">
      <w:bodyDiv w:val="1"/>
      <w:marLeft w:val="0"/>
      <w:marRight w:val="0"/>
      <w:marTop w:val="0"/>
      <w:marBottom w:val="0"/>
      <w:divBdr>
        <w:top w:val="none" w:sz="0" w:space="0" w:color="auto"/>
        <w:left w:val="none" w:sz="0" w:space="0" w:color="auto"/>
        <w:bottom w:val="none" w:sz="0" w:space="0" w:color="auto"/>
        <w:right w:val="none" w:sz="0" w:space="0" w:color="auto"/>
      </w:divBdr>
    </w:div>
    <w:div w:id="1448353741">
      <w:bodyDiv w:val="1"/>
      <w:marLeft w:val="0"/>
      <w:marRight w:val="0"/>
      <w:marTop w:val="0"/>
      <w:marBottom w:val="0"/>
      <w:divBdr>
        <w:top w:val="none" w:sz="0" w:space="0" w:color="auto"/>
        <w:left w:val="none" w:sz="0" w:space="0" w:color="auto"/>
        <w:bottom w:val="none" w:sz="0" w:space="0" w:color="auto"/>
        <w:right w:val="none" w:sz="0" w:space="0" w:color="auto"/>
      </w:divBdr>
    </w:div>
    <w:div w:id="1536649046">
      <w:bodyDiv w:val="1"/>
      <w:marLeft w:val="0"/>
      <w:marRight w:val="0"/>
      <w:marTop w:val="0"/>
      <w:marBottom w:val="0"/>
      <w:divBdr>
        <w:top w:val="none" w:sz="0" w:space="0" w:color="auto"/>
        <w:left w:val="none" w:sz="0" w:space="0" w:color="auto"/>
        <w:bottom w:val="none" w:sz="0" w:space="0" w:color="auto"/>
        <w:right w:val="none" w:sz="0" w:space="0" w:color="auto"/>
      </w:divBdr>
    </w:div>
    <w:div w:id="195358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licing-by-consent/definition-of-policing-by-consent" TargetMode="External"/><Relationship Id="rId13" Type="http://schemas.openxmlformats.org/officeDocument/2006/relationships/hyperlink" Target="https://www.gov.uk/government/publications/criminal-exploitation-of-children-and-vulnerable-adults-county-lines/criminal-exploitation-of-children-and-vulnerable-adults-county-lines" TargetMode="External"/><Relationship Id="rId18" Type="http://schemas.openxmlformats.org/officeDocument/2006/relationships/hyperlink" Target="https://assets.college.police.uk/s3fs-public/2021-07/vvcp-evaluation-of-tfei.pdf" TargetMode="External"/><Relationship Id="rId3" Type="http://schemas.openxmlformats.org/officeDocument/2006/relationships/settings" Target="settings.xml"/><Relationship Id="rId7" Type="http://schemas.openxmlformats.org/officeDocument/2006/relationships/hyperlink" Target="https://publications.parliament.uk/pa/cm5802/cmselect/cmhaff/139/13907.htm" TargetMode="External"/><Relationship Id="rId12" Type="http://schemas.openxmlformats.org/officeDocument/2006/relationships/hyperlink" Target="https://www.gov.uk/government/publications/criminal-exploitation-of-children-and-vulnerable-adults-county-lines/criminal-exploitation-of-children-and-vulnerable-adults-county-lines#who-is-vulnerable-to-county-lines-exploitation" TargetMode="External"/><Relationship Id="rId17" Type="http://schemas.openxmlformats.org/officeDocument/2006/relationships/hyperlink" Target="https://yjresourcehub.uk/wp-content/uploads/media/Prevention_and_Diversion_Project_Final_Report_YJB_Feb_2023.pdf" TargetMode="External"/><Relationship Id="rId2" Type="http://schemas.openxmlformats.org/officeDocument/2006/relationships/styles" Target="styles.xml"/><Relationship Id="rId16" Type="http://schemas.openxmlformats.org/officeDocument/2006/relationships/hyperlink" Target="https://www.crimeandjustice.org.uk/publications/cjm/article/child-criminalisation-and-mistake-early-interven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ind.org.uk/media-a/4849/2019-survey-police-service-summary.pdf" TargetMode="External"/><Relationship Id="rId5" Type="http://schemas.openxmlformats.org/officeDocument/2006/relationships/image" Target="media/image1.png"/><Relationship Id="rId15" Type="http://schemas.openxmlformats.org/officeDocument/2006/relationships/hyperlink" Target="https://www.eif.org.uk/why-it-matters/why-is-it-good-for-children-and-families" TargetMode="External"/><Relationship Id="rId10" Type="http://schemas.openxmlformats.org/officeDocument/2006/relationships/hyperlink" Target="https://en.wikipedia.org/wiki/1981_Brixton_rio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statistics/police-workforce-england-and-wales-30-september-2022/police-workforce-england-and-wales-30-september-2022" TargetMode="External"/><Relationship Id="rId14" Type="http://schemas.openxmlformats.org/officeDocument/2006/relationships/hyperlink" Target="https://www.catch-22.org.uk/resources/how-do-gangs-recruit-and-coerce-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TotalTime>
  <Pages>17</Pages>
  <Words>4760</Words>
  <Characters>27134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Hughes,Ioan swp8772</dc:creator>
  <cp:keywords/>
  <dc:description/>
  <cp:lastModifiedBy>Hughes,Ioan swp8772</cp:lastModifiedBy>
  <cp:revision>14</cp:revision>
  <dcterms:created xsi:type="dcterms:W3CDTF">2025-06-30T18:51:00Z</dcterms:created>
  <dcterms:modified xsi:type="dcterms:W3CDTF">2025-06-30T21:16:00Z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2025-06-30T19:10:18Z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9f7f2d20-1f04-4af9-a42c-d62b5d38f7ba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