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3746C2" w:rsidP="52EB4E41" w:rsidRDefault="5C3746C2" w14:paraId="28357908" w14:textId="7AA0D9CB">
      <w:pPr>
        <w:rPr>
          <w:rFonts w:ascii="Arial" w:hAnsi="Arial" w:eastAsia="Arial" w:cs="Arial"/>
          <w:noProof w:val="0"/>
          <w:color w:val="000000" w:themeColor="text1" w:themeTint="FF" w:themeShade="FF"/>
          <w:sz w:val="24"/>
          <w:szCs w:val="24"/>
          <w:lang w:val="en-GB"/>
        </w:rPr>
      </w:pPr>
      <w:r w:rsidRPr="52EB4E41" w:rsidR="14779B4A">
        <w:rPr>
          <w:rFonts w:ascii="Arial" w:hAnsi="Arial" w:eastAsia="Arial" w:cs="Arial"/>
          <w:noProof w:val="0"/>
          <w:color w:val="000000" w:themeColor="text1" w:themeTint="FF" w:themeShade="FF"/>
          <w:sz w:val="24"/>
          <w:szCs w:val="24"/>
          <w:lang w:val="en-GB"/>
        </w:rPr>
        <w:t>Joseph Nash</w:t>
      </w:r>
    </w:p>
    <w:p w:rsidR="14779B4A" w:rsidP="52EB4E41" w:rsidRDefault="14779B4A" w14:paraId="5B47E62E" w14:textId="1C0E901D">
      <w:pPr>
        <w:rPr>
          <w:rFonts w:ascii="Arial" w:hAnsi="Arial" w:eastAsia="Arial" w:cs="Arial"/>
          <w:noProof w:val="0"/>
          <w:color w:val="000000" w:themeColor="text1" w:themeTint="FF" w:themeShade="FF"/>
          <w:sz w:val="24"/>
          <w:szCs w:val="24"/>
          <w:lang w:val="en-GB"/>
        </w:rPr>
      </w:pPr>
      <w:r w:rsidRPr="52EB4E41" w:rsidR="14779B4A">
        <w:rPr>
          <w:rFonts w:ascii="Arial" w:hAnsi="Arial" w:eastAsia="Arial" w:cs="Arial"/>
          <w:noProof w:val="0"/>
          <w:color w:val="000000" w:themeColor="text1" w:themeTint="FF" w:themeShade="FF"/>
          <w:sz w:val="24"/>
          <w:szCs w:val="24"/>
          <w:lang w:val="en-GB"/>
        </w:rPr>
        <w:t>2306186</w:t>
      </w:r>
    </w:p>
    <w:p w:rsidR="14779B4A" w:rsidP="52EB4E41" w:rsidRDefault="14779B4A" w14:paraId="351CA3E8" w14:textId="62D3D6EE">
      <w:pPr>
        <w:rPr>
          <w:rFonts w:ascii="Arial" w:hAnsi="Arial" w:eastAsia="Arial" w:cs="Arial"/>
          <w:noProof w:val="0"/>
          <w:color w:val="000000" w:themeColor="text1" w:themeTint="FF" w:themeShade="FF"/>
          <w:sz w:val="24"/>
          <w:szCs w:val="24"/>
          <w:lang w:val="en-GB"/>
        </w:rPr>
      </w:pPr>
      <w:r w:rsidRPr="52EB4E41" w:rsidR="14779B4A">
        <w:rPr>
          <w:rFonts w:ascii="Arial" w:hAnsi="Arial" w:eastAsia="Arial" w:cs="Arial"/>
          <w:noProof w:val="0"/>
          <w:color w:val="000000" w:themeColor="text1" w:themeTint="FF" w:themeShade="FF"/>
          <w:sz w:val="24"/>
          <w:szCs w:val="24"/>
          <w:lang w:val="en-GB"/>
        </w:rPr>
        <w:t>Graphic Design</w:t>
      </w:r>
    </w:p>
    <w:p w:rsidR="14779B4A" w:rsidP="52EB4E41" w:rsidRDefault="14779B4A" w14:paraId="7F772E12" w14:textId="5BF9D5A1">
      <w:pPr>
        <w:rPr>
          <w:rFonts w:ascii="Arial" w:hAnsi="Arial" w:eastAsia="Arial" w:cs="Arial"/>
          <w:noProof w:val="0"/>
          <w:color w:val="000000" w:themeColor="text1" w:themeTint="FF" w:themeShade="FF"/>
          <w:sz w:val="24"/>
          <w:szCs w:val="24"/>
          <w:lang w:val="en-GB"/>
        </w:rPr>
      </w:pPr>
      <w:r w:rsidRPr="52EB4E41" w:rsidR="14779B4A">
        <w:rPr>
          <w:rFonts w:ascii="Arial" w:hAnsi="Arial" w:eastAsia="Arial" w:cs="Arial"/>
          <w:noProof w:val="0"/>
          <w:color w:val="000000" w:themeColor="text1" w:themeTint="FF" w:themeShade="FF"/>
          <w:sz w:val="24"/>
          <w:szCs w:val="24"/>
          <w:lang w:val="en-GB"/>
        </w:rPr>
        <w:t>Martin Bush</w:t>
      </w:r>
    </w:p>
    <w:p w:rsidR="14779B4A" w:rsidP="52EB4E41" w:rsidRDefault="14779B4A" w14:paraId="38D1A89B" w14:textId="48609F78">
      <w:pPr>
        <w:rPr>
          <w:rFonts w:ascii="Arial" w:hAnsi="Arial" w:eastAsia="Arial" w:cs="Arial"/>
          <w:noProof w:val="0"/>
          <w:color w:val="000000" w:themeColor="text1" w:themeTint="FF" w:themeShade="FF"/>
          <w:sz w:val="24"/>
          <w:szCs w:val="24"/>
          <w:lang w:val="en-GB"/>
        </w:rPr>
      </w:pPr>
      <w:r w:rsidRPr="52EB4E41" w:rsidR="14779B4A">
        <w:rPr>
          <w:rFonts w:ascii="Arial" w:hAnsi="Arial" w:eastAsia="Arial" w:cs="Arial"/>
          <w:noProof w:val="0"/>
          <w:color w:val="000000" w:themeColor="text1" w:themeTint="FF" w:themeShade="FF"/>
          <w:sz w:val="24"/>
          <w:szCs w:val="24"/>
          <w:lang w:val="en-GB"/>
        </w:rPr>
        <w:t>Word Count; 1</w:t>
      </w:r>
      <w:r w:rsidRPr="52EB4E41" w:rsidR="7FD7F7B7">
        <w:rPr>
          <w:rFonts w:ascii="Arial" w:hAnsi="Arial" w:eastAsia="Arial" w:cs="Arial"/>
          <w:noProof w:val="0"/>
          <w:color w:val="000000" w:themeColor="text1" w:themeTint="FF" w:themeShade="FF"/>
          <w:sz w:val="24"/>
          <w:szCs w:val="24"/>
          <w:lang w:val="en-GB"/>
        </w:rPr>
        <w:t>,</w:t>
      </w:r>
      <w:r w:rsidRPr="52EB4E41" w:rsidR="1750DD40">
        <w:rPr>
          <w:rFonts w:ascii="Arial" w:hAnsi="Arial" w:eastAsia="Arial" w:cs="Arial"/>
          <w:noProof w:val="0"/>
          <w:color w:val="000000" w:themeColor="text1" w:themeTint="FF" w:themeShade="FF"/>
          <w:sz w:val="24"/>
          <w:szCs w:val="24"/>
          <w:lang w:val="en-GB"/>
        </w:rPr>
        <w:t>483</w:t>
      </w:r>
    </w:p>
    <w:p w:rsidR="14779B4A" w:rsidP="52EB4E41" w:rsidRDefault="14779B4A" w14:paraId="17EFBFCA" w14:textId="6FF2FC61">
      <w:pPr>
        <w:rPr>
          <w:rFonts w:ascii="Arial" w:hAnsi="Arial" w:eastAsia="Arial" w:cs="Arial"/>
          <w:noProof w:val="0"/>
          <w:color w:val="000000" w:themeColor="text1" w:themeTint="FF" w:themeShade="FF"/>
          <w:sz w:val="24"/>
          <w:szCs w:val="24"/>
          <w:lang w:val="en-GB"/>
        </w:rPr>
      </w:pPr>
      <w:r w:rsidRPr="52EB4E41" w:rsidR="14779B4A">
        <w:rPr>
          <w:rFonts w:ascii="Arial" w:hAnsi="Arial" w:eastAsia="Arial" w:cs="Arial"/>
          <w:noProof w:val="0"/>
          <w:color w:val="000000" w:themeColor="text1" w:themeTint="FF" w:themeShade="FF"/>
          <w:sz w:val="24"/>
          <w:szCs w:val="24"/>
          <w:lang w:val="en-GB"/>
        </w:rPr>
        <w:t xml:space="preserve">Ways of Perceiving </w:t>
      </w:r>
    </w:p>
    <w:p w:rsidR="14779B4A" w:rsidP="52EB4E41" w:rsidRDefault="14779B4A" w14:paraId="5BB0F137" w14:textId="2B9D557D">
      <w:pPr>
        <w:rPr>
          <w:rFonts w:ascii="Arial" w:hAnsi="Arial" w:eastAsia="Arial" w:cs="Arial"/>
          <w:noProof w:val="0"/>
          <w:color w:val="000000" w:themeColor="text1" w:themeTint="FF" w:themeShade="FF"/>
          <w:sz w:val="24"/>
          <w:szCs w:val="24"/>
          <w:lang w:val="en-GB"/>
        </w:rPr>
      </w:pPr>
      <w:r w:rsidRPr="52EB4E41" w:rsidR="14779B4A">
        <w:rPr>
          <w:rFonts w:ascii="Arial" w:hAnsi="Arial" w:eastAsia="Arial" w:cs="Arial"/>
          <w:noProof w:val="0"/>
          <w:color w:val="000000" w:themeColor="text1" w:themeTint="FF" w:themeShade="FF"/>
          <w:sz w:val="24"/>
          <w:szCs w:val="24"/>
          <w:lang w:val="en-GB"/>
        </w:rPr>
        <w:t>The Playground: A curated exhibition in Bristol</w:t>
      </w:r>
    </w:p>
    <w:p w:rsidR="52EB4E41" w:rsidP="52EB4E41" w:rsidRDefault="52EB4E41" w14:paraId="100B9321" w14:textId="6F403823">
      <w:pPr>
        <w:rPr>
          <w:rFonts w:ascii="Arial" w:hAnsi="Arial" w:eastAsia="Arial" w:cs="Arial"/>
          <w:noProof w:val="0"/>
          <w:color w:val="000000" w:themeColor="text1" w:themeTint="FF" w:themeShade="FF"/>
          <w:sz w:val="21"/>
          <w:szCs w:val="21"/>
          <w:lang w:val="en-GB"/>
        </w:rPr>
      </w:pPr>
    </w:p>
    <w:p w:rsidR="52EB4E41" w:rsidP="52EB4E41" w:rsidRDefault="52EB4E41" w14:paraId="0BFD370A" w14:textId="7D0A2122">
      <w:pPr>
        <w:rPr>
          <w:rFonts w:ascii="Arial" w:hAnsi="Arial" w:eastAsia="Arial" w:cs="Arial"/>
          <w:noProof w:val="0"/>
          <w:color w:val="000000" w:themeColor="text1" w:themeTint="FF" w:themeShade="FF"/>
          <w:sz w:val="21"/>
          <w:szCs w:val="21"/>
          <w:lang w:val="en-GB"/>
        </w:rPr>
      </w:pPr>
    </w:p>
    <w:p w:rsidR="52EB4E41" w:rsidP="52EB4E41" w:rsidRDefault="52EB4E41" w14:paraId="3D210386" w14:textId="2BE41311">
      <w:pPr>
        <w:rPr>
          <w:rFonts w:ascii="Arial" w:hAnsi="Arial" w:eastAsia="Arial" w:cs="Arial"/>
          <w:noProof w:val="0"/>
          <w:color w:val="000000" w:themeColor="text1" w:themeTint="FF" w:themeShade="FF"/>
          <w:sz w:val="21"/>
          <w:szCs w:val="21"/>
          <w:lang w:val="en-GB"/>
        </w:rPr>
      </w:pPr>
    </w:p>
    <w:p w:rsidR="52EB4E41" w:rsidP="52EB4E41" w:rsidRDefault="52EB4E41" w14:paraId="2ABFA543" w14:textId="7FAC6BBC">
      <w:pPr>
        <w:rPr>
          <w:rFonts w:ascii="Arial" w:hAnsi="Arial" w:eastAsia="Arial" w:cs="Arial"/>
          <w:noProof w:val="0"/>
          <w:color w:val="000000" w:themeColor="text1" w:themeTint="FF" w:themeShade="FF"/>
          <w:sz w:val="21"/>
          <w:szCs w:val="21"/>
          <w:lang w:val="en-GB"/>
        </w:rPr>
      </w:pPr>
    </w:p>
    <w:p w:rsidR="52EB4E41" w:rsidP="52EB4E41" w:rsidRDefault="52EB4E41" w14:paraId="6A590F8B" w14:textId="347FEA65">
      <w:pPr>
        <w:rPr>
          <w:rFonts w:ascii="Arial" w:hAnsi="Arial" w:eastAsia="Arial" w:cs="Arial"/>
          <w:noProof w:val="0"/>
          <w:color w:val="000000" w:themeColor="text1" w:themeTint="FF" w:themeShade="FF"/>
          <w:sz w:val="21"/>
          <w:szCs w:val="21"/>
          <w:lang w:val="en-GB"/>
        </w:rPr>
      </w:pPr>
    </w:p>
    <w:p w:rsidR="52EB4E41" w:rsidP="52EB4E41" w:rsidRDefault="52EB4E41" w14:paraId="5F7C6008" w14:textId="5CA0BCEC">
      <w:pPr>
        <w:rPr>
          <w:rFonts w:ascii="Arial" w:hAnsi="Arial" w:eastAsia="Arial" w:cs="Arial"/>
          <w:noProof w:val="0"/>
          <w:color w:val="000000" w:themeColor="text1" w:themeTint="FF" w:themeShade="FF"/>
          <w:sz w:val="21"/>
          <w:szCs w:val="21"/>
          <w:lang w:val="en-GB"/>
        </w:rPr>
      </w:pPr>
    </w:p>
    <w:p w:rsidR="52EB4E41" w:rsidP="52EB4E41" w:rsidRDefault="52EB4E41" w14:paraId="2B830AAD" w14:textId="1A061B59">
      <w:pPr>
        <w:rPr>
          <w:rFonts w:ascii="Arial" w:hAnsi="Arial" w:eastAsia="Arial" w:cs="Arial"/>
          <w:noProof w:val="0"/>
          <w:color w:val="000000" w:themeColor="text1" w:themeTint="FF" w:themeShade="FF"/>
          <w:sz w:val="21"/>
          <w:szCs w:val="21"/>
          <w:lang w:val="en-GB"/>
        </w:rPr>
      </w:pPr>
    </w:p>
    <w:p w:rsidR="52EB4E41" w:rsidP="52EB4E41" w:rsidRDefault="52EB4E41" w14:paraId="5804C5DC" w14:textId="3DEE6042">
      <w:pPr>
        <w:rPr>
          <w:rFonts w:ascii="Arial" w:hAnsi="Arial" w:eastAsia="Arial" w:cs="Arial"/>
          <w:noProof w:val="0"/>
          <w:color w:val="000000" w:themeColor="text1" w:themeTint="FF" w:themeShade="FF"/>
          <w:sz w:val="21"/>
          <w:szCs w:val="21"/>
          <w:lang w:val="en-GB"/>
        </w:rPr>
      </w:pPr>
    </w:p>
    <w:p w:rsidR="52EB4E41" w:rsidP="52EB4E41" w:rsidRDefault="52EB4E41" w14:paraId="50C603CA" w14:textId="41B8566A">
      <w:pPr>
        <w:rPr>
          <w:rFonts w:ascii="Arial" w:hAnsi="Arial" w:eastAsia="Arial" w:cs="Arial"/>
          <w:noProof w:val="0"/>
          <w:color w:val="000000" w:themeColor="text1" w:themeTint="FF" w:themeShade="FF"/>
          <w:sz w:val="21"/>
          <w:szCs w:val="21"/>
          <w:lang w:val="en-GB"/>
        </w:rPr>
      </w:pPr>
    </w:p>
    <w:p w:rsidR="52EB4E41" w:rsidP="52EB4E41" w:rsidRDefault="52EB4E41" w14:paraId="0D91E965" w14:textId="3AD87E1F">
      <w:pPr>
        <w:rPr>
          <w:rFonts w:ascii="Arial" w:hAnsi="Arial" w:eastAsia="Arial" w:cs="Arial"/>
          <w:noProof w:val="0"/>
          <w:color w:val="000000" w:themeColor="text1" w:themeTint="FF" w:themeShade="FF"/>
          <w:sz w:val="21"/>
          <w:szCs w:val="21"/>
          <w:lang w:val="en-GB"/>
        </w:rPr>
      </w:pPr>
    </w:p>
    <w:p w:rsidR="52EB4E41" w:rsidP="52EB4E41" w:rsidRDefault="52EB4E41" w14:paraId="063D7171" w14:textId="065AAEFF">
      <w:pPr>
        <w:rPr>
          <w:rFonts w:ascii="Arial" w:hAnsi="Arial" w:eastAsia="Arial" w:cs="Arial"/>
          <w:noProof w:val="0"/>
          <w:color w:val="000000" w:themeColor="text1" w:themeTint="FF" w:themeShade="FF"/>
          <w:sz w:val="21"/>
          <w:szCs w:val="21"/>
          <w:lang w:val="en-GB"/>
        </w:rPr>
      </w:pPr>
    </w:p>
    <w:p w:rsidR="52EB4E41" w:rsidP="52EB4E41" w:rsidRDefault="52EB4E41" w14:paraId="4EE5F0D5" w14:textId="128AA933">
      <w:pPr>
        <w:rPr>
          <w:rFonts w:ascii="Arial" w:hAnsi="Arial" w:eastAsia="Arial" w:cs="Arial"/>
          <w:noProof w:val="0"/>
          <w:color w:val="000000" w:themeColor="text1" w:themeTint="FF" w:themeShade="FF"/>
          <w:sz w:val="21"/>
          <w:szCs w:val="21"/>
          <w:lang w:val="en-GB"/>
        </w:rPr>
      </w:pPr>
    </w:p>
    <w:p w:rsidR="52EB4E41" w:rsidP="52EB4E41" w:rsidRDefault="52EB4E41" w14:paraId="58404254" w14:textId="70C6814C">
      <w:pPr>
        <w:rPr>
          <w:rFonts w:ascii="Arial" w:hAnsi="Arial" w:eastAsia="Arial" w:cs="Arial"/>
          <w:noProof w:val="0"/>
          <w:color w:val="000000" w:themeColor="text1" w:themeTint="FF" w:themeShade="FF"/>
          <w:sz w:val="21"/>
          <w:szCs w:val="21"/>
          <w:lang w:val="en-GB"/>
        </w:rPr>
      </w:pPr>
    </w:p>
    <w:p w:rsidR="52EB4E41" w:rsidP="52EB4E41" w:rsidRDefault="52EB4E41" w14:paraId="4911432F" w14:textId="226A00ED">
      <w:pPr>
        <w:rPr>
          <w:rFonts w:ascii="Arial" w:hAnsi="Arial" w:eastAsia="Arial" w:cs="Arial"/>
          <w:noProof w:val="0"/>
          <w:color w:val="000000" w:themeColor="text1" w:themeTint="FF" w:themeShade="FF"/>
          <w:sz w:val="21"/>
          <w:szCs w:val="21"/>
          <w:lang w:val="en-GB"/>
        </w:rPr>
      </w:pPr>
    </w:p>
    <w:p w:rsidR="52EB4E41" w:rsidP="52EB4E41" w:rsidRDefault="52EB4E41" w14:paraId="6B66E191" w14:textId="77478AB4">
      <w:pPr>
        <w:rPr>
          <w:rFonts w:ascii="Arial" w:hAnsi="Arial" w:eastAsia="Arial" w:cs="Arial"/>
          <w:noProof w:val="0"/>
          <w:color w:val="000000" w:themeColor="text1" w:themeTint="FF" w:themeShade="FF"/>
          <w:sz w:val="21"/>
          <w:szCs w:val="21"/>
          <w:lang w:val="en-GB"/>
        </w:rPr>
      </w:pPr>
    </w:p>
    <w:p w:rsidR="52EB4E41" w:rsidP="52EB4E41" w:rsidRDefault="52EB4E41" w14:paraId="238DFEC7" w14:textId="4837D976">
      <w:pPr>
        <w:rPr>
          <w:rFonts w:ascii="Arial" w:hAnsi="Arial" w:eastAsia="Arial" w:cs="Arial"/>
          <w:noProof w:val="0"/>
          <w:color w:val="000000" w:themeColor="text1" w:themeTint="FF" w:themeShade="FF"/>
          <w:sz w:val="21"/>
          <w:szCs w:val="21"/>
          <w:lang w:val="en-GB"/>
        </w:rPr>
      </w:pPr>
    </w:p>
    <w:p w:rsidR="52EB4E41" w:rsidP="52EB4E41" w:rsidRDefault="52EB4E41" w14:paraId="10492015" w14:textId="4EDF123F">
      <w:pPr>
        <w:rPr>
          <w:rFonts w:ascii="Arial" w:hAnsi="Arial" w:eastAsia="Arial" w:cs="Arial"/>
          <w:noProof w:val="0"/>
          <w:color w:val="000000" w:themeColor="text1" w:themeTint="FF" w:themeShade="FF"/>
          <w:sz w:val="21"/>
          <w:szCs w:val="21"/>
          <w:lang w:val="en-GB"/>
        </w:rPr>
      </w:pPr>
    </w:p>
    <w:p w:rsidR="52EB4E41" w:rsidP="52EB4E41" w:rsidRDefault="52EB4E41" w14:paraId="2DC9B0C2" w14:textId="7FB0BC09">
      <w:pPr>
        <w:rPr>
          <w:rFonts w:ascii="Arial" w:hAnsi="Arial" w:eastAsia="Arial" w:cs="Arial"/>
          <w:noProof w:val="0"/>
          <w:color w:val="000000" w:themeColor="text1" w:themeTint="FF" w:themeShade="FF"/>
          <w:sz w:val="21"/>
          <w:szCs w:val="21"/>
          <w:lang w:val="en-GB"/>
        </w:rPr>
      </w:pPr>
    </w:p>
    <w:p w:rsidR="52EB4E41" w:rsidP="52EB4E41" w:rsidRDefault="52EB4E41" w14:paraId="560B5A0F" w14:textId="64F923F2">
      <w:pPr>
        <w:rPr>
          <w:rFonts w:ascii="Arial" w:hAnsi="Arial" w:eastAsia="Arial" w:cs="Arial"/>
          <w:noProof w:val="0"/>
          <w:color w:val="000000" w:themeColor="text1" w:themeTint="FF" w:themeShade="FF"/>
          <w:sz w:val="21"/>
          <w:szCs w:val="21"/>
          <w:lang w:val="en-GB"/>
        </w:rPr>
      </w:pPr>
    </w:p>
    <w:p w:rsidR="52EB4E41" w:rsidP="52EB4E41" w:rsidRDefault="52EB4E41" w14:paraId="446CF7D6" w14:textId="23EB77E6">
      <w:pPr>
        <w:rPr>
          <w:rFonts w:ascii="Arial" w:hAnsi="Arial" w:eastAsia="Arial" w:cs="Arial"/>
          <w:noProof w:val="0"/>
          <w:color w:val="000000" w:themeColor="text1" w:themeTint="FF" w:themeShade="FF"/>
          <w:sz w:val="21"/>
          <w:szCs w:val="21"/>
          <w:lang w:val="en-GB"/>
        </w:rPr>
      </w:pPr>
    </w:p>
    <w:p w:rsidR="52EB4E41" w:rsidP="52EB4E41" w:rsidRDefault="52EB4E41" w14:paraId="40D938D8" w14:textId="00D15ABF">
      <w:pPr>
        <w:rPr>
          <w:rFonts w:ascii="Arial" w:hAnsi="Arial" w:eastAsia="Arial" w:cs="Arial"/>
          <w:noProof w:val="0"/>
          <w:color w:val="000000" w:themeColor="text1" w:themeTint="FF" w:themeShade="FF"/>
          <w:sz w:val="21"/>
          <w:szCs w:val="21"/>
          <w:lang w:val="en-GB"/>
        </w:rPr>
      </w:pPr>
    </w:p>
    <w:p w:rsidR="52EB4E41" w:rsidP="52EB4E41" w:rsidRDefault="52EB4E41" w14:paraId="05921DB3" w14:textId="3D1CB927">
      <w:pPr>
        <w:rPr>
          <w:rFonts w:ascii="Arial" w:hAnsi="Arial" w:eastAsia="Arial" w:cs="Arial"/>
          <w:noProof w:val="0"/>
          <w:color w:val="000000" w:themeColor="text1" w:themeTint="FF" w:themeShade="FF"/>
          <w:sz w:val="21"/>
          <w:szCs w:val="21"/>
          <w:lang w:val="en-GB"/>
        </w:rPr>
      </w:pPr>
    </w:p>
    <w:p w:rsidR="128F73BA" w:rsidP="5C3746C2" w:rsidRDefault="128F73BA" w14:paraId="10C4A163" w14:textId="707EB791">
      <w:pPr>
        <w:spacing w:before="240" w:beforeAutospacing="off" w:after="240" w:afterAutospacing="off"/>
      </w:pPr>
      <w:r w:rsidRPr="52EB4E41" w:rsidR="5AB5EFCA">
        <w:rPr>
          <w:rFonts w:ascii="Arial" w:hAnsi="Arial" w:eastAsia="Arial" w:cs="Arial"/>
          <w:b w:val="1"/>
          <w:bCs w:val="1"/>
          <w:noProof w:val="0"/>
          <w:color w:val="000000" w:themeColor="text1" w:themeTint="FF" w:themeShade="FF"/>
          <w:sz w:val="24"/>
          <w:szCs w:val="24"/>
          <w:lang w:val="en-GB"/>
        </w:rPr>
        <w:t>The Playground</w:t>
      </w:r>
      <w:r w:rsidRPr="52EB4E41" w:rsidR="66AA3708">
        <w:rPr>
          <w:rFonts w:ascii="Arial" w:hAnsi="Arial" w:eastAsia="Arial" w:cs="Arial"/>
          <w:b w:val="1"/>
          <w:bCs w:val="1"/>
          <w:noProof w:val="0"/>
          <w:color w:val="000000" w:themeColor="text1" w:themeTint="FF" w:themeShade="FF"/>
          <w:sz w:val="24"/>
          <w:szCs w:val="24"/>
          <w:lang w:val="en-GB"/>
        </w:rPr>
        <w:t>: A Curated E</w:t>
      </w:r>
      <w:r w:rsidRPr="52EB4E41" w:rsidR="66AA3708">
        <w:rPr>
          <w:rFonts w:ascii="Arial" w:hAnsi="Arial" w:eastAsia="Arial" w:cs="Arial"/>
          <w:b w:val="1"/>
          <w:bCs w:val="1"/>
          <w:noProof w:val="0"/>
          <w:color w:val="000000" w:themeColor="text1" w:themeTint="FF" w:themeShade="FF"/>
          <w:sz w:val="24"/>
          <w:szCs w:val="24"/>
          <w:lang w:val="en-GB"/>
        </w:rPr>
        <w:t>xhibition in Bristol</w:t>
      </w:r>
    </w:p>
    <w:p w:rsidR="52EB4E41" w:rsidP="52EB4E41" w:rsidRDefault="52EB4E41" w14:paraId="0864F8CF" w14:textId="4327AAF0">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4B90190B" w:rsidP="52EB4E41" w:rsidRDefault="4B90190B" w14:paraId="6B6E4FED" w14:textId="1B494AE8">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r w:rsidR="4B90190B">
        <w:drawing>
          <wp:inline wp14:editId="66C3BFDE" wp14:anchorId="2FF6B96A">
            <wp:extent cx="5591176" cy="5943600"/>
            <wp:effectExtent l="0" t="0" r="0" b="0"/>
            <wp:docPr id="202384939" name="" title=""/>
            <wp:cNvGraphicFramePr>
              <a:graphicFrameLocks noChangeAspect="1"/>
            </wp:cNvGraphicFramePr>
            <a:graphic>
              <a:graphicData uri="http://schemas.openxmlformats.org/drawingml/2006/picture">
                <pic:pic>
                  <pic:nvPicPr>
                    <pic:cNvPr id="0" name=""/>
                    <pic:cNvPicPr/>
                  </pic:nvPicPr>
                  <pic:blipFill>
                    <a:blip r:embed="R8e79e10227ac4c2f">
                      <a:extLst>
                        <a:ext xmlns:a="http://schemas.openxmlformats.org/drawingml/2006/main" uri="{28A0092B-C50C-407E-A947-70E740481C1C}">
                          <a14:useLocalDpi val="0"/>
                        </a:ext>
                      </a:extLst>
                    </a:blip>
                    <a:stretch>
                      <a:fillRect/>
                    </a:stretch>
                  </pic:blipFill>
                  <pic:spPr>
                    <a:xfrm>
                      <a:off x="0" y="0"/>
                      <a:ext cx="5591176" cy="5943600"/>
                    </a:xfrm>
                    <a:prstGeom prst="rect">
                      <a:avLst/>
                    </a:prstGeom>
                  </pic:spPr>
                </pic:pic>
              </a:graphicData>
            </a:graphic>
          </wp:inline>
        </w:drawing>
      </w:r>
    </w:p>
    <w:p w:rsidR="31BC84C8" w:rsidP="52EB4E41" w:rsidRDefault="31BC84C8" w14:paraId="21C3805B" w14:textId="0FA075AF">
      <w:pPr>
        <w:pStyle w:val="Normal"/>
        <w:spacing w:before="240" w:beforeAutospacing="off" w:after="240" w:afterAutospacing="off"/>
        <w:rPr>
          <w:rFonts w:ascii="Arial" w:hAnsi="Arial" w:eastAsia="Arial" w:cs="Arial"/>
          <w:b w:val="0"/>
          <w:bCs w:val="0"/>
          <w:i w:val="0"/>
          <w:iCs w:val="0"/>
          <w:noProof w:val="0"/>
          <w:color w:val="747474" w:themeColor="background2" w:themeTint="FF" w:themeShade="80"/>
          <w:sz w:val="20"/>
          <w:szCs w:val="20"/>
          <w:lang w:val="en-GB"/>
        </w:rPr>
      </w:pPr>
      <w:r w:rsidRPr="52EB4E41" w:rsidR="31BC84C8">
        <w:rPr>
          <w:rFonts w:ascii="Arial" w:hAnsi="Arial" w:eastAsia="Arial" w:cs="Arial"/>
          <w:noProof w:val="0"/>
          <w:color w:val="747474" w:themeColor="background2" w:themeTint="FF" w:themeShade="80"/>
          <w:sz w:val="20"/>
          <w:szCs w:val="20"/>
          <w:lang w:val="en-GB"/>
        </w:rPr>
        <w:t xml:space="preserve">Fig 1; Nash, J. (2025) </w:t>
      </w:r>
      <w:r w:rsidRPr="52EB4E41" w:rsidR="31BC84C8">
        <w:rPr>
          <w:rFonts w:ascii="Arial" w:hAnsi="Arial" w:eastAsia="Arial" w:cs="Arial"/>
          <w:b w:val="0"/>
          <w:bCs w:val="0"/>
          <w:i w:val="1"/>
          <w:iCs w:val="1"/>
          <w:noProof w:val="0"/>
          <w:color w:val="747474" w:themeColor="background2" w:themeTint="FF" w:themeShade="80"/>
          <w:sz w:val="20"/>
          <w:szCs w:val="20"/>
          <w:lang w:val="en-GB"/>
        </w:rPr>
        <w:t xml:space="preserve">The Playground: A Curated Exhibition in Bristol </w:t>
      </w:r>
      <w:r w:rsidRPr="52EB4E41" w:rsidR="31BC84C8">
        <w:rPr>
          <w:rFonts w:ascii="Arial" w:hAnsi="Arial" w:eastAsia="Arial" w:cs="Arial"/>
          <w:b w:val="0"/>
          <w:bCs w:val="0"/>
          <w:i w:val="0"/>
          <w:iCs w:val="0"/>
          <w:noProof w:val="0"/>
          <w:color w:val="747474" w:themeColor="background2" w:themeTint="FF" w:themeShade="80"/>
          <w:sz w:val="20"/>
          <w:szCs w:val="20"/>
          <w:lang w:val="en-GB"/>
        </w:rPr>
        <w:t>poster.</w:t>
      </w:r>
    </w:p>
    <w:p w:rsidR="52288949" w:rsidP="52EB4E41" w:rsidRDefault="52288949" w14:paraId="4B39BCE6" w14:textId="7A8FC680">
      <w:pPr>
        <w:spacing w:before="0" w:beforeAutospacing="off" w:after="0" w:afterAutospacing="off"/>
      </w:pPr>
      <w:r w:rsidRPr="52EB4E41" w:rsidR="52288949">
        <w:rPr>
          <w:rFonts w:ascii="Arial" w:hAnsi="Arial" w:eastAsia="Arial" w:cs="Arial"/>
          <w:noProof w:val="0"/>
          <w:color w:val="0E101A"/>
          <w:sz w:val="24"/>
          <w:szCs w:val="24"/>
          <w:lang w:val="en-GB"/>
        </w:rPr>
        <w:t xml:space="preserve">Art and design have always reflected and shaped how we engage with the world. In this curated exhibition, hosted at the </w:t>
      </w:r>
      <w:r w:rsidRPr="52EB4E41" w:rsidR="52288949">
        <w:rPr>
          <w:rFonts w:ascii="Arial" w:hAnsi="Arial" w:eastAsia="Arial" w:cs="Arial"/>
          <w:noProof w:val="0"/>
          <w:color w:val="0E101A"/>
          <w:sz w:val="24"/>
          <w:szCs w:val="24"/>
          <w:lang w:val="en-GB"/>
        </w:rPr>
        <w:t>Serchia</w:t>
      </w:r>
      <w:r w:rsidRPr="52EB4E41" w:rsidR="52288949">
        <w:rPr>
          <w:rFonts w:ascii="Arial" w:hAnsi="Arial" w:eastAsia="Arial" w:cs="Arial"/>
          <w:noProof w:val="0"/>
          <w:color w:val="0E101A"/>
          <w:sz w:val="24"/>
          <w:szCs w:val="24"/>
          <w:lang w:val="en-GB"/>
        </w:rPr>
        <w:t xml:space="preserve"> Gallery in Redland, Bristol, I explore the theme of </w:t>
      </w:r>
      <w:r w:rsidRPr="52EB4E41" w:rsidR="52288949">
        <w:rPr>
          <w:rFonts w:ascii="Arial" w:hAnsi="Arial" w:eastAsia="Arial" w:cs="Arial"/>
          <w:i w:val="1"/>
          <w:iCs w:val="1"/>
          <w:noProof w:val="0"/>
          <w:color w:val="0E101A"/>
          <w:sz w:val="24"/>
          <w:szCs w:val="24"/>
          <w:lang w:val="en-GB"/>
        </w:rPr>
        <w:t>The Playground</w:t>
      </w:r>
      <w:r w:rsidRPr="52EB4E41" w:rsidR="52288949">
        <w:rPr>
          <w:rFonts w:ascii="Arial" w:hAnsi="Arial" w:eastAsia="Arial" w:cs="Arial"/>
          <w:noProof w:val="0"/>
          <w:color w:val="0E101A"/>
          <w:sz w:val="24"/>
          <w:szCs w:val="24"/>
          <w:lang w:val="en-GB"/>
        </w:rPr>
        <w:t xml:space="preserve"> through the works of Camille Walala, Mike Perry, and Yinka Ilori. Each artist brings their own unique style that dances between chaos and order, pushing us to rethink what we see and sparking our creativity. This exhibition </w:t>
      </w:r>
      <w:r w:rsidRPr="52EB4E41" w:rsidR="52288949">
        <w:rPr>
          <w:rFonts w:ascii="Arial" w:hAnsi="Arial" w:eastAsia="Arial" w:cs="Arial"/>
          <w:noProof w:val="0"/>
          <w:color w:val="0E101A"/>
          <w:sz w:val="24"/>
          <w:szCs w:val="24"/>
          <w:lang w:val="en-GB"/>
        </w:rPr>
        <w:t>isn't</w:t>
      </w:r>
      <w:r w:rsidRPr="52EB4E41" w:rsidR="52288949">
        <w:rPr>
          <w:rFonts w:ascii="Arial" w:hAnsi="Arial" w:eastAsia="Arial" w:cs="Arial"/>
          <w:noProof w:val="0"/>
          <w:color w:val="0E101A"/>
          <w:sz w:val="24"/>
          <w:szCs w:val="24"/>
          <w:lang w:val="en-GB"/>
        </w:rPr>
        <w:t xml:space="preserve"> </w:t>
      </w:r>
      <w:r w:rsidRPr="52EB4E41" w:rsidR="52288949">
        <w:rPr>
          <w:rFonts w:ascii="Arial" w:hAnsi="Arial" w:eastAsia="Arial" w:cs="Arial"/>
          <w:noProof w:val="0"/>
          <w:color w:val="0E101A"/>
          <w:sz w:val="24"/>
          <w:szCs w:val="24"/>
          <w:lang w:val="en-GB"/>
        </w:rPr>
        <w:t>just about interesting</w:t>
      </w:r>
      <w:r w:rsidRPr="52EB4E41" w:rsidR="52288949">
        <w:rPr>
          <w:rFonts w:ascii="Arial" w:hAnsi="Arial" w:eastAsia="Arial" w:cs="Arial"/>
          <w:noProof w:val="0"/>
          <w:color w:val="0E101A"/>
          <w:sz w:val="24"/>
          <w:szCs w:val="24"/>
          <w:lang w:val="en-GB"/>
        </w:rPr>
        <w:t xml:space="preserve"> visuals, it highlights that creativity and fun go hand in hand, they are both vital parts of the artistic journey. </w:t>
      </w:r>
      <w:r w:rsidRPr="52EB4E41" w:rsidR="52288949">
        <w:rPr>
          <w:rFonts w:ascii="Arial" w:hAnsi="Arial" w:eastAsia="Arial" w:cs="Arial"/>
          <w:i w:val="1"/>
          <w:iCs w:val="1"/>
          <w:noProof w:val="0"/>
          <w:color w:val="0E101A"/>
          <w:sz w:val="24"/>
          <w:szCs w:val="24"/>
          <w:lang w:val="en-GB"/>
        </w:rPr>
        <w:t>The Playground</w:t>
      </w:r>
      <w:r w:rsidRPr="52EB4E41" w:rsidR="52288949">
        <w:rPr>
          <w:rFonts w:ascii="Arial" w:hAnsi="Arial" w:eastAsia="Arial" w:cs="Arial"/>
          <w:noProof w:val="0"/>
          <w:color w:val="0E101A"/>
          <w:sz w:val="24"/>
          <w:szCs w:val="24"/>
          <w:lang w:val="en-GB"/>
        </w:rPr>
        <w:t xml:space="preserve"> becomes a metaphorical and literal space where design invites participation, joy, and reflection. Through bold colours, playful forms, and interactive possibilities, these works create an environment that can uplift, energise as well as encourage a sense of wonder. Located at 24 </w:t>
      </w:r>
      <w:r w:rsidRPr="52EB4E41" w:rsidR="52288949">
        <w:rPr>
          <w:rFonts w:ascii="Arial" w:hAnsi="Arial" w:eastAsia="Arial" w:cs="Arial"/>
          <w:noProof w:val="0"/>
          <w:color w:val="0E101A"/>
          <w:sz w:val="24"/>
          <w:szCs w:val="24"/>
          <w:lang w:val="en-GB"/>
        </w:rPr>
        <w:t>Elmgrove</w:t>
      </w:r>
      <w:r w:rsidRPr="52EB4E41" w:rsidR="52288949">
        <w:rPr>
          <w:rFonts w:ascii="Arial" w:hAnsi="Arial" w:eastAsia="Arial" w:cs="Arial"/>
          <w:noProof w:val="0"/>
          <w:color w:val="0E101A"/>
          <w:sz w:val="24"/>
          <w:szCs w:val="24"/>
          <w:lang w:val="en-GB"/>
        </w:rPr>
        <w:t xml:space="preserve"> Road, the </w:t>
      </w:r>
      <w:r w:rsidRPr="52EB4E41" w:rsidR="52288949">
        <w:rPr>
          <w:rFonts w:ascii="Arial" w:hAnsi="Arial" w:eastAsia="Arial" w:cs="Arial"/>
          <w:noProof w:val="0"/>
          <w:color w:val="0E101A"/>
          <w:sz w:val="24"/>
          <w:szCs w:val="24"/>
          <w:lang w:val="en-GB"/>
        </w:rPr>
        <w:t>Serchia</w:t>
      </w:r>
      <w:r w:rsidRPr="52EB4E41" w:rsidR="52288949">
        <w:rPr>
          <w:rFonts w:ascii="Arial" w:hAnsi="Arial" w:eastAsia="Arial" w:cs="Arial"/>
          <w:noProof w:val="0"/>
          <w:color w:val="0E101A"/>
          <w:sz w:val="24"/>
          <w:szCs w:val="24"/>
          <w:lang w:val="en-GB"/>
        </w:rPr>
        <w:t xml:space="preserve"> Gallery would provide an intimate and accessible venue for emerging creatives and the wider public to engage with contemporary visual culture outside the traditional London circuit. </w:t>
      </w:r>
      <w:r w:rsidRPr="52EB4E41" w:rsidR="52288949">
        <w:rPr>
          <w:rFonts w:ascii="Arial" w:hAnsi="Arial" w:eastAsia="Arial" w:cs="Arial"/>
          <w:noProof w:val="0"/>
          <w:color w:val="0E101A"/>
          <w:sz w:val="24"/>
          <w:szCs w:val="24"/>
          <w:lang w:val="en-GB"/>
        </w:rPr>
        <w:t>This highlights</w:t>
      </w:r>
      <w:r w:rsidRPr="52EB4E41" w:rsidR="52288949">
        <w:rPr>
          <w:rFonts w:ascii="Arial" w:hAnsi="Arial" w:eastAsia="Arial" w:cs="Arial"/>
          <w:noProof w:val="0"/>
          <w:color w:val="0E101A"/>
          <w:sz w:val="24"/>
          <w:szCs w:val="24"/>
          <w:lang w:val="en-GB"/>
        </w:rPr>
        <w:t xml:space="preserve"> the growing recognition of how immersive, joyful encounters with art can foster wellbeing, spark conversation, and strengthen community bonds. </w:t>
      </w:r>
    </w:p>
    <w:p w:rsidR="52288949" w:rsidP="52EB4E41" w:rsidRDefault="52288949" w14:paraId="5925BC3F" w14:textId="23116FAD">
      <w:pPr>
        <w:spacing w:before="0" w:beforeAutospacing="off" w:after="0" w:afterAutospacing="off"/>
      </w:pPr>
      <w:r w:rsidRPr="52EB4E41" w:rsidR="52288949">
        <w:rPr>
          <w:rFonts w:ascii="Arial" w:hAnsi="Arial" w:eastAsia="Arial" w:cs="Arial"/>
          <w:noProof w:val="0"/>
          <w:color w:val="0E101A"/>
          <w:sz w:val="24"/>
          <w:szCs w:val="24"/>
          <w:lang w:val="en-GB"/>
        </w:rPr>
        <w:t xml:space="preserve"> </w:t>
      </w:r>
    </w:p>
    <w:p w:rsidR="52288949" w:rsidP="52EB4E41" w:rsidRDefault="52288949" w14:paraId="055E6B13" w14:textId="13CFCE96">
      <w:pPr>
        <w:spacing w:before="0" w:beforeAutospacing="off" w:after="0" w:afterAutospacing="off"/>
      </w:pPr>
      <w:r w:rsidRPr="52EB4E41" w:rsidR="52288949">
        <w:rPr>
          <w:rFonts w:ascii="Arial" w:hAnsi="Arial" w:eastAsia="Arial" w:cs="Arial"/>
          <w:noProof w:val="0"/>
          <w:color w:val="0E101A"/>
          <w:sz w:val="24"/>
          <w:szCs w:val="24"/>
          <w:lang w:val="en-GB"/>
        </w:rPr>
        <w:t>The exhibition is grounded in the understanding that visual art is more than decoration, it is a cognitive tool that enhances creative thinking. As Elliot Eisner (2002) states, "the arts teach children to make good judgments about qualitative relationships," a skill that translates into broader problem-solving abilities. The selected works in this exhibition operate not only as visual stimuli but also as catalysts for emotional and intellectual engagement. Diedrich et al. (2015) reinforce this view, noting that exposure to emotionally evocative artworks can enhance the viewer's subsequent creative output.</w:t>
      </w:r>
    </w:p>
    <w:p w:rsidR="52EB4E41" w:rsidP="52EB4E41" w:rsidRDefault="52EB4E41" w14:paraId="2A21F711" w14:textId="7A784E4A">
      <w:pPr>
        <w:spacing w:before="240" w:beforeAutospacing="off" w:after="240" w:afterAutospacing="off"/>
        <w:rPr>
          <w:rFonts w:ascii="Arial" w:hAnsi="Arial" w:eastAsia="Arial" w:cs="Arial"/>
          <w:noProof w:val="0"/>
          <w:color w:val="000000" w:themeColor="text1" w:themeTint="FF" w:themeShade="FF"/>
          <w:sz w:val="24"/>
          <w:szCs w:val="24"/>
          <w:lang w:val="en-GB"/>
        </w:rPr>
      </w:pPr>
    </w:p>
    <w:p w:rsidR="4F6D4D4E" w:rsidP="52EB4E41" w:rsidRDefault="4F6D4D4E" w14:paraId="1A55BE46" w14:textId="045944B3">
      <w:pPr>
        <w:spacing w:before="240" w:beforeAutospacing="off" w:after="240" w:afterAutospacing="off"/>
        <w:rPr>
          <w:rFonts w:ascii="Arial" w:hAnsi="Arial" w:eastAsia="Arial" w:cs="Arial"/>
          <w:noProof w:val="0"/>
          <w:color w:val="747474" w:themeColor="background2" w:themeTint="FF" w:themeShade="80"/>
          <w:sz w:val="20"/>
          <w:szCs w:val="20"/>
          <w:lang w:val="en-GB"/>
        </w:rPr>
      </w:pPr>
      <w:r w:rsidRPr="52EB4E41" w:rsidR="4F6D4D4E">
        <w:rPr>
          <w:rFonts w:ascii="Arial" w:hAnsi="Arial" w:eastAsia="Arial" w:cs="Arial"/>
        </w:rPr>
        <w:t xml:space="preserve">        </w:t>
      </w:r>
      <w:r w:rsidRPr="52EB4E41" w:rsidR="7DB814BE">
        <w:rPr>
          <w:rFonts w:ascii="Arial" w:hAnsi="Arial" w:eastAsia="Arial" w:cs="Arial"/>
        </w:rPr>
        <w:t xml:space="preserve">   </w:t>
      </w:r>
      <w:r w:rsidRPr="52EB4E41" w:rsidR="290ED84F">
        <w:rPr>
          <w:rFonts w:ascii="Arial" w:hAnsi="Arial" w:eastAsia="Arial" w:cs="Arial"/>
        </w:rPr>
        <w:t xml:space="preserve"> </w:t>
      </w:r>
      <w:r w:rsidRPr="52EB4E41" w:rsidR="7DB814BE">
        <w:rPr>
          <w:rFonts w:ascii="Arial" w:hAnsi="Arial" w:eastAsia="Arial" w:cs="Arial"/>
        </w:rPr>
        <w:t xml:space="preserve">      </w:t>
      </w:r>
      <w:r w:rsidR="6F4C2640">
        <w:drawing>
          <wp:inline wp14:editId="76741DAA" wp14:anchorId="6A32C9DC">
            <wp:extent cx="1450975" cy="2632001"/>
            <wp:effectExtent l="0" t="0" r="0" b="0"/>
            <wp:docPr id="1025763370" name="" title=""/>
            <wp:cNvGraphicFramePr>
              <a:graphicFrameLocks noChangeAspect="1"/>
            </wp:cNvGraphicFramePr>
            <a:graphic>
              <a:graphicData uri="http://schemas.openxmlformats.org/drawingml/2006/picture">
                <pic:pic>
                  <pic:nvPicPr>
                    <pic:cNvPr id="0" name=""/>
                    <pic:cNvPicPr/>
                  </pic:nvPicPr>
                  <pic:blipFill>
                    <a:blip r:embed="R64d1eacabba04d1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50975" cy="2632001"/>
                    </a:xfrm>
                    <a:prstGeom prst="rect">
                      <a:avLst/>
                    </a:prstGeom>
                  </pic:spPr>
                </pic:pic>
              </a:graphicData>
            </a:graphic>
          </wp:inline>
        </w:drawing>
      </w:r>
      <w:r w:rsidRPr="52EB4E41" w:rsidR="513F4530">
        <w:rPr>
          <w:rFonts w:ascii="Arial" w:hAnsi="Arial" w:eastAsia="Arial" w:cs="Arial"/>
        </w:rPr>
        <w:t xml:space="preserve">    </w:t>
      </w:r>
      <w:r w:rsidRPr="52EB4E41" w:rsidR="44F77A7E">
        <w:rPr>
          <w:rFonts w:ascii="Arial" w:hAnsi="Arial" w:eastAsia="Arial" w:cs="Arial"/>
        </w:rPr>
        <w:t xml:space="preserve">   </w:t>
      </w:r>
      <w:r w:rsidRPr="52EB4E41" w:rsidR="513F4530">
        <w:rPr>
          <w:rFonts w:ascii="Arial" w:hAnsi="Arial" w:eastAsia="Arial" w:cs="Arial"/>
        </w:rPr>
        <w:t xml:space="preserve">     </w:t>
      </w:r>
      <w:r w:rsidR="6F4C2640">
        <w:drawing>
          <wp:inline wp14:editId="4333E259" wp14:anchorId="007E037A">
            <wp:extent cx="2861444" cy="2632161"/>
            <wp:effectExtent l="0" t="0" r="0" b="0"/>
            <wp:docPr id="419755451" name="" title=""/>
            <wp:cNvGraphicFramePr>
              <a:graphicFrameLocks noChangeAspect="1"/>
            </wp:cNvGraphicFramePr>
            <a:graphic>
              <a:graphicData uri="http://schemas.openxmlformats.org/drawingml/2006/picture">
                <pic:pic>
                  <pic:nvPicPr>
                    <pic:cNvPr id="0" name=""/>
                    <pic:cNvPicPr/>
                  </pic:nvPicPr>
                  <pic:blipFill>
                    <a:blip r:embed="Rd14edb39419047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61444" cy="2632161"/>
                    </a:xfrm>
                    <a:prstGeom prst="rect">
                      <a:avLst/>
                    </a:prstGeom>
                  </pic:spPr>
                </pic:pic>
              </a:graphicData>
            </a:graphic>
          </wp:inline>
        </w:drawing>
      </w:r>
    </w:p>
    <w:p w:rsidR="6235181C" w:rsidP="52EB4E41" w:rsidRDefault="6235181C" w14:paraId="42A363DF" w14:textId="473062E1">
      <w:pPr>
        <w:spacing w:before="240" w:beforeAutospacing="off" w:after="240" w:afterAutospacing="off"/>
        <w:rPr>
          <w:rFonts w:ascii="Arial" w:hAnsi="Arial" w:eastAsia="Arial" w:cs="Arial"/>
          <w:noProof w:val="0"/>
          <w:color w:val="747474" w:themeColor="background2" w:themeTint="FF" w:themeShade="80"/>
          <w:sz w:val="20"/>
          <w:szCs w:val="20"/>
          <w:lang w:val="en-GB"/>
        </w:rPr>
      </w:pPr>
      <w:r w:rsidRPr="52EB4E41" w:rsidR="6235181C">
        <w:rPr>
          <w:rFonts w:ascii="Arial" w:hAnsi="Arial" w:eastAsia="Arial" w:cs="Arial"/>
          <w:noProof w:val="0"/>
          <w:color w:val="747474" w:themeColor="background2" w:themeTint="FF" w:themeShade="80"/>
          <w:sz w:val="20"/>
          <w:szCs w:val="20"/>
          <w:lang w:val="en-GB"/>
        </w:rPr>
        <w:t>Figure 2: Camille Walala’s Perspective Party (Walala, n.d.)</w:t>
      </w:r>
    </w:p>
    <w:p w:rsidR="5C3746C2" w:rsidP="5C3746C2" w:rsidRDefault="5C3746C2" w14:paraId="35869979" w14:textId="39B93087">
      <w:pPr>
        <w:spacing w:before="240" w:beforeAutospacing="off" w:after="240" w:afterAutospacing="off"/>
        <w:rPr>
          <w:rFonts w:ascii="Arial" w:hAnsi="Arial" w:eastAsia="Arial" w:cs="Arial"/>
          <w:noProof w:val="0"/>
          <w:color w:val="000000" w:themeColor="text1" w:themeTint="FF" w:themeShade="FF"/>
          <w:sz w:val="24"/>
          <w:szCs w:val="24"/>
          <w:lang w:val="en-GB"/>
        </w:rPr>
      </w:pPr>
    </w:p>
    <w:p w:rsidR="48425EEE" w:rsidP="52EB4E41" w:rsidRDefault="48425EEE" w14:paraId="4E2343F9" w14:textId="44F2DE92">
      <w:pPr>
        <w:spacing w:before="0" w:beforeAutospacing="off" w:after="0" w:afterAutospacing="off"/>
      </w:pPr>
      <w:r w:rsidRPr="52EB4E41" w:rsidR="40A9ED5B">
        <w:rPr>
          <w:rFonts w:ascii="Arial" w:hAnsi="Arial" w:eastAsia="Arial" w:cs="Arial"/>
          <w:noProof w:val="0"/>
          <w:color w:val="0E101A"/>
          <w:sz w:val="24"/>
          <w:szCs w:val="24"/>
          <w:lang w:val="en-GB"/>
        </w:rPr>
        <w:t xml:space="preserve">Camille Walala's </w:t>
      </w:r>
      <w:r w:rsidRPr="52EB4E41" w:rsidR="40A9ED5B">
        <w:rPr>
          <w:rFonts w:ascii="Arial" w:hAnsi="Arial" w:eastAsia="Arial" w:cs="Arial"/>
          <w:i w:val="1"/>
          <w:iCs w:val="1"/>
          <w:noProof w:val="0"/>
          <w:color w:val="0E101A"/>
          <w:sz w:val="24"/>
          <w:szCs w:val="24"/>
          <w:lang w:val="en-GB"/>
        </w:rPr>
        <w:t>Perspective Party</w:t>
      </w:r>
      <w:r w:rsidRPr="52EB4E41" w:rsidR="40A9ED5B">
        <w:rPr>
          <w:rFonts w:ascii="Arial" w:hAnsi="Arial" w:eastAsia="Arial" w:cs="Arial"/>
          <w:noProof w:val="0"/>
          <w:color w:val="0E101A"/>
          <w:sz w:val="24"/>
          <w:szCs w:val="24"/>
          <w:lang w:val="en-GB"/>
        </w:rPr>
        <w:t xml:space="preserve"> serves as a pivotal work within the exhibition. The installation reimagines a 1,500-square-foot space as an immersive, visually dynamic environment. Employing bold geometric forms, saturated colour palettes, and rhythmic spatial arrangements, Walala challenges conventional </w:t>
      </w:r>
      <w:r w:rsidRPr="52EB4E41" w:rsidR="40A9ED5B">
        <w:rPr>
          <w:rFonts w:ascii="Arial" w:hAnsi="Arial" w:eastAsia="Arial" w:cs="Arial"/>
          <w:noProof w:val="0"/>
          <w:color w:val="0E101A"/>
          <w:sz w:val="24"/>
          <w:szCs w:val="24"/>
          <w:lang w:val="en-GB"/>
        </w:rPr>
        <w:t>perceptions</w:t>
      </w:r>
      <w:r w:rsidRPr="52EB4E41" w:rsidR="40A9ED5B">
        <w:rPr>
          <w:rFonts w:ascii="Arial" w:hAnsi="Arial" w:eastAsia="Arial" w:cs="Arial"/>
          <w:noProof w:val="0"/>
          <w:color w:val="0E101A"/>
          <w:sz w:val="24"/>
          <w:szCs w:val="24"/>
          <w:lang w:val="en-GB"/>
        </w:rPr>
        <w:t xml:space="preserve"> of space. The work evokes a range of emotional responses such as joy, disorientation, and curiosity. "Engaging with art can have measurable effects on cognitive processes such as attention, memory, and problem-solving skills." (</w:t>
      </w:r>
      <w:r w:rsidRPr="52EB4E41" w:rsidR="40A9ED5B">
        <w:rPr>
          <w:rFonts w:ascii="Arial" w:hAnsi="Arial" w:eastAsia="Arial" w:cs="Arial"/>
          <w:noProof w:val="0"/>
          <w:color w:val="0E101A"/>
          <w:sz w:val="24"/>
          <w:szCs w:val="24"/>
          <w:lang w:val="en-GB"/>
        </w:rPr>
        <w:t>Rameshti</w:t>
      </w:r>
      <w:r w:rsidRPr="52EB4E41" w:rsidR="40A9ED5B">
        <w:rPr>
          <w:rFonts w:ascii="Arial" w:hAnsi="Arial" w:eastAsia="Arial" w:cs="Arial"/>
          <w:noProof w:val="0"/>
          <w:color w:val="0E101A"/>
          <w:sz w:val="24"/>
          <w:szCs w:val="24"/>
          <w:lang w:val="en-GB"/>
        </w:rPr>
        <w:t xml:space="preserve">, 2025) Walala's installation invites physical and perceptual interaction, further prompting viewers to navigate and interpret the environment in novel ways and in turn creating stronger cognitive </w:t>
      </w:r>
      <w:r w:rsidRPr="52EB4E41" w:rsidR="40A9ED5B">
        <w:rPr>
          <w:rFonts w:ascii="Arial" w:hAnsi="Arial" w:eastAsia="Arial" w:cs="Arial"/>
          <w:noProof w:val="0"/>
          <w:color w:val="0E101A"/>
          <w:sz w:val="24"/>
          <w:szCs w:val="24"/>
          <w:lang w:val="en-GB"/>
        </w:rPr>
        <w:t>flexibilty</w:t>
      </w:r>
      <w:r w:rsidRPr="52EB4E41" w:rsidR="40A9ED5B">
        <w:rPr>
          <w:rFonts w:ascii="Arial" w:hAnsi="Arial" w:eastAsia="Arial" w:cs="Arial"/>
          <w:noProof w:val="0"/>
          <w:color w:val="0E101A"/>
          <w:sz w:val="24"/>
          <w:szCs w:val="24"/>
          <w:lang w:val="en-GB"/>
        </w:rPr>
        <w:t xml:space="preserve"> for viewers</w:t>
      </w:r>
      <w:r w:rsidRPr="52EB4E41" w:rsidR="40A9ED5B">
        <w:rPr>
          <w:rFonts w:ascii="Arial" w:hAnsi="Arial" w:eastAsia="Arial" w:cs="Arial"/>
          <w:noProof w:val="0"/>
          <w:color w:val="0E101A"/>
          <w:sz w:val="24"/>
          <w:szCs w:val="24"/>
          <w:lang w:val="en-GB"/>
        </w:rPr>
        <w:t xml:space="preserve">.  </w:t>
      </w:r>
    </w:p>
    <w:p w:rsidR="48425EEE" w:rsidP="52EB4E41" w:rsidRDefault="48425EEE" w14:paraId="649398F6" w14:textId="642875C3">
      <w:pPr>
        <w:spacing w:before="0" w:beforeAutospacing="off" w:after="0" w:afterAutospacing="off"/>
        <w:rPr>
          <w:rFonts w:ascii="Arial" w:hAnsi="Arial" w:eastAsia="Arial" w:cs="Arial"/>
          <w:noProof w:val="0"/>
          <w:color w:val="0E101A"/>
          <w:sz w:val="24"/>
          <w:szCs w:val="24"/>
          <w:lang w:val="en-GB"/>
        </w:rPr>
      </w:pPr>
    </w:p>
    <w:p w:rsidR="48425EEE" w:rsidP="52EB4E41" w:rsidRDefault="48425EEE" w14:paraId="7B1F089F" w14:textId="33CEA523">
      <w:pPr>
        <w:spacing w:before="0" w:beforeAutospacing="off" w:after="0" w:afterAutospacing="off"/>
      </w:pPr>
      <w:r w:rsidRPr="52EB4E41" w:rsidR="40A9ED5B">
        <w:rPr>
          <w:rFonts w:ascii="Arial" w:hAnsi="Arial" w:eastAsia="Arial" w:cs="Arial"/>
          <w:noProof w:val="0"/>
          <w:color w:val="0E101A"/>
          <w:sz w:val="24"/>
          <w:szCs w:val="24"/>
          <w:lang w:val="en-GB"/>
        </w:rPr>
        <w:t xml:space="preserve">Walala's broader design philosophy centres on creating accessible, emotionally resonant spaces that defy traditional expectations of artistic consumption. She is known for bringing vibrant, colourful interventions to otherwise monotonous urban environments, while also producing interior spaces that are invigorating and often verge on the psychedelic. Walala's objective is to foster a sense of delight and emotional engagement through spatial design. This ethos is articulated in her monograph </w:t>
      </w:r>
      <w:r w:rsidRPr="52EB4E41" w:rsidR="40A9ED5B">
        <w:rPr>
          <w:rFonts w:ascii="Arial" w:hAnsi="Arial" w:eastAsia="Arial" w:cs="Arial"/>
          <w:i w:val="1"/>
          <w:iCs w:val="1"/>
          <w:noProof w:val="0"/>
          <w:color w:val="0E101A"/>
          <w:sz w:val="24"/>
          <w:szCs w:val="24"/>
          <w:lang w:val="en-GB"/>
        </w:rPr>
        <w:t>Taking Joy Seriously</w:t>
      </w:r>
      <w:r w:rsidRPr="52EB4E41" w:rsidR="40A9ED5B">
        <w:rPr>
          <w:rFonts w:ascii="Arial" w:hAnsi="Arial" w:eastAsia="Arial" w:cs="Arial"/>
          <w:noProof w:val="0"/>
          <w:color w:val="0E101A"/>
          <w:sz w:val="24"/>
          <w:szCs w:val="24"/>
          <w:lang w:val="en-GB"/>
        </w:rPr>
        <w:t xml:space="preserve">, which outlines her commitment to using public design as a vehicle for positivity and shared experience (Walala, 2021). This approach aligns with the framework of environmental psychology, which highlights the use of multi-sensory, immersive environments to promote psychological wellbeing and emotional resonance. As Ulrich et al. (1991) emphasise, "exposure to natural settings can promote recovery from stress and have positive effects on health and wellbeing”. </w:t>
      </w:r>
      <w:r w:rsidRPr="52EB4E41" w:rsidR="40A9ED5B">
        <w:rPr>
          <w:rFonts w:ascii="Arial" w:hAnsi="Arial" w:eastAsia="Arial" w:cs="Arial"/>
          <w:i w:val="1"/>
          <w:iCs w:val="1"/>
          <w:noProof w:val="0"/>
          <w:color w:val="0E101A"/>
          <w:sz w:val="24"/>
          <w:szCs w:val="24"/>
          <w:lang w:val="en-GB"/>
        </w:rPr>
        <w:t>Perspective Party</w:t>
      </w:r>
      <w:r w:rsidRPr="52EB4E41" w:rsidR="40A9ED5B">
        <w:rPr>
          <w:rFonts w:ascii="Arial" w:hAnsi="Arial" w:eastAsia="Arial" w:cs="Arial"/>
          <w:noProof w:val="0"/>
          <w:color w:val="0E101A"/>
          <w:sz w:val="24"/>
          <w:szCs w:val="24"/>
          <w:lang w:val="en-GB"/>
        </w:rPr>
        <w:t xml:space="preserve"> demonstrates how spatial design can function not just as visual expression, but as an experiential and affective encounter that enhances creative engagement and communal interaction.  </w:t>
      </w:r>
    </w:p>
    <w:p w:rsidR="48425EEE" w:rsidP="52EB4E41" w:rsidRDefault="48425EEE" w14:paraId="0C32C99A" w14:textId="29AA2A3F">
      <w:pPr>
        <w:spacing w:before="240" w:beforeAutospacing="off" w:after="240" w:afterAutospacing="off"/>
        <w:rPr>
          <w:rFonts w:ascii="Arial" w:hAnsi="Arial" w:eastAsia="Arial" w:cs="Arial"/>
          <w:noProof w:val="0"/>
          <w:color w:val="0E101A"/>
          <w:sz w:val="24"/>
          <w:szCs w:val="24"/>
          <w:lang w:val="en-GB"/>
        </w:rPr>
      </w:pPr>
    </w:p>
    <w:p w:rsidR="48425EEE" w:rsidP="52EB4E41" w:rsidRDefault="48425EEE" w14:paraId="37A8C07E" w14:textId="23EA374B">
      <w:pPr>
        <w:spacing w:before="240" w:beforeAutospacing="off" w:after="240" w:afterAutospacing="off"/>
        <w:rPr>
          <w:rFonts w:ascii="Arial" w:hAnsi="Arial" w:eastAsia="Arial" w:cs="Arial"/>
          <w:noProof w:val="0"/>
          <w:color w:val="0E101A"/>
          <w:sz w:val="24"/>
          <w:szCs w:val="24"/>
          <w:lang w:val="en-GB"/>
        </w:rPr>
      </w:pPr>
    </w:p>
    <w:p w:rsidR="48425EEE" w:rsidP="5C3746C2" w:rsidRDefault="48425EEE" w14:paraId="4B551C51" w14:textId="604989D8">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r w:rsidRPr="52EB4E41" w:rsidR="24CF0C2E">
        <w:rPr>
          <w:rFonts w:ascii="Arial" w:hAnsi="Arial" w:eastAsia="Arial" w:cs="Arial"/>
        </w:rPr>
        <w:t xml:space="preserve">                               </w:t>
      </w:r>
      <w:r w:rsidR="26D399FB">
        <w:drawing>
          <wp:inline wp14:editId="3509855A" wp14:anchorId="69827868">
            <wp:extent cx="3635415" cy="2480993"/>
            <wp:effectExtent l="0" t="0" r="0" b="0"/>
            <wp:docPr id="640941004" name="" title=""/>
            <wp:cNvGraphicFramePr>
              <a:graphicFrameLocks noChangeAspect="1"/>
            </wp:cNvGraphicFramePr>
            <a:graphic>
              <a:graphicData uri="http://schemas.openxmlformats.org/drawingml/2006/picture">
                <pic:pic>
                  <pic:nvPicPr>
                    <pic:cNvPr id="0" name=""/>
                    <pic:cNvPicPr/>
                  </pic:nvPicPr>
                  <pic:blipFill>
                    <a:blip r:embed="R69e6029bc46240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5415" cy="2480993"/>
                    </a:xfrm>
                    <a:prstGeom prst="rect">
                      <a:avLst/>
                    </a:prstGeom>
                  </pic:spPr>
                </pic:pic>
              </a:graphicData>
            </a:graphic>
          </wp:inline>
        </w:drawing>
      </w:r>
    </w:p>
    <w:p w:rsidR="26709BA2" w:rsidP="52EB4E41" w:rsidRDefault="26709BA2" w14:paraId="203C5474" w14:textId="251ED226">
      <w:pPr>
        <w:spacing w:before="240" w:beforeAutospacing="off" w:after="240" w:afterAutospacing="off"/>
        <w:rPr>
          <w:rFonts w:ascii="Arial" w:hAnsi="Arial" w:eastAsia="Arial" w:cs="Arial"/>
          <w:noProof w:val="0"/>
          <w:color w:val="000000" w:themeColor="text1" w:themeTint="FF" w:themeShade="FF"/>
          <w:sz w:val="20"/>
          <w:szCs w:val="20"/>
          <w:lang w:val="en-GB"/>
        </w:rPr>
      </w:pPr>
      <w:r w:rsidRPr="52EB4E41" w:rsidR="51DE5188">
        <w:rPr>
          <w:rFonts w:ascii="Arial" w:hAnsi="Arial" w:eastAsia="Arial" w:cs="Arial"/>
          <w:noProof w:val="0"/>
          <w:color w:val="747474" w:themeColor="background2" w:themeTint="FF" w:themeShade="80"/>
          <w:sz w:val="20"/>
          <w:szCs w:val="20"/>
          <w:lang w:val="en-GB"/>
        </w:rPr>
        <w:t xml:space="preserve">Figure 3: </w:t>
      </w:r>
      <w:r w:rsidRPr="52EB4E41" w:rsidR="51DE5188">
        <w:rPr>
          <w:rFonts w:ascii="Arial" w:hAnsi="Arial" w:eastAsia="Arial" w:cs="Arial"/>
          <w:noProof w:val="0"/>
          <w:color w:val="747474" w:themeColor="background2" w:themeTint="FF" w:themeShade="80"/>
          <w:sz w:val="20"/>
          <w:szCs w:val="20"/>
          <w:lang w:val="en-GB"/>
        </w:rPr>
        <w:t xml:space="preserve">Ilori, Y. (n.d.) </w:t>
      </w:r>
      <w:r w:rsidRPr="52EB4E41" w:rsidR="51DE5188">
        <w:rPr>
          <w:rFonts w:ascii="Arial" w:hAnsi="Arial" w:eastAsia="Arial" w:cs="Arial"/>
          <w:i w:val="1"/>
          <w:iCs w:val="1"/>
          <w:noProof w:val="0"/>
          <w:color w:val="747474" w:themeColor="background2" w:themeTint="FF" w:themeShade="80"/>
          <w:sz w:val="20"/>
          <w:szCs w:val="20"/>
          <w:lang w:val="en-GB"/>
        </w:rPr>
        <w:t>Paradise for All</w:t>
      </w:r>
      <w:r w:rsidRPr="52EB4E41" w:rsidR="51DE5188">
        <w:rPr>
          <w:rFonts w:ascii="Arial" w:hAnsi="Arial" w:eastAsia="Arial" w:cs="Arial"/>
          <w:noProof w:val="0"/>
          <w:color w:val="747474" w:themeColor="background2" w:themeTint="FF" w:themeShade="80"/>
          <w:sz w:val="20"/>
          <w:szCs w:val="20"/>
          <w:lang w:val="en-GB"/>
        </w:rPr>
        <w:t>.</w:t>
      </w:r>
    </w:p>
    <w:p w:rsidR="26709BA2" w:rsidP="52EB4E41" w:rsidRDefault="26709BA2" w14:paraId="2439638B" w14:textId="730ABF3B">
      <w:pPr>
        <w:spacing w:before="0" w:beforeAutospacing="off" w:after="0" w:afterAutospacing="off"/>
      </w:pPr>
      <w:r w:rsidRPr="52EB4E41" w:rsidR="3482C595">
        <w:rPr>
          <w:rFonts w:ascii="Arial" w:hAnsi="Arial" w:eastAsia="Arial" w:cs="Arial"/>
          <w:noProof w:val="0"/>
          <w:color w:val="0E101A"/>
          <w:sz w:val="24"/>
          <w:szCs w:val="24"/>
          <w:lang w:val="en-GB"/>
        </w:rPr>
        <w:t xml:space="preserve">Yinka Ilori's </w:t>
      </w:r>
      <w:r w:rsidRPr="52EB4E41" w:rsidR="3482C595">
        <w:rPr>
          <w:rFonts w:ascii="Arial" w:hAnsi="Arial" w:eastAsia="Arial" w:cs="Arial"/>
          <w:i w:val="1"/>
          <w:iCs w:val="1"/>
          <w:noProof w:val="0"/>
          <w:color w:val="0E101A"/>
          <w:sz w:val="24"/>
          <w:szCs w:val="24"/>
          <w:lang w:val="en-GB"/>
        </w:rPr>
        <w:t>Paradise for All</w:t>
      </w:r>
      <w:r w:rsidRPr="52EB4E41" w:rsidR="3482C595">
        <w:rPr>
          <w:rFonts w:ascii="Arial" w:hAnsi="Arial" w:eastAsia="Arial" w:cs="Arial"/>
          <w:noProof w:val="0"/>
          <w:color w:val="0E101A"/>
          <w:sz w:val="24"/>
          <w:szCs w:val="24"/>
          <w:lang w:val="en-GB"/>
        </w:rPr>
        <w:t xml:space="preserve"> creates a contrasting but complementary experience within the exhibition. Ilori's work draws upon a well reconised symbol, a flower. Ilori delves into its role as both a decorative and symbolic motif. Flowers are often found present during celebrations and periods of mourning, they embody both beauty and transcience. The vibrant installations created by Ilori prompts viewers to reflect on lifes complexity. As he articulates, "The beauty of flowers lies in their gentle sequence of life: they bud, bloom, and fade away in a continuous cycle of being, and becoming". This cyclical nature underscores the themes of impermanence and renewal inherent in the work.  </w:t>
      </w:r>
    </w:p>
    <w:p w:rsidR="26709BA2" w:rsidP="52EB4E41" w:rsidRDefault="26709BA2" w14:paraId="06A090F0" w14:textId="616FCE08">
      <w:pPr>
        <w:spacing w:before="0" w:beforeAutospacing="off" w:after="0" w:afterAutospacing="off"/>
      </w:pPr>
      <w:r w:rsidRPr="52EB4E41" w:rsidR="3482C595">
        <w:rPr>
          <w:rFonts w:ascii="Arial" w:hAnsi="Arial" w:eastAsia="Arial" w:cs="Arial"/>
          <w:noProof w:val="0"/>
          <w:color w:val="0E101A"/>
          <w:sz w:val="24"/>
          <w:szCs w:val="24"/>
          <w:lang w:val="en-GB"/>
        </w:rPr>
        <w:t xml:space="preserve"> </w:t>
      </w:r>
    </w:p>
    <w:p w:rsidR="26709BA2" w:rsidP="52EB4E41" w:rsidRDefault="26709BA2" w14:paraId="00D6BEC9" w14:textId="5B6D19B8">
      <w:pPr>
        <w:spacing w:before="0" w:beforeAutospacing="off" w:after="0" w:afterAutospacing="off"/>
      </w:pPr>
      <w:r w:rsidRPr="52EB4E41" w:rsidR="3482C595">
        <w:rPr>
          <w:rFonts w:ascii="Arial" w:hAnsi="Arial" w:eastAsia="Arial" w:cs="Arial"/>
          <w:noProof w:val="0"/>
          <w:color w:val="0E101A"/>
          <w:sz w:val="24"/>
          <w:szCs w:val="24"/>
          <w:lang w:val="en-GB"/>
        </w:rPr>
        <w:t xml:space="preserve">Ilori employs bright, multicultural, and emotionally resonant. His British-Nigerian heritage informs this aesthetic, blending vibrant colours and patterns that resonate across cultures. Ilori's approach aligns with his broader philosophy that design should serve as a channel for joy and storytelling. He asserts, "My work has to say something, that's my purpose". By transforming completly ordinary spaces into immersive experiences, a sense of community and shared reflection can foster, highlighting the potential of design to engage audiences on both emotional and intellectual levels.  </w:t>
      </w:r>
    </w:p>
    <w:p w:rsidR="26709BA2" w:rsidP="52EB4E41" w:rsidRDefault="26709BA2" w14:paraId="4627566E" w14:textId="5E0EA536">
      <w:pPr>
        <w:spacing w:before="0" w:beforeAutospacing="off" w:after="0" w:afterAutospacing="off"/>
      </w:pPr>
      <w:r w:rsidRPr="52EB4E41" w:rsidR="3482C595">
        <w:rPr>
          <w:rFonts w:ascii="Arial" w:hAnsi="Arial" w:eastAsia="Arial" w:cs="Arial"/>
          <w:noProof w:val="0"/>
          <w:color w:val="0E101A"/>
          <w:sz w:val="24"/>
          <w:szCs w:val="24"/>
          <w:lang w:val="en-GB"/>
        </w:rPr>
        <w:t xml:space="preserve"> </w:t>
      </w:r>
    </w:p>
    <w:p w:rsidR="26709BA2" w:rsidP="52EB4E41" w:rsidRDefault="26709BA2" w14:paraId="2560980D" w14:textId="45A2F6C2">
      <w:pPr>
        <w:spacing w:before="0" w:beforeAutospacing="off" w:after="0" w:afterAutospacing="off"/>
      </w:pPr>
      <w:r w:rsidRPr="52EB4E41" w:rsidR="3482C595">
        <w:rPr>
          <w:rFonts w:ascii="Arial" w:hAnsi="Arial" w:eastAsia="Arial" w:cs="Arial"/>
          <w:noProof w:val="0"/>
          <w:color w:val="0E101A"/>
          <w:sz w:val="24"/>
          <w:szCs w:val="24"/>
          <w:lang w:val="en-GB"/>
        </w:rPr>
        <w:t>Research supports Ilori's approach, demonstrating that exposure to colourful, dynamic environments can enhance psychological wellbeing and promote social interaction. As Küller et al. (2009) found, "colour in the environment influences emotional states and arousal levels," this reinforces the idea that Ilori's installations operate on both an aesthetic and affective level.</w:t>
      </w:r>
    </w:p>
    <w:p w:rsidR="26709BA2" w:rsidP="52EB4E41" w:rsidRDefault="26709BA2" w14:paraId="56B34E5F" w14:textId="2A652936">
      <w:pPr>
        <w:spacing w:before="0" w:beforeAutospacing="off" w:after="0" w:afterAutospacing="off"/>
        <w:rPr>
          <w:rFonts w:ascii="Arial" w:hAnsi="Arial" w:eastAsia="Arial" w:cs="Arial"/>
          <w:noProof w:val="0"/>
          <w:color w:val="0E101A"/>
          <w:sz w:val="24"/>
          <w:szCs w:val="24"/>
          <w:lang w:val="en-GB"/>
        </w:rPr>
      </w:pPr>
    </w:p>
    <w:p w:rsidR="26709BA2" w:rsidP="52EB4E41" w:rsidRDefault="26709BA2" w14:paraId="194CA81C" w14:textId="4CAEAD3A">
      <w:pPr>
        <w:spacing w:before="240" w:beforeAutospacing="off" w:after="240" w:afterAutospacing="off"/>
        <w:rPr>
          <w:rFonts w:ascii="Arial" w:hAnsi="Arial" w:eastAsia="Arial" w:cs="Arial"/>
          <w:noProof w:val="0"/>
          <w:color w:val="000000" w:themeColor="text1" w:themeTint="FF" w:themeShade="FF"/>
          <w:sz w:val="24"/>
          <w:szCs w:val="24"/>
          <w:lang w:val="en-GB"/>
        </w:rPr>
      </w:pPr>
    </w:p>
    <w:p w:rsidR="26709BA2" w:rsidP="5C3746C2" w:rsidRDefault="26709BA2" w14:paraId="055C4533" w14:textId="3309714D">
      <w:pPr>
        <w:spacing w:before="240" w:beforeAutospacing="off" w:after="240" w:afterAutospacing="off"/>
        <w:rPr>
          <w:rFonts w:ascii="Arial" w:hAnsi="Arial" w:eastAsia="Arial" w:cs="Arial"/>
          <w:noProof w:val="0"/>
          <w:color w:val="000000" w:themeColor="text1" w:themeTint="FF" w:themeShade="FF"/>
          <w:sz w:val="24"/>
          <w:szCs w:val="24"/>
          <w:lang w:val="en-GB"/>
        </w:rPr>
      </w:pPr>
      <w:r w:rsidRPr="52EB4E41" w:rsidR="09359D83">
        <w:rPr>
          <w:rFonts w:ascii="Arial" w:hAnsi="Arial" w:eastAsia="Arial" w:cs="Arial"/>
        </w:rPr>
        <w:t xml:space="preserve">   </w:t>
      </w:r>
      <w:r w:rsidR="09359D83">
        <w:drawing>
          <wp:inline wp14:editId="0AD77494" wp14:anchorId="3637FE54">
            <wp:extent cx="2154318" cy="1629548"/>
            <wp:effectExtent l="0" t="0" r="0" b="0"/>
            <wp:docPr id="1446177903" name="" title=""/>
            <wp:cNvGraphicFramePr>
              <a:graphicFrameLocks noChangeAspect="1"/>
            </wp:cNvGraphicFramePr>
            <a:graphic>
              <a:graphicData uri="http://schemas.openxmlformats.org/drawingml/2006/picture">
                <pic:pic>
                  <pic:nvPicPr>
                    <pic:cNvPr id="0" name=""/>
                    <pic:cNvPicPr/>
                  </pic:nvPicPr>
                  <pic:blipFill>
                    <a:blip r:embed="R6839e0d09afa4f9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54318" cy="1629548"/>
                    </a:xfrm>
                    <a:prstGeom prst="rect">
                      <a:avLst/>
                    </a:prstGeom>
                  </pic:spPr>
                </pic:pic>
              </a:graphicData>
            </a:graphic>
          </wp:inline>
        </w:drawing>
      </w:r>
      <w:r w:rsidRPr="52EB4E41" w:rsidR="09359D83">
        <w:rPr>
          <w:rFonts w:ascii="Arial" w:hAnsi="Arial" w:eastAsia="Arial" w:cs="Arial"/>
        </w:rPr>
        <w:t xml:space="preserve">              </w:t>
      </w:r>
      <w:r w:rsidR="09359D83">
        <w:drawing>
          <wp:inline wp14:editId="4586A92C" wp14:anchorId="437BF0F1">
            <wp:extent cx="2514415" cy="1612382"/>
            <wp:effectExtent l="0" t="0" r="0" b="0"/>
            <wp:docPr id="769854852" name="" title=""/>
            <wp:cNvGraphicFramePr>
              <a:graphicFrameLocks noChangeAspect="1"/>
            </wp:cNvGraphicFramePr>
            <a:graphic>
              <a:graphicData uri="http://schemas.openxmlformats.org/drawingml/2006/picture">
                <pic:pic>
                  <pic:nvPicPr>
                    <pic:cNvPr id="0" name=""/>
                    <pic:cNvPicPr/>
                  </pic:nvPicPr>
                  <pic:blipFill>
                    <a:blip r:embed="R873c7bd75d9c48d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14415" cy="1612382"/>
                    </a:xfrm>
                    <a:prstGeom prst="rect">
                      <a:avLst/>
                    </a:prstGeom>
                  </pic:spPr>
                </pic:pic>
              </a:graphicData>
            </a:graphic>
          </wp:inline>
        </w:drawing>
      </w:r>
    </w:p>
    <w:p w:rsidR="00D26706" w:rsidP="52EB4E41" w:rsidRDefault="00D26706" w14:paraId="296F3AAF" w14:textId="75965677">
      <w:pPr>
        <w:spacing w:before="240" w:beforeAutospacing="off" w:after="240" w:afterAutospacing="off"/>
        <w:rPr>
          <w:rFonts w:ascii="Arial" w:hAnsi="Arial" w:eastAsia="Arial" w:cs="Arial"/>
          <w:noProof w:val="0"/>
          <w:color w:val="747474" w:themeColor="background2" w:themeTint="FF" w:themeShade="80"/>
          <w:sz w:val="20"/>
          <w:szCs w:val="20"/>
          <w:lang w:val="en-GB"/>
        </w:rPr>
      </w:pPr>
      <w:r w:rsidRPr="52EB4E41" w:rsidR="00D26706">
        <w:rPr>
          <w:rFonts w:ascii="Arial" w:hAnsi="Arial" w:eastAsia="Arial" w:cs="Arial"/>
          <w:noProof w:val="0"/>
          <w:color w:val="747474" w:themeColor="background2" w:themeTint="FF" w:themeShade="80"/>
          <w:sz w:val="20"/>
          <w:szCs w:val="20"/>
          <w:lang w:val="en-GB"/>
        </w:rPr>
        <w:t xml:space="preserve">Figure 4: </w:t>
      </w:r>
      <w:r w:rsidRPr="52EB4E41" w:rsidR="00D26706">
        <w:rPr>
          <w:rFonts w:ascii="Arial" w:hAnsi="Arial" w:eastAsia="Arial" w:cs="Arial"/>
          <w:noProof w:val="0"/>
          <w:color w:val="747474" w:themeColor="background2" w:themeTint="FF" w:themeShade="80"/>
          <w:sz w:val="20"/>
          <w:szCs w:val="20"/>
          <w:lang w:val="en-GB"/>
        </w:rPr>
        <w:t xml:space="preserve">Perry, M. (n.d.) </w:t>
      </w:r>
      <w:r w:rsidRPr="52EB4E41" w:rsidR="00D26706">
        <w:rPr>
          <w:rFonts w:ascii="Arial" w:hAnsi="Arial" w:eastAsia="Arial" w:cs="Arial"/>
          <w:i w:val="1"/>
          <w:iCs w:val="1"/>
          <w:noProof w:val="0"/>
          <w:color w:val="747474" w:themeColor="background2" w:themeTint="FF" w:themeShade="80"/>
          <w:sz w:val="20"/>
          <w:szCs w:val="20"/>
          <w:lang w:val="en-GB"/>
        </w:rPr>
        <w:t xml:space="preserve">Still Now is Here: </w:t>
      </w:r>
      <w:r w:rsidRPr="52EB4E41" w:rsidR="00D26706">
        <w:rPr>
          <w:rFonts w:ascii="Arial" w:hAnsi="Arial" w:eastAsia="Arial" w:cs="Arial"/>
          <w:i w:val="1"/>
          <w:iCs w:val="1"/>
          <w:noProof w:val="0"/>
          <w:color w:val="747474" w:themeColor="background2" w:themeTint="FF" w:themeShade="80"/>
          <w:sz w:val="20"/>
          <w:szCs w:val="20"/>
          <w:lang w:val="en-GB"/>
        </w:rPr>
        <w:t>Woolgather</w:t>
      </w:r>
      <w:r w:rsidRPr="52EB4E41" w:rsidR="00D26706">
        <w:rPr>
          <w:rFonts w:ascii="Arial" w:hAnsi="Arial" w:eastAsia="Arial" w:cs="Arial"/>
          <w:i w:val="1"/>
          <w:iCs w:val="1"/>
          <w:noProof w:val="0"/>
          <w:color w:val="747474" w:themeColor="background2" w:themeTint="FF" w:themeShade="80"/>
          <w:sz w:val="20"/>
          <w:szCs w:val="20"/>
          <w:lang w:val="en-GB"/>
        </w:rPr>
        <w:t xml:space="preserve"> Together</w:t>
      </w:r>
      <w:r w:rsidRPr="52EB4E41" w:rsidR="00D26706">
        <w:rPr>
          <w:rFonts w:ascii="Arial" w:hAnsi="Arial" w:eastAsia="Arial" w:cs="Arial"/>
          <w:noProof w:val="0"/>
          <w:color w:val="747474" w:themeColor="background2" w:themeTint="FF" w:themeShade="80"/>
          <w:sz w:val="20"/>
          <w:szCs w:val="20"/>
          <w:lang w:val="en-GB"/>
        </w:rPr>
        <w:t>.</w:t>
      </w:r>
    </w:p>
    <w:p w:rsidR="52EB4E41" w:rsidP="52EB4E41" w:rsidRDefault="52EB4E41" w14:paraId="0EBBE534" w14:textId="71271701">
      <w:pPr>
        <w:spacing w:before="240" w:beforeAutospacing="off" w:after="240" w:afterAutospacing="off"/>
        <w:rPr>
          <w:rFonts w:ascii="Arial" w:hAnsi="Arial" w:eastAsia="Arial" w:cs="Arial"/>
          <w:noProof w:val="0"/>
          <w:color w:val="000000" w:themeColor="text1" w:themeTint="FF" w:themeShade="FF"/>
          <w:sz w:val="24"/>
          <w:szCs w:val="24"/>
          <w:lang w:val="en-GB"/>
        </w:rPr>
      </w:pPr>
    </w:p>
    <w:p w:rsidR="103CF100" w:rsidP="52EB4E41" w:rsidRDefault="103CF100" w14:paraId="73CEB845" w14:textId="6A29BFF4">
      <w:pPr>
        <w:spacing w:before="0" w:beforeAutospacing="off" w:after="0" w:afterAutospacing="off"/>
      </w:pPr>
      <w:r w:rsidRPr="52EB4E41" w:rsidR="103CF100">
        <w:rPr>
          <w:rFonts w:ascii="Arial" w:hAnsi="Arial" w:eastAsia="Arial" w:cs="Arial"/>
          <w:noProof w:val="0"/>
          <w:color w:val="0E101A"/>
          <w:sz w:val="24"/>
          <w:szCs w:val="24"/>
          <w:lang w:val="en-GB"/>
        </w:rPr>
        <w:t xml:space="preserve">Mike Perry’s </w:t>
      </w:r>
      <w:r w:rsidRPr="52EB4E41" w:rsidR="103CF100">
        <w:rPr>
          <w:rFonts w:ascii="Arial" w:hAnsi="Arial" w:eastAsia="Arial" w:cs="Arial"/>
          <w:i w:val="1"/>
          <w:iCs w:val="1"/>
          <w:noProof w:val="0"/>
          <w:color w:val="0E101A"/>
          <w:sz w:val="24"/>
          <w:szCs w:val="24"/>
          <w:lang w:val="en-GB"/>
        </w:rPr>
        <w:t xml:space="preserve">Still Now is Here: </w:t>
      </w:r>
      <w:r w:rsidRPr="52EB4E41" w:rsidR="103CF100">
        <w:rPr>
          <w:rFonts w:ascii="Arial" w:hAnsi="Arial" w:eastAsia="Arial" w:cs="Arial"/>
          <w:i w:val="1"/>
          <w:iCs w:val="1"/>
          <w:noProof w:val="0"/>
          <w:color w:val="0E101A"/>
          <w:sz w:val="24"/>
          <w:szCs w:val="24"/>
          <w:lang w:val="en-GB"/>
        </w:rPr>
        <w:t>Woolgather</w:t>
      </w:r>
      <w:r w:rsidRPr="52EB4E41" w:rsidR="103CF100">
        <w:rPr>
          <w:rFonts w:ascii="Arial" w:hAnsi="Arial" w:eastAsia="Arial" w:cs="Arial"/>
          <w:i w:val="1"/>
          <w:iCs w:val="1"/>
          <w:noProof w:val="0"/>
          <w:color w:val="0E101A"/>
          <w:sz w:val="24"/>
          <w:szCs w:val="24"/>
          <w:lang w:val="en-GB"/>
        </w:rPr>
        <w:t xml:space="preserve"> Together</w:t>
      </w:r>
      <w:r w:rsidRPr="52EB4E41" w:rsidR="103CF100">
        <w:rPr>
          <w:rFonts w:ascii="Arial" w:hAnsi="Arial" w:eastAsia="Arial" w:cs="Arial"/>
          <w:noProof w:val="0"/>
          <w:color w:val="0E101A"/>
          <w:sz w:val="24"/>
          <w:szCs w:val="24"/>
          <w:lang w:val="en-GB"/>
        </w:rPr>
        <w:t xml:space="preserve"> completes the body of works found in the exhibition. Known for his energetic and pop-art sensibility, Perry’s work embodies creative spontaneity. His installations are an explosion of colour and form. Perry invites his audience on a playful exploration of self-awareness and community connection, promoting acceptance of imperfection and the unknown. Perry celebrates the idea that art can be messy, fun, and deeply human. </w:t>
      </w:r>
    </w:p>
    <w:p w:rsidR="52EB4E41" w:rsidP="52EB4E41" w:rsidRDefault="52EB4E41" w14:paraId="0EA6D07A" w14:textId="5E677142">
      <w:pPr>
        <w:spacing w:before="0" w:beforeAutospacing="off" w:after="0" w:afterAutospacing="off"/>
        <w:rPr>
          <w:rFonts w:ascii="Arial" w:hAnsi="Arial" w:eastAsia="Arial" w:cs="Arial"/>
          <w:noProof w:val="0"/>
          <w:color w:val="0E101A"/>
          <w:sz w:val="24"/>
          <w:szCs w:val="24"/>
          <w:lang w:val="en-GB"/>
        </w:rPr>
      </w:pPr>
    </w:p>
    <w:p w:rsidR="103CF100" w:rsidP="52EB4E41" w:rsidRDefault="103CF100" w14:paraId="5D23D92C" w14:textId="3D918198">
      <w:pPr>
        <w:spacing w:before="0" w:beforeAutospacing="off" w:after="0" w:afterAutospacing="off"/>
      </w:pPr>
      <w:r w:rsidRPr="52EB4E41" w:rsidR="103CF100">
        <w:rPr>
          <w:rFonts w:ascii="Arial" w:hAnsi="Arial" w:eastAsia="Arial" w:cs="Arial"/>
          <w:noProof w:val="0"/>
          <w:color w:val="0E101A"/>
          <w:sz w:val="24"/>
          <w:szCs w:val="24"/>
          <w:lang w:val="en-GB"/>
        </w:rPr>
        <w:t xml:space="preserve">The playful quality of Perry’s exhibition adds a profound sense of childhood innocence, which encourages a disarming openness in the viewer. His work evokes the carefree creativity of youth, where experimentation, curiosity, and emotional honesty were not only </w:t>
      </w:r>
      <w:r w:rsidRPr="52EB4E41" w:rsidR="103CF100">
        <w:rPr>
          <w:rFonts w:ascii="Arial" w:hAnsi="Arial" w:eastAsia="Arial" w:cs="Arial"/>
          <w:noProof w:val="0"/>
          <w:color w:val="0E101A"/>
          <w:sz w:val="24"/>
          <w:szCs w:val="24"/>
          <w:lang w:val="en-GB"/>
        </w:rPr>
        <w:t>permitted</w:t>
      </w:r>
      <w:r w:rsidRPr="52EB4E41" w:rsidR="103CF100">
        <w:rPr>
          <w:rFonts w:ascii="Arial" w:hAnsi="Arial" w:eastAsia="Arial" w:cs="Arial"/>
          <w:noProof w:val="0"/>
          <w:color w:val="0E101A"/>
          <w:sz w:val="24"/>
          <w:szCs w:val="24"/>
          <w:lang w:val="en-GB"/>
        </w:rPr>
        <w:t xml:space="preserve"> but celebrated. This engagement with play as an artistic strategy echoes the views of art theorist Johan Huizinga (1949), who argued that play is a fundamental element of culture and human expression. Perry’s environments, filled with vibrant colours and tactile experiences, resemble playgrounds more than traditional galleries, inviting participants to interact without fear of judgment. This childlike engagement fosters an emotional authenticity that is often lost in more conventional or formal art settings. </w:t>
      </w:r>
    </w:p>
    <w:p w:rsidR="52EB4E41" w:rsidP="52EB4E41" w:rsidRDefault="52EB4E41" w14:paraId="7F6DA499" w14:textId="53B9B698">
      <w:pPr>
        <w:spacing w:before="0" w:beforeAutospacing="off" w:after="0" w:afterAutospacing="off"/>
        <w:rPr>
          <w:rFonts w:ascii="Arial" w:hAnsi="Arial" w:eastAsia="Arial" w:cs="Arial"/>
          <w:noProof w:val="0"/>
          <w:color w:val="0E101A"/>
          <w:sz w:val="24"/>
          <w:szCs w:val="24"/>
          <w:lang w:val="en-GB"/>
        </w:rPr>
      </w:pPr>
    </w:p>
    <w:p w:rsidR="103CF100" w:rsidP="52EB4E41" w:rsidRDefault="103CF100" w14:paraId="3B828F08" w14:textId="42249437">
      <w:pPr>
        <w:spacing w:before="0" w:beforeAutospacing="off" w:after="0" w:afterAutospacing="off"/>
      </w:pPr>
      <w:r w:rsidRPr="52EB4E41" w:rsidR="103CF100">
        <w:rPr>
          <w:rFonts w:ascii="Arial" w:hAnsi="Arial" w:eastAsia="Arial" w:cs="Arial"/>
          <w:noProof w:val="0"/>
          <w:color w:val="0E101A"/>
          <w:sz w:val="24"/>
          <w:szCs w:val="24"/>
          <w:lang w:val="en-GB"/>
        </w:rPr>
        <w:t xml:space="preserve">The exhibition’s design encourages visitors to physically navigate the space, fostering an embodied interaction that challenges traditional passive viewing. This approach resonates with the concept of participatory art, where the audience's involvement is integral to the realisation of the artwork (Bishop, 2012). By inviting viewers to engage directly with the installations, Perry emphasises the value of imperfection and the authenticity of the experiential process. </w:t>
      </w:r>
    </w:p>
    <w:p w:rsidR="103CF100" w:rsidP="52EB4E41" w:rsidRDefault="103CF100" w14:paraId="0FCDF674" w14:textId="2F43FDE7">
      <w:pPr>
        <w:spacing w:before="0" w:beforeAutospacing="off" w:after="0" w:afterAutospacing="off"/>
      </w:pPr>
      <w:r w:rsidRPr="52EB4E41" w:rsidR="103CF100">
        <w:rPr>
          <w:rFonts w:ascii="Arial" w:hAnsi="Arial" w:eastAsia="Arial" w:cs="Arial"/>
          <w:noProof w:val="0"/>
          <w:color w:val="0E101A"/>
          <w:sz w:val="24"/>
          <w:szCs w:val="24"/>
          <w:lang w:val="en-GB"/>
        </w:rPr>
        <w:t xml:space="preserve">What unites these three artists is their remarkable ability to synthesise chaos and order into visually arresting and emotionally resonant works. While their aesthetic approaches differ, ranging from Camille Walala’s bold architectural geometry to Yinka Ilori’s vibrant cultural symbolism, and Mike Perry’s kaleidoscopic sensory overload. Each share a commitment to engaging viewers in more than passive observation. Their works disrupt visual conventions and invite a participatory mode of seeing, one that encourages reflection, dialogue, and emotional engagement. This shared ethos transforms their designs into dynamic experiences, rather than static objects. Each piece in </w:t>
      </w:r>
      <w:r w:rsidRPr="52EB4E41" w:rsidR="103CF100">
        <w:rPr>
          <w:rFonts w:ascii="Arial" w:hAnsi="Arial" w:eastAsia="Arial" w:cs="Arial"/>
          <w:i w:val="1"/>
          <w:iCs w:val="1"/>
          <w:noProof w:val="0"/>
          <w:color w:val="0E101A"/>
          <w:sz w:val="24"/>
          <w:szCs w:val="24"/>
          <w:lang w:val="en-GB"/>
        </w:rPr>
        <w:t>The Playground</w:t>
      </w:r>
      <w:r w:rsidRPr="52EB4E41" w:rsidR="103CF100">
        <w:rPr>
          <w:rFonts w:ascii="Arial" w:hAnsi="Arial" w:eastAsia="Arial" w:cs="Arial"/>
          <w:noProof w:val="0"/>
          <w:color w:val="0E101A"/>
          <w:sz w:val="24"/>
          <w:szCs w:val="24"/>
          <w:lang w:val="en-GB"/>
        </w:rPr>
        <w:t xml:space="preserve"> acts as a conceptual prompt, asking viewers to question visual assumptions, embrace ambiguity, and consider how aesthetic encounters influence cognitive processes and emotional responses. </w:t>
      </w:r>
    </w:p>
    <w:p w:rsidR="52EB4E41" w:rsidP="52EB4E41" w:rsidRDefault="52EB4E41" w14:paraId="6EC9AD15" w14:textId="0663B861">
      <w:pPr>
        <w:spacing w:before="0" w:beforeAutospacing="off" w:after="0" w:afterAutospacing="off"/>
        <w:rPr>
          <w:rFonts w:ascii="Arial" w:hAnsi="Arial" w:eastAsia="Arial" w:cs="Arial"/>
          <w:noProof w:val="0"/>
          <w:color w:val="0E101A"/>
          <w:sz w:val="24"/>
          <w:szCs w:val="24"/>
          <w:lang w:val="en-GB"/>
        </w:rPr>
      </w:pPr>
    </w:p>
    <w:p w:rsidR="103CF100" w:rsidP="52EB4E41" w:rsidRDefault="103CF100" w14:paraId="5855E44E" w14:textId="7EC130AB">
      <w:pPr>
        <w:spacing w:before="0" w:beforeAutospacing="off" w:after="0" w:afterAutospacing="off"/>
      </w:pPr>
      <w:r w:rsidRPr="52EB4E41" w:rsidR="103CF100">
        <w:rPr>
          <w:rFonts w:ascii="Arial" w:hAnsi="Arial" w:eastAsia="Arial" w:cs="Arial"/>
          <w:noProof w:val="0"/>
          <w:color w:val="0E101A"/>
          <w:sz w:val="24"/>
          <w:szCs w:val="24"/>
          <w:lang w:val="en-GB"/>
        </w:rPr>
        <w:t xml:space="preserve">As someone immersed in design practice, I find that physical interaction with artworks like these liberates my own creativity. Exhibitions of this nature offer more than inspiration; they provide a form of cognitive reset—an opportunity to escape linear thinking and reconnect with instinct, play, and emotional intuition. Research suggests that abstract and immersive artworks activate neural pathways associated with divergent thinking, a cognitive process vital for innovation and problem-solving (Zare </w:t>
      </w:r>
      <w:r w:rsidRPr="52EB4E41" w:rsidR="103CF100">
        <w:rPr>
          <w:rFonts w:ascii="Arial" w:hAnsi="Arial" w:eastAsia="Arial" w:cs="Arial"/>
          <w:noProof w:val="0"/>
          <w:color w:val="0E101A"/>
          <w:sz w:val="24"/>
          <w:szCs w:val="24"/>
          <w:lang w:val="en-GB"/>
        </w:rPr>
        <w:t>Rameshti</w:t>
      </w:r>
      <w:r w:rsidRPr="52EB4E41" w:rsidR="103CF100">
        <w:rPr>
          <w:rFonts w:ascii="Arial" w:hAnsi="Arial" w:eastAsia="Arial" w:cs="Arial"/>
          <w:noProof w:val="0"/>
          <w:color w:val="0E101A"/>
          <w:sz w:val="24"/>
          <w:szCs w:val="24"/>
          <w:lang w:val="en-GB"/>
        </w:rPr>
        <w:t xml:space="preserve">, 2025). The act of viewing becomes a kind of mental training, expanding not only what we see but how we think. </w:t>
      </w:r>
    </w:p>
    <w:p w:rsidR="52EB4E41" w:rsidP="52EB4E41" w:rsidRDefault="52EB4E41" w14:paraId="185A4903" w14:textId="4894200A">
      <w:pPr>
        <w:spacing w:before="0" w:beforeAutospacing="off" w:after="0" w:afterAutospacing="off"/>
        <w:rPr>
          <w:rFonts w:ascii="Arial" w:hAnsi="Arial" w:eastAsia="Arial" w:cs="Arial"/>
          <w:noProof w:val="0"/>
          <w:color w:val="0E101A"/>
          <w:sz w:val="24"/>
          <w:szCs w:val="24"/>
          <w:lang w:val="en-GB"/>
        </w:rPr>
      </w:pPr>
    </w:p>
    <w:p w:rsidR="103CF100" w:rsidP="52EB4E41" w:rsidRDefault="103CF100" w14:paraId="3C485410" w14:textId="5FBEF067">
      <w:pPr>
        <w:spacing w:before="0" w:beforeAutospacing="off" w:after="0" w:afterAutospacing="off"/>
      </w:pPr>
      <w:r w:rsidRPr="52EB4E41" w:rsidR="103CF100">
        <w:rPr>
          <w:rFonts w:ascii="Arial" w:hAnsi="Arial" w:eastAsia="Arial" w:cs="Arial"/>
          <w:noProof w:val="0"/>
          <w:color w:val="0E101A"/>
          <w:sz w:val="24"/>
          <w:szCs w:val="24"/>
          <w:lang w:val="en-GB"/>
        </w:rPr>
        <w:t xml:space="preserve">The choice of </w:t>
      </w:r>
      <w:r w:rsidRPr="52EB4E41" w:rsidR="103CF100">
        <w:rPr>
          <w:rFonts w:ascii="Arial" w:hAnsi="Arial" w:eastAsia="Arial" w:cs="Arial"/>
          <w:noProof w:val="0"/>
          <w:color w:val="0E101A"/>
          <w:sz w:val="24"/>
          <w:szCs w:val="24"/>
          <w:lang w:val="en-GB"/>
        </w:rPr>
        <w:t>Bristolas</w:t>
      </w:r>
      <w:r w:rsidRPr="52EB4E41" w:rsidR="103CF100">
        <w:rPr>
          <w:rFonts w:ascii="Arial" w:hAnsi="Arial" w:eastAsia="Arial" w:cs="Arial"/>
          <w:noProof w:val="0"/>
          <w:color w:val="0E101A"/>
          <w:sz w:val="24"/>
          <w:szCs w:val="24"/>
          <w:lang w:val="en-GB"/>
        </w:rPr>
        <w:t xml:space="preserve"> the location for this exhibition is deliberate and conceptually aligned. Bristol has a vibrant and diverse creative community which makes it a fertile ground for experimentation and open-ended interpretation. Unlike the institutionalised atmosphere of major metropolitan galleries, the </w:t>
      </w:r>
      <w:r w:rsidRPr="52EB4E41" w:rsidR="103CF100">
        <w:rPr>
          <w:rFonts w:ascii="Arial" w:hAnsi="Arial" w:eastAsia="Arial" w:cs="Arial"/>
          <w:noProof w:val="0"/>
          <w:color w:val="0E101A"/>
          <w:sz w:val="24"/>
          <w:szCs w:val="24"/>
          <w:lang w:val="en-GB"/>
        </w:rPr>
        <w:t>Serchia’s</w:t>
      </w:r>
      <w:r w:rsidRPr="52EB4E41" w:rsidR="103CF100">
        <w:rPr>
          <w:rFonts w:ascii="Arial" w:hAnsi="Arial" w:eastAsia="Arial" w:cs="Arial"/>
          <w:noProof w:val="0"/>
          <w:color w:val="0E101A"/>
          <w:sz w:val="24"/>
          <w:szCs w:val="24"/>
          <w:lang w:val="en-GB"/>
        </w:rPr>
        <w:t xml:space="preserve"> intimate scale encourages closer, more personal interaction with the works on display. This setting strips away some of the elitism often associated with contemporary art, making it more inclusive and democratised, more playground than pedestal. It also reflects the exhibition’s intention: to foster environments where curiosity and creativity are not just welcomed, but essential. </w:t>
      </w:r>
    </w:p>
    <w:p w:rsidR="52EB4E41" w:rsidP="52EB4E41" w:rsidRDefault="52EB4E41" w14:paraId="6B8FFFE7" w14:textId="09A13E48">
      <w:pPr>
        <w:spacing w:before="0" w:beforeAutospacing="off" w:after="0" w:afterAutospacing="off"/>
        <w:rPr>
          <w:rFonts w:ascii="Arial" w:hAnsi="Arial" w:eastAsia="Arial" w:cs="Arial"/>
          <w:noProof w:val="0"/>
          <w:color w:val="0E101A"/>
          <w:sz w:val="24"/>
          <w:szCs w:val="24"/>
          <w:lang w:val="en-GB"/>
        </w:rPr>
      </w:pPr>
    </w:p>
    <w:p w:rsidR="103CF100" w:rsidP="52EB4E41" w:rsidRDefault="103CF100" w14:paraId="79BDDB72" w14:textId="1BA8531F">
      <w:pPr>
        <w:spacing w:before="0" w:beforeAutospacing="off" w:after="0" w:afterAutospacing="off"/>
      </w:pPr>
      <w:r w:rsidRPr="52EB4E41" w:rsidR="103CF100">
        <w:rPr>
          <w:rFonts w:ascii="Arial" w:hAnsi="Arial" w:eastAsia="Arial" w:cs="Arial"/>
          <w:noProof w:val="0"/>
          <w:color w:val="0E101A"/>
          <w:sz w:val="24"/>
          <w:szCs w:val="24"/>
          <w:lang w:val="en-GB"/>
        </w:rPr>
        <w:t xml:space="preserve">In curating </w:t>
      </w:r>
      <w:r w:rsidRPr="52EB4E41" w:rsidR="103CF100">
        <w:rPr>
          <w:rFonts w:ascii="Arial" w:hAnsi="Arial" w:eastAsia="Arial" w:cs="Arial"/>
          <w:i w:val="1"/>
          <w:iCs w:val="1"/>
          <w:noProof w:val="0"/>
          <w:color w:val="0E101A"/>
          <w:sz w:val="24"/>
          <w:szCs w:val="24"/>
          <w:lang w:val="en-GB"/>
        </w:rPr>
        <w:t>The Playground</w:t>
      </w:r>
      <w:r w:rsidRPr="52EB4E41" w:rsidR="103CF100">
        <w:rPr>
          <w:rFonts w:ascii="Arial" w:hAnsi="Arial" w:eastAsia="Arial" w:cs="Arial"/>
          <w:noProof w:val="0"/>
          <w:color w:val="0E101A"/>
          <w:sz w:val="24"/>
          <w:szCs w:val="24"/>
          <w:lang w:val="en-GB"/>
        </w:rPr>
        <w:t xml:space="preserve">, I aim to demonstrate how visual language can shape perception and enhance creative agency. This exhibition invites viewers not only to look, but to feel, to think, and most importantly, to play. By juxtaposing structure and spontaneity, clarity and confusion, each piece challenges conventional distinctions between order and disorder, and in doing so, encourages a more fluid, embodied understanding of the power of design, not just to communicate, but to transform. In a world increasingly dominated by rigid systems and mediated experiences, </w:t>
      </w:r>
      <w:r w:rsidRPr="52EB4E41" w:rsidR="103CF100">
        <w:rPr>
          <w:rFonts w:ascii="Arial" w:hAnsi="Arial" w:eastAsia="Arial" w:cs="Arial"/>
          <w:i w:val="1"/>
          <w:iCs w:val="1"/>
          <w:noProof w:val="0"/>
          <w:color w:val="0E101A"/>
          <w:sz w:val="24"/>
          <w:szCs w:val="24"/>
          <w:lang w:val="en-GB"/>
        </w:rPr>
        <w:t>The Playground</w:t>
      </w:r>
      <w:r w:rsidRPr="52EB4E41" w:rsidR="103CF100">
        <w:rPr>
          <w:rFonts w:ascii="Arial" w:hAnsi="Arial" w:eastAsia="Arial" w:cs="Arial"/>
          <w:noProof w:val="0"/>
          <w:color w:val="0E101A"/>
          <w:sz w:val="24"/>
          <w:szCs w:val="24"/>
          <w:lang w:val="en-GB"/>
        </w:rPr>
        <w:t xml:space="preserve"> reminds us of the value of intuitive exploration and aesthetic risk-taking as tools for personal and collective transformation.</w:t>
      </w:r>
    </w:p>
    <w:p w:rsidR="52EB4E41" w:rsidP="52EB4E41" w:rsidRDefault="52EB4E41" w14:paraId="68DF49C9" w14:textId="68BDA9A6">
      <w:pPr>
        <w:spacing w:before="240" w:beforeAutospacing="off" w:after="240" w:afterAutospacing="off"/>
        <w:rPr>
          <w:rFonts w:ascii="Arial" w:hAnsi="Arial" w:eastAsia="Arial" w:cs="Arial"/>
          <w:noProof w:val="0"/>
          <w:color w:val="000000" w:themeColor="text1" w:themeTint="FF" w:themeShade="FF"/>
          <w:sz w:val="24"/>
          <w:szCs w:val="24"/>
          <w:lang w:val="en-GB"/>
        </w:rPr>
      </w:pPr>
    </w:p>
    <w:p w:rsidR="128F73BA" w:rsidP="5C3746C2" w:rsidRDefault="128F73BA" w14:paraId="2400DAC9" w14:textId="6C95BAE9">
      <w:pPr>
        <w:rPr>
          <w:rFonts w:ascii="Arial" w:hAnsi="Arial" w:eastAsia="Arial" w:cs="Arial"/>
          <w:b w:val="1"/>
          <w:bCs w:val="1"/>
          <w:noProof w:val="0"/>
          <w:color w:val="000000" w:themeColor="text1" w:themeTint="FF" w:themeShade="FF"/>
          <w:sz w:val="24"/>
          <w:szCs w:val="24"/>
          <w:u w:val="single"/>
          <w:lang w:val="en-GB"/>
        </w:rPr>
      </w:pPr>
      <w:r w:rsidRPr="5C3746C2" w:rsidR="128F73BA">
        <w:rPr>
          <w:rFonts w:ascii="Arial" w:hAnsi="Arial" w:eastAsia="Arial" w:cs="Arial"/>
          <w:b w:val="1"/>
          <w:bCs w:val="1"/>
          <w:noProof w:val="0"/>
          <w:color w:val="000000" w:themeColor="text1" w:themeTint="FF" w:themeShade="FF"/>
          <w:sz w:val="24"/>
          <w:szCs w:val="24"/>
          <w:u w:val="single"/>
          <w:lang w:val="en-GB"/>
        </w:rPr>
        <w:t>Bibliography</w:t>
      </w:r>
    </w:p>
    <w:p w:rsidR="5C3746C2" w:rsidP="5C3746C2" w:rsidRDefault="5C3746C2" w14:paraId="6DAFF44F" w14:textId="49B7C1CF">
      <w:pPr>
        <w:spacing w:before="240" w:beforeAutospacing="off" w:after="240" w:afterAutospacing="off"/>
        <w:rPr>
          <w:rFonts w:ascii="Arial" w:hAnsi="Arial" w:eastAsia="Arial" w:cs="Arial"/>
          <w:b w:val="1"/>
          <w:bCs w:val="1"/>
          <w:noProof w:val="0"/>
          <w:color w:val="000000" w:themeColor="text1" w:themeTint="FF" w:themeShade="FF"/>
          <w:sz w:val="24"/>
          <w:szCs w:val="24"/>
          <w:lang w:val="en-GB"/>
        </w:rPr>
      </w:pPr>
    </w:p>
    <w:p w:rsidR="5F7D8E71" w:rsidP="52EB4E41" w:rsidRDefault="5F7D8E71" w14:paraId="73ED81E5" w14:textId="79B12F5D">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Bishop, C. (2012) </w:t>
      </w:r>
      <w:r w:rsidRPr="52EB4E41" w:rsidR="5F7D8E71">
        <w:rPr>
          <w:rFonts w:ascii="Arial" w:hAnsi="Arial" w:eastAsia="Arial" w:cs="Arial"/>
          <w:i w:val="1"/>
          <w:iCs w:val="1"/>
          <w:noProof w:val="0"/>
          <w:color w:val="000000" w:themeColor="text1" w:themeTint="FF" w:themeShade="FF"/>
          <w:sz w:val="24"/>
          <w:szCs w:val="24"/>
          <w:lang w:val="en-GB"/>
        </w:rPr>
        <w:t>Artificial Hells: Participatory Art and the Politics of Spectatorship</w:t>
      </w:r>
      <w:r w:rsidRPr="52EB4E41" w:rsidR="5F7D8E71">
        <w:rPr>
          <w:rFonts w:ascii="Arial" w:hAnsi="Arial" w:eastAsia="Arial" w:cs="Arial"/>
          <w:noProof w:val="0"/>
          <w:color w:val="000000" w:themeColor="text1" w:themeTint="FF" w:themeShade="FF"/>
          <w:sz w:val="24"/>
          <w:szCs w:val="24"/>
          <w:lang w:val="en-GB"/>
        </w:rPr>
        <w:t>. London: Verso.</w:t>
      </w:r>
    </w:p>
    <w:p w:rsidR="5F7D8E71" w:rsidP="52EB4E41" w:rsidRDefault="5F7D8E71" w14:paraId="0B70B97A" w14:textId="11E7B755">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Diedrich, J., Benedek, M., Jauk, E. and Neubauer, A.C. (2015) ‘Being creative: The role of emotional arousal in creative cognition’, </w:t>
      </w:r>
      <w:r w:rsidRPr="52EB4E41" w:rsidR="5F7D8E71">
        <w:rPr>
          <w:rFonts w:ascii="Arial" w:hAnsi="Arial" w:eastAsia="Arial" w:cs="Arial"/>
          <w:i w:val="1"/>
          <w:iCs w:val="1"/>
          <w:noProof w:val="0"/>
          <w:color w:val="000000" w:themeColor="text1" w:themeTint="FF" w:themeShade="FF"/>
          <w:sz w:val="24"/>
          <w:szCs w:val="24"/>
          <w:lang w:val="en-GB"/>
        </w:rPr>
        <w:t>Creativity Research Journal</w:t>
      </w:r>
      <w:r w:rsidRPr="52EB4E41" w:rsidR="5F7D8E71">
        <w:rPr>
          <w:rFonts w:ascii="Arial" w:hAnsi="Arial" w:eastAsia="Arial" w:cs="Arial"/>
          <w:noProof w:val="0"/>
          <w:color w:val="000000" w:themeColor="text1" w:themeTint="FF" w:themeShade="FF"/>
          <w:sz w:val="24"/>
          <w:szCs w:val="24"/>
          <w:lang w:val="en-GB"/>
        </w:rPr>
        <w:t>, 27(2), pp. 123–131.</w:t>
      </w:r>
    </w:p>
    <w:p w:rsidR="5F7D8E71" w:rsidP="52EB4E41" w:rsidRDefault="5F7D8E71" w14:paraId="05178171" w14:textId="4382B55B">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Eisner, E.W. (2002) </w:t>
      </w:r>
      <w:r w:rsidRPr="52EB4E41" w:rsidR="5F7D8E71">
        <w:rPr>
          <w:rFonts w:ascii="Arial" w:hAnsi="Arial" w:eastAsia="Arial" w:cs="Arial"/>
          <w:i w:val="1"/>
          <w:iCs w:val="1"/>
          <w:noProof w:val="0"/>
          <w:color w:val="000000" w:themeColor="text1" w:themeTint="FF" w:themeShade="FF"/>
          <w:sz w:val="24"/>
          <w:szCs w:val="24"/>
          <w:lang w:val="en-GB"/>
        </w:rPr>
        <w:t>The Arts and the Creation of Mind</w:t>
      </w:r>
      <w:r w:rsidRPr="52EB4E41" w:rsidR="5F7D8E71">
        <w:rPr>
          <w:rFonts w:ascii="Arial" w:hAnsi="Arial" w:eastAsia="Arial" w:cs="Arial"/>
          <w:noProof w:val="0"/>
          <w:color w:val="000000" w:themeColor="text1" w:themeTint="FF" w:themeShade="FF"/>
          <w:sz w:val="24"/>
          <w:szCs w:val="24"/>
          <w:lang w:val="en-GB"/>
        </w:rPr>
        <w:t>. New Haven: Yale University Press.</w:t>
      </w:r>
    </w:p>
    <w:p w:rsidR="5F7D8E71" w:rsidP="52EB4E41" w:rsidRDefault="5F7D8E71" w14:paraId="09C33624" w14:textId="5FD0E4F3">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Ilori, Y. (n.d.) </w:t>
      </w:r>
      <w:r w:rsidRPr="52EB4E41" w:rsidR="5F7D8E71">
        <w:rPr>
          <w:rFonts w:ascii="Arial" w:hAnsi="Arial" w:eastAsia="Arial" w:cs="Arial"/>
          <w:i w:val="1"/>
          <w:iCs w:val="1"/>
          <w:noProof w:val="0"/>
          <w:color w:val="000000" w:themeColor="text1" w:themeTint="FF" w:themeShade="FF"/>
          <w:sz w:val="24"/>
          <w:szCs w:val="24"/>
          <w:lang w:val="en-GB"/>
        </w:rPr>
        <w:t>Paradise for All</w:t>
      </w:r>
      <w:r w:rsidRPr="52EB4E41" w:rsidR="5F7D8E71">
        <w:rPr>
          <w:rFonts w:ascii="Arial" w:hAnsi="Arial" w:eastAsia="Arial" w:cs="Arial"/>
          <w:noProof w:val="0"/>
          <w:color w:val="000000" w:themeColor="text1" w:themeTint="FF" w:themeShade="FF"/>
          <w:sz w:val="24"/>
          <w:szCs w:val="24"/>
          <w:lang w:val="en-GB"/>
        </w:rPr>
        <w:t xml:space="preserve">. Yinka Ilori Studio. Available at: </w:t>
      </w:r>
      <w:hyperlink r:id="R4a9c63be130d4eb3">
        <w:r w:rsidRPr="52EB4E41" w:rsidR="5F7D8E71">
          <w:rPr>
            <w:rStyle w:val="Hyperlink"/>
            <w:rFonts w:ascii="Arial" w:hAnsi="Arial" w:eastAsia="Arial" w:cs="Arial"/>
            <w:noProof w:val="0"/>
            <w:color w:val="000000" w:themeColor="text1" w:themeTint="FF" w:themeShade="FF"/>
            <w:sz w:val="24"/>
            <w:szCs w:val="24"/>
            <w:lang w:val="en-GB"/>
          </w:rPr>
          <w:t>https://yinkailori.com/work/paradise-for-all</w:t>
        </w:r>
      </w:hyperlink>
      <w:r w:rsidRPr="52EB4E41" w:rsidR="5F7D8E71">
        <w:rPr>
          <w:rFonts w:ascii="Arial" w:hAnsi="Arial" w:eastAsia="Arial" w:cs="Arial"/>
          <w:noProof w:val="0"/>
          <w:color w:val="000000" w:themeColor="text1" w:themeTint="FF" w:themeShade="FF"/>
          <w:sz w:val="24"/>
          <w:szCs w:val="24"/>
          <w:lang w:val="en-GB"/>
        </w:rPr>
        <w:t xml:space="preserve"> (Accessed: 22 May 2025).</w:t>
      </w:r>
    </w:p>
    <w:p w:rsidR="5F7D8E71" w:rsidP="52EB4E41" w:rsidRDefault="5F7D8E71" w14:paraId="5DB2076D" w14:textId="1C13404F">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Küller, R., Ballal, S., Laike, T., Mikellides, B. and Tonello, G. (2006) ‘The impact of light and colour on psychological mood: a cross-cultural study of indoor work environments’, </w:t>
      </w:r>
      <w:r w:rsidRPr="52EB4E41" w:rsidR="5F7D8E71">
        <w:rPr>
          <w:rFonts w:ascii="Arial" w:hAnsi="Arial" w:eastAsia="Arial" w:cs="Arial"/>
          <w:i w:val="1"/>
          <w:iCs w:val="1"/>
          <w:noProof w:val="0"/>
          <w:color w:val="000000" w:themeColor="text1" w:themeTint="FF" w:themeShade="FF"/>
          <w:sz w:val="24"/>
          <w:szCs w:val="24"/>
          <w:lang w:val="en-GB"/>
        </w:rPr>
        <w:t>Ergonomics</w:t>
      </w:r>
      <w:r w:rsidRPr="52EB4E41" w:rsidR="5F7D8E71">
        <w:rPr>
          <w:rFonts w:ascii="Arial" w:hAnsi="Arial" w:eastAsia="Arial" w:cs="Arial"/>
          <w:noProof w:val="0"/>
          <w:color w:val="000000" w:themeColor="text1" w:themeTint="FF" w:themeShade="FF"/>
          <w:sz w:val="24"/>
          <w:szCs w:val="24"/>
          <w:lang w:val="en-GB"/>
        </w:rPr>
        <w:t>, 49(14), pp. 1496–1507. doi:10.1080/00140130600858142.</w:t>
      </w:r>
    </w:p>
    <w:p w:rsidR="5F7D8E71" w:rsidP="52EB4E41" w:rsidRDefault="5F7D8E71" w14:paraId="5C2510E5" w14:textId="6A481BD5">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Perry, M. (n.d.) </w:t>
      </w:r>
      <w:r w:rsidRPr="52EB4E41" w:rsidR="5F7D8E71">
        <w:rPr>
          <w:rFonts w:ascii="Arial" w:hAnsi="Arial" w:eastAsia="Arial" w:cs="Arial"/>
          <w:i w:val="1"/>
          <w:iCs w:val="1"/>
          <w:noProof w:val="0"/>
          <w:color w:val="000000" w:themeColor="text1" w:themeTint="FF" w:themeShade="FF"/>
          <w:sz w:val="24"/>
          <w:szCs w:val="24"/>
          <w:lang w:val="en-GB"/>
        </w:rPr>
        <w:t>Still Now is Here: Woolgather Together</w:t>
      </w:r>
      <w:r w:rsidRPr="52EB4E41" w:rsidR="5F7D8E71">
        <w:rPr>
          <w:rFonts w:ascii="Arial" w:hAnsi="Arial" w:eastAsia="Arial" w:cs="Arial"/>
          <w:noProof w:val="0"/>
          <w:color w:val="000000" w:themeColor="text1" w:themeTint="FF" w:themeShade="FF"/>
          <w:sz w:val="24"/>
          <w:szCs w:val="24"/>
          <w:lang w:val="en-GB"/>
        </w:rPr>
        <w:t xml:space="preserve">. Mike Perry Studio. Available at: </w:t>
      </w:r>
      <w:hyperlink r:id="Ra61ebe1440f443cb">
        <w:r w:rsidRPr="52EB4E41" w:rsidR="5F7D8E71">
          <w:rPr>
            <w:rStyle w:val="Hyperlink"/>
            <w:rFonts w:ascii="Arial" w:hAnsi="Arial" w:eastAsia="Arial" w:cs="Arial"/>
            <w:noProof w:val="0"/>
            <w:color w:val="000000" w:themeColor="text1" w:themeTint="FF" w:themeShade="FF"/>
            <w:sz w:val="24"/>
            <w:szCs w:val="24"/>
            <w:lang w:val="en-GB"/>
          </w:rPr>
          <w:t>https://www.mikeperrystudio.com/</w:t>
        </w:r>
      </w:hyperlink>
      <w:r w:rsidRPr="52EB4E41" w:rsidR="5F7D8E71">
        <w:rPr>
          <w:rFonts w:ascii="Arial" w:hAnsi="Arial" w:eastAsia="Arial" w:cs="Arial"/>
          <w:noProof w:val="0"/>
          <w:color w:val="000000" w:themeColor="text1" w:themeTint="FF" w:themeShade="FF"/>
          <w:sz w:val="24"/>
          <w:szCs w:val="24"/>
          <w:lang w:val="en-GB"/>
        </w:rPr>
        <w:t xml:space="preserve"> (Accessed: 22 May 2025).</w:t>
      </w:r>
    </w:p>
    <w:p w:rsidR="5F7D8E71" w:rsidP="52EB4E41" w:rsidRDefault="5F7D8E71" w14:paraId="341EB040" w14:textId="74A48795">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Ulrich, R.S., Simons, R.F., Losito, B.D., Fiorito, E., Miles, M.A. and Zelson, M. (1991) ‘Stress recovery during exposure to natural and urban environments’, </w:t>
      </w:r>
      <w:r w:rsidRPr="52EB4E41" w:rsidR="5F7D8E71">
        <w:rPr>
          <w:rFonts w:ascii="Arial" w:hAnsi="Arial" w:eastAsia="Arial" w:cs="Arial"/>
          <w:i w:val="1"/>
          <w:iCs w:val="1"/>
          <w:noProof w:val="0"/>
          <w:color w:val="000000" w:themeColor="text1" w:themeTint="FF" w:themeShade="FF"/>
          <w:sz w:val="24"/>
          <w:szCs w:val="24"/>
          <w:lang w:val="en-GB"/>
        </w:rPr>
        <w:t>Journal of Environmental Psychology</w:t>
      </w:r>
      <w:r w:rsidRPr="52EB4E41" w:rsidR="5F7D8E71">
        <w:rPr>
          <w:rFonts w:ascii="Arial" w:hAnsi="Arial" w:eastAsia="Arial" w:cs="Arial"/>
          <w:noProof w:val="0"/>
          <w:color w:val="000000" w:themeColor="text1" w:themeTint="FF" w:themeShade="FF"/>
          <w:sz w:val="24"/>
          <w:szCs w:val="24"/>
          <w:lang w:val="en-GB"/>
        </w:rPr>
        <w:t>, 11(3), pp. 201–230.</w:t>
      </w:r>
    </w:p>
    <w:p w:rsidR="5F7D8E71" w:rsidP="52EB4E41" w:rsidRDefault="5F7D8E71" w14:paraId="0C2A9FC6" w14:textId="696175CD">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Walala, C. (n.d.) </w:t>
      </w:r>
      <w:r w:rsidRPr="52EB4E41" w:rsidR="5F7D8E71">
        <w:rPr>
          <w:rFonts w:ascii="Arial" w:hAnsi="Arial" w:eastAsia="Arial" w:cs="Arial"/>
          <w:i w:val="1"/>
          <w:iCs w:val="1"/>
          <w:noProof w:val="0"/>
          <w:color w:val="000000" w:themeColor="text1" w:themeTint="FF" w:themeShade="FF"/>
          <w:sz w:val="24"/>
          <w:szCs w:val="24"/>
          <w:lang w:val="en-GB"/>
        </w:rPr>
        <w:t>Perspective Party</w:t>
      </w:r>
      <w:r w:rsidRPr="52EB4E41" w:rsidR="5F7D8E71">
        <w:rPr>
          <w:rFonts w:ascii="Arial" w:hAnsi="Arial" w:eastAsia="Arial" w:cs="Arial"/>
          <w:noProof w:val="0"/>
          <w:color w:val="000000" w:themeColor="text1" w:themeTint="FF" w:themeShade="FF"/>
          <w:sz w:val="24"/>
          <w:szCs w:val="24"/>
          <w:lang w:val="en-GB"/>
        </w:rPr>
        <w:t xml:space="preserve">. Camille Walala. Available at: </w:t>
      </w:r>
      <w:hyperlink r:id="R4667e9bcc4e8465c">
        <w:r w:rsidRPr="52EB4E41" w:rsidR="5F7D8E71">
          <w:rPr>
            <w:rStyle w:val="Hyperlink"/>
            <w:rFonts w:ascii="Arial" w:hAnsi="Arial" w:eastAsia="Arial" w:cs="Arial"/>
            <w:noProof w:val="0"/>
            <w:color w:val="000000" w:themeColor="text1" w:themeTint="FF" w:themeShade="FF"/>
            <w:sz w:val="24"/>
            <w:szCs w:val="24"/>
            <w:lang w:val="en-GB"/>
          </w:rPr>
          <w:t>https://www.camillewalala.com/projects</w:t>
        </w:r>
      </w:hyperlink>
      <w:r w:rsidRPr="52EB4E41" w:rsidR="5F7D8E71">
        <w:rPr>
          <w:rFonts w:ascii="Arial" w:hAnsi="Arial" w:eastAsia="Arial" w:cs="Arial"/>
          <w:noProof w:val="0"/>
          <w:color w:val="000000" w:themeColor="text1" w:themeTint="FF" w:themeShade="FF"/>
          <w:sz w:val="24"/>
          <w:szCs w:val="24"/>
          <w:lang w:val="en-GB"/>
        </w:rPr>
        <w:t xml:space="preserve"> (Accessed: 22 May 2025).</w:t>
      </w:r>
    </w:p>
    <w:p w:rsidR="5F7D8E71" w:rsidP="52EB4E41" w:rsidRDefault="5F7D8E71" w14:paraId="5E0462BC" w14:textId="64EBF8BD">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Walala, C. (2021) </w:t>
      </w:r>
      <w:r w:rsidRPr="52EB4E41" w:rsidR="5F7D8E71">
        <w:rPr>
          <w:rFonts w:ascii="Arial" w:hAnsi="Arial" w:eastAsia="Arial" w:cs="Arial"/>
          <w:i w:val="1"/>
          <w:iCs w:val="1"/>
          <w:noProof w:val="0"/>
          <w:color w:val="000000" w:themeColor="text1" w:themeTint="FF" w:themeShade="FF"/>
          <w:sz w:val="24"/>
          <w:szCs w:val="24"/>
          <w:lang w:val="en-GB"/>
        </w:rPr>
        <w:t>Taking Joy Seriously</w:t>
      </w:r>
      <w:r w:rsidRPr="52EB4E41" w:rsidR="5F7D8E71">
        <w:rPr>
          <w:rFonts w:ascii="Arial" w:hAnsi="Arial" w:eastAsia="Arial" w:cs="Arial"/>
          <w:noProof w:val="0"/>
          <w:color w:val="000000" w:themeColor="text1" w:themeTint="FF" w:themeShade="FF"/>
          <w:sz w:val="24"/>
          <w:szCs w:val="24"/>
          <w:lang w:val="en-GB"/>
        </w:rPr>
        <w:t>. London: Counter-Print.</w:t>
      </w:r>
    </w:p>
    <w:p w:rsidR="5F7D8E71" w:rsidP="52EB4E41" w:rsidRDefault="5F7D8E71" w14:paraId="03FC81FE" w14:textId="51BEF190">
      <w:pPr>
        <w:spacing w:before="240" w:beforeAutospacing="off" w:after="240" w:afterAutospacing="off"/>
      </w:pPr>
      <w:r w:rsidRPr="52EB4E41" w:rsidR="5F7D8E71">
        <w:rPr>
          <w:rFonts w:ascii="Arial" w:hAnsi="Arial" w:eastAsia="Arial" w:cs="Arial"/>
          <w:noProof w:val="0"/>
          <w:color w:val="000000" w:themeColor="text1" w:themeTint="FF" w:themeShade="FF"/>
          <w:sz w:val="24"/>
          <w:szCs w:val="24"/>
          <w:lang w:val="en-GB"/>
        </w:rPr>
        <w:t xml:space="preserve">Zare Rameshti, M. (2025) ‘Art as a Catalyst for Cognitive Flexibility: Unleashing New Pathways to Creative Thinking’, </w:t>
      </w:r>
      <w:r w:rsidRPr="52EB4E41" w:rsidR="5F7D8E71">
        <w:rPr>
          <w:rFonts w:ascii="Arial" w:hAnsi="Arial" w:eastAsia="Arial" w:cs="Arial"/>
          <w:i w:val="1"/>
          <w:iCs w:val="1"/>
          <w:noProof w:val="0"/>
          <w:color w:val="000000" w:themeColor="text1" w:themeTint="FF" w:themeShade="FF"/>
          <w:sz w:val="24"/>
          <w:szCs w:val="24"/>
          <w:lang w:val="en-GB"/>
        </w:rPr>
        <w:t>SSRN Electronic Journal</w:t>
      </w:r>
      <w:r w:rsidRPr="52EB4E41" w:rsidR="5F7D8E71">
        <w:rPr>
          <w:rFonts w:ascii="Arial" w:hAnsi="Arial" w:eastAsia="Arial" w:cs="Arial"/>
          <w:noProof w:val="0"/>
          <w:color w:val="000000" w:themeColor="text1" w:themeTint="FF" w:themeShade="FF"/>
          <w:sz w:val="24"/>
          <w:szCs w:val="24"/>
          <w:lang w:val="en-GB"/>
        </w:rPr>
        <w:t xml:space="preserve">, 30 April. Available at: </w:t>
      </w:r>
      <w:hyperlink r:id="Rf08ff2d73f8849cb">
        <w:r w:rsidRPr="52EB4E41" w:rsidR="5F7D8E71">
          <w:rPr>
            <w:rStyle w:val="Hyperlink"/>
            <w:rFonts w:ascii="Arial" w:hAnsi="Arial" w:eastAsia="Arial" w:cs="Arial"/>
            <w:noProof w:val="0"/>
            <w:sz w:val="24"/>
            <w:szCs w:val="24"/>
            <w:lang w:val="en-GB"/>
          </w:rPr>
          <w:t>https://papers.ssrn.com/sol3/papers.cfm?abstract_id=5160314(Accessed</w:t>
        </w:r>
      </w:hyperlink>
      <w:r w:rsidRPr="52EB4E41" w:rsidR="5F7D8E71">
        <w:rPr>
          <w:rFonts w:ascii="Arial" w:hAnsi="Arial" w:eastAsia="Arial" w:cs="Arial"/>
          <w:noProof w:val="0"/>
          <w:color w:val="000000" w:themeColor="text1" w:themeTint="FF" w:themeShade="FF"/>
          <w:sz w:val="24"/>
          <w:szCs w:val="24"/>
          <w:lang w:val="en-GB"/>
        </w:rPr>
        <w:t>: 22 May 2025).</w:t>
      </w:r>
    </w:p>
    <w:p w:rsidR="52EB4E41" w:rsidP="52EB4E41" w:rsidRDefault="52EB4E41" w14:paraId="64119BE0" w14:textId="16AF5522">
      <w:pPr>
        <w:rPr>
          <w:rFonts w:ascii="Arial" w:hAnsi="Arial" w:eastAsia="Arial" w:cs="Arial"/>
          <w:noProof w:val="0"/>
          <w:color w:val="000000" w:themeColor="text1" w:themeTint="FF" w:themeShade="FF"/>
          <w:sz w:val="24"/>
          <w:szCs w:val="24"/>
          <w:u w:val="single"/>
          <w:lang w:val="en-GB"/>
        </w:rPr>
      </w:pPr>
    </w:p>
    <w:p w:rsidR="4D6AD5D4" w:rsidP="52EB4E41" w:rsidRDefault="4D6AD5D4" w14:paraId="2BDFC0AB" w14:textId="5E00032A">
      <w:pPr>
        <w:pStyle w:val="Normal"/>
        <w:rPr>
          <w:rFonts w:ascii="Arial" w:hAnsi="Arial" w:eastAsia="Arial" w:cs="Arial"/>
          <w:b w:val="1"/>
          <w:bCs w:val="1"/>
          <w:noProof w:val="0"/>
          <w:color w:val="000000" w:themeColor="text1" w:themeTint="FF" w:themeShade="FF"/>
          <w:sz w:val="24"/>
          <w:szCs w:val="24"/>
          <w:u w:val="single"/>
          <w:lang w:val="en-GB"/>
        </w:rPr>
      </w:pPr>
      <w:r w:rsidRPr="52EB4E41" w:rsidR="4D6AD5D4">
        <w:rPr>
          <w:rFonts w:ascii="Arial" w:hAnsi="Arial" w:eastAsia="Arial" w:cs="Arial"/>
          <w:b w:val="1"/>
          <w:bCs w:val="1"/>
          <w:noProof w:val="0"/>
          <w:color w:val="000000" w:themeColor="text1" w:themeTint="FF" w:themeShade="FF"/>
          <w:sz w:val="24"/>
          <w:szCs w:val="24"/>
          <w:u w:val="single"/>
          <w:lang w:val="en-GB"/>
        </w:rPr>
        <w:t xml:space="preserve">Figures </w:t>
      </w:r>
    </w:p>
    <w:p w:rsidR="4D6AD5D4" w:rsidP="52EB4E41" w:rsidRDefault="4D6AD5D4" w14:paraId="04436F92" w14:textId="08835F2B">
      <w:pPr>
        <w:spacing w:before="240" w:beforeAutospacing="off" w:after="240" w:afterAutospacing="off"/>
        <w:rPr>
          <w:rFonts w:ascii="Arial" w:hAnsi="Arial" w:eastAsia="Arial" w:cs="Arial"/>
          <w:b w:val="0"/>
          <w:bCs w:val="0"/>
          <w:i w:val="0"/>
          <w:iCs w:val="0"/>
          <w:noProof w:val="0"/>
          <w:color w:val="000000" w:themeColor="text1" w:themeTint="FF" w:themeShade="FF"/>
          <w:sz w:val="24"/>
          <w:szCs w:val="24"/>
          <w:lang w:val="en-GB"/>
        </w:rPr>
      </w:pPr>
      <w:r w:rsidRPr="52EB4E41" w:rsidR="4D6AD5D4">
        <w:rPr>
          <w:rFonts w:ascii="Arial" w:hAnsi="Arial" w:eastAsia="Arial" w:cs="Arial"/>
          <w:noProof w:val="0"/>
          <w:color w:val="000000" w:themeColor="text1" w:themeTint="FF" w:themeShade="FF"/>
          <w:sz w:val="24"/>
          <w:szCs w:val="24"/>
          <w:lang w:val="en-GB"/>
        </w:rPr>
        <w:t xml:space="preserve">Fig 1; Nash, J. (2025) </w:t>
      </w:r>
      <w:r w:rsidRPr="52EB4E41" w:rsidR="18F879C8">
        <w:rPr>
          <w:rFonts w:ascii="Arial" w:hAnsi="Arial" w:eastAsia="Arial" w:cs="Arial"/>
          <w:b w:val="0"/>
          <w:bCs w:val="0"/>
          <w:i w:val="1"/>
          <w:iCs w:val="1"/>
          <w:noProof w:val="0"/>
          <w:color w:val="000000" w:themeColor="text1" w:themeTint="FF" w:themeShade="FF"/>
          <w:sz w:val="24"/>
          <w:szCs w:val="24"/>
          <w:lang w:val="en-GB"/>
        </w:rPr>
        <w:t xml:space="preserve">The Playground: A Curated Exhibition in Bristol </w:t>
      </w:r>
      <w:r w:rsidRPr="52EB4E41" w:rsidR="18F879C8">
        <w:rPr>
          <w:rFonts w:ascii="Arial" w:hAnsi="Arial" w:eastAsia="Arial" w:cs="Arial"/>
          <w:b w:val="0"/>
          <w:bCs w:val="0"/>
          <w:i w:val="0"/>
          <w:iCs w:val="0"/>
          <w:noProof w:val="0"/>
          <w:color w:val="000000" w:themeColor="text1" w:themeTint="FF" w:themeShade="FF"/>
          <w:sz w:val="24"/>
          <w:szCs w:val="24"/>
          <w:lang w:val="en-GB"/>
        </w:rPr>
        <w:t>poster.</w:t>
      </w:r>
    </w:p>
    <w:p w:rsidR="4D6AD5D4" w:rsidP="52EB4E41" w:rsidRDefault="4D6AD5D4" w14:paraId="5D3DFB60" w14:textId="3FB1E20F">
      <w:pPr>
        <w:spacing w:before="240" w:beforeAutospacing="off" w:after="240" w:afterAutospacing="off"/>
      </w:pPr>
      <w:r w:rsidRPr="52EB4E41" w:rsidR="4D6AD5D4">
        <w:rPr>
          <w:rFonts w:ascii="Arial" w:hAnsi="Arial" w:eastAsia="Arial" w:cs="Arial"/>
          <w:noProof w:val="0"/>
          <w:color w:val="000000" w:themeColor="text1" w:themeTint="FF" w:themeShade="FF"/>
          <w:sz w:val="24"/>
          <w:szCs w:val="24"/>
          <w:lang w:val="en-GB"/>
        </w:rPr>
        <w:t xml:space="preserve">Fig 2; Walala, C. (n.d.) </w:t>
      </w:r>
      <w:r w:rsidRPr="52EB4E41" w:rsidR="4D6AD5D4">
        <w:rPr>
          <w:rFonts w:ascii="Arial" w:hAnsi="Arial" w:eastAsia="Arial" w:cs="Arial"/>
          <w:i w:val="1"/>
          <w:iCs w:val="1"/>
          <w:noProof w:val="0"/>
          <w:color w:val="000000" w:themeColor="text1" w:themeTint="FF" w:themeShade="FF"/>
          <w:sz w:val="24"/>
          <w:szCs w:val="24"/>
          <w:lang w:val="en-GB"/>
        </w:rPr>
        <w:t>Perspective Party</w:t>
      </w:r>
      <w:r w:rsidRPr="52EB4E41" w:rsidR="4D6AD5D4">
        <w:rPr>
          <w:rFonts w:ascii="Arial" w:hAnsi="Arial" w:eastAsia="Arial" w:cs="Arial"/>
          <w:noProof w:val="0"/>
          <w:color w:val="000000" w:themeColor="text1" w:themeTint="FF" w:themeShade="FF"/>
          <w:sz w:val="24"/>
          <w:szCs w:val="24"/>
          <w:lang w:val="en-GB"/>
        </w:rPr>
        <w:t xml:space="preserve">. Camille Walala. Available at: </w:t>
      </w:r>
      <w:hyperlink r:id="R2f506a0143254bca">
        <w:r w:rsidRPr="52EB4E41" w:rsidR="4D6AD5D4">
          <w:rPr>
            <w:rStyle w:val="Hyperlink"/>
            <w:rFonts w:ascii="Arial" w:hAnsi="Arial" w:eastAsia="Arial" w:cs="Arial"/>
            <w:noProof w:val="0"/>
            <w:color w:val="000000" w:themeColor="text1" w:themeTint="FF" w:themeShade="FF"/>
            <w:sz w:val="24"/>
            <w:szCs w:val="24"/>
            <w:lang w:val="en-GB"/>
          </w:rPr>
          <w:t>https://www.camillewalala.com/projects</w:t>
        </w:r>
      </w:hyperlink>
      <w:r w:rsidRPr="52EB4E41" w:rsidR="4D6AD5D4">
        <w:rPr>
          <w:rFonts w:ascii="Arial" w:hAnsi="Arial" w:eastAsia="Arial" w:cs="Arial"/>
          <w:noProof w:val="0"/>
          <w:color w:val="000000" w:themeColor="text1" w:themeTint="FF" w:themeShade="FF"/>
          <w:sz w:val="24"/>
          <w:szCs w:val="24"/>
          <w:lang w:val="en-GB"/>
        </w:rPr>
        <w:t xml:space="preserve"> (Accessed: 22 May 2025). </w:t>
      </w:r>
    </w:p>
    <w:p w:rsidR="4D6AD5D4" w:rsidP="52EB4E41" w:rsidRDefault="4D6AD5D4" w14:paraId="47411E0C" w14:textId="38DA15C9">
      <w:pPr>
        <w:spacing w:before="240" w:beforeAutospacing="off" w:after="240" w:afterAutospacing="off"/>
      </w:pPr>
      <w:r w:rsidRPr="52EB4E41" w:rsidR="4D6AD5D4">
        <w:rPr>
          <w:rFonts w:ascii="Arial" w:hAnsi="Arial" w:eastAsia="Arial" w:cs="Arial"/>
          <w:noProof w:val="0"/>
          <w:color w:val="000000" w:themeColor="text1" w:themeTint="FF" w:themeShade="FF"/>
          <w:sz w:val="24"/>
          <w:szCs w:val="24"/>
          <w:lang w:val="en-GB"/>
        </w:rPr>
        <w:t xml:space="preserve">Fig 3; Ilori, Y. (n.d.) </w:t>
      </w:r>
      <w:r w:rsidRPr="52EB4E41" w:rsidR="4D6AD5D4">
        <w:rPr>
          <w:rFonts w:ascii="Arial" w:hAnsi="Arial" w:eastAsia="Arial" w:cs="Arial"/>
          <w:i w:val="1"/>
          <w:iCs w:val="1"/>
          <w:noProof w:val="0"/>
          <w:color w:val="000000" w:themeColor="text1" w:themeTint="FF" w:themeShade="FF"/>
          <w:sz w:val="24"/>
          <w:szCs w:val="24"/>
          <w:lang w:val="en-GB"/>
        </w:rPr>
        <w:t>Paradise for All</w:t>
      </w:r>
      <w:r w:rsidRPr="52EB4E41" w:rsidR="4D6AD5D4">
        <w:rPr>
          <w:rFonts w:ascii="Arial" w:hAnsi="Arial" w:eastAsia="Arial" w:cs="Arial"/>
          <w:noProof w:val="0"/>
          <w:color w:val="000000" w:themeColor="text1" w:themeTint="FF" w:themeShade="FF"/>
          <w:sz w:val="24"/>
          <w:szCs w:val="24"/>
          <w:lang w:val="en-GB"/>
        </w:rPr>
        <w:t xml:space="preserve">. Yinka Ilori Studio. Available at: </w:t>
      </w:r>
      <w:hyperlink r:id="R48e3dae9eb6946cf">
        <w:r w:rsidRPr="52EB4E41" w:rsidR="4D6AD5D4">
          <w:rPr>
            <w:rStyle w:val="Hyperlink"/>
            <w:rFonts w:ascii="Arial" w:hAnsi="Arial" w:eastAsia="Arial" w:cs="Arial"/>
            <w:noProof w:val="0"/>
            <w:color w:val="000000" w:themeColor="text1" w:themeTint="FF" w:themeShade="FF"/>
            <w:sz w:val="24"/>
            <w:szCs w:val="24"/>
            <w:lang w:val="en-GB"/>
          </w:rPr>
          <w:t>https://yinkailori.com/work/paradise-for-all</w:t>
        </w:r>
      </w:hyperlink>
      <w:r w:rsidRPr="52EB4E41" w:rsidR="4D6AD5D4">
        <w:rPr>
          <w:rFonts w:ascii="Arial" w:hAnsi="Arial" w:eastAsia="Arial" w:cs="Arial"/>
          <w:noProof w:val="0"/>
          <w:color w:val="000000" w:themeColor="text1" w:themeTint="FF" w:themeShade="FF"/>
          <w:sz w:val="24"/>
          <w:szCs w:val="24"/>
          <w:lang w:val="en-GB"/>
        </w:rPr>
        <w:t xml:space="preserve"> (Accessed: 22 May 2025).</w:t>
      </w:r>
    </w:p>
    <w:p w:rsidR="4D6AD5D4" w:rsidP="52EB4E41" w:rsidRDefault="4D6AD5D4" w14:paraId="2232A9CE" w14:textId="63A6CD74">
      <w:pPr>
        <w:spacing w:before="240" w:beforeAutospacing="off" w:after="240" w:afterAutospacing="off"/>
      </w:pPr>
      <w:r w:rsidRPr="52EB4E41" w:rsidR="4D6AD5D4">
        <w:rPr>
          <w:rFonts w:ascii="Arial" w:hAnsi="Arial" w:eastAsia="Arial" w:cs="Arial"/>
          <w:noProof w:val="0"/>
          <w:color w:val="000000" w:themeColor="text1" w:themeTint="FF" w:themeShade="FF"/>
          <w:sz w:val="24"/>
          <w:szCs w:val="24"/>
          <w:lang w:val="en-GB"/>
        </w:rPr>
        <w:t xml:space="preserve">Fig 4; Perry, M. (n.d.) </w:t>
      </w:r>
      <w:r w:rsidRPr="52EB4E41" w:rsidR="4D6AD5D4">
        <w:rPr>
          <w:rFonts w:ascii="Arial" w:hAnsi="Arial" w:eastAsia="Arial" w:cs="Arial"/>
          <w:i w:val="1"/>
          <w:iCs w:val="1"/>
          <w:noProof w:val="0"/>
          <w:color w:val="000000" w:themeColor="text1" w:themeTint="FF" w:themeShade="FF"/>
          <w:sz w:val="24"/>
          <w:szCs w:val="24"/>
          <w:lang w:val="en-GB"/>
        </w:rPr>
        <w:t xml:space="preserve">Still Now is Here: </w:t>
      </w:r>
      <w:r w:rsidRPr="52EB4E41" w:rsidR="4D6AD5D4">
        <w:rPr>
          <w:rFonts w:ascii="Arial" w:hAnsi="Arial" w:eastAsia="Arial" w:cs="Arial"/>
          <w:i w:val="1"/>
          <w:iCs w:val="1"/>
          <w:noProof w:val="0"/>
          <w:color w:val="000000" w:themeColor="text1" w:themeTint="FF" w:themeShade="FF"/>
          <w:sz w:val="24"/>
          <w:szCs w:val="24"/>
          <w:lang w:val="en-GB"/>
        </w:rPr>
        <w:t>Woolgather</w:t>
      </w:r>
      <w:r w:rsidRPr="52EB4E41" w:rsidR="4D6AD5D4">
        <w:rPr>
          <w:rFonts w:ascii="Arial" w:hAnsi="Arial" w:eastAsia="Arial" w:cs="Arial"/>
          <w:i w:val="1"/>
          <w:iCs w:val="1"/>
          <w:noProof w:val="0"/>
          <w:color w:val="000000" w:themeColor="text1" w:themeTint="FF" w:themeShade="FF"/>
          <w:sz w:val="24"/>
          <w:szCs w:val="24"/>
          <w:lang w:val="en-GB"/>
        </w:rPr>
        <w:t xml:space="preserve"> Together</w:t>
      </w:r>
      <w:r w:rsidRPr="52EB4E41" w:rsidR="4D6AD5D4">
        <w:rPr>
          <w:rFonts w:ascii="Arial" w:hAnsi="Arial" w:eastAsia="Arial" w:cs="Arial"/>
          <w:noProof w:val="0"/>
          <w:color w:val="000000" w:themeColor="text1" w:themeTint="FF" w:themeShade="FF"/>
          <w:sz w:val="24"/>
          <w:szCs w:val="24"/>
          <w:lang w:val="en-GB"/>
        </w:rPr>
        <w:t xml:space="preserve">. Mike Perry Studio. Available at: </w:t>
      </w:r>
      <w:hyperlink r:id="R927ab93986284682">
        <w:r w:rsidRPr="52EB4E41" w:rsidR="4D6AD5D4">
          <w:rPr>
            <w:rStyle w:val="Hyperlink"/>
            <w:rFonts w:ascii="Arial" w:hAnsi="Arial" w:eastAsia="Arial" w:cs="Arial"/>
            <w:noProof w:val="0"/>
            <w:color w:val="000000" w:themeColor="text1" w:themeTint="FF" w:themeShade="FF"/>
            <w:sz w:val="24"/>
            <w:szCs w:val="24"/>
            <w:lang w:val="en-GB"/>
          </w:rPr>
          <w:t>https://www.mikeperrystudio.com/</w:t>
        </w:r>
      </w:hyperlink>
      <w:r w:rsidRPr="52EB4E41" w:rsidR="4D6AD5D4">
        <w:rPr>
          <w:rFonts w:ascii="Arial" w:hAnsi="Arial" w:eastAsia="Arial" w:cs="Arial"/>
          <w:noProof w:val="0"/>
          <w:color w:val="000000" w:themeColor="text1" w:themeTint="FF" w:themeShade="FF"/>
          <w:sz w:val="24"/>
          <w:szCs w:val="24"/>
          <w:lang w:val="en-GB"/>
        </w:rPr>
        <w:t xml:space="preserve"> (Accessed: 22 May 2025).</w:t>
      </w:r>
    </w:p>
    <w:p w:rsidR="52EB4E41" w:rsidP="52EB4E41" w:rsidRDefault="52EB4E41" w14:paraId="6B753B87" w14:textId="19913C35">
      <w:pPr>
        <w:pStyle w:val="Normal"/>
        <w:rPr>
          <w:rFonts w:ascii="Arial" w:hAnsi="Arial" w:eastAsia="Arial" w:cs="Arial"/>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2908d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7b641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7cc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b42b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1A8BB2"/>
    <w:rsid w:val="000D79FA"/>
    <w:rsid w:val="00D26706"/>
    <w:rsid w:val="00EEE65F"/>
    <w:rsid w:val="01C7046E"/>
    <w:rsid w:val="02360D62"/>
    <w:rsid w:val="03366B91"/>
    <w:rsid w:val="04171DB2"/>
    <w:rsid w:val="055BCD82"/>
    <w:rsid w:val="083A9247"/>
    <w:rsid w:val="091A9C14"/>
    <w:rsid w:val="09359D83"/>
    <w:rsid w:val="0ABB8A8A"/>
    <w:rsid w:val="0C3327AC"/>
    <w:rsid w:val="0D867EB4"/>
    <w:rsid w:val="0D8CB394"/>
    <w:rsid w:val="0E79B26A"/>
    <w:rsid w:val="0EA703D5"/>
    <w:rsid w:val="0ED1D22A"/>
    <w:rsid w:val="0F2D9691"/>
    <w:rsid w:val="103CF100"/>
    <w:rsid w:val="10D5FFBF"/>
    <w:rsid w:val="10FB3452"/>
    <w:rsid w:val="11190671"/>
    <w:rsid w:val="111D7A90"/>
    <w:rsid w:val="1159022F"/>
    <w:rsid w:val="128F73BA"/>
    <w:rsid w:val="12FDB908"/>
    <w:rsid w:val="13ABAD4C"/>
    <w:rsid w:val="13DB2BEC"/>
    <w:rsid w:val="14779B4A"/>
    <w:rsid w:val="15614342"/>
    <w:rsid w:val="15ACFAF8"/>
    <w:rsid w:val="1750DD40"/>
    <w:rsid w:val="18F879C8"/>
    <w:rsid w:val="193E78ED"/>
    <w:rsid w:val="19F07B78"/>
    <w:rsid w:val="1D413A9C"/>
    <w:rsid w:val="1D7733EF"/>
    <w:rsid w:val="1DF7B30D"/>
    <w:rsid w:val="21451A04"/>
    <w:rsid w:val="225714BE"/>
    <w:rsid w:val="233A56B7"/>
    <w:rsid w:val="24CF0C2E"/>
    <w:rsid w:val="250254B6"/>
    <w:rsid w:val="2632B5B7"/>
    <w:rsid w:val="26709BA2"/>
    <w:rsid w:val="26A9E83D"/>
    <w:rsid w:val="26D399FB"/>
    <w:rsid w:val="26F61819"/>
    <w:rsid w:val="271A8BB2"/>
    <w:rsid w:val="2792670E"/>
    <w:rsid w:val="28579098"/>
    <w:rsid w:val="28E29090"/>
    <w:rsid w:val="290ED84F"/>
    <w:rsid w:val="29484020"/>
    <w:rsid w:val="298D79F0"/>
    <w:rsid w:val="2C103EED"/>
    <w:rsid w:val="2C15C2F7"/>
    <w:rsid w:val="2C2A6BAD"/>
    <w:rsid w:val="2D20EAFA"/>
    <w:rsid w:val="2D8CA6A6"/>
    <w:rsid w:val="2DB030FC"/>
    <w:rsid w:val="2E1F0843"/>
    <w:rsid w:val="2EC87FFE"/>
    <w:rsid w:val="2F0A28B3"/>
    <w:rsid w:val="2FE52451"/>
    <w:rsid w:val="31512315"/>
    <w:rsid w:val="31BC84C8"/>
    <w:rsid w:val="32684941"/>
    <w:rsid w:val="333D5BBB"/>
    <w:rsid w:val="3403DB8D"/>
    <w:rsid w:val="3482C595"/>
    <w:rsid w:val="35099BD9"/>
    <w:rsid w:val="3545F0E2"/>
    <w:rsid w:val="378506E2"/>
    <w:rsid w:val="380F5194"/>
    <w:rsid w:val="3814DA1D"/>
    <w:rsid w:val="38373C86"/>
    <w:rsid w:val="39B0BF4D"/>
    <w:rsid w:val="3AC95A62"/>
    <w:rsid w:val="3AEC5C1F"/>
    <w:rsid w:val="3B5C0AAC"/>
    <w:rsid w:val="3B6C31BC"/>
    <w:rsid w:val="3BB2AEDD"/>
    <w:rsid w:val="3CF61364"/>
    <w:rsid w:val="3E93872D"/>
    <w:rsid w:val="3F02BACD"/>
    <w:rsid w:val="40A79052"/>
    <w:rsid w:val="40A9ED5B"/>
    <w:rsid w:val="418FE50D"/>
    <w:rsid w:val="42F52A8D"/>
    <w:rsid w:val="44F77A7E"/>
    <w:rsid w:val="45D4B9FE"/>
    <w:rsid w:val="4837F558"/>
    <w:rsid w:val="48425EEE"/>
    <w:rsid w:val="48F7126F"/>
    <w:rsid w:val="48F94156"/>
    <w:rsid w:val="49C88CE9"/>
    <w:rsid w:val="4B8F13A3"/>
    <w:rsid w:val="4B90190B"/>
    <w:rsid w:val="4C5D16FE"/>
    <w:rsid w:val="4D6AD5D4"/>
    <w:rsid w:val="4EDDEB33"/>
    <w:rsid w:val="4F26FB3E"/>
    <w:rsid w:val="4F667191"/>
    <w:rsid w:val="4F6D4D4E"/>
    <w:rsid w:val="509BB6DA"/>
    <w:rsid w:val="513F4530"/>
    <w:rsid w:val="51C46D55"/>
    <w:rsid w:val="51CC2DC5"/>
    <w:rsid w:val="51DE5188"/>
    <w:rsid w:val="52288949"/>
    <w:rsid w:val="52EB4E41"/>
    <w:rsid w:val="5397176A"/>
    <w:rsid w:val="53A50A83"/>
    <w:rsid w:val="54403080"/>
    <w:rsid w:val="564A0CBC"/>
    <w:rsid w:val="56521543"/>
    <w:rsid w:val="5766E771"/>
    <w:rsid w:val="5A2735E9"/>
    <w:rsid w:val="5AB5EFCA"/>
    <w:rsid w:val="5C3746C2"/>
    <w:rsid w:val="5D834B97"/>
    <w:rsid w:val="5D917358"/>
    <w:rsid w:val="5DE23A20"/>
    <w:rsid w:val="5EF21C23"/>
    <w:rsid w:val="5F5646A1"/>
    <w:rsid w:val="5F7D8E71"/>
    <w:rsid w:val="5FB3A1A2"/>
    <w:rsid w:val="5FC9602E"/>
    <w:rsid w:val="5FDB02BB"/>
    <w:rsid w:val="6011E4D2"/>
    <w:rsid w:val="6201A0CC"/>
    <w:rsid w:val="6235181C"/>
    <w:rsid w:val="6279781C"/>
    <w:rsid w:val="63830E53"/>
    <w:rsid w:val="63F4CA92"/>
    <w:rsid w:val="6443FB29"/>
    <w:rsid w:val="64A98C40"/>
    <w:rsid w:val="64F5BAE7"/>
    <w:rsid w:val="65013761"/>
    <w:rsid w:val="65C6ECA0"/>
    <w:rsid w:val="666DB567"/>
    <w:rsid w:val="66AA3708"/>
    <w:rsid w:val="6840DE16"/>
    <w:rsid w:val="68C5BD3A"/>
    <w:rsid w:val="69E0F547"/>
    <w:rsid w:val="6A743242"/>
    <w:rsid w:val="6A844B32"/>
    <w:rsid w:val="6AB881FF"/>
    <w:rsid w:val="6AC4F4AB"/>
    <w:rsid w:val="6B29F58C"/>
    <w:rsid w:val="6B804DA0"/>
    <w:rsid w:val="6D3F4826"/>
    <w:rsid w:val="6E9DCB80"/>
    <w:rsid w:val="6F4C2640"/>
    <w:rsid w:val="6F92445A"/>
    <w:rsid w:val="702121AC"/>
    <w:rsid w:val="72C06045"/>
    <w:rsid w:val="72E8831E"/>
    <w:rsid w:val="74A3BE4E"/>
    <w:rsid w:val="74E0D20F"/>
    <w:rsid w:val="7627D0C3"/>
    <w:rsid w:val="763AFC4D"/>
    <w:rsid w:val="76A0B66F"/>
    <w:rsid w:val="780E65A6"/>
    <w:rsid w:val="7A4F7C52"/>
    <w:rsid w:val="7AF53A96"/>
    <w:rsid w:val="7AF5CC3B"/>
    <w:rsid w:val="7B8A20AD"/>
    <w:rsid w:val="7C0C5FF3"/>
    <w:rsid w:val="7DB814BE"/>
    <w:rsid w:val="7FD7F7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9093F"/>
  <w15:chartTrackingRefBased/>
  <w15:docId w15:val="{DB7CB276-EB90-45FF-9572-150CA4B00E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3746C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C3746C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C3746C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C3746C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C3746C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C3746C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C3746C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C3746C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C3746C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C3746C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C3746C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C3746C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C3746C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C3746C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C3746C2"/>
    <w:rPr>
      <w:color w:val="467886"/>
      <w:u w:val="single"/>
    </w:rPr>
  </w:style>
  <w:style w:type="paragraph" w:styleId="ListParagraph">
    <w:uiPriority w:val="34"/>
    <w:name w:val="List Paragraph"/>
    <w:basedOn w:val="Normal"/>
    <w:qFormat/>
    <w:rsid w:val="5C3746C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bce20f660034831" /><Relationship Type="http://schemas.openxmlformats.org/officeDocument/2006/relationships/image" Target="/media/image.jpg" Id="R8e79e10227ac4c2f" /><Relationship Type="http://schemas.openxmlformats.org/officeDocument/2006/relationships/image" Target="/media/image6.png" Id="R64d1eacabba04d14" /><Relationship Type="http://schemas.openxmlformats.org/officeDocument/2006/relationships/image" Target="/media/image7.png" Id="Rd14edb39419047ed" /><Relationship Type="http://schemas.openxmlformats.org/officeDocument/2006/relationships/image" Target="/media/image8.png" Id="R69e6029bc462401b" /><Relationship Type="http://schemas.openxmlformats.org/officeDocument/2006/relationships/image" Target="/media/image9.png" Id="R6839e0d09afa4f9c" /><Relationship Type="http://schemas.openxmlformats.org/officeDocument/2006/relationships/image" Target="/media/imagea.png" Id="R873c7bd75d9c48d9" /><Relationship Type="http://schemas.openxmlformats.org/officeDocument/2006/relationships/hyperlink" Target="https://yinkailori.com/work/paradise-for-all" TargetMode="External" Id="R4a9c63be130d4eb3" /><Relationship Type="http://schemas.openxmlformats.org/officeDocument/2006/relationships/hyperlink" Target="https://www.mikeperrystudio.com/" TargetMode="External" Id="Ra61ebe1440f443cb" /><Relationship Type="http://schemas.openxmlformats.org/officeDocument/2006/relationships/hyperlink" Target="https://www.camillewalala.com/projects" TargetMode="External" Id="R4667e9bcc4e8465c" /><Relationship Type="http://schemas.openxmlformats.org/officeDocument/2006/relationships/hyperlink" Target="https://papers.ssrn.com/sol3/papers.cfm?abstract_id=5160314(Accessed" TargetMode="External" Id="Rf08ff2d73f8849cb" /><Relationship Type="http://schemas.openxmlformats.org/officeDocument/2006/relationships/hyperlink" Target="https://www.camillewalala.com/projects" TargetMode="External" Id="R2f506a0143254bca" /><Relationship Type="http://schemas.openxmlformats.org/officeDocument/2006/relationships/hyperlink" Target="https://yinkailori.com/work/paradise-for-all" TargetMode="External" Id="R48e3dae9eb6946cf" /><Relationship Type="http://schemas.openxmlformats.org/officeDocument/2006/relationships/hyperlink" Target="https://www.mikeperrystudio.com/" TargetMode="External" Id="R927ab939862846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2025-05-21T13:41:19.4441433Z</dcterms:created>
  <dcterms:modified xsi:type="dcterms:W3CDTF">2025-05-28T17:47:03.1444813Z</dcterms:modified>
  <dc:creator>Joseph Nash (2306186)</dc:creator>
  <lastModifiedBy>Joseph Nash (2306186)</lastModifiedBy>
</coreProperties>
</file>