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4838D2" w:rsidRDefault="004838D2">
      <w:pPr>
        <w:jc w:val="center"/>
        <w:spacing w:line="360" w:lineRule="auto"/>
        <w:rPr>
          <w:b/>
          <w:sz w:val="32"/>
          <w:szCs w:val="32"/>
        </w:rPr>
      </w:pPr>
    </w:p>
    <w:p w:rsidR="004838D2" w:rsidRDefault="004838D2">
      <w:pPr>
        <w:jc w:val="center"/>
        <w:spacing w:line="360" w:lineRule="auto"/>
        <w:rPr>
          <w:b/>
          <w:sz w:val="32"/>
          <w:szCs w:val="32"/>
        </w:rPr>
      </w:pPr>
    </w:p>
    <w:p w:rsidR="004838D2" w:rsidRDefault="004838D2">
      <w:pPr>
        <w:jc w:val="center"/>
        <w:spacing w:line="360" w:lineRule="auto"/>
        <w:rPr>
          <w:b/>
          <w:sz w:val="32"/>
          <w:szCs w:val="32"/>
        </w:rPr>
      </w:pPr>
    </w:p>
    <w:p w:rsidR="004838D2" w:rsidRDefault="004838D2">
      <w:pPr>
        <w:jc w:val="center"/>
        <w:spacing w:line="360" w:lineRule="auto"/>
        <w:rPr>
          <w:b/>
          <w:sz w:val="32"/>
          <w:szCs w:val="32"/>
        </w:rPr>
      </w:pPr>
    </w:p>
    <w:p w:rsidR="004838D2" w:rsidRDefault="004838D2">
      <w:pPr>
        <w:jc w:val="center"/>
        <w:spacing w:line="360" w:lineRule="auto"/>
        <w:rPr>
          <w:b/>
          <w:sz w:val="32"/>
          <w:szCs w:val="32"/>
        </w:rPr>
      </w:pPr>
    </w:p>
    <w:p w:rsidR="004838D2" w:rsidRDefault="00000000">
      <w:pPr>
        <w:jc w:val="center"/>
        <w:spacing w:line="360" w:lineRule="auto"/>
        <w:rPr>
          <w:b/>
          <w:sz w:val="32"/>
          <w:szCs w:val="32"/>
        </w:rPr>
      </w:pPr>
      <w:r>
        <w:rPr>
          <w:b/>
          <w:sz w:val="32"/>
          <w:szCs w:val="32"/>
        </w:rPr>
        <w:t>Module name- Developing Relationships and Workplace Achievement</w:t>
      </w:r>
    </w:p>
    <w:p w:rsidR="004838D2" w:rsidRDefault="00000000">
      <w:pPr>
        <w:jc w:val="center"/>
        <w:spacing w:line="360" w:lineRule="auto"/>
        <w:rPr>
          <w:b/>
          <w:sz w:val="32"/>
          <w:szCs w:val="32"/>
        </w:rPr>
      </w:pPr>
      <w:r>
        <w:rPr>
          <w:b/>
          <w:sz w:val="32"/>
          <w:szCs w:val="32"/>
        </w:rPr>
        <w:t>Module Code-BMSW5102_BIRM</w:t>
      </w:r>
    </w:p>
    <w:p w:rsidR="004838D2" w:rsidRDefault="00000000">
      <w:pPr>
        <w:jc w:val="center"/>
        <w:spacing w:line="360" w:lineRule="auto"/>
        <w:rPr>
          <w:b/>
          <w:sz w:val="32"/>
          <w:szCs w:val="32"/>
        </w:rPr>
      </w:pPr>
      <w:r>
        <w:rPr>
          <w:b/>
          <w:sz w:val="32"/>
          <w:szCs w:val="32"/>
        </w:rPr>
        <w:t>Student: George Giuliano Mihai</w:t>
      </w:r>
    </w:p>
    <w:p w:rsidR="004838D2" w:rsidRDefault="00000000">
      <w:pPr>
        <w:jc w:val="center"/>
        <w:spacing w:line="360" w:lineRule="auto"/>
        <w:rPr>
          <w:b/>
          <w:sz w:val="32"/>
          <w:szCs w:val="32"/>
        </w:rPr>
      </w:pPr>
      <w:r>
        <w:rPr>
          <w:b/>
          <w:sz w:val="32"/>
        </w:rPr>
        <w:t>Student Id:2027230</w:t>
      </w:r>
    </w:p>
    <w:p>
      <w:pPr>
        <w:jc w:val="center"/>
        <w:spacing w:line="360" w:lineRule="auto"/>
      </w:pPr>
      <w:r>
        <w:rPr>
          <w:b/>
          <w:sz w:val="32"/>
        </w:rPr>
        <w:t>Lecturer:Zahra Mohammadnazari</w:t>
      </w:r>
    </w:p>
    <w:p>
      <w:pPr>
        <w:jc w:val="center"/>
        <w:spacing w:line="360" w:lineRule="auto"/>
      </w:pPr>
      <w:r>
        <w:rPr>
          <w:b/>
          <w:sz w:val="32"/>
        </w:rPr>
      </w:r>
    </w:p>
    <w:p>
      <w:pPr>
        <w:jc w:val="center"/>
        <w:spacing w:line="360" w:lineRule="auto"/>
      </w:pPr>
      <w:r>
        <w:rPr>
          <w:b/>
          <w:sz w:val="32"/>
        </w:rPr>
        <w:t xml:space="preserve"> International mergers and acquisitions (M&amp;As) of China National Petroleum Corporation(China) and TotalEnergies SE (France)</w:t>
      </w:r>
    </w:p>
    <w:p w:rsidR="004838D2" w:rsidRDefault="00000000">
      <w:pPr>
        <w:jc w:val="center"/>
        <w:spacing w:line="360" w:lineRule="auto"/>
        <w:rPr>
          <w:b/>
          <w:sz w:val="32"/>
          <w:szCs w:val="32"/>
        </w:rPr>
      </w:pPr>
      <w:r>
        <w:br w:type="page"/>
      </w:r>
    </w:p>
    <w:p w:rsidR="004838D2" w:rsidRDefault="00000000">
      <w:pPr>
        <w:jc w:val="center"/>
        <w:spacing w:line="360" w:lineRule="auto"/>
        <w:rPr>
          <w:b/>
          <w:sz w:val="24"/>
          <w:szCs w:val="24"/>
        </w:rPr>
      </w:pPr>
      <w:r>
        <w:rPr>
          <w:b/>
        </w:rPr>
        <w:t xml:space="preserve">Table of contents </w:t>
        <w:lastRenderedPageBreak/>
      </w:r>
    </w:p>
    <w:sdt>
      <w:sdtPr>
        <w:id w:val="-433898214"/>
        <w:docPartObj>
          <w:docPartGallery w:val="Table of Contents"/>
          <w:docPartUnique/>
        </w:docPartObj>
      </w:sdtPr>
      <w:sdtContent>
        <w:p w:rsidR="004838D2" w:rsidRDefault="00000000">
          <w:pPr>
            <w:widowControl w:val="0"/>
            <w:jc w:val="both"/>
            <w:spacing w:before="60" w:line="360" w:lineRule="auto"/>
            <w:tabs>
              <w:tab w:val="right" w:pos="12000"/>
            </w:tabs>
            <w:rPr>
              <w:b/>
              <w:color w:val="000000"/>
              <w:sz w:val="24"/>
              <w:szCs w:val="24"/>
            </w:rPr>
          </w:pPr>
          <w:r>
            <w:fldChar w:fldCharType="begin"/>
          </w:r>
          <w:r>
            <w:instrText xml:space="preserve"> TOC \h \u \z \t "Heading 1,1,Heading 2,2,Heading 3,3,Heading 4,4,Heading 5,5,Heading 6,6,"</w:instrText>
          </w:r>
          <w:r>
            <w:fldChar w:fldCharType="separate"/>
          </w:r>
          <w:hyperlink w:anchor="_heading=h.gjdgxs">
            <w:r>
              <w:rPr>
                <w:color w:val="000000"/>
                <w:sz w:val="24"/>
                <w:szCs w:val="24"/>
              </w:rPr>
              <w:t>Introduction</w:t>
            </w:r>
            <w:r>
              <w:rPr>
                <w:color w:val="000000"/>
                <w:sz w:val="24"/>
                <w:szCs w:val="24"/>
              </w:rPr>
              <w:tab/>
            </w:r>
            <w:r>
              <w:rPr>
                <w:color w:val="000000"/>
                <w:sz w:val="24"/>
                <w:szCs w:val="24"/>
              </w:rPr>
              <w:t>3</w:t>
            </w:r>
          </w:hyperlink>
        </w:p>
        <w:p w:rsidR="004838D2" w:rsidRDefault="00000000">
          <w:pPr>
            <w:widowControl w:val="0"/>
            <w:jc w:val="both"/>
            <w:spacing w:before="60" w:line="360" w:lineRule="auto"/>
            <w:tabs>
              <w:tab w:val="right" w:pos="12000"/>
            </w:tabs>
            <w:rPr>
              <w:b/>
              <w:color w:val="000000"/>
              <w:sz w:val="24"/>
              <w:szCs w:val="24"/>
            </w:rPr>
          </w:pPr>
          <w:hyperlink w:anchor="_heading=h.1fob9te">
            <w:r>
              <w:rPr>
                <w:color w:val="000000"/>
                <w:sz w:val="24"/>
                <w:szCs w:val="24"/>
              </w:rPr>
              <w:t>Reason for Merger and Acquisition of CNPC and Total Energies SE</w:t>
            </w:r>
            <w:r>
              <w:rPr>
                <w:color w:val="000000"/>
                <w:sz w:val="24"/>
                <w:szCs w:val="24"/>
              </w:rPr>
              <w:tab/>
            </w:r>
            <w:r>
              <w:rPr>
                <w:color w:val="000000"/>
                <w:sz w:val="24"/>
                <w:szCs w:val="24"/>
              </w:rPr>
              <w:t>4</w:t>
            </w:r>
          </w:hyperlink>
        </w:p>
        <w:p w:rsidR="004838D2" w:rsidRDefault="00000000">
          <w:pPr>
            <w:widowControl w:val="0"/>
            <w:jc w:val="both"/>
            <w:spacing w:before="60" w:line="360" w:lineRule="auto"/>
            <w:tabs>
              <w:tab w:val="right" w:pos="12000"/>
            </w:tabs>
            <w:rPr>
              <w:b/>
              <w:color w:val="000000"/>
              <w:sz w:val="24"/>
              <w:szCs w:val="24"/>
            </w:rPr>
          </w:pPr>
          <w:hyperlink w:anchor="_heading=h.3znysh7">
            <w:r>
              <w:rPr>
                <w:color w:val="000000"/>
                <w:sz w:val="24"/>
                <w:szCs w:val="24"/>
              </w:rPr>
              <w:t>The merger of Equals or Acquisition</w:t>
            </w:r>
            <w:r>
              <w:rPr>
                <w:color w:val="000000"/>
                <w:sz w:val="24"/>
                <w:szCs w:val="24"/>
              </w:rPr>
              <w:tab/>
            </w:r>
            <w:r>
              <w:rPr>
                <w:color w:val="000000"/>
                <w:sz w:val="24"/>
                <w:szCs w:val="24"/>
              </w:rPr>
              <w:t>5</w:t>
            </w:r>
          </w:hyperlink>
        </w:p>
        <w:p w:rsidR="004838D2" w:rsidRDefault="00000000">
          <w:pPr>
            <w:widowControl w:val="0"/>
            <w:jc w:val="both"/>
            <w:spacing w:before="60" w:line="360" w:lineRule="auto"/>
            <w:tabs>
              <w:tab w:val="right" w:pos="12000"/>
            </w:tabs>
            <w:rPr>
              <w:b/>
              <w:color w:val="000000"/>
              <w:sz w:val="24"/>
              <w:szCs w:val="24"/>
            </w:rPr>
          </w:pPr>
          <w:hyperlink w:anchor="_heading=h.2et92p0">
            <w:r>
              <w:rPr>
                <w:color w:val="000000"/>
                <w:sz w:val="24"/>
                <w:szCs w:val="24"/>
              </w:rPr>
              <w:t>Strategy for Merger</w:t>
            </w:r>
            <w:r>
              <w:rPr>
                <w:color w:val="000000"/>
                <w:sz w:val="24"/>
                <w:szCs w:val="24"/>
              </w:rPr>
              <w:tab/>
            </w:r>
            <w:r>
              <w:rPr>
                <w:color w:val="000000"/>
                <w:sz w:val="24"/>
                <w:szCs w:val="24"/>
              </w:rPr>
              <w:t>5</w:t>
            </w:r>
          </w:hyperlink>
        </w:p>
        <w:p w:rsidR="004838D2" w:rsidRDefault="00000000">
          <w:pPr>
            <w:widowControl w:val="0"/>
            <w:jc w:val="both"/>
            <w:spacing w:before="60" w:line="360" w:lineRule="auto"/>
            <w:tabs>
              <w:tab w:val="right" w:pos="12000"/>
            </w:tabs>
            <w:rPr>
              <w:b/>
              <w:color w:val="000000"/>
              <w:sz w:val="24"/>
              <w:szCs w:val="24"/>
            </w:rPr>
          </w:pPr>
          <w:hyperlink w:anchor="_heading=h.tyjcwt">
            <w:r>
              <w:rPr>
                <w:color w:val="000000"/>
                <w:sz w:val="24"/>
                <w:szCs w:val="24"/>
              </w:rPr>
              <w:t>HR Challenges of Merger</w:t>
            </w:r>
            <w:r>
              <w:rPr>
                <w:color w:val="000000"/>
                <w:sz w:val="24"/>
                <w:szCs w:val="24"/>
              </w:rPr>
              <w:tab/>
            </w:r>
            <w:r>
              <w:rPr>
                <w:color w:val="000000"/>
                <w:sz w:val="24"/>
                <w:szCs w:val="24"/>
              </w:rPr>
              <w:t>5</w:t>
            </w:r>
          </w:hyperlink>
        </w:p>
        <w:p w:rsidR="004838D2" w:rsidRDefault="00000000">
          <w:pPr>
            <w:widowControl w:val="0"/>
            <w:jc w:val="both"/>
            <w:spacing w:before="60" w:line="360" w:lineRule="auto"/>
            <w:tabs>
              <w:tab w:val="right" w:pos="12000"/>
            </w:tabs>
            <w:rPr>
              <w:b/>
              <w:color w:val="000000"/>
              <w:sz w:val="24"/>
              <w:szCs w:val="24"/>
            </w:rPr>
          </w:pPr>
          <w:hyperlink w:anchor="_heading=h.3dy6vkm">
            <w:r>
              <w:rPr>
                <w:color w:val="000000"/>
                <w:sz w:val="24"/>
                <w:szCs w:val="24"/>
              </w:rPr>
              <w:t>HR’s Role in M&amp;A Process</w:t>
            </w:r>
            <w:r>
              <w:rPr>
                <w:color w:val="000000"/>
                <w:sz w:val="24"/>
                <w:szCs w:val="24"/>
              </w:rPr>
              <w:tab/>
            </w:r>
            <w:r>
              <w:rPr>
                <w:color w:val="000000"/>
                <w:sz w:val="24"/>
                <w:szCs w:val="24"/>
              </w:rPr>
              <w:t>6</w:t>
            </w:r>
          </w:hyperlink>
        </w:p>
        <w:p w:rsidR="004838D2" w:rsidRDefault="00000000">
          <w:pPr>
            <w:widowControl w:val="0"/>
            <w:jc w:val="both"/>
            <w:spacing w:before="60" w:line="360" w:lineRule="auto"/>
            <w:tabs>
              <w:tab w:val="right" w:pos="12000"/>
            </w:tabs>
            <w:rPr>
              <w:b/>
              <w:color w:val="000000"/>
              <w:sz w:val="24"/>
              <w:szCs w:val="24"/>
            </w:rPr>
          </w:pPr>
          <w:hyperlink w:anchor="_heading=h.1t3h5sf">
            <w:r>
              <w:rPr>
                <w:color w:val="000000"/>
                <w:sz w:val="24"/>
                <w:szCs w:val="24"/>
              </w:rPr>
              <w:t>Ways in which HR Improves M&amp;A Success</w:t>
            </w:r>
            <w:r>
              <w:rPr>
                <w:color w:val="000000"/>
                <w:sz w:val="24"/>
                <w:szCs w:val="24"/>
              </w:rPr>
              <w:tab/>
            </w:r>
            <w:r>
              <w:rPr>
                <w:color w:val="000000"/>
                <w:sz w:val="24"/>
                <w:szCs w:val="24"/>
              </w:rPr>
              <w:t>6</w:t>
            </w:r>
          </w:hyperlink>
        </w:p>
        <w:p w:rsidR="004838D2" w:rsidRDefault="00000000">
          <w:pPr>
            <w:widowControl w:val="0"/>
            <w:jc w:val="both"/>
            <w:spacing w:before="60" w:line="360" w:lineRule="auto"/>
            <w:tabs>
              <w:tab w:val="right" w:pos="12000"/>
            </w:tabs>
            <w:rPr>
              <w:b/>
              <w:color w:val="000000"/>
              <w:sz w:val="24"/>
              <w:szCs w:val="24"/>
            </w:rPr>
          </w:pPr>
          <w:hyperlink w:anchor="_heading=h.2s8eyo1">
            <w:r>
              <w:rPr>
                <w:color w:val="000000"/>
                <w:sz w:val="24"/>
                <w:szCs w:val="24"/>
              </w:rPr>
              <w:t>Appraisals and critical analysis of strategic international HR</w:t>
            </w:r>
            <w:r>
              <w:rPr>
                <w:color w:val="000000"/>
                <w:sz w:val="24"/>
                <w:szCs w:val="24"/>
              </w:rPr>
              <w:tab/>
            </w:r>
            <w:r>
              <w:rPr>
                <w:color w:val="000000"/>
                <w:sz w:val="24"/>
                <w:szCs w:val="24"/>
              </w:rPr>
              <w:t>7</w:t>
            </w:r>
          </w:hyperlink>
        </w:p>
        <w:p w:rsidR="004838D2" w:rsidRDefault="00000000">
          <w:pPr>
            <w:widowControl w:val="0"/>
            <w:jc w:val="both"/>
            <w:ind w:left="360"/>
            <w:spacing w:before="60" w:line="360" w:lineRule="auto"/>
            <w:tabs>
              <w:tab w:val="right" w:pos="12000"/>
            </w:tabs>
            <w:rPr>
              <w:color w:val="000000"/>
              <w:sz w:val="24"/>
              <w:szCs w:val="24"/>
            </w:rPr>
          </w:pPr>
          <w:hyperlink w:anchor="_heading=h.17dp8vu">
            <w:r>
              <w:rPr>
                <w:color w:val="000000"/>
                <w:sz w:val="24"/>
                <w:szCs w:val="24"/>
              </w:rPr>
              <w:t>Appraisals</w:t>
            </w:r>
            <w:r>
              <w:rPr>
                <w:color w:val="000000"/>
                <w:sz w:val="24"/>
                <w:szCs w:val="24"/>
              </w:rPr>
              <w:tab/>
            </w:r>
            <w:r>
              <w:rPr>
                <w:color w:val="000000"/>
                <w:sz w:val="24"/>
                <w:szCs w:val="24"/>
              </w:rPr>
              <w:t>7</w:t>
            </w:r>
          </w:hyperlink>
        </w:p>
        <w:p w:rsidR="004838D2" w:rsidRDefault="00000000">
          <w:pPr>
            <w:widowControl w:val="0"/>
            <w:jc w:val="both"/>
            <w:ind w:left="360"/>
            <w:spacing w:before="60" w:line="360" w:lineRule="auto"/>
            <w:tabs>
              <w:tab w:val="right" w:pos="12000"/>
            </w:tabs>
            <w:rPr>
              <w:color w:val="000000"/>
              <w:sz w:val="24"/>
              <w:szCs w:val="24"/>
            </w:rPr>
          </w:pPr>
          <w:hyperlink w:anchor="_heading=h.3rdcrjn">
            <w:r>
              <w:rPr>
                <w:color w:val="000000"/>
                <w:sz w:val="24"/>
                <w:szCs w:val="24"/>
              </w:rPr>
              <w:t>Critical analysis</w:t>
            </w:r>
            <w:r>
              <w:rPr>
                <w:color w:val="000000"/>
                <w:sz w:val="24"/>
                <w:szCs w:val="24"/>
              </w:rPr>
              <w:tab/>
            </w:r>
            <w:r>
              <w:rPr>
                <w:color w:val="000000"/>
                <w:sz w:val="24"/>
                <w:szCs w:val="24"/>
              </w:rPr>
              <w:t>8</w:t>
            </w:r>
          </w:hyperlink>
        </w:p>
        <w:p w:rsidR="004838D2" w:rsidRDefault="00000000">
          <w:pPr>
            <w:widowControl w:val="0"/>
            <w:jc w:val="both"/>
            <w:spacing w:before="60" w:line="360" w:lineRule="auto"/>
            <w:tabs>
              <w:tab w:val="right" w:pos="12000"/>
            </w:tabs>
            <w:rPr>
              <w:b/>
              <w:color w:val="000000"/>
              <w:sz w:val="24"/>
              <w:szCs w:val="24"/>
            </w:rPr>
          </w:pPr>
          <w:hyperlink w:anchor="_heading=h.26in1rg">
            <w:r>
              <w:rPr>
                <w:color w:val="000000"/>
                <w:sz w:val="24"/>
                <w:szCs w:val="24"/>
              </w:rPr>
              <w:t>Conclusion and recommendations</w:t>
            </w:r>
            <w:r>
              <w:rPr>
                <w:color w:val="000000"/>
                <w:sz w:val="24"/>
                <w:szCs w:val="24"/>
              </w:rPr>
              <w:tab/>
            </w:r>
            <w:r>
              <w:rPr>
                <w:color w:val="000000"/>
                <w:sz w:val="24"/>
                <w:szCs w:val="24"/>
              </w:rPr>
              <w:t>8</w:t>
            </w:r>
          </w:hyperlink>
        </w:p>
        <w:p w:rsidR="004838D2" w:rsidRDefault="00000000">
          <w:pPr>
            <w:widowControl w:val="0"/>
            <w:jc w:val="both"/>
            <w:spacing w:before="60" w:line="360" w:lineRule="auto"/>
            <w:tabs>
              <w:tab w:val="right" w:pos="12000"/>
            </w:tabs>
            <w:rPr>
              <w:b/>
              <w:color w:val="000000"/>
              <w:sz w:val="24"/>
              <w:szCs w:val="24"/>
            </w:rPr>
          </w:pPr>
          <w:hyperlink w:anchor="_heading=h.lnxbz9">
            <w:r>
              <w:rPr>
                <w:color w:val="000000"/>
                <w:sz w:val="24"/>
                <w:szCs w:val="24"/>
              </w:rPr>
              <w:t>Reference List</w:t>
            </w:r>
            <w:r>
              <w:rPr>
                <w:color w:val="000000"/>
                <w:sz w:val="24"/>
                <w:szCs w:val="24"/>
              </w:rPr>
              <w:tab/>
            </w:r>
            <w:r>
              <w:rPr>
                <w:color w:val="000000"/>
                <w:sz w:val="24"/>
                <w:szCs w:val="24"/>
              </w:rPr>
              <w:t>10</w:t>
            </w:r>
          </w:hyperlink>
          <w:r>
            <w:fldChar w:fldCharType="end"/>
          </w:r>
        </w:p>
      </w:sdtContent>
    </w:sdt>
    <w:p w:rsidR="004838D2" w:rsidRDefault="00000000">
      <w:pPr>
        <w:jc w:val="both"/>
        <w:spacing w:line="360" w:lineRule="auto"/>
        <w:rPr>
          <w:b/>
          <w:sz w:val="24"/>
          <w:szCs w:val="24"/>
        </w:rPr>
      </w:pPr>
      <w:r>
        <w:br w:type="page"/>
      </w:r>
    </w:p>
    <w:p w:rsidR="004838D2" w:rsidRDefault="00000000">
      <w:pPr>
        <w:jc w:val="both"/>
        <w:spacing w:line="360" w:lineRule="auto"/>
        <w:rPr>
          <w:b/>
        </w:rPr>
      </w:pPr>
      <w:r>
        <w:rPr>
          <w:b/>
        </w:rPr>
        <w:lastRenderedPageBreak/>
      </w:r>
    </w:p>
    <w:p w:rsidR="004838D2" w:rsidRDefault="00000000">
      <w:pPr>
        <w:pStyle w:val="Heading1"/>
        <w:spacing w:before="0" w:after="0"/>
        <w:rPr>
          <w:b w:val="0"/>
        </w:rPr>
      </w:pPr>
      <w:bookmarkStart w:id="0" w:name="_heading=h.gjdgxs" w:colFirst="0" w:colLast="0"/>
      <w:bookmarkEnd w:id="0"/>
      <w:r>
        <w:t xml:space="preserve">Introduction </w:t>
      </w:r>
    </w:p>
    <w:p w:rsidR="004838D2" w:rsidRDefault="00000000">
      <w:pPr>
        <w:jc w:val="both"/>
        <w:spacing w:line="360" w:lineRule="auto"/>
      </w:pPr>
      <w:r>
        <w:t>China National Petroleum (CNPC) is a Chinese state-owned oil and gas corporation with its headquarters in Beijing. One of the largest energy firms in the world and one of the top-earning businesses in China, CNPC was founded in 1988. To produce petrochemicals and other chemicals, the company's activities include the exploration, production, refining, marketing, and transportation of oil and gas. With a variety of subsidiaries and joint ventures throughout China, CNPC has a considerable presence in the domestic energy industry (</w:t>
      </w:r>
      <w:proofErr w:type="spellStart"/>
      <w:r>
        <w:rPr>
          <w:highlight w:val="white"/>
        </w:rPr>
        <w:t>Shojaeddini</w:t>
      </w:r>
      <w:proofErr w:type="spellEnd"/>
      <w:r>
        <w:rPr>
          <w:highlight w:val="white"/>
        </w:rPr>
        <w:t xml:space="preserve"> </w:t>
      </w:r>
      <w:r>
        <w:rPr>
          <w:i/>
          <w:highlight w:val="white"/>
        </w:rPr>
        <w:t xml:space="preserve">et al., </w:t>
      </w:r>
      <w:r>
        <w:rPr>
          <w:highlight w:val="white"/>
        </w:rPr>
        <w:t>2019)</w:t>
      </w:r>
      <w:r>
        <w:t>. The corporation is also active in energy projects in more than 70 nations worldwide, with a concentration on southeast Asia, central Asia, the Middle East, and Africa.</w:t>
      </w:r>
    </w:p>
    <w:p w:rsidR="004838D2" w:rsidRDefault="00000000">
      <w:pPr>
        <w:jc w:val="center"/>
        <w:spacing w:line="360" w:lineRule="auto"/>
        <w:rPr>
          <w:b/>
        </w:rPr>
      </w:pPr>
      <w:r>
        <w:rPr>
          <w:noProof/>
        </w:rPr>
        <w:drawing>
          <wp:inline distB="114300" distL="114300" distR="114300" distT="114300">
            <wp:extent cx="4338320" cy="294322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8"/>
                    <a:srcRect/>
                    <a:stretch>
                      <a:fillRect/>
                    </a:stretch>
                  </pic:blipFill>
                  <pic:spPr>
                    <a:xfrm>
                      <a:off x="0" y="0"/>
                      <a:ext cx="4338638" cy="2943225"/>
                    </a:xfrm>
                    <a:prstGeom prst="rect">
                      <a:avLst/>
                    </a:prstGeom>
                    <a:ln/>
                  </pic:spPr>
                </pic:pic>
              </a:graphicData>
            </a:graphic>
          </wp:inline>
        </w:drawing>
      </w:r>
    </w:p>
    <w:p w:rsidR="004838D2" w:rsidRDefault="00000000">
      <w:pPr>
        <w:jc w:val="center"/>
        <w:spacing w:line="360" w:lineRule="auto"/>
        <w:rPr>
          <w:b/>
        </w:rPr>
      </w:pPr>
      <w:r>
        <w:rPr>
          <w:b/>
        </w:rPr>
        <w:t>Figure 01: China National Petroleum (CNPC)</w:t>
      </w:r>
    </w:p>
    <w:p w:rsidR="004838D2" w:rsidRDefault="00000000">
      <w:pPr>
        <w:jc w:val="center"/>
        <w:spacing w:line="360" w:lineRule="auto"/>
      </w:pPr>
      <w:r>
        <w:t>Source: (paganresearch.io, 2019)</w:t>
      </w:r>
    </w:p>
    <w:p w:rsidR="004838D2" w:rsidRDefault="00000000">
      <w:pPr>
        <w:jc w:val="both"/>
        <w:spacing w:line="360" w:lineRule="auto"/>
        <w:rPr>
          <w:b/>
        </w:rPr>
      </w:pPr>
      <w:r>
        <w:t xml:space="preserve">Total Energies (France) is a multi-energy company that produces and markets energies on a global scale. The company was created in 1924 </w:t>
      </w:r>
      <w:r>
        <w:rPr>
          <w:sz w:val="21"/>
          <w:szCs w:val="21"/>
        </w:rPr>
        <w:t xml:space="preserve">to enable </w:t>
      </w:r>
      <w:r>
        <w:rPr>
          <w:b/>
          <w:sz w:val="21"/>
          <w:szCs w:val="21"/>
        </w:rPr>
        <w:t>France</w:t>
      </w:r>
      <w:r>
        <w:rPr>
          <w:sz w:val="21"/>
          <w:szCs w:val="21"/>
        </w:rPr>
        <w:t xml:space="preserve"> to play a key role in the great oil and gas adventure. Their 100,000 representatives are committed to improving energy that is more affordable, more dependable, cleaner, and accessible to as many people as possible. From massive solar firms to residential solar panels, </w:t>
      </w:r>
      <w:proofErr w:type="spellStart"/>
      <w:r>
        <w:rPr>
          <w:sz w:val="21"/>
          <w:szCs w:val="21"/>
        </w:rPr>
        <w:t>TotalEnergies</w:t>
      </w:r>
      <w:proofErr w:type="spellEnd"/>
      <w:r>
        <w:rPr>
          <w:sz w:val="21"/>
          <w:szCs w:val="21"/>
        </w:rPr>
        <w:t xml:space="preserve"> generates and distributes solar energy on all </w:t>
      </w:r>
      <w:r>
        <w:rPr>
          <w:b/>
          <w:sz w:val="21"/>
          <w:szCs w:val="21"/>
        </w:rPr>
        <w:t>5</w:t>
      </w:r>
      <w:r>
        <w:rPr>
          <w:sz w:val="21"/>
          <w:szCs w:val="21"/>
        </w:rPr>
        <w:t xml:space="preserve"> continents. The entire power value chain, from generation to distribution, is fully comprehended by </w:t>
      </w:r>
      <w:proofErr w:type="spellStart"/>
      <w:r>
        <w:rPr>
          <w:sz w:val="21"/>
          <w:szCs w:val="21"/>
        </w:rPr>
        <w:t>TotalEnergies</w:t>
      </w:r>
      <w:proofErr w:type="spellEnd"/>
      <w:r>
        <w:rPr>
          <w:sz w:val="21"/>
          <w:szCs w:val="21"/>
        </w:rPr>
        <w:t xml:space="preserve">. Solar energy is used by </w:t>
      </w:r>
      <w:proofErr w:type="spellStart"/>
      <w:r>
        <w:rPr>
          <w:sz w:val="21"/>
          <w:szCs w:val="21"/>
        </w:rPr>
        <w:t>TotalEnergies</w:t>
      </w:r>
      <w:proofErr w:type="spellEnd"/>
      <w:r>
        <w:rPr>
          <w:sz w:val="21"/>
          <w:szCs w:val="21"/>
        </w:rPr>
        <w:t xml:space="preserve"> too. cut emissions at emissions its facilities</w:t>
      </w:r>
    </w:p>
    <w:p w:rsidR="004838D2" w:rsidRDefault="004838D2">
      <w:pPr>
        <w:jc w:val="both"/>
        <w:spacing w:line="360" w:lineRule="auto"/>
        <w:rPr>
          <w:b/>
        </w:rPr>
      </w:pPr>
    </w:p>
    <w:p w:rsidR="004838D2" w:rsidRDefault="00000000">
      <w:pPr>
        <w:jc w:val="center"/>
        <w:spacing w:line="360" w:lineRule="auto"/>
        <w:rPr>
          <w:b/>
        </w:rPr>
      </w:pPr>
      <w:r>
        <w:rPr>
          <w:noProof/>
        </w:rPr>
        <w:drawing>
          <wp:inline distB="114300" distL="114300" distR="114300" distT="114300">
            <wp:extent cx="2933700" cy="273812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9"/>
                    <a:srcRect/>
                    <a:stretch>
                      <a:fillRect/>
                    </a:stretch>
                  </pic:blipFill>
                  <pic:spPr>
                    <a:xfrm>
                      <a:off x="0" y="0"/>
                      <a:ext cx="2933700" cy="2738438"/>
                    </a:xfrm>
                    <a:prstGeom prst="rect">
                      <a:avLst/>
                    </a:prstGeom>
                    <a:ln/>
                  </pic:spPr>
                </pic:pic>
              </a:graphicData>
            </a:graphic>
          </wp:inline>
        </w:drawing>
      </w:r>
    </w:p>
    <w:p w:rsidR="004838D2" w:rsidRDefault="00000000">
      <w:pPr>
        <w:jc w:val="center"/>
        <w:spacing w:line="360" w:lineRule="auto"/>
        <w:rPr>
          <w:b/>
          <w:sz w:val="21"/>
          <w:szCs w:val="21"/>
        </w:rPr>
      </w:pPr>
      <w:r>
        <w:rPr>
          <w:b/>
          <w:sz w:val="21"/>
          <w:szCs w:val="21"/>
        </w:rPr>
        <w:t xml:space="preserve"> Figure 02: </w:t>
      </w:r>
      <w:r>
        <w:rPr>
          <w:b/>
        </w:rPr>
        <w:t>Total Energies (France)</w:t>
      </w:r>
    </w:p>
    <w:p w:rsidR="004838D2" w:rsidRDefault="00000000">
      <w:pPr>
        <w:jc w:val="center"/>
        <w:spacing w:line="360" w:lineRule="auto"/>
      </w:pPr>
      <w:r>
        <w:rPr>
          <w:sz w:val="21"/>
          <w:szCs w:val="21"/>
        </w:rPr>
        <w:t>Source: (totalenergies.com, 2023)</w:t>
      </w:r>
    </w:p>
    <w:p w:rsidR="004838D2" w:rsidRDefault="00000000">
      <w:pPr>
        <w:pStyle w:val="Heading1"/>
        <w:rPr>
          <w:color w:val="000000"/>
        </w:rPr>
      </w:pPr>
      <w:bookmarkStart w:id="1" w:name="_heading=h.1fob9te" w:colFirst="0" w:colLast="0"/>
      <w:bookmarkEnd w:id="1"/>
      <w:r>
        <w:rPr>
          <w:color w:val="000000"/>
        </w:rPr>
        <w:t>Reason for Merger and Acquisition of CNPC and Total Energies SE</w:t>
      </w:r>
    </w:p>
    <w:p w:rsidR="004838D2" w:rsidRDefault="00000000">
      <w:pPr>
        <w:jc w:val="both"/>
        <w:spacing w:line="360" w:lineRule="auto"/>
        <w:rPr>
          <w:color w:val="000000"/>
        </w:rPr>
      </w:pPr>
      <w:r>
        <w:rPr>
          <w:b/>
          <w:color w:val="000000"/>
        </w:rPr>
        <w:t xml:space="preserve">Overcapacity reduction: </w:t>
      </w:r>
      <w:r>
        <w:rPr>
          <w:color w:val="000000"/>
        </w:rPr>
        <w:t>Decreasing overcapacity is an effective strategy for the mergers and acquisitions of two companies. Overcapacity refers to a condition where an organisation manufactures more goods than a market can handle (</w:t>
      </w:r>
      <w:proofErr w:type="spellStart"/>
      <w:r>
        <w:rPr>
          <w:color w:val="000000"/>
          <w:highlight w:val="white"/>
          <w:rFonts w:ascii="Times New Roman" w:cs="Times New Roman" w:eastAsia="Times New Roman" w:hAnsi="Times New Roman"/>
        </w:rPr>
        <w:t>Possik</w:t>
      </w:r>
      <w:proofErr w:type="spellEnd"/>
      <w:r>
        <w:rPr>
          <w:color w:val="000000"/>
          <w:highlight w:val="white"/>
          <w:rFonts w:ascii="Times New Roman" w:cs="Times New Roman" w:eastAsia="Times New Roman" w:hAnsi="Times New Roman"/>
        </w:rPr>
        <w:t xml:space="preserve"> et al., 2020</w:t>
      </w:r>
      <w:r>
        <w:rPr>
          <w:color w:val="000000"/>
        </w:rPr>
        <w:t xml:space="preserve">). In the M&amp;A of both companies, they can reduce their overloading production, therefore, the particular market can handle their production. It can enhance the effectiveness of the businesses of CNPC and </w:t>
      </w:r>
      <w:proofErr w:type="spellStart"/>
      <w:r>
        <w:rPr>
          <w:color w:val="000000"/>
        </w:rPr>
        <w:t>TotalEnergies</w:t>
      </w:r>
      <w:proofErr w:type="spellEnd"/>
      <w:r>
        <w:rPr>
          <w:color w:val="000000"/>
        </w:rPr>
        <w:t xml:space="preserve"> SE.</w:t>
      </w:r>
    </w:p>
    <w:p w:rsidR="004838D2" w:rsidRDefault="00000000">
      <w:pPr>
        <w:jc w:val="both"/>
        <w:spacing w:line="360" w:lineRule="auto"/>
        <w:rPr>
          <w:color w:val="000000"/>
        </w:rPr>
      </w:pPr>
      <w:r>
        <w:rPr>
          <w:b/>
          <w:color w:val="000000"/>
        </w:rPr>
        <w:t xml:space="preserve">Global efficiency: </w:t>
      </w:r>
      <w:r>
        <w:rPr>
          <w:color w:val="000000"/>
        </w:rPr>
        <w:t xml:space="preserve">Each business needs global efficiency to reach the global business markets as well as customers. CNPC and </w:t>
      </w:r>
      <w:proofErr w:type="spellStart"/>
      <w:r>
        <w:rPr>
          <w:color w:val="000000"/>
        </w:rPr>
        <w:t>TotalEnergies</w:t>
      </w:r>
      <w:proofErr w:type="spellEnd"/>
      <w:r>
        <w:rPr>
          <w:color w:val="000000"/>
        </w:rPr>
        <w:t xml:space="preserve"> SE both are very effective </w:t>
      </w:r>
      <w:proofErr w:type="spellStart"/>
      <w:r>
        <w:rPr>
          <w:color w:val="000000"/>
        </w:rPr>
        <w:t>organisations</w:t>
      </w:r>
      <w:proofErr w:type="spellEnd"/>
      <w:r>
        <w:rPr>
          <w:color w:val="000000"/>
        </w:rPr>
        <w:t xml:space="preserve"> in terms of the oil and gas sector. With the merger and acquisitions of the companies, they both can expand their businesses in the global markets including their local markets. </w:t>
      </w:r>
    </w:p>
    <w:p w:rsidR="004838D2" w:rsidRDefault="00000000">
      <w:pPr>
        <w:jc w:val="both"/>
        <w:spacing w:line="360" w:lineRule="auto"/>
        <w:rPr>
          <w:color w:val="000000"/>
        </w:rPr>
      </w:pPr>
      <w:r>
        <w:rPr>
          <w:b/>
          <w:color w:val="000000"/>
        </w:rPr>
        <w:t xml:space="preserve">Acquisition of R&amp;D or knowledge: </w:t>
      </w:r>
      <w:r>
        <w:rPr>
          <w:color w:val="000000"/>
        </w:rPr>
        <w:t xml:space="preserve">Sometimes, one of the merging companies has not effective R&amp;D, therefore it faces several challenges. Therefore, by merging and acquisition of two companies, they can share their knowledge as well as help to make the R&amp;D effective. It helps to run the business effectively. </w:t>
      </w:r>
    </w:p>
    <w:p w:rsidR="004838D2" w:rsidRDefault="00000000">
      <w:pPr>
        <w:jc w:val="both"/>
        <w:spacing w:line="360" w:lineRule="auto"/>
        <w:rPr>
          <w:color w:val="FF0000"/>
        </w:rPr>
      </w:pPr>
      <w:r>
        <w:rPr>
          <w:b/>
          <w:color w:val="000000"/>
        </w:rPr>
        <w:t xml:space="preserve">Talent acquisition: </w:t>
      </w:r>
      <w:r>
        <w:rPr>
          <w:color w:val="000000"/>
        </w:rPr>
        <w:t xml:space="preserve">Talent acquisition allows the companies by providing significant strategies and also help in other processes like recruiting, retaining and identifying the HR of </w:t>
      </w:r>
      <w:r>
        <w:rPr>
          <w:color w:val="000000"/>
        </w:rPr>
        <w:t xml:space="preserve">the companies. Therefore, by merging and acquisition of the two companies, they can determine and identify better strategies than what they have used before independently.  </w:t>
      </w:r>
    </w:p>
    <w:p w:rsidR="004838D2" w:rsidRDefault="00000000">
      <w:pPr>
        <w:pStyle w:val="Heading1"/>
        <w:rPr>
          <w:color w:val="000000"/>
          <w:rFonts w:ascii="Calibri" w:cs="Calibri" w:eastAsia="Calibri" w:hAnsi="Calibri"/>
        </w:rPr>
      </w:pPr>
      <w:bookmarkStart w:id="2" w:name="_heading=h.3znysh7" w:colFirst="0" w:colLast="0"/>
      <w:bookmarkEnd w:id="2"/>
      <w:r>
        <w:rPr>
          <w:color w:val="000000"/>
        </w:rPr>
        <w:t xml:space="preserve">The merger of Equals or Acquisition </w:t>
        <w:lastRenderedPageBreak/>
      </w:r>
    </w:p>
    <w:p w:rsidR="004838D2" w:rsidRDefault="00000000">
      <w:pPr>
        <w:jc w:val="both"/>
        <w:spacing w:line="360" w:lineRule="auto"/>
        <w:rPr>
          <w:color w:val="000000"/>
        </w:rPr>
      </w:pPr>
      <w:r>
        <w:rPr>
          <w:color w:val="000000"/>
        </w:rPr>
        <w:t xml:space="preserve">CNPC and Total Energies both are renowned </w:t>
      </w:r>
      <w:proofErr w:type="spellStart"/>
      <w:r>
        <w:rPr>
          <w:color w:val="000000"/>
        </w:rPr>
        <w:t>organisations</w:t>
      </w:r>
      <w:proofErr w:type="spellEnd"/>
      <w:r>
        <w:rPr>
          <w:color w:val="000000"/>
        </w:rPr>
        <w:t xml:space="preserve"> in the oil and gas industry. After researching the information of these two companies, it has been identified that the revenue count of CNPC is a little bit high compared to </w:t>
      </w:r>
      <w:proofErr w:type="spellStart"/>
      <w:r>
        <w:rPr>
          <w:color w:val="000000"/>
        </w:rPr>
        <w:t>TotalEnergies</w:t>
      </w:r>
      <w:proofErr w:type="spellEnd"/>
      <w:r>
        <w:rPr>
          <w:color w:val="000000"/>
        </w:rPr>
        <w:t xml:space="preserve">. However, following the statistics of the year 2020-21, the revenue amount of CNPC was close to 2.06 lakh crores CNY, but the total revenue of </w:t>
      </w:r>
      <w:proofErr w:type="spellStart"/>
      <w:r>
        <w:rPr>
          <w:color w:val="000000"/>
        </w:rPr>
        <w:t>TotalEnergies</w:t>
      </w:r>
      <w:proofErr w:type="spellEnd"/>
      <w:r>
        <w:rPr>
          <w:color w:val="000000"/>
        </w:rPr>
        <w:t xml:space="preserve"> was near about 18,467.8 crores USD (</w:t>
      </w:r>
      <w:r>
        <w:rPr>
          <w:color w:val="000000"/>
          <w:highlight w:val="white"/>
        </w:rPr>
        <w:t>Li et al., 2019</w:t>
      </w:r>
      <w:r>
        <w:rPr>
          <w:color w:val="000000"/>
        </w:rPr>
        <w:t xml:space="preserve">). Due to this particular reason, the organisation, CNPC has decided to take over </w:t>
      </w:r>
      <w:proofErr w:type="spellStart"/>
      <w:r>
        <w:rPr>
          <w:color w:val="000000"/>
        </w:rPr>
        <w:t>TotalEnergies</w:t>
      </w:r>
      <w:proofErr w:type="spellEnd"/>
      <w:r>
        <w:rPr>
          <w:color w:val="000000"/>
        </w:rPr>
        <w:t xml:space="preserve"> and accordingly maintain sustenance in the competitive market in the oil and gas industry. According to Adler and </w:t>
      </w:r>
      <w:proofErr w:type="spellStart"/>
      <w:r>
        <w:rPr>
          <w:color w:val="000000"/>
        </w:rPr>
        <w:t>Ghadar’s</w:t>
      </w:r>
      <w:proofErr w:type="spellEnd"/>
      <w:r>
        <w:rPr>
          <w:color w:val="000000"/>
        </w:rPr>
        <w:t xml:space="preserve"> model as well as Perlmutter’s model, the organisation has decided to keep their focus on the lifecycle of the product, especially at the time of </w:t>
      </w:r>
      <w:proofErr w:type="spellStart"/>
      <w:r>
        <w:rPr>
          <w:color w:val="000000"/>
        </w:rPr>
        <w:t>internationalisation</w:t>
      </w:r>
      <w:proofErr w:type="spellEnd"/>
      <w:r>
        <w:rPr>
          <w:color w:val="000000"/>
        </w:rPr>
        <w:t xml:space="preserve">. </w:t>
      </w:r>
    </w:p>
    <w:p w:rsidR="004838D2" w:rsidRDefault="00000000">
      <w:pPr>
        <w:pStyle w:val="Heading1"/>
        <w:rPr>
          <w:color w:val="000000"/>
        </w:rPr>
      </w:pPr>
      <w:bookmarkStart w:id="3" w:name="_heading=h.2et92p0" w:colFirst="0" w:colLast="0"/>
      <w:bookmarkEnd w:id="3"/>
      <w:r>
        <w:rPr>
          <w:color w:val="000000"/>
        </w:rPr>
        <w:t xml:space="preserve">Strategy for Merger </w:t>
      </w:r>
    </w:p>
    <w:p w:rsidR="004838D2" w:rsidRDefault="00000000">
      <w:pPr>
        <w:jc w:val="both"/>
        <w:spacing w:line="360" w:lineRule="auto"/>
        <w:rPr>
          <w:color w:val="000000"/>
        </w:rPr>
      </w:pPr>
      <w:r>
        <w:rPr>
          <w:color w:val="000000"/>
        </w:rPr>
        <w:t xml:space="preserve">Business merger promotes the business growth of any organisation. The strategy of the acquisition model was designed by David Jemison and Philippe </w:t>
      </w:r>
      <w:proofErr w:type="spellStart"/>
      <w:r>
        <w:rPr>
          <w:color w:val="000000"/>
        </w:rPr>
        <w:t>Haspeslagh</w:t>
      </w:r>
      <w:proofErr w:type="spellEnd"/>
      <w:r>
        <w:rPr>
          <w:color w:val="000000"/>
        </w:rPr>
        <w:t xml:space="preserve">. According to this model, each organisation required </w:t>
      </w:r>
      <w:proofErr w:type="spellStart"/>
      <w:r>
        <w:rPr>
          <w:color w:val="000000"/>
        </w:rPr>
        <w:t>organisational</w:t>
      </w:r>
      <w:proofErr w:type="spellEnd"/>
      <w:r>
        <w:rPr>
          <w:color w:val="000000"/>
        </w:rPr>
        <w:t xml:space="preserve"> autonomy. To fulfil the strategic interdependency of any organisation, this typology is very helpful. According to this typology, it is very crucial for any organisation to haunting of their target entity and it is the first and most important strategy for the merger (</w:t>
      </w:r>
      <w:r>
        <w:rPr>
          <w:color w:val="000000"/>
          <w:highlight w:val="white"/>
        </w:rPr>
        <w:t>Arnold, 2019</w:t>
      </w:r>
      <w:r>
        <w:rPr>
          <w:color w:val="000000"/>
        </w:rPr>
        <w:t xml:space="preserve">). Once the organisation, if can decide on its main target company for acquisition, that can help to plan the other steps of acquisition. The next strategy is to do good research on the targeted company and the future growths and the business demand of the company is very necessary to understand clearly. On the other hand, following the market share and studying the business structure of the targeted company is very necessary for the organisation. The growth factors of the targeted company are very necessary and it is also another crucial strategy for the business merger. The shareholder analysis and analysis of the structure of the customer also help any company to make their business merger successful. These strategies are very necessary for an organisation to make a merger with their targeted organisation. </w:t>
      </w:r>
    </w:p>
    <w:p w:rsidR="004838D2" w:rsidRDefault="00000000">
      <w:pPr>
        <w:pStyle w:val="Heading1"/>
        <w:rPr>
          <w:color w:val="000000"/>
        </w:rPr>
      </w:pPr>
      <w:bookmarkStart w:id="4" w:name="_heading=h.tyjcwt" w:colFirst="0" w:colLast="0"/>
      <w:bookmarkEnd w:id="4"/>
      <w:r>
        <w:rPr>
          <w:color w:val="000000"/>
        </w:rPr>
        <w:t xml:space="preserve">HR Challenges of Merger </w:t>
      </w:r>
    </w:p>
    <w:p w:rsidR="004838D2" w:rsidRDefault="00000000">
      <w:pPr>
        <w:jc w:val="both"/>
        <w:spacing w:line="360" w:lineRule="auto"/>
        <w:rPr>
          <w:color w:val="000000"/>
        </w:rPr>
      </w:pPr>
      <w:r>
        <w:rPr>
          <w:color w:val="000000"/>
        </w:rPr>
        <w:t xml:space="preserve">During the scenario of merger and acquisition between the companies named CNPC and Total Energies SE the Human Resources Department of both companies may face several challenges. In the pre-stage of merger and acquisition, both of the companies' HR may face challenges in dealing with their employees. During the post-merger or acquisition period, the human resource managers of both companies will primarily face the challenges of cultural differences (Global Expansion, 2022). They will find differences in the culture of France and </w:t>
      </w:r>
      <w:r>
        <w:rPr>
          <w:color w:val="000000"/>
        </w:rPr>
        <w:t xml:space="preserve">China. The culture of China is conservative whereas the French culture is very modern. </w:t>
        <w:lastRenderedPageBreak/>
      </w:r>
      <w:proofErr w:type="gramStart"/>
      <w:r>
        <w:rPr>
          <w:color w:val="000000"/>
        </w:rPr>
        <w:t>Therefore</w:t>
      </w:r>
      <w:proofErr w:type="gramEnd"/>
      <w:r>
        <w:rPr>
          <w:color w:val="000000"/>
        </w:rPr>
        <w:t xml:space="preserve"> the human resource managers will find it difficult for the employees of these two different cultures. Besides that, the restructuring of the workforce may become another severe challenge for the HR of both companies. In this phase, the human resources will only retain the best performers in both of these two </w:t>
      </w:r>
      <w:proofErr w:type="spellStart"/>
      <w:r>
        <w:rPr>
          <w:color w:val="000000"/>
        </w:rPr>
        <w:t>organisations</w:t>
      </w:r>
      <w:proofErr w:type="spellEnd"/>
      <w:r>
        <w:rPr>
          <w:color w:val="000000"/>
        </w:rPr>
        <w:t xml:space="preserve">. Employee resistance to change is frequent because it can occasionally feel dangerous. To build confidence during the transformation phase, HR must be transparent in their communication of transformation. On the other hand, Chinese regulation and French regulations are different from each other. Acquisition or merger between these two </w:t>
      </w:r>
      <w:proofErr w:type="spellStart"/>
      <w:r>
        <w:rPr>
          <w:color w:val="000000"/>
        </w:rPr>
        <w:t>organisations</w:t>
      </w:r>
      <w:proofErr w:type="spellEnd"/>
      <w:r>
        <w:rPr>
          <w:color w:val="000000"/>
        </w:rPr>
        <w:t xml:space="preserve"> of CNPC and Total Energies SE, both the companies’ human resources will find it difficult to comply and habituate with these two distinctive regulatory guidelines as well. </w:t>
      </w:r>
    </w:p>
    <w:p w:rsidR="004838D2" w:rsidRDefault="00000000">
      <w:pPr>
        <w:pStyle w:val="Heading1"/>
        <w:rPr>
          <w:color w:val="000000"/>
        </w:rPr>
      </w:pPr>
      <w:bookmarkStart w:id="5" w:name="_heading=h.3dy6vkm" w:colFirst="0" w:colLast="0"/>
      <w:bookmarkEnd w:id="5"/>
      <w:r>
        <w:rPr>
          <w:color w:val="000000"/>
        </w:rPr>
        <w:t xml:space="preserve">HR’s Role in M&amp;A Process </w:t>
      </w:r>
    </w:p>
    <w:p w:rsidR="004838D2" w:rsidRDefault="00000000">
      <w:pPr>
        <w:jc w:val="both"/>
        <w:spacing w:line="360" w:lineRule="auto"/>
        <w:rPr>
          <w:color w:val="000000"/>
        </w:rPr>
      </w:pPr>
      <w:r>
        <w:rPr>
          <w:color w:val="000000"/>
        </w:rPr>
        <w:t xml:space="preserve">Mergers and Acquisitions are identified as significant tools in any type of business activity. These particular activities help the owners of the </w:t>
      </w:r>
      <w:proofErr w:type="spellStart"/>
      <w:r>
        <w:rPr>
          <w:color w:val="000000"/>
        </w:rPr>
        <w:t>organisations</w:t>
      </w:r>
      <w:proofErr w:type="spellEnd"/>
      <w:r>
        <w:rPr>
          <w:color w:val="000000"/>
        </w:rPr>
        <w:t xml:space="preserve"> to meet the objectives of the organisation efficiently. Alongside that, the HRs have played an important role in the decision of the merger and acquisition process of an organisation. </w:t>
      </w:r>
    </w:p>
    <w:p w:rsidR="004838D2" w:rsidRDefault="00000000">
      <w:pPr>
        <w:jc w:val="both"/>
        <w:spacing w:line="360" w:lineRule="auto"/>
        <w:rPr>
          <w:color w:val="000000"/>
        </w:rPr>
      </w:pPr>
      <w:r>
        <w:rPr>
          <w:color w:val="000000"/>
        </w:rPr>
        <w:t xml:space="preserve">Before the process of M&amp;A, the HRs keep their focus on the culture of the organisation, and management styles as well as motivate the employees with the help of the communicational ability to complete the work within time by acquiring personal growth. </w:t>
      </w:r>
    </w:p>
    <w:p w:rsidR="004838D2" w:rsidRDefault="00000000">
      <w:pPr>
        <w:jc w:val="both"/>
        <w:spacing w:line="360" w:lineRule="auto"/>
        <w:rPr>
          <w:color w:val="000000"/>
        </w:rPr>
      </w:pPr>
      <w:r>
        <w:rPr>
          <w:color w:val="000000"/>
        </w:rPr>
        <w:t xml:space="preserve">On the other hand, when an organisation </w:t>
      </w:r>
      <w:proofErr w:type="gramStart"/>
      <w:r>
        <w:rPr>
          <w:color w:val="000000"/>
        </w:rPr>
        <w:t>take</w:t>
      </w:r>
      <w:proofErr w:type="gramEnd"/>
      <w:r>
        <w:rPr>
          <w:color w:val="000000"/>
        </w:rPr>
        <w:t xml:space="preserve"> over another organisation, the HRs have become more efficient on the matter of the company perspectives. They have checked the profit level after merging and acquisition of the company. Thus, the company can understand its growth and success in the future. </w:t>
      </w:r>
    </w:p>
    <w:p w:rsidR="004838D2" w:rsidRDefault="00000000">
      <w:pPr>
        <w:pStyle w:val="Heading1"/>
        <w:rPr>
          <w:b w:val="0"/>
          <w:color w:val="000000"/>
        </w:rPr>
      </w:pPr>
      <w:bookmarkStart w:id="6" w:name="_heading=h.1t3h5sf" w:colFirst="0" w:colLast="0"/>
      <w:bookmarkEnd w:id="6"/>
      <w:r>
        <w:rPr>
          <w:color w:val="000000"/>
        </w:rPr>
        <w:t xml:space="preserve">Ways in which HR Improves M&amp;A Success </w:t>
      </w:r>
    </w:p>
    <w:p w:rsidR="004838D2" w:rsidRDefault="00000000">
      <w:pPr>
        <w:jc w:val="both"/>
        <w:spacing w:line="360" w:lineRule="auto"/>
        <w:rPr>
          <w:color w:val="000000"/>
        </w:rPr>
      </w:pPr>
      <w:r>
        <w:rPr>
          <w:b/>
          <w:color w:val="000000"/>
        </w:rPr>
        <w:t xml:space="preserve">Ensure fairness to all parties- </w:t>
      </w:r>
      <w:r>
        <w:rPr>
          <w:color w:val="000000"/>
        </w:rPr>
        <w:t>The process of merger and acquisition must be open, fair and honest. HR must ensure that CNPC and Total Energies SE must be clear about their agreement and deals which they decided on at the time of the merger and acquisition. A successful partnership always depends on fair transactions between two parties.</w:t>
      </w:r>
    </w:p>
    <w:p w:rsidR="004838D2" w:rsidRDefault="00000000">
      <w:pPr>
        <w:jc w:val="both"/>
        <w:spacing w:line="360" w:lineRule="auto"/>
        <w:rPr>
          <w:color w:val="000000"/>
        </w:rPr>
      </w:pPr>
      <w:r>
        <w:rPr>
          <w:b/>
          <w:color w:val="000000"/>
        </w:rPr>
        <w:t xml:space="preserve">Bridge Corporate Culture- </w:t>
      </w:r>
      <w:r>
        <w:rPr>
          <w:color w:val="000000"/>
        </w:rPr>
        <w:t xml:space="preserve">HR must bridge the gap between the corporate cultures of both </w:t>
      </w:r>
      <w:proofErr w:type="spellStart"/>
      <w:r>
        <w:rPr>
          <w:color w:val="000000"/>
        </w:rPr>
        <w:t>organisations</w:t>
      </w:r>
      <w:proofErr w:type="spellEnd"/>
      <w:r>
        <w:rPr>
          <w:color w:val="000000"/>
        </w:rPr>
        <w:t xml:space="preserve">. This could be achieved through regular virtual meet-ups, arranging happy hours for the employees of both </w:t>
      </w:r>
      <w:proofErr w:type="spellStart"/>
      <w:r>
        <w:rPr>
          <w:color w:val="000000"/>
        </w:rPr>
        <w:t>organisations</w:t>
      </w:r>
      <w:proofErr w:type="spellEnd"/>
      <w:r>
        <w:rPr>
          <w:color w:val="000000"/>
        </w:rPr>
        <w:t xml:space="preserve"> and many more. The best way by which commonalities can be implemented within the organisation is to embrace and respect each other's culture. </w:t>
      </w:r>
    </w:p>
    <w:p w:rsidR="004838D2" w:rsidRDefault="00000000">
      <w:pPr>
        <w:jc w:val="both"/>
        <w:spacing w:line="360" w:lineRule="auto"/>
        <w:rPr>
          <w:color w:val="000000"/>
        </w:rPr>
      </w:pPr>
      <w:r>
        <w:rPr>
          <w:b/>
          <w:color w:val="000000"/>
        </w:rPr>
        <w:t>Learning the value of reputation-</w:t>
        <w:lastRenderedPageBreak/>
      </w:r>
      <w:r>
        <w:rPr>
          <w:color w:val="000000"/>
        </w:rPr>
        <w:t xml:space="preserve"> HR of CNPC and Total Energies SE can ensure that the other organisation learns about their values of working (</w:t>
      </w:r>
      <w:proofErr w:type="spellStart"/>
      <w:r>
        <w:rPr>
          <w:color w:val="000000"/>
          <w:highlight w:val="white"/>
        </w:rPr>
        <w:t>Tarba</w:t>
      </w:r>
      <w:proofErr w:type="spellEnd"/>
      <w:r>
        <w:rPr>
          <w:color w:val="000000"/>
          <w:highlight w:val="white"/>
        </w:rPr>
        <w:t xml:space="preserve"> et al., 2020</w:t>
      </w:r>
      <w:r>
        <w:rPr>
          <w:color w:val="000000"/>
        </w:rPr>
        <w:t xml:space="preserve">). They can arrange meetings with other </w:t>
      </w:r>
      <w:proofErr w:type="spellStart"/>
      <w:r>
        <w:rPr>
          <w:color w:val="000000"/>
        </w:rPr>
        <w:t>organisations</w:t>
      </w:r>
      <w:proofErr w:type="spellEnd"/>
      <w:r>
        <w:rPr>
          <w:color w:val="000000"/>
        </w:rPr>
        <w:t xml:space="preserve"> with whom they have worked before to showcase their business process and values. The opinions of other </w:t>
      </w:r>
      <w:proofErr w:type="spellStart"/>
      <w:r>
        <w:rPr>
          <w:color w:val="000000"/>
        </w:rPr>
        <w:t>organisations</w:t>
      </w:r>
      <w:proofErr w:type="spellEnd"/>
      <w:r>
        <w:rPr>
          <w:color w:val="000000"/>
        </w:rPr>
        <w:t xml:space="preserve"> will be more valuable than the opinion of the members of the organisation itself.</w:t>
      </w:r>
    </w:p>
    <w:p w:rsidR="004838D2" w:rsidRDefault="00000000">
      <w:pPr>
        <w:jc w:val="both"/>
        <w:spacing w:line="360" w:lineRule="auto"/>
        <w:rPr>
          <w:color w:val="000000"/>
        </w:rPr>
      </w:pPr>
      <w:bookmarkStart w:id="7" w:name="_heading=h.4d34og8" w:colFirst="0" w:colLast="0"/>
      <w:bookmarkEnd w:id="7"/>
      <w:r>
        <w:rPr>
          <w:b/>
          <w:color w:val="000000"/>
        </w:rPr>
        <w:t>Regularly meeting the Stakeholders-</w:t>
      </w:r>
      <w:r>
        <w:rPr>
          <w:color w:val="000000"/>
        </w:rPr>
        <w:t xml:space="preserve"> The key players of any merger or acquisition are the stakeholders, so HR needs to meet these stakeholders regularly to build up a strong relationship with them. Proper communication with the stakeholder will help them in their merger and acquisition process.</w:t>
      </w:r>
    </w:p>
    <w:p w:rsidR="004838D2" w:rsidRDefault="00000000">
      <w:pPr>
        <w:pStyle w:val="Heading1"/>
        <w:spacing w:before="0" w:after="0"/>
        <w:rPr>
          <w:b w:val="0"/>
        </w:rPr>
      </w:pPr>
      <w:bookmarkStart w:id="8" w:name="_heading=h.2s8eyo1" w:colFirst="0" w:colLast="0"/>
      <w:bookmarkEnd w:id="8"/>
      <w:r>
        <w:t xml:space="preserve">Appraisals and critical analysis of strategic international HR </w:t>
      </w:r>
    </w:p>
    <w:p w:rsidR="004838D2" w:rsidRDefault="004838D2">
      <w:pPr>
        <w:jc w:val="both"/>
        <w:spacing w:line="360" w:lineRule="auto"/>
        <w:rPr>
          <w:b/>
        </w:rPr>
      </w:pPr>
    </w:p>
    <w:p w:rsidR="004838D2" w:rsidRDefault="00000000">
      <w:pPr>
        <w:jc w:val="both"/>
        <w:spacing w:line="360" w:lineRule="auto"/>
        <w:rPr>
          <w:b/>
        </w:rPr>
      </w:pPr>
      <w:r>
        <w:t xml:space="preserve">Associations that take part in the worldwide commercial </w:t>
      </w:r>
      <w:proofErr w:type="spellStart"/>
      <w:r>
        <w:t>centre</w:t>
      </w:r>
      <w:proofErr w:type="spellEnd"/>
      <w:r>
        <w:t xml:space="preserve"> need to comprehend the relationship between essential global</w:t>
      </w:r>
      <w:r>
        <w:rPr>
          <w:b/>
        </w:rPr>
        <w:t xml:space="preserve"> HR</w:t>
      </w:r>
      <w:r>
        <w:t xml:space="preserve"> and worldwide business techniques draws near. The most common way of fitting human asset rehearses with the general technique of the firm in an overall setting is alluded to as essential global HR. Then again, an association's far-reaching intent to achieve its points and goals in the worldwide commercial </w:t>
      </w:r>
      <w:proofErr w:type="spellStart"/>
      <w:r>
        <w:t>centre</w:t>
      </w:r>
      <w:proofErr w:type="spellEnd"/>
      <w:r>
        <w:t xml:space="preserve"> is alluded to as its global business technique (</w:t>
      </w:r>
      <w:proofErr w:type="spellStart"/>
      <w:r>
        <w:rPr>
          <w:highlight w:val="white"/>
        </w:rPr>
        <w:t>Selvik</w:t>
      </w:r>
      <w:proofErr w:type="spellEnd"/>
      <w:r>
        <w:rPr>
          <w:highlight w:val="white"/>
        </w:rPr>
        <w:t>, and Bellamy, 2020)</w:t>
      </w:r>
      <w:r>
        <w:t>. The essential worldwide HR moves that are habitually used close by ways to deal with the global organization system will be assessed and condemned in this reaction.</w:t>
      </w:r>
    </w:p>
    <w:p w:rsidR="004838D2" w:rsidRDefault="00000000">
      <w:pPr>
        <w:pStyle w:val="Heading2"/>
        <w:jc w:val="both"/>
        <w:spacing w:before="0" w:after="0" w:line="360" w:lineRule="auto"/>
        <w:rPr>
          <w:b/>
          <w:i/>
          <w:sz w:val="22"/>
          <w:szCs w:val="22"/>
        </w:rPr>
      </w:pPr>
      <w:bookmarkStart w:id="9" w:name="_heading=h.17dp8vu" w:colFirst="0" w:colLast="0"/>
      <w:bookmarkEnd w:id="9"/>
      <w:r>
        <w:rPr>
          <w:b/>
          <w:i/>
          <w:sz w:val="22"/>
          <w:szCs w:val="22"/>
        </w:rPr>
        <w:t>Appraisals</w:t>
      </w:r>
    </w:p>
    <w:p w:rsidR="004838D2" w:rsidRDefault="004838D2">
      <w:pPr>
        <w:jc w:val="both"/>
        <w:ind w:left="720"/>
        <w:spacing w:line="360" w:lineRule="auto"/>
      </w:pPr>
    </w:p>
    <w:p w:rsidR="004838D2" w:rsidRDefault="00000000">
      <w:pPr>
        <w:numPr>
          <w:ilvl w:val="0"/>
          <w:numId w:val="2"/>
        </w:numPr>
        <w:jc w:val="both"/>
        <w:spacing w:line="360" w:lineRule="auto"/>
      </w:pPr>
      <w:r>
        <w:t xml:space="preserve">Worldwide Mix Approach: To lay out consistency in hierarchical culture and tasks, this technique puts an accentuation on normalizing HR strategies and cycles across different areas. Associations that work in a worldwide market and </w:t>
      </w:r>
      <w:proofErr w:type="spellStart"/>
      <w:r>
        <w:t>endeavour</w:t>
      </w:r>
      <w:proofErr w:type="spellEnd"/>
      <w:r>
        <w:t xml:space="preserve"> to maintain exclusive expectations of value can profit from utilizing this methodology (</w:t>
      </w:r>
      <w:proofErr w:type="spellStart"/>
      <w:r>
        <w:rPr>
          <w:highlight w:val="white"/>
        </w:rPr>
        <w:t>Yildiz</w:t>
      </w:r>
      <w:proofErr w:type="spellEnd"/>
      <w:r>
        <w:rPr>
          <w:highlight w:val="white"/>
        </w:rPr>
        <w:t>, and Karan, 2020)</w:t>
      </w:r>
      <w:r>
        <w:t>. This procedure helps in the viable utilization of assets by guaranteeing that HR rehearses following the association's general methodology.</w:t>
      </w:r>
    </w:p>
    <w:p w:rsidR="004838D2" w:rsidRDefault="004838D2">
      <w:pPr>
        <w:jc w:val="both"/>
        <w:ind w:left="720"/>
        <w:spacing w:line="360" w:lineRule="auto"/>
      </w:pPr>
    </w:p>
    <w:p w:rsidR="004838D2" w:rsidRDefault="00000000">
      <w:pPr>
        <w:numPr>
          <w:ilvl w:val="0"/>
          <w:numId w:val="2"/>
        </w:numPr>
        <w:jc w:val="both"/>
        <w:spacing w:line="360" w:lineRule="auto"/>
      </w:pPr>
      <w:r>
        <w:t>The restriction methodology puts areas of strength for fitting HR strategies and techniques to the association's specific geological climate (</w:t>
      </w:r>
      <w:r>
        <w:rPr>
          <w:highlight w:val="white"/>
        </w:rPr>
        <w:t xml:space="preserve">Lu </w:t>
      </w:r>
      <w:r>
        <w:rPr>
          <w:i/>
          <w:highlight w:val="white"/>
        </w:rPr>
        <w:t xml:space="preserve">et al., </w:t>
      </w:r>
      <w:r>
        <w:rPr>
          <w:highlight w:val="white"/>
        </w:rPr>
        <w:t>2019)</w:t>
      </w:r>
      <w:r>
        <w:t xml:space="preserve">. Due to its capacity to cultivate dependable bonds with the nearby </w:t>
      </w:r>
      <w:proofErr w:type="spellStart"/>
      <w:r>
        <w:t>labour</w:t>
      </w:r>
      <w:proofErr w:type="spellEnd"/>
      <w:r>
        <w:t xml:space="preserve"> force and assurance adherence to </w:t>
      </w:r>
      <w:proofErr w:type="spellStart"/>
      <w:r>
        <w:t>neighbourhood</w:t>
      </w:r>
      <w:proofErr w:type="spellEnd"/>
      <w:r>
        <w:t xml:space="preserve"> rules and guidelines, this technique is gainful for organizations that work in socially assorted locales.</w:t>
      </w:r>
    </w:p>
    <w:p w:rsidR="004838D2" w:rsidRDefault="00000000">
      <w:pPr>
        <w:numPr>
          <w:ilvl w:val="0"/>
          <w:numId w:val="2"/>
        </w:numPr>
        <w:jc w:val="both"/>
        <w:spacing w:line="360" w:lineRule="auto"/>
      </w:pPr>
      <w:r>
        <w:t xml:space="preserve">Transnational Methodology: This approach consolidates the advantages of the worldwide incorporation approach and the confinement approach. This approach accentuates the normalization of </w:t>
      </w:r>
      <w:proofErr w:type="spellStart"/>
      <w:r>
        <w:t>centre</w:t>
      </w:r>
      <w:proofErr w:type="spellEnd"/>
      <w:r>
        <w:t xml:space="preserve"> HR rehearses while considering adaptability in the customization of practices to suit the </w:t>
      </w:r>
      <w:proofErr w:type="spellStart"/>
      <w:r>
        <w:t>neighbourhood</w:t>
      </w:r>
      <w:proofErr w:type="spellEnd"/>
      <w:r>
        <w:t xml:space="preserve"> setting (</w:t>
      </w:r>
      <w:r>
        <w:rPr>
          <w:highlight w:val="white"/>
        </w:rPr>
        <w:t>Ahmad, 2019)</w:t>
      </w:r>
      <w:r>
        <w:t xml:space="preserve">. This </w:t>
      </w:r>
      <w:r>
        <w:t>approach is helpful for associations that work in a worldwide market and look to keep up with consistency while considering nearby transformations.</w:t>
        <w:lastRenderedPageBreak/>
      </w:r>
    </w:p>
    <w:p w:rsidR="004838D2" w:rsidRDefault="004838D2">
      <w:pPr>
        <w:jc w:val="both"/>
        <w:ind w:left="720"/>
        <w:spacing w:line="360" w:lineRule="auto"/>
      </w:pPr>
    </w:p>
    <w:p w:rsidR="004838D2" w:rsidRDefault="00000000">
      <w:pPr>
        <w:pStyle w:val="Heading2"/>
        <w:jc w:val="both"/>
        <w:spacing w:before="0" w:after="0" w:line="360" w:lineRule="auto"/>
        <w:rPr>
          <w:b/>
          <w:i/>
          <w:sz w:val="22"/>
          <w:szCs w:val="22"/>
        </w:rPr>
      </w:pPr>
      <w:bookmarkStart w:id="10" w:name="_heading=h.3rdcrjn" w:colFirst="0" w:colLast="0"/>
      <w:bookmarkEnd w:id="10"/>
      <w:r>
        <w:rPr>
          <w:b/>
          <w:i/>
          <w:sz w:val="22"/>
          <w:szCs w:val="22"/>
        </w:rPr>
        <w:t xml:space="preserve">Critical analysis </w:t>
      </w:r>
    </w:p>
    <w:p w:rsidR="004838D2" w:rsidRDefault="004838D2">
      <w:pPr>
        <w:jc w:val="both"/>
        <w:spacing w:line="360" w:lineRule="auto"/>
      </w:pPr>
    </w:p>
    <w:p w:rsidR="004838D2" w:rsidRDefault="00000000">
      <w:pPr>
        <w:numPr>
          <w:ilvl w:val="0"/>
          <w:numId w:val="1"/>
        </w:numPr>
        <w:jc w:val="both"/>
        <w:spacing w:line="360" w:lineRule="auto"/>
      </w:pPr>
      <w:r>
        <w:t>As it probably won't consider the nearby setting and social contrasts, the worldwide reconciliation technique might bring about social debates and resistance from representatives.</w:t>
      </w:r>
    </w:p>
    <w:p w:rsidR="004838D2" w:rsidRDefault="004838D2">
      <w:pPr>
        <w:jc w:val="both"/>
        <w:ind w:left="720"/>
        <w:spacing w:line="360" w:lineRule="auto"/>
      </w:pPr>
    </w:p>
    <w:p w:rsidR="004838D2" w:rsidRDefault="00000000">
      <w:pPr>
        <w:numPr>
          <w:ilvl w:val="0"/>
          <w:numId w:val="1"/>
        </w:numPr>
        <w:jc w:val="both"/>
        <w:spacing w:line="360" w:lineRule="auto"/>
      </w:pPr>
      <w:r>
        <w:t>The limitation methodology could bring about conflicting HR strategies in different regions, which could affect the brand's standing and authoritative culture.</w:t>
      </w:r>
    </w:p>
    <w:p w:rsidR="004838D2" w:rsidRDefault="004838D2">
      <w:pPr>
        <w:jc w:val="both"/>
        <w:ind w:left="720"/>
        <w:spacing w:line="360" w:lineRule="auto"/>
      </w:pPr>
    </w:p>
    <w:p w:rsidR="004838D2" w:rsidRDefault="00000000">
      <w:pPr>
        <w:numPr>
          <w:ilvl w:val="0"/>
          <w:numId w:val="1"/>
        </w:numPr>
        <w:jc w:val="both"/>
        <w:spacing w:line="360" w:lineRule="auto"/>
      </w:pPr>
      <w:r>
        <w:t xml:space="preserve">To get the consistency of key HR rehearses while taking into account </w:t>
      </w:r>
      <w:proofErr w:type="spellStart"/>
      <w:r>
        <w:t>neighbourhood</w:t>
      </w:r>
      <w:proofErr w:type="spellEnd"/>
      <w:r>
        <w:t xml:space="preserve"> changes, the transnational strategy might be challenging to embrace and may call for huge assets (</w:t>
      </w:r>
      <w:proofErr w:type="spellStart"/>
      <w:r>
        <w:rPr>
          <w:highlight w:val="white"/>
        </w:rPr>
        <w:t>Zborowski</w:t>
      </w:r>
      <w:proofErr w:type="spellEnd"/>
      <w:r>
        <w:rPr>
          <w:highlight w:val="white"/>
        </w:rPr>
        <w:t>, 2019)</w:t>
      </w:r>
      <w:r>
        <w:t xml:space="preserve">. Each of the three techniques could underestimate the meaning of assisting </w:t>
      </w:r>
      <w:proofErr w:type="spellStart"/>
      <w:r>
        <w:t>labourers</w:t>
      </w:r>
      <w:proofErr w:type="spellEnd"/>
      <w:r>
        <w:t xml:space="preserve"> with building diverse abilities so they can effectively arrange social contrasts and work together in a worldwide setting.</w:t>
      </w:r>
    </w:p>
    <w:p w:rsidR="004838D2" w:rsidRDefault="004838D2">
      <w:pPr>
        <w:jc w:val="both"/>
        <w:spacing w:line="360" w:lineRule="auto"/>
      </w:pPr>
    </w:p>
    <w:p w:rsidR="004838D2" w:rsidRDefault="004838D2">
      <w:pPr>
        <w:jc w:val="both"/>
        <w:spacing w:line="360" w:lineRule="auto"/>
      </w:pPr>
    </w:p>
    <w:p w:rsidR="004838D2" w:rsidRDefault="00000000">
      <w:pPr>
        <w:pStyle w:val="Heading1"/>
        <w:spacing w:before="0" w:after="0"/>
        <w:rPr>
          <w:b w:val="0"/>
        </w:rPr>
      </w:pPr>
      <w:bookmarkStart w:id="11" w:name="_heading=h.26in1rg" w:colFirst="0" w:colLast="0"/>
      <w:bookmarkEnd w:id="11"/>
      <w:r>
        <w:t xml:space="preserve">Conclusion and recommendations </w:t>
      </w:r>
    </w:p>
    <w:p w:rsidR="004838D2" w:rsidRDefault="004838D2">
      <w:pPr>
        <w:jc w:val="both"/>
        <w:spacing w:line="360" w:lineRule="auto"/>
        <w:rPr>
          <w:b/>
        </w:rPr>
      </w:pPr>
    </w:p>
    <w:p w:rsidR="004838D2" w:rsidRDefault="00000000">
      <w:pPr>
        <w:jc w:val="both"/>
        <w:spacing w:line="360" w:lineRule="auto"/>
      </w:pPr>
      <w:r>
        <w:t xml:space="preserve">The energy industries in both China and France would be significantly consolidated as a result of the merger and acquisition between China National Petroleum Corporation (CNPC) and </w:t>
      </w:r>
      <w:proofErr w:type="spellStart"/>
      <w:r>
        <w:t>TotalEnergies</w:t>
      </w:r>
      <w:proofErr w:type="spellEnd"/>
      <w:r>
        <w:t xml:space="preserve"> SE (formerly Total S.A.) (</w:t>
      </w:r>
      <w:r>
        <w:rPr>
          <w:highlight w:val="white"/>
        </w:rPr>
        <w:t xml:space="preserve">Wang </w:t>
      </w:r>
      <w:r>
        <w:rPr>
          <w:i/>
          <w:highlight w:val="white"/>
        </w:rPr>
        <w:t>et al.,</w:t>
      </w:r>
      <w:r>
        <w:rPr>
          <w:highlight w:val="white"/>
        </w:rPr>
        <w:t xml:space="preserve"> 2021)</w:t>
      </w:r>
      <w:r>
        <w:t>. The following are some conceivable findings and counsel for this prospective merger:</w:t>
      </w:r>
    </w:p>
    <w:p w:rsidR="004838D2" w:rsidRDefault="004838D2">
      <w:pPr>
        <w:jc w:val="both"/>
        <w:spacing w:line="360" w:lineRule="auto"/>
      </w:pPr>
    </w:p>
    <w:p w:rsidR="004838D2" w:rsidRDefault="00000000">
      <w:pPr>
        <w:jc w:val="both"/>
        <w:spacing w:line="360" w:lineRule="auto"/>
      </w:pPr>
      <w:r>
        <w:t xml:space="preserve">To compete with other major multinational energy businesses, the combined company would have a greater footprint on the world energy market. With the combination, CNPC would be able to diversify its commercial operations and broaden its global reach beyond its current emphasis on the Chinese domestic market. By getting access to CNPC's large network of Chinese oil and gas reserves and infrastructure, </w:t>
      </w:r>
      <w:proofErr w:type="spellStart"/>
      <w:r>
        <w:t>TotalEnergies</w:t>
      </w:r>
      <w:proofErr w:type="spellEnd"/>
      <w:r>
        <w:t xml:space="preserve"> would profit from the combination. Moreover, the consolidation would bring about cost reserve funds, worked on functional adequacy, and innovative work cooperative energies.</w:t>
      </w:r>
    </w:p>
    <w:p w:rsidR="004838D2" w:rsidRDefault="004838D2">
      <w:pPr>
        <w:jc w:val="both"/>
        <w:spacing w:line="360" w:lineRule="auto"/>
      </w:pPr>
    </w:p>
    <w:p w:rsidR="004838D2" w:rsidRDefault="00000000">
      <w:pPr>
        <w:jc w:val="both"/>
        <w:spacing w:line="360" w:lineRule="auto"/>
      </w:pPr>
      <w:r>
        <w:t xml:space="preserve">The social distinctions between China and France ought to be assiduously viewed by the two organizations, and they ought to attempt to establish a helpful and polite workplace between their separate groups. The two organizations ought to completely look at any possible lawful </w:t>
      </w:r>
      <w:r>
        <w:t>and administrative obstructions to the consolidation, remembering adherence to antitrust guidelines for the two purviews (</w:t>
        <w:lastRenderedPageBreak/>
      </w:r>
      <w:r>
        <w:rPr>
          <w:highlight w:val="white"/>
        </w:rPr>
        <w:t>Fanelli, and Piazza, 2020)</w:t>
      </w:r>
      <w:r>
        <w:t xml:space="preserve">. A point-by-point reconciliation system ought to be made by CNPC and </w:t>
      </w:r>
      <w:proofErr w:type="spellStart"/>
      <w:r>
        <w:t>TotalEnergies</w:t>
      </w:r>
      <w:proofErr w:type="spellEnd"/>
      <w:r>
        <w:t xml:space="preserve"> to show how the two organizations will combine their tasks and assure smooth progress for their staff, clients, and different partners (</w:t>
      </w:r>
      <w:r>
        <w:rPr>
          <w:highlight w:val="white"/>
        </w:rPr>
        <w:t>Jia, 2020)</w:t>
      </w:r>
      <w:r>
        <w:t xml:space="preserve">. An arrangement ought to be created by the organizations to limit any </w:t>
      </w:r>
      <w:proofErr w:type="spellStart"/>
      <w:r>
        <w:t>unfavourable</w:t>
      </w:r>
      <w:proofErr w:type="spellEnd"/>
      <w:r>
        <w:t xml:space="preserve"> consequences for the climate and nearby networks that might result from the consolidation.</w:t>
      </w:r>
    </w:p>
    <w:p w:rsidR="004838D2" w:rsidRDefault="004838D2">
      <w:pPr>
        <w:jc w:val="both"/>
        <w:spacing w:line="360" w:lineRule="auto"/>
      </w:pPr>
    </w:p>
    <w:p w:rsidR="004838D2" w:rsidRDefault="004838D2">
      <w:pPr>
        <w:jc w:val="both"/>
        <w:spacing w:line="360" w:lineRule="auto"/>
      </w:pPr>
    </w:p>
    <w:p w:rsidR="004838D2" w:rsidRDefault="004838D2">
      <w:pPr>
        <w:jc w:val="both"/>
        <w:spacing w:line="360" w:lineRule="auto"/>
        <w:rPr>
          <w:b/>
        </w:rPr>
      </w:pPr>
    </w:p>
    <w:p w:rsidR="004838D2" w:rsidRDefault="004838D2">
      <w:pPr>
        <w:jc w:val="both"/>
        <w:spacing w:line="360" w:lineRule="auto"/>
        <w:rPr>
          <w:b/>
        </w:rPr>
      </w:pPr>
    </w:p>
    <w:p w:rsidR="004838D2" w:rsidRDefault="00000000">
      <w:pPr>
        <w:jc w:val="both"/>
        <w:spacing w:line="360" w:lineRule="auto"/>
      </w:pPr>
      <w:r>
        <w:br w:type="page"/>
      </w:r>
    </w:p>
    <w:p w:rsidR="004838D2" w:rsidRDefault="00000000">
      <w:pPr>
        <w:pStyle w:val="Heading1"/>
        <w:spacing w:before="0" w:after="0"/>
      </w:pPr>
      <w:bookmarkStart w:id="12" w:name="_heading=h.lnxbz9" w:colFirst="0" w:colLast="0"/>
      <w:bookmarkEnd w:id="12"/>
      <w:r>
        <w:t>Reference List</w:t>
        <w:lastRenderedPageBreak/>
      </w:r>
    </w:p>
    <w:p w:rsidR="00801D9A" w:rsidRDefault="00801D9A" w:rsidP="00801D9A">
      <w:pPr>
        <w:jc w:val="both"/>
        <w:spacing w:line="360" w:lineRule="auto"/>
      </w:pPr>
      <w:r>
        <w:t xml:space="preserve">Fanelli, D. and Piazza, F., (2020). Analysis and forecast of COVID-19 spreading in China, Italy and France. </w:t>
      </w:r>
      <w:r w:rsidRPr="00801D9A">
        <w:rPr>
          <w:i/>
        </w:rPr>
        <w:t>Chaos, Solitons &amp; Fractals</w:t>
      </w:r>
      <w:r>
        <w:t xml:space="preserve">, </w:t>
      </w:r>
      <w:r w:rsidRPr="00801D9A">
        <w:rPr>
          <w:i/>
        </w:rPr>
        <w:t>134</w:t>
      </w:r>
      <w:r>
        <w:t>, p.109761.</w:t>
      </w:r>
      <w:hyperlink r:id="rId10">
        <w:r w:rsidRPr="00801D9A">
          <w:rPr>
            <w:u w:val="single"/>
          </w:rPr>
          <w:t>https://www.sciencedirect.com/science/article/pii/S0960077920301636</w:t>
        </w:r>
      </w:hyperlink>
      <w:r>
        <w:t xml:space="preserve"> [Accessed 13 March 2023]</w:t>
      </w:r>
    </w:p>
    <w:p w:rsidR="00801D9A" w:rsidRDefault="00801D9A" w:rsidP="00801D9A">
      <w:pPr>
        <w:spacing w:line="360" w:lineRule="auto"/>
      </w:pPr>
      <w:r>
        <w:t xml:space="preserve">Global Expansion., (2022). 4 HR challenges in mergers and acquisitions, </w:t>
      </w:r>
      <w:proofErr w:type="spellStart"/>
      <w:r>
        <w:t>globalexpansion</w:t>
      </w:r>
      <w:proofErr w:type="spellEnd"/>
      <w:r>
        <w:t>. Global Expansion. Available at: https://www.globalexpansion.com/blog/hr-challenges-in-mergers-and-acquisitions (Accessed: March 25, 2023).</w:t>
      </w:r>
    </w:p>
    <w:p w:rsidR="00801D9A" w:rsidRDefault="00801D9A" w:rsidP="00801D9A">
      <w:pPr>
        <w:jc w:val="both"/>
        <w:spacing w:line="360" w:lineRule="auto"/>
      </w:pPr>
      <w:r>
        <w:t xml:space="preserve">Jia, S.S., (2020). Motivation and satisfaction of Chinese and US tourists in restaurants: A cross-cultural text mining of online reviews. </w:t>
      </w:r>
      <w:r w:rsidRPr="00801D9A">
        <w:rPr>
          <w:i/>
        </w:rPr>
        <w:t>Tourism Management</w:t>
      </w:r>
      <w:r>
        <w:t xml:space="preserve">, </w:t>
      </w:r>
      <w:r w:rsidRPr="00801D9A">
        <w:rPr>
          <w:i/>
        </w:rPr>
        <w:t>78</w:t>
      </w:r>
      <w:r>
        <w:t>, p.104071.</w:t>
      </w:r>
      <w:hyperlink r:id="rId11">
        <w:r w:rsidRPr="00801D9A">
          <w:rPr>
            <w:u w:val="single"/>
          </w:rPr>
          <w:t>https://www.sciencedirect.com/science/article/pii/S0261517719302687</w:t>
        </w:r>
      </w:hyperlink>
      <w:r>
        <w:t xml:space="preserve"> [Accessed 13 March, 2023]</w:t>
      </w:r>
    </w:p>
    <w:p w:rsidR="00801D9A" w:rsidRDefault="00801D9A" w:rsidP="00801D9A">
      <w:pPr>
        <w:spacing w:line="360" w:lineRule="auto"/>
      </w:pPr>
      <w:r>
        <w:t xml:space="preserve">Li, M., Kong, X., Hong, G., Hu, G., Zhu, H., Bai, Z. and Ma, Y., (2019), October. New play discoveries in the South Sumatra Basin, Indonesia-Exploration case study in CNPC </w:t>
      </w:r>
      <w:proofErr w:type="spellStart"/>
      <w:r>
        <w:t>Jabung</w:t>
      </w:r>
      <w:proofErr w:type="spellEnd"/>
      <w:r>
        <w:t xml:space="preserve"> Block. In </w:t>
      </w:r>
      <w:r w:rsidRPr="00801D9A">
        <w:rPr>
          <w:i/>
        </w:rPr>
        <w:t>IOP Conference Series: Earth and Environmental Science</w:t>
      </w:r>
      <w:r>
        <w:t xml:space="preserve"> (Vol. 360, No. 1, p. 012021). IOP Publishing. Available at: </w:t>
      </w:r>
      <w:hyperlink r:id="rId12">
        <w:r w:rsidRPr="00801D9A">
          <w:rPr>
            <w:u w:val="single"/>
          </w:rPr>
          <w:t>https://iopscience.iop.org/article/10.1088/1755-1315/360/1/012021/pdf</w:t>
        </w:r>
      </w:hyperlink>
      <w:r>
        <w:t xml:space="preserve"> </w:t>
      </w:r>
    </w:p>
    <w:p w:rsidR="00801D9A" w:rsidRDefault="00801D9A" w:rsidP="00801D9A">
      <w:pPr>
        <w:jc w:val="both"/>
        <w:spacing w:line="360" w:lineRule="auto"/>
      </w:pPr>
      <w:r>
        <w:t xml:space="preserve">Lu, H., Huang, K., </w:t>
      </w:r>
      <w:proofErr w:type="spellStart"/>
      <w:r>
        <w:t>Azimi</w:t>
      </w:r>
      <w:proofErr w:type="spellEnd"/>
      <w:r>
        <w:t xml:space="preserve">, M. and Guo, L., (2019). Blockchain technology in the oil and gas industry: A review of applications, opportunities, challenges, and risks. </w:t>
      </w:r>
      <w:proofErr w:type="spellStart"/>
      <w:r w:rsidRPr="00801D9A">
        <w:rPr>
          <w:i/>
        </w:rPr>
        <w:t>Ieee</w:t>
      </w:r>
      <w:proofErr w:type="spellEnd"/>
      <w:r w:rsidRPr="00801D9A">
        <w:rPr>
          <w:i/>
        </w:rPr>
        <w:t xml:space="preserve"> Access</w:t>
      </w:r>
      <w:r>
        <w:t xml:space="preserve">, </w:t>
      </w:r>
      <w:r w:rsidRPr="00801D9A">
        <w:rPr>
          <w:i/>
        </w:rPr>
        <w:t>7</w:t>
      </w:r>
      <w:r>
        <w:t>, pp.41426-41444.</w:t>
      </w:r>
      <w:hyperlink r:id="rId13">
        <w:r w:rsidRPr="00801D9A">
          <w:rPr>
            <w:u w:val="single"/>
          </w:rPr>
          <w:t>https://ieeexplore.ieee.org/abstract/document/8675726/</w:t>
        </w:r>
      </w:hyperlink>
      <w:r>
        <w:t xml:space="preserve"> [Accessed 13 March, 2023]</w:t>
      </w:r>
    </w:p>
    <w:p w:rsidR="00801D9A" w:rsidRDefault="00801D9A" w:rsidP="00801D9A">
      <w:pPr>
        <w:spacing w:line="360" w:lineRule="auto"/>
      </w:pPr>
      <w:proofErr w:type="spellStart"/>
      <w:r>
        <w:t>Possik</w:t>
      </w:r>
      <w:proofErr w:type="spellEnd"/>
      <w:r>
        <w:t xml:space="preserve">, J., </w:t>
      </w:r>
      <w:proofErr w:type="spellStart"/>
      <w:r>
        <w:t>Zouggar-Amrani</w:t>
      </w:r>
      <w:proofErr w:type="spellEnd"/>
      <w:r>
        <w:t xml:space="preserve">, A., </w:t>
      </w:r>
      <w:proofErr w:type="spellStart"/>
      <w:r>
        <w:t>Vallespir</w:t>
      </w:r>
      <w:proofErr w:type="spellEnd"/>
      <w:r>
        <w:t xml:space="preserve">, B. and </w:t>
      </w:r>
      <w:proofErr w:type="spellStart"/>
      <w:r>
        <w:t>Zacharewicz</w:t>
      </w:r>
      <w:proofErr w:type="spellEnd"/>
      <w:r>
        <w:t xml:space="preserve">, G., (2022). Lean techniques impact evaluation methodology based on a co-simulation framework for manufacturing systems. </w:t>
      </w:r>
      <w:r w:rsidRPr="00801D9A">
        <w:rPr>
          <w:i/>
        </w:rPr>
        <w:t>International Journal of Computer Integrated Manufacturing</w:t>
      </w:r>
      <w:r>
        <w:t xml:space="preserve">, </w:t>
      </w:r>
      <w:r w:rsidRPr="00801D9A">
        <w:rPr>
          <w:i/>
        </w:rPr>
        <w:t>35</w:t>
      </w:r>
      <w:r>
        <w:t xml:space="preserve">(1), pp.91-111. Available at: </w:t>
      </w:r>
      <w:hyperlink r:id="rId14">
        <w:r w:rsidRPr="00801D9A">
          <w:rPr>
            <w:u w:val="single"/>
          </w:rPr>
          <w:t>https://hal.science/hal-03340975/document</w:t>
        </w:r>
      </w:hyperlink>
    </w:p>
    <w:p w:rsidR="00801D9A" w:rsidRDefault="00801D9A" w:rsidP="00801D9A">
      <w:pPr>
        <w:jc w:val="both"/>
        <w:spacing w:line="360" w:lineRule="auto"/>
      </w:pPr>
      <w:proofErr w:type="spellStart"/>
      <w:r>
        <w:t>Selvik</w:t>
      </w:r>
      <w:proofErr w:type="spellEnd"/>
      <w:r>
        <w:t xml:space="preserve">, J.T. and Bellamy, L.J., (2020). Addressing human error when collecting failure cause information in the oil and gas industry: A review of ISO 14224: 2016. </w:t>
      </w:r>
      <w:r w:rsidRPr="00801D9A">
        <w:rPr>
          <w:i/>
        </w:rPr>
        <w:t>Reliability Engineering &amp; System Safety</w:t>
      </w:r>
      <w:r>
        <w:t xml:space="preserve">, </w:t>
      </w:r>
      <w:r w:rsidRPr="00801D9A">
        <w:rPr>
          <w:i/>
        </w:rPr>
        <w:t>194</w:t>
      </w:r>
      <w:r>
        <w:t>, p.106418.</w:t>
      </w:r>
      <w:hyperlink r:id="rId15">
        <w:r w:rsidRPr="00801D9A">
          <w:rPr>
            <w:u w:val="single"/>
          </w:rPr>
          <w:t>https://www.sciencedirect.com/science/article/pii/S0951832018311062</w:t>
        </w:r>
      </w:hyperlink>
      <w:r>
        <w:t xml:space="preserve"> [Accessed 13 March, 2023]</w:t>
      </w:r>
    </w:p>
    <w:p w:rsidR="00801D9A" w:rsidRDefault="00801D9A" w:rsidP="00801D9A">
      <w:pPr>
        <w:jc w:val="both"/>
        <w:spacing w:line="360" w:lineRule="auto"/>
      </w:pPr>
      <w:proofErr w:type="spellStart"/>
      <w:r>
        <w:t>Shojaeddini</w:t>
      </w:r>
      <w:proofErr w:type="spellEnd"/>
      <w:r>
        <w:t xml:space="preserve">, E., </w:t>
      </w:r>
      <w:proofErr w:type="spellStart"/>
      <w:r>
        <w:t>Naimoli</w:t>
      </w:r>
      <w:proofErr w:type="spellEnd"/>
      <w:r>
        <w:t xml:space="preserve">, S., Ladislaw, S. and </w:t>
      </w:r>
      <w:proofErr w:type="spellStart"/>
      <w:r>
        <w:t>Bazilian</w:t>
      </w:r>
      <w:proofErr w:type="spellEnd"/>
      <w:r>
        <w:t xml:space="preserve">, M., (2019). Oil and gas company strategies regarding the energy transition. </w:t>
      </w:r>
      <w:r w:rsidRPr="00801D9A">
        <w:rPr>
          <w:i/>
        </w:rPr>
        <w:t>Progress in Energy</w:t>
      </w:r>
      <w:r>
        <w:t xml:space="preserve">, </w:t>
      </w:r>
      <w:r w:rsidRPr="00801D9A">
        <w:rPr>
          <w:i/>
        </w:rPr>
        <w:t>1</w:t>
      </w:r>
      <w:r>
        <w:t>(1), p.012001.</w:t>
      </w:r>
      <w:hyperlink r:id="rId16">
        <w:r w:rsidRPr="00801D9A">
          <w:rPr>
            <w:u w:val="single"/>
          </w:rPr>
          <w:t>https://iopscience.iop.org/article/10.1088/2516-1083/ab2503/meta</w:t>
        </w:r>
      </w:hyperlink>
      <w:r>
        <w:t xml:space="preserve"> [Accessed 13 March, 2023]</w:t>
      </w:r>
    </w:p>
    <w:p w:rsidR="00801D9A" w:rsidRDefault="00801D9A" w:rsidP="00801D9A">
      <w:pPr>
        <w:spacing w:line="360" w:lineRule="auto"/>
      </w:pPr>
      <w:proofErr w:type="spellStart"/>
      <w:r>
        <w:t>Tarba</w:t>
      </w:r>
      <w:proofErr w:type="spellEnd"/>
      <w:r>
        <w:t xml:space="preserve">, S.Y., Cooke, F.L., Weber, Y., Ahlstrom, D., Cooper, C.L. and Collings, D.G., (2020). Mergers and acquisitions in the global context: The role of human resource management. </w:t>
      </w:r>
      <w:r w:rsidRPr="00801D9A">
        <w:rPr>
          <w:i/>
        </w:rPr>
        <w:t>Journal of World Business</w:t>
      </w:r>
      <w:r>
        <w:t xml:space="preserve">, </w:t>
      </w:r>
      <w:r w:rsidRPr="00801D9A">
        <w:rPr>
          <w:i/>
        </w:rPr>
        <w:t>55</w:t>
      </w:r>
      <w:r>
        <w:t>(2), p.101048.</w:t>
      </w:r>
    </w:p>
    <w:p w:rsidR="00801D9A" w:rsidRDefault="00801D9A" w:rsidP="00801D9A">
      <w:pPr>
        <w:jc w:val="both"/>
        <w:spacing w:line="360" w:lineRule="auto"/>
      </w:pPr>
      <w:r>
        <w:t xml:space="preserve">Wang, X., Zhao, X., Wang, Y. and Li, S., (2022). A Comparison of CSR Image Construction between Chinese and American Petroleum Companies in the Context of Ecological Transition. </w:t>
        <w:lastRenderedPageBreak/>
      </w:r>
      <w:r w:rsidRPr="00801D9A">
        <w:rPr>
          <w:i/>
        </w:rPr>
        <w:t>Sustainability</w:t>
      </w:r>
      <w:r>
        <w:t xml:space="preserve">, </w:t>
      </w:r>
      <w:r w:rsidRPr="00801D9A">
        <w:rPr>
          <w:i/>
        </w:rPr>
        <w:t>14</w:t>
      </w:r>
      <w:r>
        <w:t>(21), p.14490.</w:t>
      </w:r>
      <w:hyperlink r:id="rId17">
        <w:r w:rsidRPr="00801D9A">
          <w:rPr>
            <w:u w:val="single"/>
          </w:rPr>
          <w:t>https://www.mdpi.com/1927078</w:t>
        </w:r>
      </w:hyperlink>
      <w:r>
        <w:t xml:space="preserve"> [Accessed 13 March, 2023]</w:t>
      </w:r>
    </w:p>
    <w:p w:rsidR="00801D9A" w:rsidRDefault="00801D9A" w:rsidP="00801D9A">
      <w:pPr>
        <w:jc w:val="both"/>
        <w:spacing w:line="360" w:lineRule="auto"/>
      </w:pPr>
      <w:proofErr w:type="spellStart"/>
      <w:r>
        <w:t>Yildiz</w:t>
      </w:r>
      <w:proofErr w:type="spellEnd"/>
      <w:r>
        <w:t xml:space="preserve">, Y. and Karan, M.B., (2020). Corporate cash holdings in the oil and gas industry: The role of energy directives. </w:t>
      </w:r>
      <w:r w:rsidRPr="00801D9A">
        <w:rPr>
          <w:i/>
        </w:rPr>
        <w:t>Regulations in the Energy Industry: Financial, Economic and Legal Implications</w:t>
      </w:r>
      <w:r>
        <w:t>, pp.187-213.</w:t>
      </w:r>
      <w:hyperlink r:id="rId18">
        <w:r w:rsidRPr="00801D9A">
          <w:rPr>
            <w:u w:val="single"/>
          </w:rPr>
          <w:t>https://link.springer.com/chapter/10.1007/978-3-030-32296-0_11</w:t>
        </w:r>
      </w:hyperlink>
      <w:r>
        <w:t xml:space="preserve"> [Accessed 13 March, 2023]</w:t>
      </w:r>
    </w:p>
    <w:p w:rsidR="00801D9A" w:rsidRDefault="00801D9A" w:rsidP="00801D9A">
      <w:pPr>
        <w:jc w:val="both"/>
        <w:spacing w:line="360" w:lineRule="auto"/>
      </w:pPr>
      <w:proofErr w:type="spellStart"/>
      <w:r>
        <w:t>Zborowski</w:t>
      </w:r>
      <w:proofErr w:type="spellEnd"/>
      <w:r>
        <w:t xml:space="preserve">, M., (2019). Industry Dives into UK’s New Oil and Gas Data Hub. </w:t>
      </w:r>
      <w:r w:rsidRPr="00801D9A">
        <w:rPr>
          <w:i/>
        </w:rPr>
        <w:t>Journal of Petroleum Technology</w:t>
      </w:r>
      <w:r>
        <w:t xml:space="preserve">, </w:t>
      </w:r>
      <w:r w:rsidRPr="00801D9A">
        <w:rPr>
          <w:i/>
        </w:rPr>
        <w:t>71</w:t>
      </w:r>
      <w:r>
        <w:t>(07), pp.31-33.</w:t>
      </w:r>
      <w:hyperlink r:id="rId19">
        <w:r w:rsidRPr="00801D9A">
          <w:rPr>
            <w:u w:val="single"/>
          </w:rPr>
          <w:t>https://onepetro.org/JPT/article-abstract/71/07/31/207716</w:t>
        </w:r>
      </w:hyperlink>
      <w:r>
        <w:t xml:space="preserve"> [Accessed 13 March, 2023]</w:t>
      </w:r>
    </w:p>
    <w:sectPr w:rsidR="00801D9A" w:rsidSect="006E3BB2">
      <w:headerReference r:id="rId21" w:type="default"/>
      <w:headerReference r:id="rId20" w:type="even"/>
      <w:headerReference r:id="rId24" w:type="first"/>
      <w:footerReference r:id="rId25" w:type="first"/>
      <w:footerReference r:id="rId23" w:type="default"/>
      <w:footerReference r:id="rId22" w:type="even"/>
      <w:pgNumType w:start="1"/>
      <w:pgSz w:w="11909" w:h="16834"/>
      <w:pgMar w:left="1440" w:right="1440" w:top="1440" w:bottom="1440" w:header="720" w:footer="720" w:gutter="0"/>
      <w:pgBorders w:offsetFrom="page">
        <w:top w:val="single" w:sz="4" w:color="auto" w:space="24"/>
        <w:bottom w:val="single" w:sz="4" w:color="auto" w:space="24"/>
        <w:left w:val="single" w:sz="4" w:color="auto" w:space="24"/>
        <w:right w:val="single" w:sz="4" w:color="auto" w:space="24"/>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B4046" w:rsidRDefault="00AB4046">
      <w:pPr>
        <w:spacing w:line="240" w:lineRule="auto"/>
      </w:pPr>
      <w:r>
        <w:separator/>
      </w:r>
    </w:p>
  </w:endnote>
  <w:endnote w:type="continuationSeparator" w:id="0">
    <w:p w:rsidR="00AB4046" w:rsidRDefault="00AB4046">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838D2" w:rsidRDefault="004838D2">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838D2" w:rsidRDefault="00000000">
    <w:pPr>
      <w:ind w:left="7920" w:firstLine="720"/>
    </w:pPr>
    <w:r>
      <w:fldChar w:fldCharType="begin"/>
    </w:r>
    <w:r>
      <w:instrText>PAGE</w:instrText>
    </w:r>
    <w:r>
      <w:fldChar w:fldCharType="separate"/>
    </w:r>
    <w:r w:rsidR="00A36F52">
      <w:rPr>
        <w:noProof/>
      </w:rPr>
      <w:t>1</w:t>
    </w:r>
    <w:r>
      <w:fldChar w:fldCharType="end"/>
    </w:r>
  </w:p>
  <w:p w:rsidR="004838D2" w:rsidRDefault="004838D2">
    <w:pPr>
      <w:widowControl w:val="0"/>
      <w:pBdr>
        <w:top w:val="nil"/>
        <w:left w:val="nil"/>
        <w:bottom w:val="nil"/>
        <w:right w:val="nil"/>
        <w:between w:val="nil"/>
      </w:pBd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838D2" w:rsidRDefault="004838D2">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B4046" w:rsidRDefault="00AB4046">
      <w:pPr>
        <w:spacing w:line="240" w:lineRule="auto"/>
      </w:pPr>
      <w:r>
        <w:separator/>
      </w:r>
    </w:p>
  </w:footnote>
  <w:footnote w:type="continuationSeparator" w:id="0">
    <w:p w:rsidR="00AB4046" w:rsidRDefault="00AB404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838D2" w:rsidRDefault="004838D2">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838D2" w:rsidRDefault="004838D2">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838D2" w:rsidRDefault="004838D2">
    <w:pPr>
      <w:pBdr>
        <w:top w:val="nil"/>
        <w:left w:val="nil"/>
        <w:bottom w:val="nil"/>
        <w:right w:val="nil"/>
        <w:between w:val="nil"/>
      </w:pBdr>
      <w:tabs>
        <w:tab w:val="center" w:pos="4680"/>
        <w:tab w:val="right" w:pos="9360"/>
      </w:tabs>
      <w:spacing w:line="240" w:lineRule="auto"/>
      <w:rPr>
        <w:color w:val="000000"/>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3601B5C"/>
    <w:tmpl w:val="B3A087A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
    <w:multiLevelType w:val="hybridMultilevel"/>
    <w:nsid w:val="2A357CE6"/>
    <w:tmpl w:val="A06E4B8E"/>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
    <w:multiLevelType w:val="hybridMultilevel"/>
    <w:nsid w:val="62E1156A"/>
    <w:tmpl w:val="5E929422"/>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2"/>
  </w:num>
  <w:num w:numId="2">
    <w:abstractNumId w:val="0"/>
  </w:num>
  <w:num w:numId="3">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9FA005"/>
  <w:rsids>
    <w:rsidRoot val="004838D2"/>
    <w:rsid val="004838D2"/>
    <w:rsid val="006E3BB2"/>
    <w:rsid val="00801D9A"/>
    <w:rsid val="009A6C0E"/>
    <w:rsid val="00A36F52"/>
    <w:rsid val="00AB4046"/>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2F7B5C"/>
    <w:pPr>
      <w:keepNext/>
      <w:keepLines/>
      <w:spacing w:before="400" w:after="120" w:line="360" w:lineRule="auto"/>
      <w:jc w:val="both"/>
      <w:outlineLvl w:val="0"/>
    </w:pPr>
    <w:rPr>
      <w:b/>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3067C9"/>
    <w:pPr>
      <w:spacing w:after="100"/>
    </w:pPr>
  </w:style>
  <w:style w:type="paragraph" w:styleId="TOC2">
    <w:name w:val="toc 2"/>
    <w:basedOn w:val="Normal"/>
    <w:next w:val="Normal"/>
    <w:autoRedefine/>
    <w:uiPriority w:val="39"/>
    <w:unhideWhenUsed/>
    <w:rsid w:val="003067C9"/>
    <w:pPr>
      <w:spacing w:after="100"/>
      <w:ind w:left="220"/>
    </w:pPr>
  </w:style>
  <w:style w:type="character" w:styleId="Hyperlink">
    <w:name w:val="Hyperlink"/>
    <w:basedOn w:val="DefaultParagraphFont"/>
    <w:uiPriority w:val="99"/>
    <w:unhideWhenUsed/>
    <w:rsid w:val="003067C9"/>
    <w:rPr>
      <w:color w:val="0000FF" w:themeColor="hyperlink"/>
      <w:u w:val="single"/>
    </w:rPr>
  </w:style>
  <w:style w:type="paragraph" w:styleId="Header">
    <w:name w:val="header"/>
    <w:basedOn w:val="Normal"/>
    <w:link w:val="HeaderChar"/>
    <w:uiPriority w:val="99"/>
    <w:unhideWhenUsed/>
    <w:rsid w:val="001D0D1C"/>
    <w:pPr>
      <w:tabs>
        <w:tab w:val="center" w:pos="4680"/>
        <w:tab w:val="right" w:pos="9360"/>
      </w:tabs>
      <w:spacing w:line="240" w:lineRule="auto"/>
    </w:pPr>
  </w:style>
  <w:style w:type="character" w:customStyle="1" w:styleId="HeaderChar">
    <w:name w:val="Header Char"/>
    <w:basedOn w:val="DefaultParagraphFont"/>
    <w:link w:val="Header"/>
    <w:uiPriority w:val="99"/>
    <w:rsid w:val="001D0D1C"/>
  </w:style>
  <w:style w:type="paragraph" w:styleId="Footer">
    <w:name w:val="footer"/>
    <w:basedOn w:val="Normal"/>
    <w:link w:val="FooterChar"/>
    <w:uiPriority w:val="99"/>
    <w:unhideWhenUsed/>
    <w:rsid w:val="001D0D1C"/>
    <w:pPr>
      <w:tabs>
        <w:tab w:val="center" w:pos="4680"/>
        <w:tab w:val="right" w:pos="9360"/>
      </w:tabs>
      <w:spacing w:line="240" w:lineRule="auto"/>
    </w:pPr>
  </w:style>
  <w:style w:type="character" w:customStyle="1" w:styleId="FooterChar">
    <w:name w:val="Footer Char"/>
    <w:basedOn w:val="DefaultParagraphFont"/>
    <w:link w:val="Footer"/>
    <w:uiPriority w:val="99"/>
    <w:rsid w:val="001D0D1C"/>
  </w:style>
  <w:style w:type="paragraph" w:styleId="ListParagraph">
    <w:name w:val="List Paragraph"/>
    <w:basedOn w:val="Normal"/>
    <w:uiPriority w:val="34"/>
    <w:qFormat/>
    <w:rsid w:val="00801D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eeexplore.ieee.org/abstract/document/8675726/" TargetMode="External"/><Relationship Id="rId18" Type="http://schemas.openxmlformats.org/officeDocument/2006/relationships/hyperlink" Target="https://link.springer.com/chapter/10.1007/978-3-030-32296-0_11"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iopscience.iop.org/article/10.1088/1755-1315/360/1/012021/pdf" TargetMode="External"/><Relationship Id="rId17" Type="http://schemas.openxmlformats.org/officeDocument/2006/relationships/hyperlink" Target="https://www.mdpi.com/1927078"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iopscience.iop.org/article/10.1088/2516-1083/ab2503/meta"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261517719302687"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sciencedirect.com/science/article/pii/S0951832018311062" TargetMode="External"/><Relationship Id="rId23" Type="http://schemas.openxmlformats.org/officeDocument/2006/relationships/footer" Target="footer2.xml"/><Relationship Id="rId10" Type="http://schemas.openxmlformats.org/officeDocument/2006/relationships/hyperlink" Target="https://www.sciencedirect.com/science/article/pii/S0960077920301636" TargetMode="External"/><Relationship Id="rId19" Type="http://schemas.openxmlformats.org/officeDocument/2006/relationships/hyperlink" Target="https://onepetro.org/JPT/article-abstract/71/07/31/20771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al.science/hal-03340975/document" TargetMode="External"/><Relationship Id="rId22" Type="http://schemas.openxmlformats.org/officeDocument/2006/relationships/footer" Target="footer1.xml"/><Relationship Id="rId27" Type="http://schemas.openxmlformats.org/officeDocument/2006/relationships/theme" Target="theme/theme1.xml"/><Relationship Id="rId28" Type="http://schemas.openxmlformats.org/officeDocument/2006/relationships/image" Target="media/image1.png"/><Relationship Id="rId2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BmRvFUIXC5GuDoiQDSx+yDlIsmw==">AMUW2mXhvZF+SJm/GUrOfPRI7zAdUctckhipjnbhB7c9ourhi6XlR1xTHZYy3Z1RdO0796f4pC97KNa8oAFw300CM5al6BB8NClbRghqQs3zEG81OxYFXq0zrhTAsxDwsp4eVzo2UNwDHI4f+wyAr+ZRQU7IxiEUYgZXZQmpbggNNqSj7JwGZG6lwC9M3S5smIigtXtyH+8LRJUZ5P0+Dxfl4IbXvl+Q7+NWqj62Tg4ziXcljV4/iL7RPEFGxU1mvg/ks2e10qm26pXD09s5CdsE3UgjDqZE2/uedtn4qkyPa9OFC2ZBzD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2874</Words>
  <Characters>16388</Characters>
  <Application>Microsoft Office Word</Application>
  <DocSecurity>0</DocSecurity>
  <Lines>136</Lines>
  <Paragraphs>38</Paragraphs>
  <ScaleCrop>false</ScaleCrop>
  <Company/>
  <LinksUpToDate>false</LinksUpToDate>
  <CharactersWithSpaces>19224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2023-03-25T15:22:00Z</dcterms:created>
  <dcterms:modified xsi:type="dcterms:W3CDTF">2023-03-25T15:25:00Z</dcterms:modified>
</cp:coreProperties>
</file>