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AE93FA" w14:textId="7A175B51" w:rsidR="00B61A6A" w:rsidRDefault="7AEC2333" w:rsidP="717F7E32">
      <w:pPr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  <w:r w:rsidRPr="717F7E32"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  <w:t>HPLA7018 – Neronian Prose (Further Advanced)</w:t>
      </w:r>
    </w:p>
    <w:p w14:paraId="2EB14B9E" w14:textId="6BCE701C" w:rsidR="00B61A6A" w:rsidRDefault="7AEC2333" w:rsidP="717F7E32">
      <w:pPr>
        <w:jc w:val="center"/>
        <w:rPr>
          <w:rFonts w:ascii="Calibri" w:eastAsia="Calibri" w:hAnsi="Calibri" w:cs="Calibri"/>
          <w:color w:val="000000" w:themeColor="text1"/>
          <w:sz w:val="32"/>
          <w:szCs w:val="32"/>
        </w:rPr>
      </w:pPr>
      <w:r w:rsidRPr="717F7E32"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  <w:t xml:space="preserve">Assignment 2 – Commentary on Petronius’ </w:t>
      </w:r>
      <w:r w:rsidRPr="717F7E32">
        <w:rPr>
          <w:rFonts w:ascii="Calibri" w:eastAsia="Calibri" w:hAnsi="Calibri" w:cs="Calibri"/>
          <w:b/>
          <w:bCs/>
          <w:i/>
          <w:iCs/>
          <w:color w:val="000000" w:themeColor="text1"/>
          <w:sz w:val="32"/>
          <w:szCs w:val="32"/>
          <w:u w:val="single"/>
        </w:rPr>
        <w:t xml:space="preserve">Satyricon </w:t>
      </w:r>
      <w:r w:rsidR="00EB327D"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  <w:t>49</w:t>
      </w:r>
      <w:r w:rsidRPr="717F7E32"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  <w:t>-</w:t>
      </w:r>
      <w:r w:rsidR="00EB327D">
        <w:rPr>
          <w:rFonts w:ascii="Calibri" w:eastAsia="Calibri" w:hAnsi="Calibri" w:cs="Calibri"/>
          <w:b/>
          <w:bCs/>
          <w:color w:val="000000" w:themeColor="text1"/>
          <w:sz w:val="32"/>
          <w:szCs w:val="32"/>
          <w:u w:val="single"/>
        </w:rPr>
        <w:t>50</w:t>
      </w:r>
    </w:p>
    <w:p w14:paraId="5E5787A5" w14:textId="4976B767" w:rsidR="00B61A6A" w:rsidRDefault="00B61A6A" w:rsidP="717F7E32"/>
    <w:p w14:paraId="5F9032A5" w14:textId="0FB74C38" w:rsidR="717F7E32" w:rsidRDefault="005C6900" w:rsidP="004F4C7D">
      <w:pPr>
        <w:jc w:val="both"/>
        <w:rPr>
          <w:sz w:val="24"/>
          <w:szCs w:val="24"/>
        </w:rPr>
      </w:pPr>
      <w:r w:rsidRPr="005C6900">
        <w:rPr>
          <w:sz w:val="24"/>
          <w:szCs w:val="24"/>
        </w:rPr>
        <w:t xml:space="preserve">The </w:t>
      </w:r>
      <w:r w:rsidRPr="005C6900">
        <w:rPr>
          <w:i/>
          <w:iCs/>
          <w:sz w:val="24"/>
          <w:szCs w:val="24"/>
        </w:rPr>
        <w:t>Satyricon</w:t>
      </w:r>
      <w:r>
        <w:rPr>
          <w:sz w:val="24"/>
          <w:szCs w:val="24"/>
        </w:rPr>
        <w:t xml:space="preserve"> </w:t>
      </w:r>
      <w:r w:rsidR="00B23F15">
        <w:rPr>
          <w:sz w:val="24"/>
          <w:szCs w:val="24"/>
        </w:rPr>
        <w:t xml:space="preserve">is believed by many scholars to have been written between 63 and 65 CE; Walsh </w:t>
      </w:r>
      <w:r w:rsidR="00035EC1">
        <w:rPr>
          <w:sz w:val="24"/>
          <w:szCs w:val="24"/>
        </w:rPr>
        <w:t>believes that it was composed and completed in 65 C</w:t>
      </w:r>
      <w:r w:rsidR="002B1553">
        <w:rPr>
          <w:sz w:val="24"/>
          <w:szCs w:val="24"/>
        </w:rPr>
        <w:t xml:space="preserve">E (Walsh, 1997, p. xiv). </w:t>
      </w:r>
      <w:r w:rsidR="002D3FC2">
        <w:rPr>
          <w:sz w:val="24"/>
          <w:szCs w:val="24"/>
        </w:rPr>
        <w:t xml:space="preserve">Despite the earlier questions over who the author was, </w:t>
      </w:r>
      <w:proofErr w:type="gramStart"/>
      <w:r w:rsidR="002D3FC2">
        <w:rPr>
          <w:sz w:val="24"/>
          <w:szCs w:val="24"/>
        </w:rPr>
        <w:t>the majority of</w:t>
      </w:r>
      <w:proofErr w:type="gramEnd"/>
      <w:r w:rsidR="002D3FC2">
        <w:rPr>
          <w:sz w:val="24"/>
          <w:szCs w:val="24"/>
        </w:rPr>
        <w:t xml:space="preserve"> modern scholarship</w:t>
      </w:r>
      <w:r w:rsidR="003919AA">
        <w:rPr>
          <w:sz w:val="24"/>
          <w:szCs w:val="24"/>
        </w:rPr>
        <w:t xml:space="preserve"> (Walsh, 1997, p. xiii)</w:t>
      </w:r>
      <w:r w:rsidR="002D3FC2">
        <w:rPr>
          <w:sz w:val="24"/>
          <w:szCs w:val="24"/>
        </w:rPr>
        <w:t xml:space="preserve"> believe</w:t>
      </w:r>
      <w:r w:rsidR="003919AA">
        <w:rPr>
          <w:sz w:val="24"/>
          <w:szCs w:val="24"/>
        </w:rPr>
        <w:t>s</w:t>
      </w:r>
      <w:r w:rsidR="002D3FC2">
        <w:rPr>
          <w:sz w:val="24"/>
          <w:szCs w:val="24"/>
        </w:rPr>
        <w:t xml:space="preserve"> th</w:t>
      </w:r>
      <w:r w:rsidR="003919AA">
        <w:rPr>
          <w:sz w:val="24"/>
          <w:szCs w:val="24"/>
        </w:rPr>
        <w:t xml:space="preserve">at </w:t>
      </w:r>
      <w:r w:rsidR="000E7472">
        <w:rPr>
          <w:sz w:val="24"/>
          <w:szCs w:val="24"/>
        </w:rPr>
        <w:t xml:space="preserve">it </w:t>
      </w:r>
      <w:r w:rsidR="003919AA">
        <w:rPr>
          <w:sz w:val="24"/>
          <w:szCs w:val="24"/>
        </w:rPr>
        <w:t xml:space="preserve">was Petronius, the consul </w:t>
      </w:r>
      <w:proofErr w:type="spellStart"/>
      <w:r w:rsidR="003919AA">
        <w:rPr>
          <w:sz w:val="24"/>
          <w:szCs w:val="24"/>
        </w:rPr>
        <w:t>suffectus</w:t>
      </w:r>
      <w:proofErr w:type="spellEnd"/>
      <w:r w:rsidR="003919AA">
        <w:rPr>
          <w:sz w:val="24"/>
          <w:szCs w:val="24"/>
        </w:rPr>
        <w:t xml:space="preserve"> of 62 CE who was forced to commit suicide by Nero in 65 CE. </w:t>
      </w:r>
      <w:r w:rsidR="004F4C7D">
        <w:rPr>
          <w:sz w:val="24"/>
          <w:szCs w:val="24"/>
        </w:rPr>
        <w:t>Petronius was clearly well-known by the Neronian court</w:t>
      </w:r>
      <w:r w:rsidR="00AA6A43">
        <w:rPr>
          <w:sz w:val="24"/>
          <w:szCs w:val="24"/>
        </w:rPr>
        <w:t xml:space="preserve"> and Tacitus states that he was Nero’s “</w:t>
      </w:r>
      <w:proofErr w:type="spellStart"/>
      <w:r w:rsidR="00AA6A43">
        <w:rPr>
          <w:sz w:val="24"/>
          <w:szCs w:val="24"/>
        </w:rPr>
        <w:t>elegantiae</w:t>
      </w:r>
      <w:proofErr w:type="spellEnd"/>
      <w:r w:rsidR="00AA6A43">
        <w:rPr>
          <w:sz w:val="24"/>
          <w:szCs w:val="24"/>
        </w:rPr>
        <w:t xml:space="preserve"> arbiter”</w:t>
      </w:r>
      <w:r w:rsidR="00113C67">
        <w:rPr>
          <w:rStyle w:val="FootnoteReference"/>
          <w:sz w:val="24"/>
          <w:szCs w:val="24"/>
        </w:rPr>
        <w:footnoteReference w:id="2"/>
      </w:r>
      <w:r w:rsidR="00503054">
        <w:rPr>
          <w:sz w:val="24"/>
          <w:szCs w:val="24"/>
        </w:rPr>
        <w:t xml:space="preserve">; it is less clear whether this </w:t>
      </w:r>
      <w:r w:rsidR="000E7472">
        <w:rPr>
          <w:sz w:val="24"/>
          <w:szCs w:val="24"/>
        </w:rPr>
        <w:t>w</w:t>
      </w:r>
      <w:r w:rsidR="00503054">
        <w:rPr>
          <w:sz w:val="24"/>
          <w:szCs w:val="24"/>
        </w:rPr>
        <w:t>as a pun on his name or</w:t>
      </w:r>
      <w:r w:rsidR="006615FA">
        <w:rPr>
          <w:sz w:val="24"/>
          <w:szCs w:val="24"/>
        </w:rPr>
        <w:t xml:space="preserve"> if</w:t>
      </w:r>
      <w:r w:rsidR="00503054">
        <w:rPr>
          <w:sz w:val="24"/>
          <w:szCs w:val="24"/>
        </w:rPr>
        <w:t xml:space="preserve"> he was then bestowed with the nickname Arbiter</w:t>
      </w:r>
      <w:r w:rsidR="008A003B">
        <w:rPr>
          <w:sz w:val="24"/>
          <w:szCs w:val="24"/>
        </w:rPr>
        <w:t xml:space="preserve">, as the author’s name on the </w:t>
      </w:r>
      <w:r w:rsidR="008A003B" w:rsidRPr="002765F9">
        <w:rPr>
          <w:i/>
          <w:iCs/>
          <w:sz w:val="24"/>
          <w:szCs w:val="24"/>
        </w:rPr>
        <w:t>Satyricon</w:t>
      </w:r>
      <w:r w:rsidR="008A003B">
        <w:rPr>
          <w:sz w:val="24"/>
          <w:szCs w:val="24"/>
        </w:rPr>
        <w:t xml:space="preserve"> manuscript calls him Petronius Arbiter.</w:t>
      </w:r>
      <w:r w:rsidR="00EE1CFB">
        <w:rPr>
          <w:sz w:val="24"/>
          <w:szCs w:val="24"/>
        </w:rPr>
        <w:t xml:space="preserve"> He </w:t>
      </w:r>
      <w:r w:rsidR="00CD2063">
        <w:rPr>
          <w:sz w:val="24"/>
          <w:szCs w:val="24"/>
        </w:rPr>
        <w:t xml:space="preserve">was clearly a capable politician, as he was proconsul of Bithynia </w:t>
      </w:r>
      <w:r w:rsidR="00E1411A">
        <w:rPr>
          <w:sz w:val="24"/>
          <w:szCs w:val="24"/>
        </w:rPr>
        <w:t>before his appointment as</w:t>
      </w:r>
      <w:r w:rsidR="00EE4233">
        <w:rPr>
          <w:sz w:val="24"/>
          <w:szCs w:val="24"/>
        </w:rPr>
        <w:t xml:space="preserve"> con</w:t>
      </w:r>
      <w:r w:rsidR="00E1411A">
        <w:rPr>
          <w:sz w:val="24"/>
          <w:szCs w:val="24"/>
        </w:rPr>
        <w:t>s</w:t>
      </w:r>
      <w:r w:rsidR="00EE4233">
        <w:rPr>
          <w:sz w:val="24"/>
          <w:szCs w:val="24"/>
        </w:rPr>
        <w:t xml:space="preserve">ul </w:t>
      </w:r>
      <w:proofErr w:type="spellStart"/>
      <w:r w:rsidR="00E1411A">
        <w:rPr>
          <w:sz w:val="24"/>
          <w:szCs w:val="24"/>
        </w:rPr>
        <w:t>suffectus</w:t>
      </w:r>
      <w:proofErr w:type="spellEnd"/>
      <w:r w:rsidR="00C700BD">
        <w:rPr>
          <w:sz w:val="24"/>
          <w:szCs w:val="24"/>
        </w:rPr>
        <w:t>; Tacitus grudgingly admits that he was “</w:t>
      </w:r>
      <w:proofErr w:type="spellStart"/>
      <w:r w:rsidR="00C700BD">
        <w:rPr>
          <w:sz w:val="24"/>
          <w:szCs w:val="24"/>
        </w:rPr>
        <w:t>vigentem</w:t>
      </w:r>
      <w:proofErr w:type="spellEnd"/>
      <w:r w:rsidR="00C700BD">
        <w:rPr>
          <w:sz w:val="24"/>
          <w:szCs w:val="24"/>
        </w:rPr>
        <w:t xml:space="preserve">… ac </w:t>
      </w:r>
      <w:proofErr w:type="spellStart"/>
      <w:r w:rsidR="00C700BD">
        <w:rPr>
          <w:sz w:val="24"/>
          <w:szCs w:val="24"/>
        </w:rPr>
        <w:t>parem</w:t>
      </w:r>
      <w:proofErr w:type="spellEnd"/>
      <w:r w:rsidR="00C700BD">
        <w:rPr>
          <w:sz w:val="24"/>
          <w:szCs w:val="24"/>
        </w:rPr>
        <w:t xml:space="preserve"> </w:t>
      </w:r>
      <w:proofErr w:type="spellStart"/>
      <w:r w:rsidR="00C700BD">
        <w:rPr>
          <w:sz w:val="24"/>
          <w:szCs w:val="24"/>
        </w:rPr>
        <w:t>negotiis</w:t>
      </w:r>
      <w:proofErr w:type="spellEnd"/>
      <w:r w:rsidR="00C700BD">
        <w:rPr>
          <w:sz w:val="24"/>
          <w:szCs w:val="24"/>
        </w:rPr>
        <w:t>.”</w:t>
      </w:r>
      <w:r w:rsidR="00D76180">
        <w:rPr>
          <w:rStyle w:val="FootnoteReference"/>
          <w:sz w:val="24"/>
          <w:szCs w:val="24"/>
        </w:rPr>
        <w:footnoteReference w:id="3"/>
      </w:r>
      <w:r w:rsidR="00D76180">
        <w:rPr>
          <w:sz w:val="24"/>
          <w:szCs w:val="24"/>
        </w:rPr>
        <w:t xml:space="preserve"> Neither Pliny the Elder nor Tacitus refer to Petronius as a writer</w:t>
      </w:r>
      <w:r w:rsidR="00F3062C">
        <w:rPr>
          <w:sz w:val="24"/>
          <w:szCs w:val="24"/>
        </w:rPr>
        <w:t xml:space="preserve">, perhaps suggesting that </w:t>
      </w:r>
      <w:r w:rsidR="00120ED6">
        <w:rPr>
          <w:sz w:val="24"/>
          <w:szCs w:val="24"/>
        </w:rPr>
        <w:t xml:space="preserve">either his works were not well-known or </w:t>
      </w:r>
      <w:r w:rsidR="005F117A">
        <w:rPr>
          <w:sz w:val="24"/>
          <w:szCs w:val="24"/>
        </w:rPr>
        <w:t>regarded</w:t>
      </w:r>
      <w:r w:rsidR="00120ED6">
        <w:rPr>
          <w:sz w:val="24"/>
          <w:szCs w:val="24"/>
        </w:rPr>
        <w:t xml:space="preserve"> highly, or that he </w:t>
      </w:r>
      <w:r w:rsidR="008C6789">
        <w:rPr>
          <w:sz w:val="24"/>
          <w:szCs w:val="24"/>
        </w:rPr>
        <w:t xml:space="preserve">may not have composed many works. The </w:t>
      </w:r>
      <w:r w:rsidR="008C6789" w:rsidRPr="002765F9">
        <w:rPr>
          <w:i/>
          <w:iCs/>
          <w:sz w:val="24"/>
          <w:szCs w:val="24"/>
        </w:rPr>
        <w:t>Satyricon</w:t>
      </w:r>
      <w:r w:rsidR="008C6789">
        <w:rPr>
          <w:sz w:val="24"/>
          <w:szCs w:val="24"/>
        </w:rPr>
        <w:t xml:space="preserve"> itself is difficult to grasp due to its fragmentary state</w:t>
      </w:r>
      <w:r w:rsidR="00DB7D5F">
        <w:rPr>
          <w:sz w:val="24"/>
          <w:szCs w:val="24"/>
        </w:rPr>
        <w:t xml:space="preserve">, with the episode at Trimalchio’s house </w:t>
      </w:r>
      <w:r w:rsidR="00E31C08">
        <w:rPr>
          <w:sz w:val="24"/>
          <w:szCs w:val="24"/>
        </w:rPr>
        <w:t>being the only episode to mostly survive. One source states that this portion is from Books XIV – XVI, highlighting how much of the work has not survived and the</w:t>
      </w:r>
      <w:r w:rsidR="004C1407">
        <w:rPr>
          <w:sz w:val="24"/>
          <w:szCs w:val="24"/>
        </w:rPr>
        <w:t xml:space="preserve"> </w:t>
      </w:r>
      <w:r w:rsidR="00E31C08">
        <w:rPr>
          <w:sz w:val="24"/>
          <w:szCs w:val="24"/>
        </w:rPr>
        <w:t>subse</w:t>
      </w:r>
      <w:r w:rsidR="004C1407">
        <w:rPr>
          <w:sz w:val="24"/>
          <w:szCs w:val="24"/>
        </w:rPr>
        <w:t xml:space="preserve">quent difficulty in placing the </w:t>
      </w:r>
      <w:r w:rsidR="004C1407" w:rsidRPr="004C1407">
        <w:rPr>
          <w:i/>
          <w:iCs/>
          <w:sz w:val="24"/>
          <w:szCs w:val="24"/>
        </w:rPr>
        <w:t xml:space="preserve">Cena </w:t>
      </w:r>
      <w:proofErr w:type="spellStart"/>
      <w:r w:rsidR="004C1407" w:rsidRPr="004C1407">
        <w:rPr>
          <w:i/>
          <w:iCs/>
          <w:sz w:val="24"/>
          <w:szCs w:val="24"/>
        </w:rPr>
        <w:t>Trimalchionis</w:t>
      </w:r>
      <w:proofErr w:type="spellEnd"/>
      <w:r w:rsidR="004C1407">
        <w:rPr>
          <w:sz w:val="24"/>
          <w:szCs w:val="24"/>
        </w:rPr>
        <w:t xml:space="preserve"> episode within the full work. </w:t>
      </w:r>
      <w:r w:rsidR="00C531F5">
        <w:rPr>
          <w:sz w:val="24"/>
          <w:szCs w:val="24"/>
        </w:rPr>
        <w:t xml:space="preserve">This section of the text occurs during the dinner at Trimalchio’s house. Just prior to section 49, </w:t>
      </w:r>
      <w:r w:rsidR="005D3411">
        <w:rPr>
          <w:sz w:val="24"/>
          <w:szCs w:val="24"/>
        </w:rPr>
        <w:t>there has been some gossip between the guests whilst Trimalchio had absented himself from the dining room</w:t>
      </w:r>
      <w:r w:rsidR="006505FC">
        <w:rPr>
          <w:sz w:val="24"/>
          <w:szCs w:val="24"/>
        </w:rPr>
        <w:t xml:space="preserve"> to relieve himself. Trimalchio returned </w:t>
      </w:r>
      <w:r w:rsidR="00E00B1A">
        <w:rPr>
          <w:sz w:val="24"/>
          <w:szCs w:val="24"/>
        </w:rPr>
        <w:t>to the dining room,</w:t>
      </w:r>
      <w:r w:rsidR="002E24E1">
        <w:rPr>
          <w:sz w:val="24"/>
          <w:szCs w:val="24"/>
        </w:rPr>
        <w:t xml:space="preserve"> </w:t>
      </w:r>
      <w:r w:rsidR="00E00B1A">
        <w:rPr>
          <w:sz w:val="24"/>
          <w:szCs w:val="24"/>
        </w:rPr>
        <w:t>lecturing on the importance of bodily functions to the assembled guests</w:t>
      </w:r>
      <w:r w:rsidR="002E24E1">
        <w:rPr>
          <w:sz w:val="24"/>
          <w:szCs w:val="24"/>
        </w:rPr>
        <w:t xml:space="preserve">, </w:t>
      </w:r>
      <w:r w:rsidR="00966440">
        <w:rPr>
          <w:sz w:val="24"/>
          <w:szCs w:val="24"/>
        </w:rPr>
        <w:t>before</w:t>
      </w:r>
      <w:r w:rsidR="002E24E1">
        <w:rPr>
          <w:sz w:val="24"/>
          <w:szCs w:val="24"/>
        </w:rPr>
        <w:t xml:space="preserve"> three living pigs </w:t>
      </w:r>
      <w:r w:rsidR="00966440">
        <w:rPr>
          <w:sz w:val="24"/>
          <w:szCs w:val="24"/>
        </w:rPr>
        <w:t>were</w:t>
      </w:r>
      <w:r w:rsidR="002E24E1">
        <w:rPr>
          <w:sz w:val="24"/>
          <w:szCs w:val="24"/>
        </w:rPr>
        <w:t xml:space="preserve"> brought into the dining room</w:t>
      </w:r>
      <w:r w:rsidR="000C2266">
        <w:rPr>
          <w:sz w:val="24"/>
          <w:szCs w:val="24"/>
        </w:rPr>
        <w:t xml:space="preserve">, in theory for the guests to choose which to have for dinner. </w:t>
      </w:r>
      <w:r w:rsidR="00054854">
        <w:rPr>
          <w:sz w:val="24"/>
          <w:szCs w:val="24"/>
        </w:rPr>
        <w:t xml:space="preserve">When the pigs are led out, Trimalchio enquires about </w:t>
      </w:r>
      <w:r w:rsidR="00B24847">
        <w:rPr>
          <w:sz w:val="24"/>
          <w:szCs w:val="24"/>
        </w:rPr>
        <w:t xml:space="preserve">Agamemnon’s rhetorical teaching that day and </w:t>
      </w:r>
      <w:r w:rsidR="0088326D">
        <w:rPr>
          <w:sz w:val="24"/>
          <w:szCs w:val="24"/>
        </w:rPr>
        <w:t xml:space="preserve">then asks whether </w:t>
      </w:r>
      <w:r w:rsidR="00D412B1">
        <w:rPr>
          <w:sz w:val="24"/>
          <w:szCs w:val="24"/>
        </w:rPr>
        <w:t>he knows about different myths</w:t>
      </w:r>
      <w:r w:rsidR="00C927A8">
        <w:rPr>
          <w:sz w:val="24"/>
          <w:szCs w:val="24"/>
        </w:rPr>
        <w:t>,</w:t>
      </w:r>
      <w:r w:rsidR="00D412B1">
        <w:rPr>
          <w:sz w:val="24"/>
          <w:szCs w:val="24"/>
        </w:rPr>
        <w:t xml:space="preserve"> of which he gets the details wrong. </w:t>
      </w:r>
    </w:p>
    <w:p w14:paraId="6FF0EBEE" w14:textId="77777777" w:rsidR="00B65A2D" w:rsidRDefault="00B65A2D" w:rsidP="004F4C7D">
      <w:pPr>
        <w:jc w:val="both"/>
        <w:rPr>
          <w:sz w:val="24"/>
          <w:szCs w:val="24"/>
        </w:rPr>
      </w:pPr>
    </w:p>
    <w:p w14:paraId="2C2CF274" w14:textId="111C80C2" w:rsidR="00D412B1" w:rsidRDefault="00967DCC" w:rsidP="004F4C7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section begins with </w:t>
      </w:r>
      <w:r w:rsidR="00865D1E">
        <w:rPr>
          <w:sz w:val="24"/>
          <w:szCs w:val="24"/>
        </w:rPr>
        <w:t xml:space="preserve">Encolpius’ </w:t>
      </w:r>
      <w:r w:rsidR="006E1061">
        <w:rPr>
          <w:sz w:val="24"/>
          <w:szCs w:val="24"/>
        </w:rPr>
        <w:t xml:space="preserve">pithy observation about the quality </w:t>
      </w:r>
      <w:r w:rsidR="00D94115">
        <w:rPr>
          <w:sz w:val="24"/>
          <w:szCs w:val="24"/>
        </w:rPr>
        <w:t xml:space="preserve">and refinement </w:t>
      </w:r>
      <w:r w:rsidR="006E1061">
        <w:rPr>
          <w:sz w:val="24"/>
          <w:szCs w:val="24"/>
        </w:rPr>
        <w:t xml:space="preserve">of Trimalchio’s </w:t>
      </w:r>
      <w:r w:rsidR="00D94115">
        <w:rPr>
          <w:sz w:val="24"/>
          <w:szCs w:val="24"/>
        </w:rPr>
        <w:t>dinner conversation so far</w:t>
      </w:r>
      <w:r w:rsidR="00527117">
        <w:rPr>
          <w:sz w:val="24"/>
          <w:szCs w:val="24"/>
        </w:rPr>
        <w:t>, “</w:t>
      </w:r>
      <w:proofErr w:type="spellStart"/>
      <w:r w:rsidR="00527117">
        <w:rPr>
          <w:sz w:val="24"/>
          <w:szCs w:val="24"/>
        </w:rPr>
        <w:t>nondum</w:t>
      </w:r>
      <w:proofErr w:type="spellEnd"/>
      <w:r w:rsidR="00527117">
        <w:rPr>
          <w:sz w:val="24"/>
          <w:szCs w:val="24"/>
        </w:rPr>
        <w:t xml:space="preserve"> </w:t>
      </w:r>
      <w:proofErr w:type="spellStart"/>
      <w:r w:rsidR="00527117">
        <w:rPr>
          <w:sz w:val="24"/>
          <w:szCs w:val="24"/>
        </w:rPr>
        <w:t>efflaverat</w:t>
      </w:r>
      <w:proofErr w:type="spellEnd"/>
      <w:r w:rsidR="00527117">
        <w:rPr>
          <w:sz w:val="24"/>
          <w:szCs w:val="24"/>
        </w:rPr>
        <w:t xml:space="preserve"> omnia”. The placement of “</w:t>
      </w:r>
      <w:proofErr w:type="spellStart"/>
      <w:r w:rsidR="00527117">
        <w:rPr>
          <w:sz w:val="24"/>
          <w:szCs w:val="24"/>
        </w:rPr>
        <w:t>nomdum</w:t>
      </w:r>
      <w:proofErr w:type="spellEnd"/>
      <w:r w:rsidR="00527117">
        <w:rPr>
          <w:sz w:val="24"/>
          <w:szCs w:val="24"/>
        </w:rPr>
        <w:t>” at the beginning of the clause succinctly gives the impression of Trimalchio droning on and dominating discussions</w:t>
      </w:r>
      <w:r w:rsidR="00EC0DC3">
        <w:rPr>
          <w:sz w:val="24"/>
          <w:szCs w:val="24"/>
        </w:rPr>
        <w:t xml:space="preserve">; this echoes his earlier use of </w:t>
      </w:r>
      <w:r w:rsidR="00CD3E83">
        <w:rPr>
          <w:sz w:val="24"/>
          <w:szCs w:val="24"/>
        </w:rPr>
        <w:t>“</w:t>
      </w:r>
      <w:proofErr w:type="spellStart"/>
      <w:r w:rsidR="00CD3E83">
        <w:rPr>
          <w:sz w:val="24"/>
          <w:szCs w:val="24"/>
        </w:rPr>
        <w:t>n</w:t>
      </w:r>
      <w:r w:rsidR="00CD3E83" w:rsidRPr="00CD3E83">
        <w:rPr>
          <w:sz w:val="24"/>
          <w:szCs w:val="24"/>
        </w:rPr>
        <w:t>os</w:t>
      </w:r>
      <w:proofErr w:type="spellEnd"/>
      <w:r w:rsidR="00CD3E83" w:rsidRPr="00CD3E83">
        <w:rPr>
          <w:sz w:val="24"/>
          <w:szCs w:val="24"/>
        </w:rPr>
        <w:t xml:space="preserve"> </w:t>
      </w:r>
      <w:proofErr w:type="spellStart"/>
      <w:r w:rsidR="00CD3E83" w:rsidRPr="00CD3E83">
        <w:rPr>
          <w:sz w:val="24"/>
          <w:szCs w:val="24"/>
        </w:rPr>
        <w:t>libertatem</w:t>
      </w:r>
      <w:proofErr w:type="spellEnd"/>
      <w:r w:rsidR="00CD3E83" w:rsidRPr="00CD3E83">
        <w:rPr>
          <w:sz w:val="24"/>
          <w:szCs w:val="24"/>
        </w:rPr>
        <w:t xml:space="preserve"> sine </w:t>
      </w:r>
      <w:proofErr w:type="spellStart"/>
      <w:r w:rsidR="00CD3E83" w:rsidRPr="00CD3E83">
        <w:rPr>
          <w:sz w:val="24"/>
          <w:szCs w:val="24"/>
        </w:rPr>
        <w:t>tyranno</w:t>
      </w:r>
      <w:proofErr w:type="spellEnd"/>
      <w:r w:rsidR="00CD3E83" w:rsidRPr="00CD3E83">
        <w:rPr>
          <w:sz w:val="24"/>
          <w:szCs w:val="24"/>
        </w:rPr>
        <w:t xml:space="preserve"> </w:t>
      </w:r>
      <w:proofErr w:type="spellStart"/>
      <w:r w:rsidR="00CD3E83" w:rsidRPr="00CD3E83">
        <w:rPr>
          <w:sz w:val="24"/>
          <w:szCs w:val="24"/>
        </w:rPr>
        <w:t>nacti</w:t>
      </w:r>
      <w:proofErr w:type="spellEnd"/>
      <w:r w:rsidR="00E119B9">
        <w:rPr>
          <w:sz w:val="24"/>
          <w:szCs w:val="24"/>
        </w:rPr>
        <w:t>”</w:t>
      </w:r>
      <w:r w:rsidR="00E119B9">
        <w:rPr>
          <w:rStyle w:val="FootnoteReference"/>
          <w:sz w:val="24"/>
          <w:szCs w:val="24"/>
        </w:rPr>
        <w:footnoteReference w:id="4"/>
      </w:r>
      <w:r w:rsidR="00E119B9">
        <w:rPr>
          <w:sz w:val="24"/>
          <w:szCs w:val="24"/>
        </w:rPr>
        <w:t xml:space="preserve"> when Trimalchio left the dining room </w:t>
      </w:r>
      <w:r w:rsidR="003C0CD6">
        <w:rPr>
          <w:sz w:val="24"/>
          <w:szCs w:val="24"/>
        </w:rPr>
        <w:t>previously</w:t>
      </w:r>
      <w:r w:rsidR="00E119B9">
        <w:rPr>
          <w:sz w:val="24"/>
          <w:szCs w:val="24"/>
        </w:rPr>
        <w:t>.</w:t>
      </w:r>
      <w:r w:rsidR="008A4D59">
        <w:rPr>
          <w:sz w:val="24"/>
          <w:szCs w:val="24"/>
        </w:rPr>
        <w:t xml:space="preserve"> </w:t>
      </w:r>
      <w:r w:rsidR="00E119B9">
        <w:rPr>
          <w:sz w:val="24"/>
          <w:szCs w:val="24"/>
        </w:rPr>
        <w:t xml:space="preserve"> </w:t>
      </w:r>
      <w:r w:rsidR="00A46433">
        <w:rPr>
          <w:sz w:val="24"/>
          <w:szCs w:val="24"/>
        </w:rPr>
        <w:t>“</w:t>
      </w:r>
      <w:proofErr w:type="spellStart"/>
      <w:r w:rsidR="00A46433">
        <w:rPr>
          <w:sz w:val="24"/>
          <w:szCs w:val="24"/>
        </w:rPr>
        <w:t>nondum</w:t>
      </w:r>
      <w:proofErr w:type="spellEnd"/>
      <w:r w:rsidR="00A46433">
        <w:rPr>
          <w:sz w:val="24"/>
          <w:szCs w:val="24"/>
        </w:rPr>
        <w:t>” here</w:t>
      </w:r>
      <w:r w:rsidR="00CB1428">
        <w:rPr>
          <w:sz w:val="24"/>
          <w:szCs w:val="24"/>
        </w:rPr>
        <w:t xml:space="preserve"> emphasises to Encolpius’ (and Petronius’) audience that </w:t>
      </w:r>
      <w:r w:rsidR="00176CB4">
        <w:rPr>
          <w:sz w:val="24"/>
          <w:szCs w:val="24"/>
        </w:rPr>
        <w:t>he at least is rather bored with Trimalchio’s ongoing dinner conversations and suggests that they are</w:t>
      </w:r>
      <w:r w:rsidR="0024775D">
        <w:rPr>
          <w:sz w:val="24"/>
          <w:szCs w:val="24"/>
        </w:rPr>
        <w:t xml:space="preserve"> lengthy. This is further enhanced by his use of </w:t>
      </w:r>
      <w:r w:rsidR="00F61390">
        <w:rPr>
          <w:sz w:val="24"/>
          <w:szCs w:val="24"/>
        </w:rPr>
        <w:t>“</w:t>
      </w:r>
      <w:proofErr w:type="spellStart"/>
      <w:r w:rsidR="00F61390">
        <w:rPr>
          <w:sz w:val="24"/>
          <w:szCs w:val="24"/>
        </w:rPr>
        <w:t>efflaverat</w:t>
      </w:r>
      <w:proofErr w:type="spellEnd"/>
      <w:r w:rsidR="00F61390">
        <w:rPr>
          <w:sz w:val="24"/>
          <w:szCs w:val="24"/>
        </w:rPr>
        <w:t xml:space="preserve"> omnia” afterwards. </w:t>
      </w:r>
      <w:r w:rsidR="009F73A6">
        <w:rPr>
          <w:sz w:val="24"/>
          <w:szCs w:val="24"/>
        </w:rPr>
        <w:t>Petronius’</w:t>
      </w:r>
      <w:r w:rsidR="00E22D0B">
        <w:rPr>
          <w:sz w:val="24"/>
          <w:szCs w:val="24"/>
        </w:rPr>
        <w:t xml:space="preserve"> use of “</w:t>
      </w:r>
      <w:proofErr w:type="spellStart"/>
      <w:r w:rsidR="00E22D0B">
        <w:rPr>
          <w:sz w:val="24"/>
          <w:szCs w:val="24"/>
        </w:rPr>
        <w:t>efflaverat</w:t>
      </w:r>
      <w:proofErr w:type="spellEnd"/>
      <w:r w:rsidR="00B30F56">
        <w:rPr>
          <w:sz w:val="24"/>
          <w:szCs w:val="24"/>
        </w:rPr>
        <w:t>”</w:t>
      </w:r>
      <w:r w:rsidR="00EF773E">
        <w:rPr>
          <w:sz w:val="24"/>
          <w:szCs w:val="24"/>
        </w:rPr>
        <w:t xml:space="preserve"> highlights this idea that Trimalchio is huffing out hot air when talking</w:t>
      </w:r>
      <w:r w:rsidR="009F73A6">
        <w:rPr>
          <w:sz w:val="24"/>
          <w:szCs w:val="24"/>
        </w:rPr>
        <w:t>;</w:t>
      </w:r>
      <w:r w:rsidR="00605920">
        <w:rPr>
          <w:sz w:val="24"/>
          <w:szCs w:val="24"/>
        </w:rPr>
        <w:t xml:space="preserve"> </w:t>
      </w:r>
      <w:r w:rsidR="009F73A6">
        <w:rPr>
          <w:sz w:val="24"/>
          <w:szCs w:val="24"/>
        </w:rPr>
        <w:t>t</w:t>
      </w:r>
      <w:r w:rsidR="000C554A">
        <w:rPr>
          <w:sz w:val="24"/>
          <w:szCs w:val="24"/>
        </w:rPr>
        <w:t>he most common definition of ‘</w:t>
      </w:r>
      <w:proofErr w:type="spellStart"/>
      <w:r w:rsidR="000C554A">
        <w:rPr>
          <w:sz w:val="24"/>
          <w:szCs w:val="24"/>
        </w:rPr>
        <w:t>effla</w:t>
      </w:r>
      <w:r w:rsidR="00651A61">
        <w:rPr>
          <w:sz w:val="24"/>
          <w:szCs w:val="24"/>
        </w:rPr>
        <w:t>r</w:t>
      </w:r>
      <w:r w:rsidR="000C554A">
        <w:rPr>
          <w:sz w:val="24"/>
          <w:szCs w:val="24"/>
        </w:rPr>
        <w:t>e</w:t>
      </w:r>
      <w:proofErr w:type="spellEnd"/>
      <w:r w:rsidR="000C554A">
        <w:rPr>
          <w:sz w:val="24"/>
          <w:szCs w:val="24"/>
        </w:rPr>
        <w:t>’ is to blow out or to breathe out</w:t>
      </w:r>
      <w:r w:rsidR="00A340CF">
        <w:rPr>
          <w:rStyle w:val="FootnoteReference"/>
          <w:sz w:val="24"/>
          <w:szCs w:val="24"/>
        </w:rPr>
        <w:footnoteReference w:id="5"/>
      </w:r>
      <w:r w:rsidR="009F73A6">
        <w:rPr>
          <w:sz w:val="24"/>
          <w:szCs w:val="24"/>
        </w:rPr>
        <w:t>.</w:t>
      </w:r>
      <w:r w:rsidR="00FF1493">
        <w:rPr>
          <w:sz w:val="24"/>
          <w:szCs w:val="24"/>
        </w:rPr>
        <w:t xml:space="preserve"> </w:t>
      </w:r>
      <w:r w:rsidR="009F73A6">
        <w:rPr>
          <w:sz w:val="24"/>
          <w:szCs w:val="24"/>
        </w:rPr>
        <w:t>H</w:t>
      </w:r>
      <w:r w:rsidR="00904330">
        <w:rPr>
          <w:sz w:val="24"/>
          <w:szCs w:val="24"/>
        </w:rPr>
        <w:t>owever</w:t>
      </w:r>
      <w:r w:rsidR="00651A61">
        <w:rPr>
          <w:sz w:val="24"/>
          <w:szCs w:val="24"/>
        </w:rPr>
        <w:t xml:space="preserve">, as Smith notes, </w:t>
      </w:r>
      <w:r w:rsidR="002D5B28">
        <w:rPr>
          <w:sz w:val="24"/>
          <w:szCs w:val="24"/>
        </w:rPr>
        <w:t xml:space="preserve">it is not a verb that is found </w:t>
      </w:r>
      <w:r w:rsidR="002D5B28">
        <w:rPr>
          <w:sz w:val="24"/>
          <w:szCs w:val="24"/>
        </w:rPr>
        <w:lastRenderedPageBreak/>
        <w:t>elsewhere in Latin with the sense of puffing out air whilst talking</w:t>
      </w:r>
      <w:r w:rsidR="003F2FC1">
        <w:rPr>
          <w:sz w:val="24"/>
          <w:szCs w:val="24"/>
        </w:rPr>
        <w:t xml:space="preserve"> </w:t>
      </w:r>
      <w:r w:rsidR="00651A61">
        <w:rPr>
          <w:sz w:val="24"/>
          <w:szCs w:val="24"/>
        </w:rPr>
        <w:t>(Smith, 1975, p. 132)</w:t>
      </w:r>
      <w:r w:rsidR="003F2FC1">
        <w:rPr>
          <w:sz w:val="24"/>
          <w:szCs w:val="24"/>
        </w:rPr>
        <w:t xml:space="preserve">. As he states, it is presumably </w:t>
      </w:r>
      <w:r w:rsidR="00710D1B">
        <w:rPr>
          <w:sz w:val="24"/>
          <w:szCs w:val="24"/>
        </w:rPr>
        <w:t xml:space="preserve">a colloquial use </w:t>
      </w:r>
      <w:proofErr w:type="gramStart"/>
      <w:r w:rsidR="00710D1B">
        <w:rPr>
          <w:sz w:val="24"/>
          <w:szCs w:val="24"/>
        </w:rPr>
        <w:t>and also</w:t>
      </w:r>
      <w:proofErr w:type="gramEnd"/>
      <w:r w:rsidR="00710D1B">
        <w:rPr>
          <w:sz w:val="24"/>
          <w:szCs w:val="24"/>
        </w:rPr>
        <w:t xml:space="preserve"> deftly offers the audience the impression that Trimalchio was continuing to talk nonsense. The addition of “omnia” at the end of the clause </w:t>
      </w:r>
      <w:r w:rsidR="00581F68">
        <w:rPr>
          <w:sz w:val="24"/>
          <w:szCs w:val="24"/>
        </w:rPr>
        <w:t>serves to reinforce th</w:t>
      </w:r>
      <w:r w:rsidR="009F73A6">
        <w:rPr>
          <w:sz w:val="24"/>
          <w:szCs w:val="24"/>
        </w:rPr>
        <w:t>e</w:t>
      </w:r>
      <w:r w:rsidR="00581F68">
        <w:rPr>
          <w:sz w:val="24"/>
          <w:szCs w:val="24"/>
        </w:rPr>
        <w:t xml:space="preserve"> impression of Trimalchio discussing everything</w:t>
      </w:r>
      <w:r w:rsidR="003F721D">
        <w:rPr>
          <w:sz w:val="24"/>
          <w:szCs w:val="24"/>
        </w:rPr>
        <w:t xml:space="preserve">, but not necessarily accurately or in depth. </w:t>
      </w:r>
      <w:r w:rsidR="009F73A6">
        <w:rPr>
          <w:sz w:val="24"/>
          <w:szCs w:val="24"/>
        </w:rPr>
        <w:t>Petronius</w:t>
      </w:r>
      <w:r w:rsidR="00F91669">
        <w:rPr>
          <w:sz w:val="24"/>
          <w:szCs w:val="24"/>
        </w:rPr>
        <w:t xml:space="preserve"> begins the next sentence with “</w:t>
      </w:r>
      <w:proofErr w:type="spellStart"/>
      <w:r w:rsidR="00F91669">
        <w:rPr>
          <w:sz w:val="24"/>
          <w:szCs w:val="24"/>
        </w:rPr>
        <w:t>mirari</w:t>
      </w:r>
      <w:proofErr w:type="spellEnd"/>
      <w:r w:rsidR="00F91669">
        <w:rPr>
          <w:sz w:val="24"/>
          <w:szCs w:val="24"/>
        </w:rPr>
        <w:t xml:space="preserve">”; by promoting this to the beginning of the sentence he quickly indicates to his audience that </w:t>
      </w:r>
      <w:r w:rsidR="000F2AD8">
        <w:rPr>
          <w:sz w:val="24"/>
          <w:szCs w:val="24"/>
        </w:rPr>
        <w:t xml:space="preserve">Trimalchio is about to </w:t>
      </w:r>
      <w:r w:rsidR="005B643A">
        <w:rPr>
          <w:sz w:val="24"/>
          <w:szCs w:val="24"/>
        </w:rPr>
        <w:t xml:space="preserve">show another witticism to impress his guests, as every time that Encolpius marvels at something, there is another indication of Trimalchio’s wealth, either through decoration or through an event. </w:t>
      </w:r>
      <w:r w:rsidR="00FE7663">
        <w:rPr>
          <w:sz w:val="24"/>
          <w:szCs w:val="24"/>
        </w:rPr>
        <w:t xml:space="preserve">Petronius highlights to his audience Encolpius’ gullibility by </w:t>
      </w:r>
      <w:r w:rsidR="00C32AF0">
        <w:rPr>
          <w:sz w:val="24"/>
          <w:szCs w:val="24"/>
        </w:rPr>
        <w:t>continually emphasising the speed at which the pig must have cooked, using “</w:t>
      </w:r>
      <w:proofErr w:type="spellStart"/>
      <w:r w:rsidR="00C32AF0">
        <w:rPr>
          <w:sz w:val="24"/>
          <w:szCs w:val="24"/>
        </w:rPr>
        <w:t>celeritatem</w:t>
      </w:r>
      <w:proofErr w:type="spellEnd"/>
      <w:r w:rsidR="00C32AF0">
        <w:rPr>
          <w:sz w:val="24"/>
          <w:szCs w:val="24"/>
        </w:rPr>
        <w:t>”</w:t>
      </w:r>
      <w:r w:rsidR="00514809">
        <w:rPr>
          <w:sz w:val="24"/>
          <w:szCs w:val="24"/>
        </w:rPr>
        <w:t xml:space="preserve">, </w:t>
      </w:r>
      <w:r w:rsidR="00C32AF0">
        <w:rPr>
          <w:sz w:val="24"/>
          <w:szCs w:val="24"/>
        </w:rPr>
        <w:t>“tam cito”</w:t>
      </w:r>
      <w:r w:rsidR="00514809">
        <w:rPr>
          <w:sz w:val="24"/>
          <w:szCs w:val="24"/>
        </w:rPr>
        <w:t xml:space="preserve"> and “</w:t>
      </w:r>
      <w:proofErr w:type="spellStart"/>
      <w:r w:rsidR="00514809">
        <w:rPr>
          <w:sz w:val="24"/>
          <w:szCs w:val="24"/>
        </w:rPr>
        <w:t>percoqui</w:t>
      </w:r>
      <w:proofErr w:type="spellEnd"/>
      <w:r w:rsidR="00514809">
        <w:rPr>
          <w:sz w:val="24"/>
          <w:szCs w:val="24"/>
        </w:rPr>
        <w:t xml:space="preserve">” </w:t>
      </w:r>
      <w:r w:rsidR="002107E4">
        <w:rPr>
          <w:sz w:val="24"/>
          <w:szCs w:val="24"/>
        </w:rPr>
        <w:t xml:space="preserve">in the next line. </w:t>
      </w:r>
      <w:r w:rsidR="005F6A8A">
        <w:rPr>
          <w:sz w:val="24"/>
          <w:szCs w:val="24"/>
        </w:rPr>
        <w:t xml:space="preserve">The fact that Encolpius immediately believes that this is the same pig that the </w:t>
      </w:r>
      <w:r w:rsidR="00264453">
        <w:rPr>
          <w:sz w:val="24"/>
          <w:szCs w:val="24"/>
        </w:rPr>
        <w:t>guests had picked out minutes earl</w:t>
      </w:r>
      <w:r w:rsidR="004D44C6">
        <w:rPr>
          <w:sz w:val="24"/>
          <w:szCs w:val="24"/>
        </w:rPr>
        <w:t xml:space="preserve">ier also highlights his </w:t>
      </w:r>
      <w:r w:rsidR="004F32AD">
        <w:rPr>
          <w:sz w:val="24"/>
          <w:szCs w:val="24"/>
        </w:rPr>
        <w:t xml:space="preserve">lack of critical thinking and naivete, especially </w:t>
      </w:r>
      <w:proofErr w:type="gramStart"/>
      <w:r w:rsidR="004F32AD">
        <w:rPr>
          <w:sz w:val="24"/>
          <w:szCs w:val="24"/>
        </w:rPr>
        <w:t>in light of</w:t>
      </w:r>
      <w:proofErr w:type="gramEnd"/>
      <w:r w:rsidR="004F32AD">
        <w:rPr>
          <w:sz w:val="24"/>
          <w:szCs w:val="24"/>
        </w:rPr>
        <w:t xml:space="preserve"> the traps he has already fallen into at Trimalchio’s dinner. </w:t>
      </w:r>
      <w:r w:rsidR="007B201F">
        <w:rPr>
          <w:sz w:val="24"/>
          <w:szCs w:val="24"/>
        </w:rPr>
        <w:t>As this section</w:t>
      </w:r>
      <w:r w:rsidR="00C417FC">
        <w:rPr>
          <w:sz w:val="24"/>
          <w:szCs w:val="24"/>
        </w:rPr>
        <w:t xml:space="preserve"> </w:t>
      </w:r>
      <w:r w:rsidR="007B201F">
        <w:rPr>
          <w:sz w:val="24"/>
          <w:szCs w:val="24"/>
        </w:rPr>
        <w:t>of Petronius’ narration continues, i</w:t>
      </w:r>
      <w:r w:rsidR="008F6426">
        <w:rPr>
          <w:sz w:val="24"/>
          <w:szCs w:val="24"/>
        </w:rPr>
        <w:t xml:space="preserve">t becomes more apparent to the audience that </w:t>
      </w:r>
      <w:r w:rsidR="009561A6">
        <w:rPr>
          <w:sz w:val="24"/>
          <w:szCs w:val="24"/>
        </w:rPr>
        <w:t>they should judge Encolpius</w:t>
      </w:r>
      <w:r w:rsidR="006D5760">
        <w:rPr>
          <w:sz w:val="24"/>
          <w:szCs w:val="24"/>
        </w:rPr>
        <w:t xml:space="preserve">’ intelligence in a similar manner to </w:t>
      </w:r>
      <w:r w:rsidR="00E96702">
        <w:rPr>
          <w:sz w:val="24"/>
          <w:szCs w:val="24"/>
        </w:rPr>
        <w:t xml:space="preserve">how Encolpius judges Trimalchio’s. </w:t>
      </w:r>
      <w:r w:rsidR="00FC2883">
        <w:rPr>
          <w:sz w:val="24"/>
          <w:szCs w:val="24"/>
        </w:rPr>
        <w:t xml:space="preserve">Cameron notes that </w:t>
      </w:r>
      <w:r w:rsidR="003F0782">
        <w:rPr>
          <w:sz w:val="24"/>
          <w:szCs w:val="24"/>
        </w:rPr>
        <w:t>“role</w:t>
      </w:r>
      <w:r w:rsidR="00492144">
        <w:rPr>
          <w:sz w:val="24"/>
          <w:szCs w:val="24"/>
        </w:rPr>
        <w:t>-</w:t>
      </w:r>
      <w:r w:rsidR="00192320">
        <w:rPr>
          <w:sz w:val="24"/>
          <w:szCs w:val="24"/>
        </w:rPr>
        <w:t xml:space="preserve">playing, </w:t>
      </w:r>
      <w:r w:rsidR="008228E4">
        <w:rPr>
          <w:sz w:val="24"/>
          <w:szCs w:val="24"/>
        </w:rPr>
        <w:t xml:space="preserve">disguise </w:t>
      </w:r>
      <w:r w:rsidR="0080070A">
        <w:rPr>
          <w:sz w:val="24"/>
          <w:szCs w:val="24"/>
        </w:rPr>
        <w:t xml:space="preserve">and metamorphosis </w:t>
      </w:r>
      <w:r w:rsidR="0045777D">
        <w:rPr>
          <w:sz w:val="24"/>
          <w:szCs w:val="24"/>
        </w:rPr>
        <w:t>are among its [</w:t>
      </w:r>
      <w:r w:rsidR="0045777D" w:rsidRPr="00FC65F0">
        <w:rPr>
          <w:i/>
          <w:iCs/>
          <w:sz w:val="24"/>
          <w:szCs w:val="24"/>
        </w:rPr>
        <w:t>Satyricon</w:t>
      </w:r>
      <w:r w:rsidR="0045777D">
        <w:rPr>
          <w:sz w:val="24"/>
          <w:szCs w:val="24"/>
        </w:rPr>
        <w:t>]</w:t>
      </w:r>
      <w:r w:rsidR="00BF07DE">
        <w:rPr>
          <w:sz w:val="24"/>
          <w:szCs w:val="24"/>
        </w:rPr>
        <w:t xml:space="preserve"> chief preoccupations.”</w:t>
      </w:r>
      <w:r w:rsidR="00966C8E">
        <w:rPr>
          <w:sz w:val="24"/>
          <w:szCs w:val="24"/>
        </w:rPr>
        <w:t xml:space="preserve"> (Cameron, </w:t>
      </w:r>
      <w:r w:rsidR="006F73C2">
        <w:rPr>
          <w:sz w:val="24"/>
          <w:szCs w:val="24"/>
        </w:rPr>
        <w:t>1969, p.</w:t>
      </w:r>
      <w:r w:rsidR="00067175">
        <w:rPr>
          <w:sz w:val="24"/>
          <w:szCs w:val="24"/>
        </w:rPr>
        <w:t xml:space="preserve"> 369</w:t>
      </w:r>
      <w:r w:rsidR="006F73C2">
        <w:rPr>
          <w:sz w:val="24"/>
          <w:szCs w:val="24"/>
        </w:rPr>
        <w:t xml:space="preserve">) </w:t>
      </w:r>
      <w:r w:rsidR="00FE0D98">
        <w:rPr>
          <w:sz w:val="24"/>
          <w:szCs w:val="24"/>
        </w:rPr>
        <w:t xml:space="preserve">and </w:t>
      </w:r>
      <w:r w:rsidR="00B719A8">
        <w:rPr>
          <w:sz w:val="24"/>
          <w:szCs w:val="24"/>
        </w:rPr>
        <w:t xml:space="preserve">Petronius continues this metamorphosis </w:t>
      </w:r>
      <w:r w:rsidR="00162AAD">
        <w:rPr>
          <w:sz w:val="24"/>
          <w:szCs w:val="24"/>
        </w:rPr>
        <w:t xml:space="preserve">of </w:t>
      </w:r>
      <w:r w:rsidR="00350A10">
        <w:rPr>
          <w:sz w:val="24"/>
          <w:szCs w:val="24"/>
        </w:rPr>
        <w:t>gullibility into ignorance</w:t>
      </w:r>
      <w:r w:rsidR="00B1453E">
        <w:rPr>
          <w:sz w:val="24"/>
          <w:szCs w:val="24"/>
        </w:rPr>
        <w:t xml:space="preserve">, making Encolpius become </w:t>
      </w:r>
      <w:proofErr w:type="gramStart"/>
      <w:r w:rsidR="00A703B1">
        <w:rPr>
          <w:sz w:val="24"/>
          <w:szCs w:val="24"/>
        </w:rPr>
        <w:t>similar to</w:t>
      </w:r>
      <w:proofErr w:type="gramEnd"/>
      <w:r w:rsidR="00A703B1">
        <w:rPr>
          <w:sz w:val="24"/>
          <w:szCs w:val="24"/>
        </w:rPr>
        <w:t xml:space="preserve"> Trimalchio</w:t>
      </w:r>
      <w:r w:rsidR="00F41664">
        <w:rPr>
          <w:sz w:val="24"/>
          <w:szCs w:val="24"/>
        </w:rPr>
        <w:t xml:space="preserve">. </w:t>
      </w:r>
      <w:r w:rsidR="008658B8">
        <w:rPr>
          <w:sz w:val="24"/>
          <w:szCs w:val="24"/>
        </w:rPr>
        <w:t xml:space="preserve">This becomes even more apparent as the sentence continues, with Encolpius explaining </w:t>
      </w:r>
      <w:r w:rsidR="000B1969">
        <w:rPr>
          <w:sz w:val="24"/>
          <w:szCs w:val="24"/>
        </w:rPr>
        <w:t xml:space="preserve">that the </w:t>
      </w:r>
      <w:r w:rsidR="00365E95">
        <w:rPr>
          <w:sz w:val="24"/>
          <w:szCs w:val="24"/>
        </w:rPr>
        <w:t>pig</w:t>
      </w:r>
      <w:r w:rsidR="00960765">
        <w:rPr>
          <w:sz w:val="24"/>
          <w:szCs w:val="24"/>
        </w:rPr>
        <w:t xml:space="preserve"> “</w:t>
      </w:r>
      <w:proofErr w:type="spellStart"/>
      <w:r w:rsidR="00CB279C">
        <w:rPr>
          <w:sz w:val="24"/>
          <w:szCs w:val="24"/>
        </w:rPr>
        <w:t>longe</w:t>
      </w:r>
      <w:proofErr w:type="spellEnd"/>
      <w:r w:rsidR="00CB279C">
        <w:rPr>
          <w:sz w:val="24"/>
          <w:szCs w:val="24"/>
        </w:rPr>
        <w:t xml:space="preserve"> </w:t>
      </w:r>
      <w:proofErr w:type="spellStart"/>
      <w:r w:rsidR="00CB279C">
        <w:rPr>
          <w:sz w:val="24"/>
          <w:szCs w:val="24"/>
        </w:rPr>
        <w:t>maior</w:t>
      </w:r>
      <w:proofErr w:type="spellEnd"/>
      <w:r w:rsidR="00CB279C">
        <w:rPr>
          <w:sz w:val="24"/>
          <w:szCs w:val="24"/>
        </w:rPr>
        <w:t xml:space="preserve"> nobis </w:t>
      </w:r>
      <w:proofErr w:type="spellStart"/>
      <w:r w:rsidR="00CB279C">
        <w:rPr>
          <w:sz w:val="24"/>
          <w:szCs w:val="24"/>
        </w:rPr>
        <w:t>porcus</w:t>
      </w:r>
      <w:proofErr w:type="spellEnd"/>
      <w:r w:rsidR="004C6C1E">
        <w:rPr>
          <w:sz w:val="24"/>
          <w:szCs w:val="24"/>
        </w:rPr>
        <w:t xml:space="preserve"> </w:t>
      </w:r>
      <w:proofErr w:type="spellStart"/>
      <w:r w:rsidR="00CB279C">
        <w:rPr>
          <w:sz w:val="24"/>
          <w:szCs w:val="24"/>
        </w:rPr>
        <w:t>videbatur</w:t>
      </w:r>
      <w:proofErr w:type="spellEnd"/>
      <w:r w:rsidR="00CB279C">
        <w:rPr>
          <w:sz w:val="24"/>
          <w:szCs w:val="24"/>
        </w:rPr>
        <w:t xml:space="preserve"> </w:t>
      </w:r>
      <w:proofErr w:type="spellStart"/>
      <w:r w:rsidR="00CB279C">
        <w:rPr>
          <w:sz w:val="24"/>
          <w:szCs w:val="24"/>
        </w:rPr>
        <w:t>esse</w:t>
      </w:r>
      <w:proofErr w:type="spellEnd"/>
      <w:r w:rsidR="00050A3D">
        <w:rPr>
          <w:sz w:val="24"/>
          <w:szCs w:val="24"/>
        </w:rPr>
        <w:t xml:space="preserve">”. </w:t>
      </w:r>
      <w:r w:rsidR="004C6C1E">
        <w:rPr>
          <w:sz w:val="24"/>
          <w:szCs w:val="24"/>
        </w:rPr>
        <w:t xml:space="preserve">This </w:t>
      </w:r>
      <w:r w:rsidR="003E6084">
        <w:rPr>
          <w:sz w:val="24"/>
          <w:szCs w:val="24"/>
        </w:rPr>
        <w:t>observation</w:t>
      </w:r>
      <w:r w:rsidR="004C6C1E">
        <w:rPr>
          <w:sz w:val="24"/>
          <w:szCs w:val="24"/>
        </w:rPr>
        <w:t xml:space="preserve"> further demonstrates that he</w:t>
      </w:r>
      <w:r w:rsidR="001C0463">
        <w:rPr>
          <w:sz w:val="24"/>
          <w:szCs w:val="24"/>
        </w:rPr>
        <w:t xml:space="preserve"> is slow to pick up </w:t>
      </w:r>
      <w:r w:rsidR="003E6084">
        <w:rPr>
          <w:sz w:val="24"/>
          <w:szCs w:val="24"/>
        </w:rPr>
        <w:t xml:space="preserve">on indications that something is not quite as it seems. </w:t>
      </w:r>
    </w:p>
    <w:p w14:paraId="782C11D6" w14:textId="77777777" w:rsidR="002E606A" w:rsidRDefault="002E606A" w:rsidP="004F4C7D">
      <w:pPr>
        <w:jc w:val="both"/>
        <w:rPr>
          <w:sz w:val="24"/>
          <w:szCs w:val="24"/>
        </w:rPr>
      </w:pPr>
    </w:p>
    <w:p w14:paraId="3C56A602" w14:textId="3FE82708" w:rsidR="002E606A" w:rsidRDefault="002E606A" w:rsidP="004F4C7D">
      <w:pPr>
        <w:jc w:val="both"/>
        <w:rPr>
          <w:sz w:val="24"/>
          <w:szCs w:val="24"/>
        </w:rPr>
      </w:pPr>
      <w:r>
        <w:rPr>
          <w:sz w:val="24"/>
          <w:szCs w:val="24"/>
        </w:rPr>
        <w:t>Petronius begins a pattern of repeti</w:t>
      </w:r>
      <w:r w:rsidR="00796BB4">
        <w:rPr>
          <w:sz w:val="24"/>
          <w:szCs w:val="24"/>
        </w:rPr>
        <w:t xml:space="preserve">tion to </w:t>
      </w:r>
      <w:r w:rsidR="00E026B4">
        <w:rPr>
          <w:sz w:val="24"/>
          <w:szCs w:val="24"/>
        </w:rPr>
        <w:t xml:space="preserve">ensure that his audience </w:t>
      </w:r>
      <w:r w:rsidR="001E7DAE">
        <w:rPr>
          <w:sz w:val="24"/>
          <w:szCs w:val="24"/>
        </w:rPr>
        <w:t xml:space="preserve">is focused on </w:t>
      </w:r>
      <w:r w:rsidR="007D57B0">
        <w:rPr>
          <w:sz w:val="24"/>
          <w:szCs w:val="24"/>
        </w:rPr>
        <w:t xml:space="preserve">Trimalchio’s next </w:t>
      </w:r>
      <w:r w:rsidR="003F69A3">
        <w:rPr>
          <w:sz w:val="24"/>
          <w:szCs w:val="24"/>
        </w:rPr>
        <w:t>spectacle, shown by the repetition of “</w:t>
      </w:r>
      <w:proofErr w:type="spellStart"/>
      <w:r w:rsidR="003F69A3">
        <w:rPr>
          <w:sz w:val="24"/>
          <w:szCs w:val="24"/>
        </w:rPr>
        <w:t>magis</w:t>
      </w:r>
      <w:proofErr w:type="spellEnd"/>
      <w:r w:rsidR="003F69A3">
        <w:rPr>
          <w:sz w:val="24"/>
          <w:szCs w:val="24"/>
        </w:rPr>
        <w:t xml:space="preserve"> </w:t>
      </w:r>
      <w:proofErr w:type="spellStart"/>
      <w:r w:rsidR="003F69A3">
        <w:rPr>
          <w:sz w:val="24"/>
          <w:szCs w:val="24"/>
        </w:rPr>
        <w:t>magisque</w:t>
      </w:r>
      <w:proofErr w:type="spellEnd"/>
      <w:r w:rsidR="003F69A3">
        <w:rPr>
          <w:sz w:val="24"/>
          <w:szCs w:val="24"/>
        </w:rPr>
        <w:t>”, “quid? quid?” and “</w:t>
      </w:r>
      <w:proofErr w:type="spellStart"/>
      <w:r w:rsidR="003F69A3">
        <w:rPr>
          <w:sz w:val="24"/>
          <w:szCs w:val="24"/>
        </w:rPr>
        <w:t>voca</w:t>
      </w:r>
      <w:proofErr w:type="spellEnd"/>
      <w:r w:rsidR="003F69A3">
        <w:rPr>
          <w:sz w:val="24"/>
          <w:szCs w:val="24"/>
        </w:rPr>
        <w:t xml:space="preserve">, </w:t>
      </w:r>
      <w:proofErr w:type="spellStart"/>
      <w:r w:rsidR="003F69A3">
        <w:rPr>
          <w:sz w:val="24"/>
          <w:szCs w:val="24"/>
        </w:rPr>
        <w:t>voca</w:t>
      </w:r>
      <w:proofErr w:type="spellEnd"/>
      <w:r w:rsidR="003F69A3">
        <w:rPr>
          <w:sz w:val="24"/>
          <w:szCs w:val="24"/>
        </w:rPr>
        <w:t xml:space="preserve">”. </w:t>
      </w:r>
      <w:r w:rsidR="00B93A63">
        <w:rPr>
          <w:sz w:val="24"/>
          <w:szCs w:val="24"/>
        </w:rPr>
        <w:t>It is not only limited to repetition;</w:t>
      </w:r>
      <w:r w:rsidR="00F937A0">
        <w:rPr>
          <w:sz w:val="24"/>
          <w:szCs w:val="24"/>
        </w:rPr>
        <w:t xml:space="preserve"> </w:t>
      </w:r>
      <w:r w:rsidR="00B93A63">
        <w:rPr>
          <w:sz w:val="24"/>
          <w:szCs w:val="24"/>
        </w:rPr>
        <w:t>Petronius also uses polyptoton in “</w:t>
      </w:r>
      <w:proofErr w:type="spellStart"/>
      <w:r w:rsidR="00B93A63">
        <w:rPr>
          <w:sz w:val="24"/>
          <w:szCs w:val="24"/>
        </w:rPr>
        <w:t>exinteratus</w:t>
      </w:r>
      <w:proofErr w:type="spellEnd"/>
      <w:r w:rsidR="00B93A63">
        <w:rPr>
          <w:sz w:val="24"/>
          <w:szCs w:val="24"/>
        </w:rPr>
        <w:t xml:space="preserve">… </w:t>
      </w:r>
      <w:proofErr w:type="spellStart"/>
      <w:r w:rsidR="00B93A63">
        <w:rPr>
          <w:sz w:val="24"/>
          <w:szCs w:val="24"/>
        </w:rPr>
        <w:t>exinterare</w:t>
      </w:r>
      <w:proofErr w:type="spellEnd"/>
      <w:r w:rsidR="00B93A63">
        <w:rPr>
          <w:sz w:val="24"/>
          <w:szCs w:val="24"/>
        </w:rPr>
        <w:t>”</w:t>
      </w:r>
      <w:r w:rsidR="00F937A0">
        <w:rPr>
          <w:sz w:val="24"/>
          <w:szCs w:val="24"/>
        </w:rPr>
        <w:t xml:space="preserve">, </w:t>
      </w:r>
      <w:r w:rsidR="00B93A63">
        <w:rPr>
          <w:sz w:val="24"/>
          <w:szCs w:val="24"/>
        </w:rPr>
        <w:t xml:space="preserve">“oblatum… </w:t>
      </w:r>
      <w:proofErr w:type="spellStart"/>
      <w:r w:rsidR="00B93A63">
        <w:rPr>
          <w:sz w:val="24"/>
          <w:szCs w:val="24"/>
        </w:rPr>
        <w:t>oblitus</w:t>
      </w:r>
      <w:proofErr w:type="spellEnd"/>
      <w:r w:rsidR="00B93A63">
        <w:rPr>
          <w:sz w:val="24"/>
          <w:szCs w:val="24"/>
        </w:rPr>
        <w:t>”</w:t>
      </w:r>
      <w:r w:rsidR="00F937A0">
        <w:rPr>
          <w:sz w:val="24"/>
          <w:szCs w:val="24"/>
        </w:rPr>
        <w:t xml:space="preserve"> and “</w:t>
      </w:r>
      <w:proofErr w:type="spellStart"/>
      <w:r w:rsidR="00F937A0">
        <w:rPr>
          <w:sz w:val="24"/>
          <w:szCs w:val="24"/>
        </w:rPr>
        <w:t>despolia</w:t>
      </w:r>
      <w:proofErr w:type="spellEnd"/>
      <w:r w:rsidR="00F937A0">
        <w:rPr>
          <w:sz w:val="24"/>
          <w:szCs w:val="24"/>
        </w:rPr>
        <w:t xml:space="preserve">… </w:t>
      </w:r>
      <w:proofErr w:type="spellStart"/>
      <w:r w:rsidR="00F937A0">
        <w:rPr>
          <w:sz w:val="24"/>
          <w:szCs w:val="24"/>
        </w:rPr>
        <w:t>despoliatur</w:t>
      </w:r>
      <w:proofErr w:type="spellEnd"/>
      <w:r w:rsidR="00F937A0">
        <w:rPr>
          <w:sz w:val="24"/>
          <w:szCs w:val="24"/>
        </w:rPr>
        <w:t xml:space="preserve">” </w:t>
      </w:r>
      <w:r w:rsidR="00954BEA">
        <w:rPr>
          <w:sz w:val="24"/>
          <w:szCs w:val="24"/>
        </w:rPr>
        <w:t xml:space="preserve">in a similar fashion to </w:t>
      </w:r>
      <w:r w:rsidR="00207F1F">
        <w:rPr>
          <w:sz w:val="24"/>
          <w:szCs w:val="24"/>
        </w:rPr>
        <w:t>draw his audience’s attention to these events and create a</w:t>
      </w:r>
      <w:r w:rsidR="00054C77">
        <w:rPr>
          <w:sz w:val="24"/>
          <w:szCs w:val="24"/>
        </w:rPr>
        <w:t xml:space="preserve"> sense of anticipation to discover what the next trick is. </w:t>
      </w:r>
      <w:r w:rsidR="008663AD">
        <w:rPr>
          <w:sz w:val="24"/>
          <w:szCs w:val="24"/>
        </w:rPr>
        <w:t>At the same time</w:t>
      </w:r>
      <w:r w:rsidR="00D021B3">
        <w:rPr>
          <w:sz w:val="24"/>
          <w:szCs w:val="24"/>
        </w:rPr>
        <w:t xml:space="preserve">, Trimalchio </w:t>
      </w:r>
      <w:r w:rsidR="00921764">
        <w:rPr>
          <w:sz w:val="24"/>
          <w:szCs w:val="24"/>
        </w:rPr>
        <w:t xml:space="preserve">shows himself to be closer to the </w:t>
      </w:r>
      <w:r w:rsidR="00815924">
        <w:rPr>
          <w:sz w:val="24"/>
          <w:szCs w:val="24"/>
        </w:rPr>
        <w:t>“</w:t>
      </w:r>
      <w:proofErr w:type="spellStart"/>
      <w:r w:rsidR="00921764">
        <w:rPr>
          <w:sz w:val="24"/>
          <w:szCs w:val="24"/>
        </w:rPr>
        <w:t>tyrann</w:t>
      </w:r>
      <w:r w:rsidR="00815924">
        <w:rPr>
          <w:sz w:val="24"/>
          <w:szCs w:val="24"/>
        </w:rPr>
        <w:t>o</w:t>
      </w:r>
      <w:proofErr w:type="spellEnd"/>
      <w:r w:rsidR="00815924">
        <w:rPr>
          <w:sz w:val="24"/>
          <w:szCs w:val="24"/>
        </w:rPr>
        <w:t>”</w:t>
      </w:r>
      <w:r w:rsidR="00921764">
        <w:rPr>
          <w:sz w:val="24"/>
          <w:szCs w:val="24"/>
        </w:rPr>
        <w:t xml:space="preserve"> that he was called earlier</w:t>
      </w:r>
      <w:r w:rsidR="00815924">
        <w:rPr>
          <w:rStyle w:val="FootnoteReference"/>
          <w:sz w:val="24"/>
          <w:szCs w:val="24"/>
        </w:rPr>
        <w:footnoteReference w:id="6"/>
      </w:r>
      <w:r w:rsidR="00921764">
        <w:rPr>
          <w:sz w:val="24"/>
          <w:szCs w:val="24"/>
        </w:rPr>
        <w:t xml:space="preserve">, </w:t>
      </w:r>
      <w:r w:rsidR="00815924">
        <w:rPr>
          <w:sz w:val="24"/>
          <w:szCs w:val="24"/>
        </w:rPr>
        <w:t>with his use of “</w:t>
      </w:r>
      <w:proofErr w:type="spellStart"/>
      <w:r w:rsidR="00815924">
        <w:rPr>
          <w:sz w:val="24"/>
          <w:szCs w:val="24"/>
        </w:rPr>
        <w:t>despol</w:t>
      </w:r>
      <w:r w:rsidR="00180E9A">
        <w:rPr>
          <w:sz w:val="24"/>
          <w:szCs w:val="24"/>
        </w:rPr>
        <w:t>ia</w:t>
      </w:r>
      <w:proofErr w:type="spellEnd"/>
      <w:r w:rsidR="00180E9A">
        <w:rPr>
          <w:sz w:val="24"/>
          <w:szCs w:val="24"/>
        </w:rPr>
        <w:t xml:space="preserve">”. </w:t>
      </w:r>
      <w:r w:rsidR="006D615A">
        <w:rPr>
          <w:sz w:val="24"/>
          <w:szCs w:val="24"/>
        </w:rPr>
        <w:t>Thi</w:t>
      </w:r>
      <w:r w:rsidR="007C1EDC">
        <w:rPr>
          <w:sz w:val="24"/>
          <w:szCs w:val="24"/>
        </w:rPr>
        <w:t xml:space="preserve">s is normally </w:t>
      </w:r>
      <w:r w:rsidR="00302645">
        <w:rPr>
          <w:sz w:val="24"/>
          <w:szCs w:val="24"/>
        </w:rPr>
        <w:t>used in the context of wars</w:t>
      </w:r>
      <w:r w:rsidR="00357ECC">
        <w:rPr>
          <w:sz w:val="24"/>
          <w:szCs w:val="24"/>
        </w:rPr>
        <w:t xml:space="preserve"> and </w:t>
      </w:r>
      <w:r w:rsidR="00E94290">
        <w:rPr>
          <w:sz w:val="24"/>
          <w:szCs w:val="24"/>
        </w:rPr>
        <w:t xml:space="preserve">as Gloyn notes, </w:t>
      </w:r>
      <w:r w:rsidR="00E2609C">
        <w:rPr>
          <w:sz w:val="24"/>
          <w:szCs w:val="24"/>
        </w:rPr>
        <w:t xml:space="preserve">“the language that Trimalchio uses has </w:t>
      </w:r>
      <w:r w:rsidR="00F11254">
        <w:rPr>
          <w:sz w:val="24"/>
          <w:szCs w:val="24"/>
        </w:rPr>
        <w:t xml:space="preserve">strong military overtones” (Gloyn, </w:t>
      </w:r>
      <w:r w:rsidR="0040429E">
        <w:rPr>
          <w:sz w:val="24"/>
          <w:szCs w:val="24"/>
        </w:rPr>
        <w:t>2012</w:t>
      </w:r>
      <w:r w:rsidR="00FB6CA9">
        <w:rPr>
          <w:sz w:val="24"/>
          <w:szCs w:val="24"/>
        </w:rPr>
        <w:t xml:space="preserve">, p. </w:t>
      </w:r>
      <w:r w:rsidR="00880F34">
        <w:rPr>
          <w:sz w:val="24"/>
          <w:szCs w:val="24"/>
        </w:rPr>
        <w:t>268</w:t>
      </w:r>
      <w:r w:rsidR="00FB6CA9">
        <w:rPr>
          <w:sz w:val="24"/>
          <w:szCs w:val="24"/>
        </w:rPr>
        <w:t>)</w:t>
      </w:r>
      <w:r w:rsidR="00636FB1">
        <w:rPr>
          <w:sz w:val="24"/>
          <w:szCs w:val="24"/>
        </w:rPr>
        <w:t xml:space="preserve">, </w:t>
      </w:r>
      <w:r w:rsidR="00A4713E">
        <w:rPr>
          <w:sz w:val="24"/>
          <w:szCs w:val="24"/>
        </w:rPr>
        <w:t>which makes Trimalchio mor</w:t>
      </w:r>
      <w:r w:rsidR="005E30A2">
        <w:rPr>
          <w:sz w:val="24"/>
          <w:szCs w:val="24"/>
        </w:rPr>
        <w:t xml:space="preserve">e like </w:t>
      </w:r>
      <w:r w:rsidR="005E365C">
        <w:rPr>
          <w:sz w:val="24"/>
          <w:szCs w:val="24"/>
        </w:rPr>
        <w:t xml:space="preserve">a Roman military commander, echoing how he divides his slaves up into </w:t>
      </w:r>
      <w:r w:rsidR="007E4753">
        <w:rPr>
          <w:sz w:val="24"/>
          <w:szCs w:val="24"/>
        </w:rPr>
        <w:t>different groups and companies as if they were in the Roman army</w:t>
      </w:r>
      <w:r w:rsidR="007E4753">
        <w:rPr>
          <w:rStyle w:val="FootnoteReference"/>
          <w:sz w:val="24"/>
          <w:szCs w:val="24"/>
        </w:rPr>
        <w:footnoteReference w:id="7"/>
      </w:r>
      <w:r w:rsidR="007E4753">
        <w:rPr>
          <w:sz w:val="24"/>
          <w:szCs w:val="24"/>
        </w:rPr>
        <w:t xml:space="preserve">. </w:t>
      </w:r>
      <w:r w:rsidR="00FB6CA9">
        <w:rPr>
          <w:sz w:val="24"/>
          <w:szCs w:val="24"/>
        </w:rPr>
        <w:t xml:space="preserve"> </w:t>
      </w:r>
      <w:r w:rsidR="00D67EAD">
        <w:rPr>
          <w:sz w:val="24"/>
          <w:szCs w:val="24"/>
        </w:rPr>
        <w:t>This is further heightened by Encolpius’ description of two slaves as “</w:t>
      </w:r>
      <w:proofErr w:type="spellStart"/>
      <w:r w:rsidR="00D67EAD">
        <w:rPr>
          <w:sz w:val="24"/>
          <w:szCs w:val="24"/>
        </w:rPr>
        <w:t>tortores</w:t>
      </w:r>
      <w:proofErr w:type="spellEnd"/>
      <w:r w:rsidR="00D67EAD">
        <w:rPr>
          <w:sz w:val="24"/>
          <w:szCs w:val="24"/>
        </w:rPr>
        <w:t xml:space="preserve">”. </w:t>
      </w:r>
      <w:r w:rsidR="00DD594C">
        <w:rPr>
          <w:sz w:val="24"/>
          <w:szCs w:val="24"/>
        </w:rPr>
        <w:t xml:space="preserve">As Smith notes, </w:t>
      </w:r>
      <w:r w:rsidR="00637870">
        <w:rPr>
          <w:sz w:val="24"/>
          <w:szCs w:val="24"/>
        </w:rPr>
        <w:t>torturers are normally</w:t>
      </w:r>
      <w:r w:rsidR="00FC20D6">
        <w:rPr>
          <w:sz w:val="24"/>
          <w:szCs w:val="24"/>
        </w:rPr>
        <w:t xml:space="preserve"> employed by the government (Smith, 1975, p. 133); this suggests that Trimalchio is as powerful as a </w:t>
      </w:r>
      <w:r w:rsidR="00637870">
        <w:rPr>
          <w:sz w:val="24"/>
          <w:szCs w:val="24"/>
        </w:rPr>
        <w:t>ruler</w:t>
      </w:r>
      <w:r w:rsidR="00FC20D6">
        <w:rPr>
          <w:sz w:val="24"/>
          <w:szCs w:val="24"/>
        </w:rPr>
        <w:t xml:space="preserve"> within his own household</w:t>
      </w:r>
      <w:r w:rsidR="00F9416C">
        <w:rPr>
          <w:sz w:val="24"/>
          <w:szCs w:val="24"/>
        </w:rPr>
        <w:t xml:space="preserve"> and is </w:t>
      </w:r>
      <w:r w:rsidR="00637870">
        <w:rPr>
          <w:sz w:val="24"/>
          <w:szCs w:val="24"/>
        </w:rPr>
        <w:t>behaving</w:t>
      </w:r>
      <w:r w:rsidR="00F9416C">
        <w:rPr>
          <w:sz w:val="24"/>
          <w:szCs w:val="24"/>
        </w:rPr>
        <w:t xml:space="preserve"> as the tyrant he </w:t>
      </w:r>
      <w:r w:rsidR="00637870">
        <w:rPr>
          <w:sz w:val="24"/>
          <w:szCs w:val="24"/>
        </w:rPr>
        <w:t>wa</w:t>
      </w:r>
      <w:r w:rsidR="00F9416C">
        <w:rPr>
          <w:sz w:val="24"/>
          <w:szCs w:val="24"/>
        </w:rPr>
        <w:t xml:space="preserve">s earlier likened to. </w:t>
      </w:r>
    </w:p>
    <w:p w14:paraId="5B461DFD" w14:textId="77777777" w:rsidR="00D412B1" w:rsidRDefault="00D412B1" w:rsidP="004F4C7D">
      <w:pPr>
        <w:jc w:val="both"/>
        <w:rPr>
          <w:sz w:val="24"/>
          <w:szCs w:val="24"/>
        </w:rPr>
      </w:pPr>
    </w:p>
    <w:p w14:paraId="64091003" w14:textId="2389659A" w:rsidR="004647DE" w:rsidRDefault="00E46C7A" w:rsidP="004F4C7D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Petronius them m</w:t>
      </w:r>
      <w:r w:rsidR="003974AC">
        <w:rPr>
          <w:sz w:val="24"/>
          <w:szCs w:val="24"/>
        </w:rPr>
        <w:t>oves the narrative to focus on Encolpius’ reaction to events. Encolpius describes himself as a man of “</w:t>
      </w:r>
      <w:proofErr w:type="spellStart"/>
      <w:r w:rsidR="003974AC">
        <w:rPr>
          <w:sz w:val="24"/>
          <w:szCs w:val="24"/>
        </w:rPr>
        <w:t>crudelissimae</w:t>
      </w:r>
      <w:proofErr w:type="spellEnd"/>
      <w:r w:rsidR="003974AC">
        <w:rPr>
          <w:sz w:val="24"/>
          <w:szCs w:val="24"/>
        </w:rPr>
        <w:t xml:space="preserve"> </w:t>
      </w:r>
      <w:proofErr w:type="spellStart"/>
      <w:r w:rsidR="003974AC">
        <w:rPr>
          <w:sz w:val="24"/>
          <w:szCs w:val="24"/>
        </w:rPr>
        <w:t>severitatis</w:t>
      </w:r>
      <w:proofErr w:type="spellEnd"/>
      <w:r w:rsidR="003974AC">
        <w:rPr>
          <w:sz w:val="24"/>
          <w:szCs w:val="24"/>
        </w:rPr>
        <w:t>”</w:t>
      </w:r>
      <w:r w:rsidR="00641956">
        <w:rPr>
          <w:sz w:val="24"/>
          <w:szCs w:val="24"/>
        </w:rPr>
        <w:t xml:space="preserve">; the use of the superlative alongside the choice of words </w:t>
      </w:r>
      <w:r w:rsidR="003B65BC">
        <w:rPr>
          <w:sz w:val="24"/>
          <w:szCs w:val="24"/>
        </w:rPr>
        <w:t xml:space="preserve">suggest that Encolpius is </w:t>
      </w:r>
      <w:proofErr w:type="gramStart"/>
      <w:r w:rsidR="003B65BC">
        <w:rPr>
          <w:sz w:val="24"/>
          <w:szCs w:val="24"/>
        </w:rPr>
        <w:t>similar to</w:t>
      </w:r>
      <w:proofErr w:type="gramEnd"/>
      <w:r w:rsidR="003B65BC">
        <w:rPr>
          <w:sz w:val="24"/>
          <w:szCs w:val="24"/>
        </w:rPr>
        <w:t xml:space="preserve"> the tyrant Trimalchio, especially after Trimalchio has ordered for the cook to stand between the two torturers. </w:t>
      </w:r>
      <w:r w:rsidR="00706821">
        <w:rPr>
          <w:sz w:val="24"/>
          <w:szCs w:val="24"/>
        </w:rPr>
        <w:t xml:space="preserve">From this, Petronius echoes his earlier suggestion of the </w:t>
      </w:r>
      <w:r w:rsidR="00BE6F89">
        <w:rPr>
          <w:sz w:val="24"/>
          <w:szCs w:val="24"/>
        </w:rPr>
        <w:t>similarities</w:t>
      </w:r>
      <w:r w:rsidR="00706821">
        <w:rPr>
          <w:sz w:val="24"/>
          <w:szCs w:val="24"/>
        </w:rPr>
        <w:t xml:space="preserve"> between Trimalchio and Encolpius, by again highlighting Encolpius’ gullibili</w:t>
      </w:r>
      <w:r w:rsidR="00DE468B">
        <w:rPr>
          <w:sz w:val="24"/>
          <w:szCs w:val="24"/>
        </w:rPr>
        <w:t xml:space="preserve">ty </w:t>
      </w:r>
      <w:r w:rsidR="0015140C">
        <w:rPr>
          <w:sz w:val="24"/>
          <w:szCs w:val="24"/>
        </w:rPr>
        <w:t xml:space="preserve">as </w:t>
      </w:r>
      <w:proofErr w:type="gramStart"/>
      <w:r w:rsidR="0015140C">
        <w:rPr>
          <w:sz w:val="24"/>
          <w:szCs w:val="24"/>
        </w:rPr>
        <w:t>similar to</w:t>
      </w:r>
      <w:proofErr w:type="gramEnd"/>
      <w:r w:rsidR="0015140C">
        <w:rPr>
          <w:sz w:val="24"/>
          <w:szCs w:val="24"/>
        </w:rPr>
        <w:t xml:space="preserve"> Trimalchio’s ignorance </w:t>
      </w:r>
      <w:r w:rsidR="00502D77">
        <w:rPr>
          <w:sz w:val="24"/>
          <w:szCs w:val="24"/>
        </w:rPr>
        <w:t>when</w:t>
      </w:r>
      <w:r w:rsidR="00DE468B">
        <w:rPr>
          <w:sz w:val="24"/>
          <w:szCs w:val="24"/>
        </w:rPr>
        <w:t xml:space="preserve"> he complains to Agamemnon that the cook should be punished. Encolpius’ </w:t>
      </w:r>
      <w:r w:rsidR="0015140C">
        <w:rPr>
          <w:sz w:val="24"/>
          <w:szCs w:val="24"/>
        </w:rPr>
        <w:t>aside to Agamemnon ironically begins with “plane”</w:t>
      </w:r>
      <w:r w:rsidR="00B40F99">
        <w:rPr>
          <w:sz w:val="24"/>
          <w:szCs w:val="24"/>
        </w:rPr>
        <w:t>; it has been made evident that this is yet another trick of Trimalchio’s that he is waiting to spring, yet Encolpius has not understood th</w:t>
      </w:r>
      <w:r w:rsidR="00DD3A01">
        <w:rPr>
          <w:sz w:val="24"/>
          <w:szCs w:val="24"/>
        </w:rPr>
        <w:t xml:space="preserve">is. Petronius </w:t>
      </w:r>
      <w:r w:rsidR="00F36251">
        <w:rPr>
          <w:sz w:val="24"/>
          <w:szCs w:val="24"/>
        </w:rPr>
        <w:t xml:space="preserve">displays to the audience that Encolpius is not a cunning character, </w:t>
      </w:r>
      <w:r w:rsidR="00C22527">
        <w:rPr>
          <w:sz w:val="24"/>
          <w:szCs w:val="24"/>
        </w:rPr>
        <w:t xml:space="preserve">despite </w:t>
      </w:r>
      <w:r w:rsidR="004D2765">
        <w:rPr>
          <w:sz w:val="24"/>
          <w:szCs w:val="24"/>
        </w:rPr>
        <w:t xml:space="preserve">the allusion to him as Odysseus that Cameron notes (Cameron, </w:t>
      </w:r>
      <w:r w:rsidR="002836EF">
        <w:rPr>
          <w:sz w:val="24"/>
          <w:szCs w:val="24"/>
        </w:rPr>
        <w:t>1969, p.</w:t>
      </w:r>
      <w:r w:rsidR="000F7412">
        <w:rPr>
          <w:sz w:val="24"/>
          <w:szCs w:val="24"/>
        </w:rPr>
        <w:t xml:space="preserve"> 369</w:t>
      </w:r>
      <w:r w:rsidR="002836EF">
        <w:rPr>
          <w:sz w:val="24"/>
          <w:szCs w:val="24"/>
        </w:rPr>
        <w:t>)</w:t>
      </w:r>
      <w:r w:rsidR="00C55928">
        <w:rPr>
          <w:sz w:val="24"/>
          <w:szCs w:val="24"/>
        </w:rPr>
        <w:t xml:space="preserve"> and moreover, he does not learn from his experiences</w:t>
      </w:r>
      <w:r w:rsidR="00735EEE">
        <w:rPr>
          <w:sz w:val="24"/>
          <w:szCs w:val="24"/>
        </w:rPr>
        <w:t xml:space="preserve">, </w:t>
      </w:r>
      <w:r w:rsidR="0077644E">
        <w:rPr>
          <w:sz w:val="24"/>
          <w:szCs w:val="24"/>
        </w:rPr>
        <w:t xml:space="preserve">despite his attitude of superiority to Trimalchio that Smith </w:t>
      </w:r>
      <w:r w:rsidR="00502D77">
        <w:rPr>
          <w:sz w:val="24"/>
          <w:szCs w:val="24"/>
        </w:rPr>
        <w:t>observes</w:t>
      </w:r>
      <w:r w:rsidR="0077644E">
        <w:rPr>
          <w:sz w:val="24"/>
          <w:szCs w:val="24"/>
        </w:rPr>
        <w:t xml:space="preserve"> (Smith</w:t>
      </w:r>
      <w:r w:rsidR="00793453">
        <w:rPr>
          <w:sz w:val="24"/>
          <w:szCs w:val="24"/>
        </w:rPr>
        <w:t>, 1975, p.133)</w:t>
      </w:r>
      <w:r w:rsidR="00735EEE">
        <w:rPr>
          <w:sz w:val="24"/>
          <w:szCs w:val="24"/>
        </w:rPr>
        <w:t xml:space="preserve">. </w:t>
      </w:r>
      <w:r w:rsidR="00FB5CB6">
        <w:rPr>
          <w:sz w:val="24"/>
          <w:szCs w:val="24"/>
        </w:rPr>
        <w:t xml:space="preserve">Indeed, Encolpius is as ignorant as Trimalchio has shown himself to be earlier and is about to show himself again in the next section, for Encolpius </w:t>
      </w:r>
      <w:r w:rsidR="0018667D">
        <w:rPr>
          <w:sz w:val="24"/>
          <w:szCs w:val="24"/>
        </w:rPr>
        <w:t xml:space="preserve">has not recognised this rather common dish used at dinner parties. </w:t>
      </w:r>
      <w:r w:rsidR="00C850FA">
        <w:rPr>
          <w:sz w:val="24"/>
          <w:szCs w:val="24"/>
        </w:rPr>
        <w:t>Smith points out that there is a dish called the ‘</w:t>
      </w:r>
      <w:proofErr w:type="spellStart"/>
      <w:r w:rsidR="00C850FA">
        <w:rPr>
          <w:sz w:val="24"/>
          <w:szCs w:val="24"/>
        </w:rPr>
        <w:t>porcus</w:t>
      </w:r>
      <w:proofErr w:type="spellEnd"/>
      <w:r w:rsidR="00C850FA">
        <w:rPr>
          <w:sz w:val="24"/>
          <w:szCs w:val="24"/>
        </w:rPr>
        <w:t xml:space="preserve"> </w:t>
      </w:r>
      <w:proofErr w:type="spellStart"/>
      <w:r w:rsidR="00C850FA">
        <w:rPr>
          <w:sz w:val="24"/>
          <w:szCs w:val="24"/>
        </w:rPr>
        <w:t>Troianu</w:t>
      </w:r>
      <w:r w:rsidR="008E3208">
        <w:rPr>
          <w:sz w:val="24"/>
          <w:szCs w:val="24"/>
        </w:rPr>
        <w:t>s</w:t>
      </w:r>
      <w:proofErr w:type="spellEnd"/>
      <w:r w:rsidR="008E3208">
        <w:rPr>
          <w:sz w:val="24"/>
          <w:szCs w:val="24"/>
        </w:rPr>
        <w:t xml:space="preserve">’ </w:t>
      </w:r>
      <w:r w:rsidR="00231596">
        <w:rPr>
          <w:sz w:val="24"/>
          <w:szCs w:val="24"/>
        </w:rPr>
        <w:t xml:space="preserve">that has </w:t>
      </w:r>
      <w:r w:rsidR="00AA0040">
        <w:rPr>
          <w:sz w:val="24"/>
          <w:szCs w:val="24"/>
        </w:rPr>
        <w:t>been in use since</w:t>
      </w:r>
      <w:r w:rsidR="008E3208">
        <w:rPr>
          <w:sz w:val="24"/>
          <w:szCs w:val="24"/>
        </w:rPr>
        <w:t xml:space="preserve"> the mid-second century BCE, </w:t>
      </w:r>
      <w:r w:rsidR="00AA0040">
        <w:rPr>
          <w:sz w:val="24"/>
          <w:szCs w:val="24"/>
        </w:rPr>
        <w:t>therefore</w:t>
      </w:r>
      <w:r w:rsidR="009E3390">
        <w:rPr>
          <w:sz w:val="24"/>
          <w:szCs w:val="24"/>
        </w:rPr>
        <w:t xml:space="preserve"> it is extremely surprising that Encolpius would not </w:t>
      </w:r>
      <w:proofErr w:type="gramStart"/>
      <w:r w:rsidR="00AA0040">
        <w:rPr>
          <w:sz w:val="24"/>
          <w:szCs w:val="24"/>
        </w:rPr>
        <w:t>recognised</w:t>
      </w:r>
      <w:proofErr w:type="gramEnd"/>
      <w:r w:rsidR="00AA0040">
        <w:rPr>
          <w:sz w:val="24"/>
          <w:szCs w:val="24"/>
        </w:rPr>
        <w:t xml:space="preserve"> it</w:t>
      </w:r>
      <w:r w:rsidR="001F5BB5">
        <w:rPr>
          <w:sz w:val="24"/>
          <w:szCs w:val="24"/>
        </w:rPr>
        <w:t xml:space="preserve"> (Smith</w:t>
      </w:r>
      <w:r w:rsidR="0097074C">
        <w:rPr>
          <w:sz w:val="24"/>
          <w:szCs w:val="24"/>
        </w:rPr>
        <w:t>, 1975, p</w:t>
      </w:r>
      <w:r w:rsidR="001F5BB5">
        <w:rPr>
          <w:sz w:val="24"/>
          <w:szCs w:val="24"/>
        </w:rPr>
        <w:t>.</w:t>
      </w:r>
      <w:r w:rsidR="0097074C">
        <w:rPr>
          <w:sz w:val="24"/>
          <w:szCs w:val="24"/>
        </w:rPr>
        <w:t xml:space="preserve"> </w:t>
      </w:r>
      <w:r w:rsidR="005155EE">
        <w:rPr>
          <w:sz w:val="24"/>
          <w:szCs w:val="24"/>
        </w:rPr>
        <w:t xml:space="preserve">134). </w:t>
      </w:r>
      <w:r w:rsidR="004647DE">
        <w:rPr>
          <w:sz w:val="24"/>
          <w:szCs w:val="24"/>
        </w:rPr>
        <w:t xml:space="preserve">Section 50 begins with </w:t>
      </w:r>
      <w:r w:rsidR="00294C20">
        <w:rPr>
          <w:sz w:val="24"/>
          <w:szCs w:val="24"/>
        </w:rPr>
        <w:t>“</w:t>
      </w:r>
      <w:proofErr w:type="spellStart"/>
      <w:r w:rsidR="00294C20">
        <w:rPr>
          <w:sz w:val="24"/>
          <w:szCs w:val="24"/>
        </w:rPr>
        <w:t>plausum</w:t>
      </w:r>
      <w:proofErr w:type="spellEnd"/>
      <w:r w:rsidR="00294C20">
        <w:rPr>
          <w:sz w:val="24"/>
          <w:szCs w:val="24"/>
        </w:rPr>
        <w:t>”</w:t>
      </w:r>
      <w:r w:rsidR="00AA33F9">
        <w:rPr>
          <w:sz w:val="24"/>
          <w:szCs w:val="24"/>
        </w:rPr>
        <w:t xml:space="preserve"> and the promotion of the object of the sentence highlights the immediacy of the reaction of the household </w:t>
      </w:r>
      <w:r w:rsidR="002C5BFD">
        <w:rPr>
          <w:sz w:val="24"/>
          <w:szCs w:val="24"/>
        </w:rPr>
        <w:t>to the</w:t>
      </w:r>
      <w:r w:rsidR="003B79F8">
        <w:rPr>
          <w:sz w:val="24"/>
          <w:szCs w:val="24"/>
        </w:rPr>
        <w:t xml:space="preserve"> trick, which Encolpius failed to recognise</w:t>
      </w:r>
      <w:r w:rsidR="002C5BFD">
        <w:rPr>
          <w:sz w:val="24"/>
          <w:szCs w:val="24"/>
        </w:rPr>
        <w:t xml:space="preserve">. </w:t>
      </w:r>
    </w:p>
    <w:p w14:paraId="06D7B99F" w14:textId="77777777" w:rsidR="004400C3" w:rsidRDefault="004400C3" w:rsidP="004F4C7D">
      <w:pPr>
        <w:jc w:val="both"/>
        <w:rPr>
          <w:sz w:val="24"/>
          <w:szCs w:val="24"/>
        </w:rPr>
      </w:pPr>
    </w:p>
    <w:p w14:paraId="2E6E7C64" w14:textId="572D04D7" w:rsidR="717F7E32" w:rsidRPr="00D101A1" w:rsidRDefault="004400C3" w:rsidP="00D101A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Within section 50, Trimalchio again </w:t>
      </w:r>
      <w:r w:rsidR="00AD1403">
        <w:rPr>
          <w:sz w:val="24"/>
          <w:szCs w:val="24"/>
        </w:rPr>
        <w:t xml:space="preserve">shows his fondness for </w:t>
      </w:r>
      <w:r w:rsidR="00956EBF">
        <w:rPr>
          <w:sz w:val="24"/>
          <w:szCs w:val="24"/>
        </w:rPr>
        <w:t>his amusements to involve a play on names and words</w:t>
      </w:r>
      <w:r w:rsidR="007311CA">
        <w:rPr>
          <w:sz w:val="24"/>
          <w:szCs w:val="24"/>
        </w:rPr>
        <w:t xml:space="preserve"> by stating</w:t>
      </w:r>
      <w:r w:rsidR="002140FA">
        <w:rPr>
          <w:sz w:val="24"/>
          <w:szCs w:val="24"/>
        </w:rPr>
        <w:t xml:space="preserve">, “quid </w:t>
      </w:r>
      <w:proofErr w:type="spellStart"/>
      <w:r w:rsidR="002140FA">
        <w:rPr>
          <w:sz w:val="24"/>
          <w:szCs w:val="24"/>
        </w:rPr>
        <w:t>est</w:t>
      </w:r>
      <w:proofErr w:type="spellEnd"/>
      <w:r w:rsidR="002140FA">
        <w:rPr>
          <w:sz w:val="24"/>
          <w:szCs w:val="24"/>
        </w:rPr>
        <w:t xml:space="preserve"> autem </w:t>
      </w:r>
      <w:proofErr w:type="spellStart"/>
      <w:r w:rsidR="002140FA">
        <w:rPr>
          <w:sz w:val="24"/>
          <w:szCs w:val="24"/>
        </w:rPr>
        <w:t>Corintheum</w:t>
      </w:r>
      <w:proofErr w:type="spellEnd"/>
      <w:r w:rsidR="002140FA">
        <w:rPr>
          <w:sz w:val="24"/>
          <w:szCs w:val="24"/>
        </w:rPr>
        <w:t xml:space="preserve">, nisi </w:t>
      </w:r>
      <w:proofErr w:type="spellStart"/>
      <w:r w:rsidR="002140FA">
        <w:rPr>
          <w:sz w:val="24"/>
          <w:szCs w:val="24"/>
        </w:rPr>
        <w:t>quis</w:t>
      </w:r>
      <w:proofErr w:type="spellEnd"/>
      <w:r w:rsidR="002140FA">
        <w:rPr>
          <w:sz w:val="24"/>
          <w:szCs w:val="24"/>
        </w:rPr>
        <w:t xml:space="preserve"> </w:t>
      </w:r>
      <w:proofErr w:type="spellStart"/>
      <w:r w:rsidR="002140FA">
        <w:rPr>
          <w:sz w:val="24"/>
          <w:szCs w:val="24"/>
        </w:rPr>
        <w:t>Cor</w:t>
      </w:r>
      <w:r w:rsidR="00AD75A7">
        <w:rPr>
          <w:sz w:val="24"/>
          <w:szCs w:val="24"/>
        </w:rPr>
        <w:t>inthum</w:t>
      </w:r>
      <w:proofErr w:type="spellEnd"/>
      <w:r w:rsidR="00AD75A7">
        <w:rPr>
          <w:sz w:val="24"/>
          <w:szCs w:val="24"/>
        </w:rPr>
        <w:t xml:space="preserve"> </w:t>
      </w:r>
      <w:proofErr w:type="spellStart"/>
      <w:r w:rsidR="00AD75A7">
        <w:rPr>
          <w:sz w:val="24"/>
          <w:szCs w:val="24"/>
        </w:rPr>
        <w:t>habet</w:t>
      </w:r>
      <w:proofErr w:type="spellEnd"/>
      <w:r w:rsidR="00AD75A7">
        <w:rPr>
          <w:sz w:val="24"/>
          <w:szCs w:val="24"/>
        </w:rPr>
        <w:t xml:space="preserve">?”. This echoes his play on </w:t>
      </w:r>
      <w:r w:rsidR="00FB5BC9">
        <w:rPr>
          <w:sz w:val="24"/>
          <w:szCs w:val="24"/>
        </w:rPr>
        <w:t>“</w:t>
      </w:r>
      <w:r w:rsidR="00AD75A7">
        <w:rPr>
          <w:sz w:val="24"/>
          <w:szCs w:val="24"/>
        </w:rPr>
        <w:t>Carp</w:t>
      </w:r>
      <w:r w:rsidR="00FB5BC9">
        <w:rPr>
          <w:sz w:val="24"/>
          <w:szCs w:val="24"/>
        </w:rPr>
        <w:t>e”</w:t>
      </w:r>
      <w:r w:rsidR="00AD75A7">
        <w:rPr>
          <w:sz w:val="24"/>
          <w:szCs w:val="24"/>
        </w:rPr>
        <w:t xml:space="preserve"> and “carpe”</w:t>
      </w:r>
      <w:r w:rsidR="00FB5BC9">
        <w:rPr>
          <w:rStyle w:val="FootnoteReference"/>
          <w:sz w:val="24"/>
          <w:szCs w:val="24"/>
        </w:rPr>
        <w:footnoteReference w:id="8"/>
      </w:r>
      <w:r w:rsidR="002447D8">
        <w:rPr>
          <w:sz w:val="24"/>
          <w:szCs w:val="24"/>
        </w:rPr>
        <w:t xml:space="preserve">, as well as </w:t>
      </w:r>
      <w:r w:rsidR="005F455C">
        <w:rPr>
          <w:sz w:val="24"/>
          <w:szCs w:val="24"/>
        </w:rPr>
        <w:t>“</w:t>
      </w:r>
      <w:proofErr w:type="spellStart"/>
      <w:r w:rsidR="005F455C">
        <w:rPr>
          <w:sz w:val="24"/>
          <w:szCs w:val="24"/>
        </w:rPr>
        <w:t>Dionyse</w:t>
      </w:r>
      <w:proofErr w:type="spellEnd"/>
      <w:r w:rsidR="005F455C">
        <w:rPr>
          <w:sz w:val="24"/>
          <w:szCs w:val="24"/>
        </w:rPr>
        <w:t xml:space="preserve">, Liber </w:t>
      </w:r>
      <w:proofErr w:type="spellStart"/>
      <w:r w:rsidR="005F455C">
        <w:rPr>
          <w:sz w:val="24"/>
          <w:szCs w:val="24"/>
        </w:rPr>
        <w:t>esto</w:t>
      </w:r>
      <w:proofErr w:type="spellEnd"/>
      <w:r w:rsidR="005F455C">
        <w:rPr>
          <w:sz w:val="24"/>
          <w:szCs w:val="24"/>
        </w:rPr>
        <w:t>”</w:t>
      </w:r>
      <w:r w:rsidR="00FB5BC9">
        <w:rPr>
          <w:rStyle w:val="FootnoteReference"/>
          <w:sz w:val="24"/>
          <w:szCs w:val="24"/>
        </w:rPr>
        <w:footnoteReference w:id="9"/>
      </w:r>
      <w:r w:rsidR="00FB5BC9">
        <w:rPr>
          <w:sz w:val="24"/>
          <w:szCs w:val="24"/>
        </w:rPr>
        <w:t xml:space="preserve">, as Smith </w:t>
      </w:r>
      <w:r w:rsidR="003B79F8">
        <w:rPr>
          <w:sz w:val="24"/>
          <w:szCs w:val="24"/>
        </w:rPr>
        <w:t>observes</w:t>
      </w:r>
      <w:r w:rsidR="00FB5BC9">
        <w:rPr>
          <w:sz w:val="24"/>
          <w:szCs w:val="24"/>
        </w:rPr>
        <w:t xml:space="preserve"> (Smith, 1975, p. 135)</w:t>
      </w:r>
      <w:r w:rsidR="006F10C8">
        <w:rPr>
          <w:sz w:val="24"/>
          <w:szCs w:val="24"/>
        </w:rPr>
        <w:t xml:space="preserve">. </w:t>
      </w:r>
      <w:r w:rsidR="00AD6999">
        <w:rPr>
          <w:sz w:val="24"/>
          <w:szCs w:val="24"/>
        </w:rPr>
        <w:t>Petronius</w:t>
      </w:r>
      <w:r w:rsidR="007B399D">
        <w:rPr>
          <w:sz w:val="24"/>
          <w:szCs w:val="24"/>
        </w:rPr>
        <w:t xml:space="preserve"> </w:t>
      </w:r>
      <w:r w:rsidR="00E127D6">
        <w:rPr>
          <w:sz w:val="24"/>
          <w:szCs w:val="24"/>
        </w:rPr>
        <w:t>introduces the importance of the Corinthian bronze</w:t>
      </w:r>
      <w:r w:rsidR="00407AE9">
        <w:rPr>
          <w:sz w:val="24"/>
          <w:szCs w:val="24"/>
        </w:rPr>
        <w:t xml:space="preserve"> in this scene by leaving it to the last word in the sentence, placing it in an emphatic position, “</w:t>
      </w:r>
      <w:proofErr w:type="spellStart"/>
      <w:r w:rsidR="00407AE9">
        <w:rPr>
          <w:sz w:val="24"/>
          <w:szCs w:val="24"/>
        </w:rPr>
        <w:t>poculumque</w:t>
      </w:r>
      <w:proofErr w:type="spellEnd"/>
      <w:r w:rsidR="00407AE9">
        <w:rPr>
          <w:sz w:val="24"/>
          <w:szCs w:val="24"/>
        </w:rPr>
        <w:t xml:space="preserve"> in lance </w:t>
      </w:r>
      <w:proofErr w:type="spellStart"/>
      <w:r w:rsidR="00407AE9">
        <w:rPr>
          <w:sz w:val="24"/>
          <w:szCs w:val="24"/>
        </w:rPr>
        <w:t>accepit</w:t>
      </w:r>
      <w:proofErr w:type="spellEnd"/>
      <w:r w:rsidR="00407AE9">
        <w:rPr>
          <w:sz w:val="24"/>
          <w:szCs w:val="24"/>
        </w:rPr>
        <w:t xml:space="preserve"> Co</w:t>
      </w:r>
      <w:r w:rsidR="00F66411">
        <w:rPr>
          <w:sz w:val="24"/>
          <w:szCs w:val="24"/>
        </w:rPr>
        <w:t>ri</w:t>
      </w:r>
      <w:r w:rsidR="00407AE9">
        <w:rPr>
          <w:sz w:val="24"/>
          <w:szCs w:val="24"/>
        </w:rPr>
        <w:t xml:space="preserve">nthia”. </w:t>
      </w:r>
      <w:r w:rsidR="00F66411">
        <w:rPr>
          <w:sz w:val="24"/>
          <w:szCs w:val="24"/>
        </w:rPr>
        <w:t>He goes on to use the word a further eight times in this section</w:t>
      </w:r>
      <w:r w:rsidR="00873A98">
        <w:rPr>
          <w:sz w:val="24"/>
          <w:szCs w:val="24"/>
        </w:rPr>
        <w:t>, “</w:t>
      </w:r>
      <w:proofErr w:type="spellStart"/>
      <w:r w:rsidR="00873A98">
        <w:rPr>
          <w:sz w:val="24"/>
          <w:szCs w:val="24"/>
        </w:rPr>
        <w:t>Corinthea</w:t>
      </w:r>
      <w:proofErr w:type="spellEnd"/>
      <w:r w:rsidR="00873A98">
        <w:rPr>
          <w:sz w:val="24"/>
          <w:szCs w:val="24"/>
        </w:rPr>
        <w:t xml:space="preserve">… </w:t>
      </w:r>
      <w:proofErr w:type="spellStart"/>
      <w:r w:rsidR="00873A98">
        <w:rPr>
          <w:sz w:val="24"/>
          <w:szCs w:val="24"/>
        </w:rPr>
        <w:t>Corintho</w:t>
      </w:r>
      <w:proofErr w:type="spellEnd"/>
      <w:r w:rsidR="00873A98">
        <w:rPr>
          <w:sz w:val="24"/>
          <w:szCs w:val="24"/>
        </w:rPr>
        <w:t xml:space="preserve">… </w:t>
      </w:r>
      <w:proofErr w:type="spellStart"/>
      <w:r w:rsidR="00873A98">
        <w:rPr>
          <w:sz w:val="24"/>
          <w:szCs w:val="24"/>
        </w:rPr>
        <w:t>Corinthea</w:t>
      </w:r>
      <w:proofErr w:type="spellEnd"/>
      <w:r w:rsidR="00873A98">
        <w:rPr>
          <w:sz w:val="24"/>
          <w:szCs w:val="24"/>
        </w:rPr>
        <w:t xml:space="preserve">… Corinthus… </w:t>
      </w:r>
      <w:proofErr w:type="spellStart"/>
      <w:r w:rsidR="00873A98">
        <w:rPr>
          <w:sz w:val="24"/>
          <w:szCs w:val="24"/>
        </w:rPr>
        <w:t>Corintheum</w:t>
      </w:r>
      <w:proofErr w:type="spellEnd"/>
      <w:r w:rsidR="00873A98">
        <w:rPr>
          <w:sz w:val="24"/>
          <w:szCs w:val="24"/>
        </w:rPr>
        <w:t xml:space="preserve">… </w:t>
      </w:r>
      <w:proofErr w:type="spellStart"/>
      <w:r w:rsidR="00873A98">
        <w:rPr>
          <w:sz w:val="24"/>
          <w:szCs w:val="24"/>
        </w:rPr>
        <w:t>C</w:t>
      </w:r>
      <w:r w:rsidR="00426239">
        <w:rPr>
          <w:sz w:val="24"/>
          <w:szCs w:val="24"/>
        </w:rPr>
        <w:t>o</w:t>
      </w:r>
      <w:r w:rsidR="00873A98">
        <w:rPr>
          <w:sz w:val="24"/>
          <w:szCs w:val="24"/>
        </w:rPr>
        <w:t>rinthum</w:t>
      </w:r>
      <w:proofErr w:type="spellEnd"/>
      <w:r w:rsidR="00873A98">
        <w:rPr>
          <w:sz w:val="24"/>
          <w:szCs w:val="24"/>
        </w:rPr>
        <w:t xml:space="preserve">… </w:t>
      </w:r>
      <w:proofErr w:type="spellStart"/>
      <w:r w:rsidR="00873A98">
        <w:rPr>
          <w:sz w:val="24"/>
          <w:szCs w:val="24"/>
        </w:rPr>
        <w:t>Corinthea</w:t>
      </w:r>
      <w:proofErr w:type="spellEnd"/>
      <w:r w:rsidR="00426239">
        <w:rPr>
          <w:sz w:val="24"/>
          <w:szCs w:val="24"/>
        </w:rPr>
        <w:t xml:space="preserve">… </w:t>
      </w:r>
      <w:proofErr w:type="spellStart"/>
      <w:r w:rsidR="00426239">
        <w:rPr>
          <w:sz w:val="24"/>
          <w:szCs w:val="24"/>
        </w:rPr>
        <w:t>Corinthea</w:t>
      </w:r>
      <w:proofErr w:type="spellEnd"/>
      <w:r w:rsidR="00426239">
        <w:rPr>
          <w:sz w:val="24"/>
          <w:szCs w:val="24"/>
        </w:rPr>
        <w:t>”. The polyptoton highlights the importance of this substance an</w:t>
      </w:r>
      <w:r w:rsidR="00C974CF">
        <w:rPr>
          <w:sz w:val="24"/>
          <w:szCs w:val="24"/>
        </w:rPr>
        <w:t xml:space="preserve">d therefore </w:t>
      </w:r>
      <w:r w:rsidR="00A05D87">
        <w:rPr>
          <w:sz w:val="24"/>
          <w:szCs w:val="24"/>
        </w:rPr>
        <w:t>again displays Trimalchio’s wealth to the audience</w:t>
      </w:r>
      <w:r w:rsidR="006D707D">
        <w:rPr>
          <w:sz w:val="24"/>
          <w:szCs w:val="24"/>
        </w:rPr>
        <w:t xml:space="preserve">, as </w:t>
      </w:r>
      <w:r w:rsidR="00753173">
        <w:rPr>
          <w:sz w:val="24"/>
          <w:szCs w:val="24"/>
        </w:rPr>
        <w:t>it was very expensive and highly desired amongst the noble classes</w:t>
      </w:r>
      <w:r w:rsidR="00C6428E">
        <w:rPr>
          <w:sz w:val="24"/>
          <w:szCs w:val="24"/>
        </w:rPr>
        <w:t xml:space="preserve">; Smith states that the “craze for Corinthian bronze is mocked by various writers, including Martial and Seneca” (Smith, 1975, p. 134). </w:t>
      </w:r>
      <w:r w:rsidR="00F83725">
        <w:rPr>
          <w:sz w:val="24"/>
          <w:szCs w:val="24"/>
        </w:rPr>
        <w:t>Petronius sets up the audience to be amused at Trimalchio’s mixing up of history and literature by making Encolpius sneer at Trimalchio’s pretensions</w:t>
      </w:r>
      <w:r w:rsidR="00BA4BF3">
        <w:rPr>
          <w:sz w:val="24"/>
          <w:szCs w:val="24"/>
        </w:rPr>
        <w:t xml:space="preserve">, “pro </w:t>
      </w:r>
      <w:proofErr w:type="spellStart"/>
      <w:r w:rsidR="00BA4BF3">
        <w:rPr>
          <w:sz w:val="24"/>
          <w:szCs w:val="24"/>
        </w:rPr>
        <w:t>reliqua</w:t>
      </w:r>
      <w:proofErr w:type="spellEnd"/>
      <w:r w:rsidR="00BA4BF3">
        <w:rPr>
          <w:sz w:val="24"/>
          <w:szCs w:val="24"/>
        </w:rPr>
        <w:t xml:space="preserve"> </w:t>
      </w:r>
      <w:proofErr w:type="spellStart"/>
      <w:r w:rsidR="00BA4BF3">
        <w:rPr>
          <w:sz w:val="24"/>
          <w:szCs w:val="24"/>
        </w:rPr>
        <w:t>insolentia</w:t>
      </w:r>
      <w:proofErr w:type="spellEnd"/>
      <w:r w:rsidR="005A09CD">
        <w:rPr>
          <w:sz w:val="24"/>
          <w:szCs w:val="24"/>
        </w:rPr>
        <w:t>”</w:t>
      </w:r>
      <w:r w:rsidR="008359A0">
        <w:rPr>
          <w:sz w:val="24"/>
          <w:szCs w:val="24"/>
        </w:rPr>
        <w:t xml:space="preserve"> and then introducing Trimalchio’s explanation with the comparative “</w:t>
      </w:r>
      <w:proofErr w:type="spellStart"/>
      <w:r w:rsidR="008359A0">
        <w:rPr>
          <w:sz w:val="24"/>
          <w:szCs w:val="24"/>
        </w:rPr>
        <w:t>melius</w:t>
      </w:r>
      <w:proofErr w:type="spellEnd"/>
      <w:r w:rsidR="008359A0">
        <w:rPr>
          <w:sz w:val="24"/>
          <w:szCs w:val="24"/>
        </w:rPr>
        <w:t xml:space="preserve">". </w:t>
      </w:r>
      <w:r w:rsidR="00C44E02">
        <w:rPr>
          <w:sz w:val="24"/>
          <w:szCs w:val="24"/>
        </w:rPr>
        <w:t xml:space="preserve">The audience are immediately ready for </w:t>
      </w:r>
      <w:r w:rsidR="002352B9">
        <w:rPr>
          <w:sz w:val="24"/>
          <w:szCs w:val="24"/>
        </w:rPr>
        <w:t xml:space="preserve">an amusing </w:t>
      </w:r>
      <w:r w:rsidR="00321323">
        <w:rPr>
          <w:sz w:val="24"/>
          <w:szCs w:val="24"/>
        </w:rPr>
        <w:t xml:space="preserve">tale </w:t>
      </w:r>
      <w:r w:rsidR="00A01116">
        <w:rPr>
          <w:sz w:val="24"/>
          <w:szCs w:val="24"/>
        </w:rPr>
        <w:t>from Trimalchio</w:t>
      </w:r>
      <w:r w:rsidR="00D62204">
        <w:rPr>
          <w:sz w:val="24"/>
          <w:szCs w:val="24"/>
        </w:rPr>
        <w:t xml:space="preserve"> due to this, and despite </w:t>
      </w:r>
      <w:r w:rsidR="00BE4AF1">
        <w:rPr>
          <w:sz w:val="24"/>
          <w:szCs w:val="24"/>
        </w:rPr>
        <w:t>“</w:t>
      </w:r>
      <w:proofErr w:type="spellStart"/>
      <w:r w:rsidR="00BE4AF1">
        <w:rPr>
          <w:sz w:val="24"/>
          <w:szCs w:val="24"/>
        </w:rPr>
        <w:t>melius</w:t>
      </w:r>
      <w:proofErr w:type="spellEnd"/>
      <w:r w:rsidR="00BE4AF1">
        <w:rPr>
          <w:sz w:val="24"/>
          <w:szCs w:val="24"/>
        </w:rPr>
        <w:t xml:space="preserve">” </w:t>
      </w:r>
      <w:r w:rsidR="00FE4631">
        <w:rPr>
          <w:sz w:val="24"/>
          <w:szCs w:val="24"/>
        </w:rPr>
        <w:t xml:space="preserve">normally </w:t>
      </w:r>
      <w:r w:rsidR="004C5DA0">
        <w:rPr>
          <w:sz w:val="24"/>
          <w:szCs w:val="24"/>
        </w:rPr>
        <w:t>indicating a positive</w:t>
      </w:r>
      <w:r w:rsidR="008E18DE">
        <w:rPr>
          <w:sz w:val="24"/>
          <w:szCs w:val="24"/>
        </w:rPr>
        <w:t xml:space="preserve">, </w:t>
      </w:r>
      <w:r w:rsidR="002651DD">
        <w:rPr>
          <w:sz w:val="24"/>
          <w:szCs w:val="24"/>
        </w:rPr>
        <w:t>here it is used negatively towards Trimalchio, intonating that he was even more</w:t>
      </w:r>
      <w:r w:rsidR="009012F6">
        <w:rPr>
          <w:sz w:val="24"/>
          <w:szCs w:val="24"/>
        </w:rPr>
        <w:t xml:space="preserve"> ignorant and boastful than he has already appeared to be. T</w:t>
      </w:r>
      <w:r w:rsidR="00CB5215">
        <w:rPr>
          <w:sz w:val="24"/>
          <w:szCs w:val="24"/>
        </w:rPr>
        <w:t>ri</w:t>
      </w:r>
      <w:r w:rsidR="00524426">
        <w:rPr>
          <w:sz w:val="24"/>
          <w:szCs w:val="24"/>
        </w:rPr>
        <w:t>malchio appears to be aware that others look down on him</w:t>
      </w:r>
      <w:r w:rsidR="00441920">
        <w:rPr>
          <w:sz w:val="24"/>
          <w:szCs w:val="24"/>
        </w:rPr>
        <w:t xml:space="preserve">, </w:t>
      </w:r>
      <w:r w:rsidR="00CF416E">
        <w:rPr>
          <w:sz w:val="24"/>
          <w:szCs w:val="24"/>
        </w:rPr>
        <w:t>saying</w:t>
      </w:r>
      <w:r w:rsidR="00441920">
        <w:rPr>
          <w:sz w:val="24"/>
          <w:szCs w:val="24"/>
        </w:rPr>
        <w:t xml:space="preserve"> </w:t>
      </w:r>
      <w:r w:rsidR="0044343E">
        <w:rPr>
          <w:sz w:val="24"/>
          <w:szCs w:val="24"/>
        </w:rPr>
        <w:t xml:space="preserve">“ne me </w:t>
      </w:r>
      <w:proofErr w:type="spellStart"/>
      <w:r w:rsidR="0044343E">
        <w:rPr>
          <w:sz w:val="24"/>
          <w:szCs w:val="24"/>
        </w:rPr>
        <w:t>putetis</w:t>
      </w:r>
      <w:proofErr w:type="spellEnd"/>
      <w:r w:rsidR="0044343E">
        <w:rPr>
          <w:sz w:val="24"/>
          <w:szCs w:val="24"/>
        </w:rPr>
        <w:t xml:space="preserve"> </w:t>
      </w:r>
      <w:proofErr w:type="spellStart"/>
      <w:r w:rsidR="0044343E">
        <w:rPr>
          <w:sz w:val="24"/>
          <w:szCs w:val="24"/>
        </w:rPr>
        <w:t>nesapium</w:t>
      </w:r>
      <w:proofErr w:type="spellEnd"/>
      <w:r w:rsidR="0044343E">
        <w:rPr>
          <w:sz w:val="24"/>
          <w:szCs w:val="24"/>
        </w:rPr>
        <w:t xml:space="preserve"> </w:t>
      </w:r>
      <w:proofErr w:type="spellStart"/>
      <w:r w:rsidR="0044343E">
        <w:rPr>
          <w:sz w:val="24"/>
          <w:szCs w:val="24"/>
        </w:rPr>
        <w:t>esse</w:t>
      </w:r>
      <w:proofErr w:type="spellEnd"/>
      <w:r w:rsidR="0044343E">
        <w:rPr>
          <w:sz w:val="24"/>
          <w:szCs w:val="24"/>
        </w:rPr>
        <w:t>”</w:t>
      </w:r>
      <w:r w:rsidR="00CF416E">
        <w:rPr>
          <w:sz w:val="24"/>
          <w:szCs w:val="24"/>
        </w:rPr>
        <w:t xml:space="preserve"> before he embarks on telling his dinner guests the origin of Corinthian bronze. </w:t>
      </w:r>
      <w:r w:rsidR="00F1127A">
        <w:rPr>
          <w:sz w:val="24"/>
          <w:szCs w:val="24"/>
        </w:rPr>
        <w:t>Petronius highlights this with the contrast between “</w:t>
      </w:r>
      <w:proofErr w:type="spellStart"/>
      <w:r w:rsidR="00F1127A">
        <w:rPr>
          <w:sz w:val="24"/>
          <w:szCs w:val="24"/>
        </w:rPr>
        <w:t>nesapium</w:t>
      </w:r>
      <w:proofErr w:type="spellEnd"/>
      <w:r w:rsidR="00F1127A">
        <w:rPr>
          <w:sz w:val="24"/>
          <w:szCs w:val="24"/>
        </w:rPr>
        <w:t xml:space="preserve">” and “bene </w:t>
      </w:r>
      <w:proofErr w:type="spellStart"/>
      <w:r w:rsidR="00F1127A">
        <w:rPr>
          <w:sz w:val="24"/>
          <w:szCs w:val="24"/>
        </w:rPr>
        <w:t>scio</w:t>
      </w:r>
      <w:proofErr w:type="spellEnd"/>
      <w:r w:rsidR="00F1127A">
        <w:rPr>
          <w:sz w:val="24"/>
          <w:szCs w:val="24"/>
        </w:rPr>
        <w:t>”</w:t>
      </w:r>
      <w:r w:rsidR="00AC57B7">
        <w:rPr>
          <w:sz w:val="24"/>
          <w:szCs w:val="24"/>
        </w:rPr>
        <w:t xml:space="preserve">, setting the scene for </w:t>
      </w:r>
      <w:r w:rsidR="00AC57B7">
        <w:rPr>
          <w:sz w:val="24"/>
          <w:szCs w:val="24"/>
        </w:rPr>
        <w:lastRenderedPageBreak/>
        <w:t xml:space="preserve">Trimalchio’s erroneous explanation of </w:t>
      </w:r>
      <w:r w:rsidR="00D81EDA">
        <w:rPr>
          <w:sz w:val="24"/>
          <w:szCs w:val="24"/>
        </w:rPr>
        <w:t xml:space="preserve">how Corinthian bronze was discovered. </w:t>
      </w:r>
      <w:r w:rsidR="00AD0B14">
        <w:rPr>
          <w:sz w:val="24"/>
          <w:szCs w:val="24"/>
        </w:rPr>
        <w:t xml:space="preserve">Petronius has Trimalchio mix up events from myth and history by linking Hannibal with the Trojan War, “Ilium </w:t>
      </w:r>
      <w:proofErr w:type="spellStart"/>
      <w:r w:rsidR="00AD0B14">
        <w:rPr>
          <w:sz w:val="24"/>
          <w:szCs w:val="24"/>
        </w:rPr>
        <w:t>captum</w:t>
      </w:r>
      <w:proofErr w:type="spellEnd"/>
      <w:r w:rsidR="00AD0B14">
        <w:rPr>
          <w:sz w:val="24"/>
          <w:szCs w:val="24"/>
        </w:rPr>
        <w:t xml:space="preserve"> </w:t>
      </w:r>
      <w:proofErr w:type="spellStart"/>
      <w:r w:rsidR="00AD0B14">
        <w:rPr>
          <w:sz w:val="24"/>
          <w:szCs w:val="24"/>
        </w:rPr>
        <w:t>est</w:t>
      </w:r>
      <w:proofErr w:type="spellEnd"/>
      <w:r w:rsidR="00AD0B14">
        <w:rPr>
          <w:sz w:val="24"/>
          <w:szCs w:val="24"/>
        </w:rPr>
        <w:t xml:space="preserve">, Hannibal”. </w:t>
      </w:r>
      <w:r w:rsidR="00F06897">
        <w:rPr>
          <w:sz w:val="24"/>
          <w:szCs w:val="24"/>
        </w:rPr>
        <w:t xml:space="preserve">His description of Hannibal as a “homo </w:t>
      </w:r>
      <w:proofErr w:type="spellStart"/>
      <w:r w:rsidR="00F06897">
        <w:rPr>
          <w:sz w:val="24"/>
          <w:szCs w:val="24"/>
        </w:rPr>
        <w:t>vafer</w:t>
      </w:r>
      <w:proofErr w:type="spellEnd"/>
      <w:r w:rsidR="00F06897">
        <w:rPr>
          <w:sz w:val="24"/>
          <w:szCs w:val="24"/>
        </w:rPr>
        <w:t xml:space="preserve">” calls to mind the description of </w:t>
      </w:r>
      <w:r w:rsidR="00996029">
        <w:rPr>
          <w:sz w:val="24"/>
          <w:szCs w:val="24"/>
        </w:rPr>
        <w:t>Odysseus in Homer as “</w:t>
      </w:r>
      <w:r w:rsidR="0061356F" w:rsidRPr="009D471B">
        <w:rPr>
          <w:rFonts w:ascii="Palatino Linotype" w:hAnsi="Palatino Linotype"/>
          <w:sz w:val="24"/>
          <w:szCs w:val="24"/>
        </w:rPr>
        <w:t>π</w:t>
      </w:r>
      <w:proofErr w:type="spellStart"/>
      <w:r w:rsidR="0061356F" w:rsidRPr="009D471B">
        <w:rPr>
          <w:rFonts w:ascii="Palatino Linotype" w:hAnsi="Palatino Linotype"/>
          <w:sz w:val="24"/>
          <w:szCs w:val="24"/>
        </w:rPr>
        <w:t>ολύμητις</w:t>
      </w:r>
      <w:proofErr w:type="spellEnd"/>
      <w:r w:rsidR="0061356F">
        <w:rPr>
          <w:sz w:val="24"/>
          <w:szCs w:val="24"/>
        </w:rPr>
        <w:t>”</w:t>
      </w:r>
      <w:r w:rsidR="0049143D">
        <w:rPr>
          <w:rStyle w:val="FootnoteReference"/>
          <w:sz w:val="24"/>
          <w:szCs w:val="24"/>
        </w:rPr>
        <w:footnoteReference w:id="10"/>
      </w:r>
      <w:r w:rsidR="0061356F">
        <w:rPr>
          <w:sz w:val="24"/>
          <w:szCs w:val="24"/>
        </w:rPr>
        <w:t>, furthe</w:t>
      </w:r>
      <w:r w:rsidR="009D471B">
        <w:rPr>
          <w:sz w:val="24"/>
          <w:szCs w:val="24"/>
        </w:rPr>
        <w:t xml:space="preserve">r </w:t>
      </w:r>
      <w:r w:rsidR="003672A9">
        <w:rPr>
          <w:sz w:val="24"/>
          <w:szCs w:val="24"/>
        </w:rPr>
        <w:t xml:space="preserve">mixing up the different </w:t>
      </w:r>
      <w:r w:rsidR="00234521">
        <w:rPr>
          <w:sz w:val="24"/>
          <w:szCs w:val="24"/>
        </w:rPr>
        <w:t xml:space="preserve">tales. </w:t>
      </w:r>
      <w:r w:rsidR="00F8482C">
        <w:rPr>
          <w:sz w:val="24"/>
          <w:szCs w:val="24"/>
        </w:rPr>
        <w:t>Trimalchio</w:t>
      </w:r>
      <w:r w:rsidR="003C6586">
        <w:rPr>
          <w:sz w:val="24"/>
          <w:szCs w:val="24"/>
        </w:rPr>
        <w:t xml:space="preserve"> may be trying to repea</w:t>
      </w:r>
      <w:r w:rsidR="00626CA8">
        <w:rPr>
          <w:sz w:val="24"/>
          <w:szCs w:val="24"/>
        </w:rPr>
        <w:t xml:space="preserve">t a misconception about the discovery of </w:t>
      </w:r>
      <w:r w:rsidR="00CC0C42">
        <w:rPr>
          <w:sz w:val="24"/>
          <w:szCs w:val="24"/>
        </w:rPr>
        <w:t>Corinthian</w:t>
      </w:r>
      <w:r w:rsidR="00626CA8">
        <w:rPr>
          <w:sz w:val="24"/>
          <w:szCs w:val="24"/>
        </w:rPr>
        <w:t xml:space="preserve"> bronze, </w:t>
      </w:r>
      <w:r w:rsidR="005F3A8E">
        <w:rPr>
          <w:sz w:val="24"/>
          <w:szCs w:val="24"/>
        </w:rPr>
        <w:t xml:space="preserve">as Pliny the Elder </w:t>
      </w:r>
      <w:r w:rsidR="00B070E5">
        <w:rPr>
          <w:sz w:val="24"/>
          <w:szCs w:val="24"/>
        </w:rPr>
        <w:t>records it being discovered</w:t>
      </w:r>
      <w:r w:rsidR="000A7902">
        <w:rPr>
          <w:sz w:val="24"/>
          <w:szCs w:val="24"/>
        </w:rPr>
        <w:t xml:space="preserve"> </w:t>
      </w:r>
      <w:r w:rsidR="003A77C4">
        <w:rPr>
          <w:sz w:val="24"/>
          <w:szCs w:val="24"/>
        </w:rPr>
        <w:t xml:space="preserve">in 146 BCE after Lucius </w:t>
      </w:r>
      <w:proofErr w:type="spellStart"/>
      <w:r w:rsidR="003A77C4">
        <w:rPr>
          <w:sz w:val="24"/>
          <w:szCs w:val="24"/>
        </w:rPr>
        <w:t>Mummius</w:t>
      </w:r>
      <w:proofErr w:type="spellEnd"/>
      <w:r w:rsidR="003A77C4">
        <w:rPr>
          <w:sz w:val="24"/>
          <w:szCs w:val="24"/>
        </w:rPr>
        <w:t xml:space="preserve"> sacked Corinth a</w:t>
      </w:r>
      <w:r w:rsidR="00CC0C42">
        <w:rPr>
          <w:sz w:val="24"/>
          <w:szCs w:val="24"/>
        </w:rPr>
        <w:t xml:space="preserve">nd in the subsequent fire, as Smith notes, (Smith, 1975, p. 135). However, </w:t>
      </w:r>
      <w:r w:rsidR="00AD3A2C">
        <w:rPr>
          <w:sz w:val="24"/>
          <w:szCs w:val="24"/>
        </w:rPr>
        <w:t xml:space="preserve">Sedgwick also notes that this cannot be true due to some </w:t>
      </w:r>
      <w:r w:rsidR="005C0F03">
        <w:rPr>
          <w:sz w:val="24"/>
          <w:szCs w:val="24"/>
        </w:rPr>
        <w:t xml:space="preserve">Corinthian bronzes being made </w:t>
      </w:r>
      <w:r w:rsidR="00927C28">
        <w:rPr>
          <w:sz w:val="24"/>
          <w:szCs w:val="24"/>
        </w:rPr>
        <w:t>well before the sack of Corinth</w:t>
      </w:r>
      <w:r w:rsidR="00933A9E">
        <w:rPr>
          <w:sz w:val="24"/>
          <w:szCs w:val="24"/>
        </w:rPr>
        <w:t xml:space="preserve"> (Sedgwick, 1950, p. 110). </w:t>
      </w:r>
      <w:r w:rsidR="00C40473">
        <w:rPr>
          <w:sz w:val="24"/>
          <w:szCs w:val="24"/>
        </w:rPr>
        <w:t xml:space="preserve">Despite his best efforts to impress his dinner guests with his knowledge, Trimalchio does not impress </w:t>
      </w:r>
      <w:r w:rsidR="009D22EA">
        <w:rPr>
          <w:sz w:val="24"/>
          <w:szCs w:val="24"/>
        </w:rPr>
        <w:t xml:space="preserve">either Encolpius or </w:t>
      </w:r>
      <w:r w:rsidR="00C40473">
        <w:rPr>
          <w:sz w:val="24"/>
          <w:szCs w:val="24"/>
        </w:rPr>
        <w:t xml:space="preserve">the audience of the </w:t>
      </w:r>
      <w:r w:rsidR="00C40473" w:rsidRPr="007D2723">
        <w:rPr>
          <w:i/>
          <w:iCs/>
          <w:sz w:val="24"/>
          <w:szCs w:val="24"/>
        </w:rPr>
        <w:t>Satyricon</w:t>
      </w:r>
      <w:r w:rsidR="00D101A1">
        <w:rPr>
          <w:sz w:val="24"/>
          <w:szCs w:val="24"/>
        </w:rPr>
        <w:t xml:space="preserve"> with his mixing up of very well-known myths and history. </w:t>
      </w:r>
    </w:p>
    <w:p w14:paraId="2E7DF320" w14:textId="2EE76AB5" w:rsidR="717F7E32" w:rsidRDefault="717F7E32" w:rsidP="717F7E32"/>
    <w:p w14:paraId="7F72DF2B" w14:textId="77777777" w:rsidR="007D2723" w:rsidRDefault="007D2723" w:rsidP="717F7E32"/>
    <w:p w14:paraId="122A732F" w14:textId="77777777" w:rsidR="007D2723" w:rsidRDefault="007D2723" w:rsidP="717F7E32"/>
    <w:p w14:paraId="453C1539" w14:textId="77777777" w:rsidR="007D2723" w:rsidRDefault="007D2723" w:rsidP="717F7E32"/>
    <w:p w14:paraId="03A00FA7" w14:textId="77777777" w:rsidR="007D2723" w:rsidRDefault="007D2723" w:rsidP="717F7E32"/>
    <w:p w14:paraId="448C6859" w14:textId="77777777" w:rsidR="007D2723" w:rsidRDefault="007D2723" w:rsidP="717F7E32"/>
    <w:p w14:paraId="6A82D8BB" w14:textId="77777777" w:rsidR="007D2723" w:rsidRDefault="007D2723" w:rsidP="717F7E32"/>
    <w:p w14:paraId="6FA11273" w14:textId="77777777" w:rsidR="007D2723" w:rsidRDefault="007D2723" w:rsidP="717F7E32"/>
    <w:p w14:paraId="6BA90E48" w14:textId="77777777" w:rsidR="007D2723" w:rsidRDefault="007D2723" w:rsidP="717F7E32"/>
    <w:p w14:paraId="413AB8DC" w14:textId="77777777" w:rsidR="007D2723" w:rsidRDefault="007D2723" w:rsidP="717F7E32"/>
    <w:p w14:paraId="207F92BF" w14:textId="77777777" w:rsidR="007D2723" w:rsidRDefault="007D2723" w:rsidP="717F7E32"/>
    <w:p w14:paraId="40300F57" w14:textId="77777777" w:rsidR="007D2723" w:rsidRDefault="007D2723" w:rsidP="717F7E32"/>
    <w:p w14:paraId="5C9BC9DF" w14:textId="77777777" w:rsidR="007D2723" w:rsidRDefault="007D2723" w:rsidP="717F7E32"/>
    <w:p w14:paraId="09936454" w14:textId="77777777" w:rsidR="007D2723" w:rsidRDefault="007D2723" w:rsidP="717F7E32"/>
    <w:p w14:paraId="25F10902" w14:textId="77777777" w:rsidR="007D2723" w:rsidRDefault="007D2723" w:rsidP="717F7E32"/>
    <w:p w14:paraId="53E05479" w14:textId="77777777" w:rsidR="007D2723" w:rsidRDefault="007D2723" w:rsidP="717F7E32"/>
    <w:p w14:paraId="34AEFCF4" w14:textId="77777777" w:rsidR="007D2723" w:rsidRDefault="007D2723" w:rsidP="717F7E32"/>
    <w:p w14:paraId="623BE9FE" w14:textId="77777777" w:rsidR="007D2723" w:rsidRDefault="007D2723" w:rsidP="717F7E32"/>
    <w:p w14:paraId="4220F1C1" w14:textId="77777777" w:rsidR="007D2723" w:rsidRDefault="007D2723" w:rsidP="717F7E32"/>
    <w:p w14:paraId="4FF17713" w14:textId="77777777" w:rsidR="00AD63DF" w:rsidRDefault="00AD63DF" w:rsidP="717F7E32"/>
    <w:p w14:paraId="38CAF34C" w14:textId="77777777" w:rsidR="007D2723" w:rsidRDefault="007D2723" w:rsidP="717F7E32"/>
    <w:p w14:paraId="44838F6B" w14:textId="77777777" w:rsidR="007D2723" w:rsidRDefault="007D2723" w:rsidP="717F7E32"/>
    <w:p w14:paraId="01199942" w14:textId="06F007F3" w:rsidR="7AEC2333" w:rsidRDefault="7AEC2333" w:rsidP="717F7E32">
      <w:p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17F7E32">
        <w:rPr>
          <w:rStyle w:val="normaltextrun"/>
          <w:rFonts w:ascii="Calibri" w:eastAsia="Calibri" w:hAnsi="Calibri" w:cs="Calibri"/>
          <w:b/>
          <w:bCs/>
          <w:color w:val="000000" w:themeColor="text1"/>
          <w:sz w:val="24"/>
          <w:szCs w:val="24"/>
        </w:rPr>
        <w:t>Bibliography</w:t>
      </w:r>
      <w:r w:rsidRPr="717F7E32">
        <w:rPr>
          <w:rStyle w:val="eop"/>
          <w:rFonts w:ascii="Calibri" w:eastAsia="Calibri" w:hAnsi="Calibri" w:cs="Calibri"/>
          <w:color w:val="000000" w:themeColor="text1"/>
          <w:sz w:val="24"/>
          <w:szCs w:val="24"/>
        </w:rPr>
        <w:t> </w:t>
      </w:r>
    </w:p>
    <w:p w14:paraId="47B5193C" w14:textId="181D1144" w:rsidR="7AEC2333" w:rsidRDefault="7AEC2333" w:rsidP="717F7E32">
      <w:p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17F7E32">
        <w:rPr>
          <w:rStyle w:val="eop"/>
          <w:rFonts w:ascii="Calibri" w:eastAsia="Calibri" w:hAnsi="Calibri" w:cs="Calibri"/>
          <w:color w:val="000000" w:themeColor="text1"/>
          <w:sz w:val="24"/>
          <w:szCs w:val="24"/>
        </w:rPr>
        <w:t> </w:t>
      </w:r>
    </w:p>
    <w:p w14:paraId="7DA443D9" w14:textId="667D03FA" w:rsidR="006C5497" w:rsidRDefault="006C5497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>Bicknell, P. (1968) ‘</w:t>
      </w:r>
      <w:proofErr w:type="spellStart"/>
      <w:r>
        <w:rPr>
          <w:rFonts w:ascii="Calibri" w:eastAsia="Calibri" w:hAnsi="Calibri" w:cs="Calibri"/>
          <w:color w:val="000000" w:themeColor="text1"/>
          <w:sz w:val="24"/>
          <w:szCs w:val="24"/>
        </w:rPr>
        <w:t>Opimian</w:t>
      </w:r>
      <w:proofErr w:type="spellEnd"/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Bitters or “</w:t>
      </w:r>
      <w:proofErr w:type="spellStart"/>
      <w:r>
        <w:rPr>
          <w:rFonts w:ascii="Calibri" w:eastAsia="Calibri" w:hAnsi="Calibri" w:cs="Calibri"/>
          <w:color w:val="000000" w:themeColor="text1"/>
          <w:sz w:val="24"/>
          <w:szCs w:val="24"/>
        </w:rPr>
        <w:t>Opimian</w:t>
      </w:r>
      <w:proofErr w:type="spellEnd"/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” Wine’, </w:t>
      </w:r>
      <w:r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The American Journal of Philology</w:t>
      </w:r>
      <w:r w:rsidR="00A03D46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,</w:t>
      </w:r>
      <w:r w:rsidR="00A03D46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89(3), pp. 347-349</w:t>
      </w:r>
    </w:p>
    <w:p w14:paraId="788E2351" w14:textId="00956361" w:rsidR="001036E3" w:rsidRDefault="001036E3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>Bodel</w:t>
      </w:r>
      <w:r w:rsidR="00253B3A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J. </w:t>
      </w:r>
      <w:r w:rsidR="00ED7C4A">
        <w:rPr>
          <w:rFonts w:ascii="Calibri" w:eastAsia="Calibri" w:hAnsi="Calibri" w:cs="Calibri"/>
          <w:color w:val="000000" w:themeColor="text1"/>
          <w:sz w:val="24"/>
          <w:szCs w:val="24"/>
        </w:rPr>
        <w:t>(</w:t>
      </w:r>
      <w:r w:rsidR="00B148BB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2003) ‘Omnia in </w:t>
      </w:r>
      <w:proofErr w:type="spellStart"/>
      <w:r w:rsidR="00B148BB">
        <w:rPr>
          <w:rFonts w:ascii="Calibri" w:eastAsia="Calibri" w:hAnsi="Calibri" w:cs="Calibri"/>
          <w:color w:val="000000" w:themeColor="text1"/>
          <w:sz w:val="24"/>
          <w:szCs w:val="24"/>
        </w:rPr>
        <w:t>nummis</w:t>
      </w:r>
      <w:proofErr w:type="spellEnd"/>
      <w:r w:rsidR="00B148BB">
        <w:rPr>
          <w:rFonts w:ascii="Calibri" w:eastAsia="Calibri" w:hAnsi="Calibri" w:cs="Calibri"/>
          <w:color w:val="000000" w:themeColor="text1"/>
          <w:sz w:val="24"/>
          <w:szCs w:val="24"/>
        </w:rPr>
        <w:t>: Money and the Mone</w:t>
      </w:r>
      <w:r w:rsidR="005E7FC8">
        <w:rPr>
          <w:rFonts w:ascii="Calibri" w:eastAsia="Calibri" w:hAnsi="Calibri" w:cs="Calibri"/>
          <w:color w:val="000000" w:themeColor="text1"/>
          <w:sz w:val="24"/>
          <w:szCs w:val="24"/>
        </w:rPr>
        <w:t>tary Economy in Petronius’</w:t>
      </w:r>
      <w:r w:rsidR="00314064">
        <w:rPr>
          <w:rFonts w:ascii="Calibri" w:eastAsia="Calibri" w:hAnsi="Calibri" w:cs="Calibri"/>
          <w:color w:val="000000" w:themeColor="text1"/>
          <w:sz w:val="24"/>
          <w:szCs w:val="24"/>
        </w:rPr>
        <w:t>, in Urso, G.</w:t>
      </w:r>
      <w:r w:rsidR="00393CE7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(ed.)</w:t>
      </w:r>
      <w:r w:rsidR="00AA604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AA604D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Moneta, </w:t>
      </w:r>
      <w:proofErr w:type="spellStart"/>
      <w:r w:rsidR="00AA604D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merchanti</w:t>
      </w:r>
      <w:proofErr w:type="spellEnd"/>
      <w:r w:rsidR="00AA604D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, </w:t>
      </w:r>
      <w:proofErr w:type="spellStart"/>
      <w:r w:rsidR="00AA604D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banchieri</w:t>
      </w:r>
      <w:proofErr w:type="spellEnd"/>
      <w:r w:rsidR="00B93873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: I </w:t>
      </w:r>
      <w:proofErr w:type="spellStart"/>
      <w:r w:rsidR="00B93873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precendenti</w:t>
      </w:r>
      <w:proofErr w:type="spellEnd"/>
      <w:r w:rsidR="00B93873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="00B93873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grecie</w:t>
      </w:r>
      <w:proofErr w:type="spellEnd"/>
      <w:r w:rsidR="00B93873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 e </w:t>
      </w:r>
      <w:proofErr w:type="spellStart"/>
      <w:r w:rsidR="00B93873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romani</w:t>
      </w:r>
      <w:proofErr w:type="spellEnd"/>
      <w:r w:rsidR="00B93873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="00B93873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dell’Euro</w:t>
      </w:r>
      <w:proofErr w:type="spellEnd"/>
      <w:r w:rsidR="00BD140E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  <w:r w:rsidR="005C534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Pisa: Fondazione Niccolo </w:t>
      </w:r>
      <w:proofErr w:type="spellStart"/>
      <w:r w:rsidR="005C5343">
        <w:rPr>
          <w:rFonts w:ascii="Calibri" w:eastAsia="Calibri" w:hAnsi="Calibri" w:cs="Calibri"/>
          <w:color w:val="000000" w:themeColor="text1"/>
          <w:sz w:val="24"/>
          <w:szCs w:val="24"/>
        </w:rPr>
        <w:t>Canussio</w:t>
      </w:r>
      <w:proofErr w:type="spellEnd"/>
      <w:r w:rsidR="005C534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</w:p>
    <w:p w14:paraId="108C3846" w14:textId="05D886F6" w:rsidR="009E6007" w:rsidRDefault="009E6007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Bodel, J. (1999) ‘The Cena </w:t>
      </w:r>
      <w:proofErr w:type="spellStart"/>
      <w:r>
        <w:rPr>
          <w:rFonts w:ascii="Calibri" w:eastAsia="Calibri" w:hAnsi="Calibri" w:cs="Calibri"/>
          <w:color w:val="000000" w:themeColor="text1"/>
          <w:sz w:val="24"/>
          <w:szCs w:val="24"/>
        </w:rPr>
        <w:t>Trimalchionis</w:t>
      </w:r>
      <w:proofErr w:type="spellEnd"/>
      <w:r>
        <w:rPr>
          <w:rFonts w:ascii="Calibri" w:eastAsia="Calibri" w:hAnsi="Calibri" w:cs="Calibri"/>
          <w:color w:val="000000" w:themeColor="text1"/>
          <w:sz w:val="24"/>
          <w:szCs w:val="24"/>
        </w:rPr>
        <w:t>’</w:t>
      </w:r>
      <w:r w:rsidR="000D4D99">
        <w:rPr>
          <w:rFonts w:ascii="Calibri" w:eastAsia="Calibri" w:hAnsi="Calibri" w:cs="Calibri"/>
          <w:color w:val="000000" w:themeColor="text1"/>
          <w:sz w:val="24"/>
          <w:szCs w:val="24"/>
        </w:rPr>
        <w:t>, in Hofmann, H. (ed.)</w:t>
      </w:r>
      <w:r w:rsidR="002303E6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2303E6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Latin Fiction: </w:t>
      </w:r>
      <w:proofErr w:type="gramStart"/>
      <w:r w:rsidR="002303E6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the</w:t>
      </w:r>
      <w:proofErr w:type="gramEnd"/>
      <w:r w:rsidR="002303E6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 Latin novel in context</w:t>
      </w:r>
      <w:r w:rsidR="00567926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  <w:r w:rsidR="00D16475">
        <w:rPr>
          <w:rFonts w:ascii="Calibri" w:eastAsia="Calibri" w:hAnsi="Calibri" w:cs="Calibri"/>
          <w:color w:val="000000" w:themeColor="text1"/>
          <w:sz w:val="24"/>
          <w:szCs w:val="24"/>
        </w:rPr>
        <w:t>Abingdon: Routledge</w:t>
      </w:r>
    </w:p>
    <w:p w14:paraId="4706F485" w14:textId="2D4CFD75" w:rsidR="000A6BBB" w:rsidRDefault="000A6BBB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>Cameron, A.</w:t>
      </w:r>
      <w:r w:rsidR="00691584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(1969) ‘</w:t>
      </w:r>
      <w:r w:rsidR="00C860A1">
        <w:rPr>
          <w:rFonts w:ascii="Calibri" w:eastAsia="Calibri" w:hAnsi="Calibri" w:cs="Calibri"/>
          <w:color w:val="000000" w:themeColor="text1"/>
          <w:sz w:val="24"/>
          <w:szCs w:val="24"/>
        </w:rPr>
        <w:t>Petronius and Plato’</w:t>
      </w:r>
      <w:r w:rsidR="00832ED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="00832ED1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Classical Quarterly,</w:t>
      </w:r>
      <w:r w:rsidR="00832ED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19, pp.</w:t>
      </w:r>
      <w:r w:rsidR="005F5DC7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00552BDA">
        <w:rPr>
          <w:rFonts w:ascii="Calibri" w:eastAsia="Calibri" w:hAnsi="Calibri" w:cs="Calibri"/>
          <w:color w:val="000000" w:themeColor="text1"/>
          <w:sz w:val="24"/>
          <w:szCs w:val="24"/>
        </w:rPr>
        <w:t>367-370</w:t>
      </w:r>
    </w:p>
    <w:p w14:paraId="7F3E3931" w14:textId="179C4C5A" w:rsidR="00596176" w:rsidRDefault="00596176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proofErr w:type="spellStart"/>
      <w:r>
        <w:rPr>
          <w:rFonts w:ascii="Calibri" w:eastAsia="Calibri" w:hAnsi="Calibri" w:cs="Calibri"/>
          <w:color w:val="000000" w:themeColor="text1"/>
          <w:sz w:val="24"/>
          <w:szCs w:val="24"/>
        </w:rPr>
        <w:t>Frangoulidis</w:t>
      </w:r>
      <w:proofErr w:type="spellEnd"/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S. (2008) ‘Trimalchio as Narrator and Stage Director in the Cena: An Unobserved Parallelism in Petronius’ </w:t>
      </w:r>
      <w:r w:rsidRPr="00A278A8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Satyricon</w:t>
      </w:r>
      <w:r w:rsidR="00A278A8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78’, </w:t>
      </w:r>
      <w:r w:rsidR="00A278A8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Classical Philology,</w:t>
      </w:r>
      <w:r w:rsidR="00A278A8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103(1), pp</w:t>
      </w:r>
      <w:r w:rsidR="00EB3A75">
        <w:rPr>
          <w:rFonts w:ascii="Calibri" w:eastAsia="Calibri" w:hAnsi="Calibri" w:cs="Calibri"/>
          <w:color w:val="000000" w:themeColor="text1"/>
          <w:sz w:val="24"/>
          <w:szCs w:val="24"/>
        </w:rPr>
        <w:t>. 81-87</w:t>
      </w:r>
    </w:p>
    <w:p w14:paraId="79147F72" w14:textId="77C46C56" w:rsidR="00EB3A75" w:rsidRDefault="00EB3A75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Gloyn, L. (2012) ‘She’s Only a Bird in a Gilded Cage: Freedwomen at Trimalchio’s Dinner Party’, </w:t>
      </w:r>
      <w:r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Classical Quarterly</w:t>
      </w:r>
      <w:r>
        <w:rPr>
          <w:rFonts w:ascii="Calibri" w:eastAsia="Calibri" w:hAnsi="Calibri" w:cs="Calibri"/>
          <w:color w:val="000000" w:themeColor="text1"/>
          <w:sz w:val="24"/>
          <w:szCs w:val="24"/>
        </w:rPr>
        <w:t>, 62(1), pp. 260-280</w:t>
      </w:r>
    </w:p>
    <w:p w14:paraId="28F1B5EF" w14:textId="6950EFF8" w:rsidR="00950F53" w:rsidRDefault="00950F53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Horsfall, N. (1989) ‘The Uses of Literacy and the Cena </w:t>
      </w:r>
      <w:proofErr w:type="spellStart"/>
      <w:r>
        <w:rPr>
          <w:rFonts w:ascii="Calibri" w:eastAsia="Calibri" w:hAnsi="Calibri" w:cs="Calibri"/>
          <w:color w:val="000000" w:themeColor="text1"/>
          <w:sz w:val="24"/>
          <w:szCs w:val="24"/>
        </w:rPr>
        <w:t>Trimalchionis</w:t>
      </w:r>
      <w:proofErr w:type="spellEnd"/>
      <w:r w:rsidR="00113E2A">
        <w:rPr>
          <w:rFonts w:ascii="Calibri" w:eastAsia="Calibri" w:hAnsi="Calibri" w:cs="Calibri"/>
          <w:color w:val="000000" w:themeColor="text1"/>
          <w:sz w:val="24"/>
          <w:szCs w:val="24"/>
        </w:rPr>
        <w:t>:</w:t>
      </w:r>
      <w:r w:rsidR="004B62A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1’, </w:t>
      </w:r>
      <w:r w:rsidR="004B62A1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Greece and Rome,</w:t>
      </w:r>
      <w:r w:rsidR="004B62A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36(1),</w:t>
      </w:r>
      <w:r w:rsidR="001574F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pp. 74-89</w:t>
      </w:r>
    </w:p>
    <w:p w14:paraId="4AA2BE6A" w14:textId="774F03AD" w:rsidR="00A44C36" w:rsidRPr="00A44C36" w:rsidRDefault="00A44C36" w:rsidP="00A44C36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Horsfall, N. (1989) ‘The Uses of Literacy and the Cena </w:t>
      </w:r>
      <w:proofErr w:type="spellStart"/>
      <w:r>
        <w:rPr>
          <w:rFonts w:ascii="Calibri" w:eastAsia="Calibri" w:hAnsi="Calibri" w:cs="Calibri"/>
          <w:color w:val="000000" w:themeColor="text1"/>
          <w:sz w:val="24"/>
          <w:szCs w:val="24"/>
        </w:rPr>
        <w:t>Trimalchionis</w:t>
      </w:r>
      <w:proofErr w:type="spellEnd"/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: 2’, </w:t>
      </w:r>
      <w:r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Greece and Rome,</w:t>
      </w:r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36(</w:t>
      </w:r>
      <w:r w:rsidR="006C5497">
        <w:rPr>
          <w:rFonts w:ascii="Calibri" w:eastAsia="Calibri" w:hAnsi="Calibri" w:cs="Calibri"/>
          <w:color w:val="000000" w:themeColor="text1"/>
          <w:sz w:val="24"/>
          <w:szCs w:val="24"/>
        </w:rPr>
        <w:t>2</w:t>
      </w:r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), pp. </w:t>
      </w:r>
      <w:r w:rsidR="006C5497">
        <w:rPr>
          <w:rFonts w:ascii="Calibri" w:eastAsia="Calibri" w:hAnsi="Calibri" w:cs="Calibri"/>
          <w:color w:val="000000" w:themeColor="text1"/>
          <w:sz w:val="24"/>
          <w:szCs w:val="24"/>
        </w:rPr>
        <w:t>19</w:t>
      </w:r>
      <w:r>
        <w:rPr>
          <w:rFonts w:ascii="Calibri" w:eastAsia="Calibri" w:hAnsi="Calibri" w:cs="Calibri"/>
          <w:color w:val="000000" w:themeColor="text1"/>
          <w:sz w:val="24"/>
          <w:szCs w:val="24"/>
        </w:rPr>
        <w:t>4-</w:t>
      </w:r>
      <w:r w:rsidR="006C5497">
        <w:rPr>
          <w:rFonts w:ascii="Calibri" w:eastAsia="Calibri" w:hAnsi="Calibri" w:cs="Calibri"/>
          <w:color w:val="000000" w:themeColor="text1"/>
          <w:sz w:val="24"/>
          <w:szCs w:val="24"/>
        </w:rPr>
        <w:t>20</w:t>
      </w:r>
      <w:r>
        <w:rPr>
          <w:rFonts w:ascii="Calibri" w:eastAsia="Calibri" w:hAnsi="Calibri" w:cs="Calibri"/>
          <w:color w:val="000000" w:themeColor="text1"/>
          <w:sz w:val="24"/>
          <w:szCs w:val="24"/>
        </w:rPr>
        <w:t>9</w:t>
      </w:r>
    </w:p>
    <w:p w14:paraId="3585B07F" w14:textId="18CB36EE" w:rsidR="5E780BD3" w:rsidRDefault="5E780BD3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17F7E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Laird, A. (2007) ‘The True Nature of the Satyricon?’, in Paschalis, M. (ed.) </w:t>
      </w:r>
      <w:r w:rsidRPr="717F7E32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The Greek and Roman Novel: Parallel Readings</w:t>
      </w:r>
      <w:r w:rsidRPr="717F7E32">
        <w:rPr>
          <w:rFonts w:ascii="Calibri" w:eastAsia="Calibri" w:hAnsi="Calibri" w:cs="Calibri"/>
          <w:color w:val="000000" w:themeColor="text1"/>
          <w:sz w:val="24"/>
          <w:szCs w:val="24"/>
        </w:rPr>
        <w:t>. Groning</w:t>
      </w:r>
      <w:r w:rsidR="4EF4A96E" w:rsidRPr="717F7E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en: </w:t>
      </w:r>
      <w:proofErr w:type="spellStart"/>
      <w:r w:rsidR="4EF4A96E" w:rsidRPr="717F7E32">
        <w:rPr>
          <w:rFonts w:ascii="Calibri" w:eastAsia="Calibri" w:hAnsi="Calibri" w:cs="Calibri"/>
          <w:color w:val="000000" w:themeColor="text1"/>
          <w:sz w:val="24"/>
          <w:szCs w:val="24"/>
        </w:rPr>
        <w:t>Barkhuis</w:t>
      </w:r>
      <w:proofErr w:type="spellEnd"/>
      <w:r w:rsidR="4EF4A96E" w:rsidRPr="717F7E32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</w:p>
    <w:p w14:paraId="5B1B16A4" w14:textId="15F3748A" w:rsidR="5580C5A1" w:rsidRDefault="5580C5A1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17F7E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Murgatroyd, T. (2013) ‘Petronius’ </w:t>
      </w:r>
      <w:proofErr w:type="spellStart"/>
      <w:r w:rsidRPr="717F7E32">
        <w:rPr>
          <w:rFonts w:ascii="Calibri" w:eastAsia="Calibri" w:hAnsi="Calibri" w:cs="Calibri"/>
          <w:color w:val="000000" w:themeColor="text1"/>
          <w:sz w:val="24"/>
          <w:szCs w:val="24"/>
        </w:rPr>
        <w:t>Satyrica</w:t>
      </w:r>
      <w:proofErr w:type="spellEnd"/>
      <w:r w:rsidRPr="717F7E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’, in Buckley, E. </w:t>
      </w:r>
      <w:r w:rsidR="34D3383A" w:rsidRPr="717F7E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and Dinter, M. T. (eds.) </w:t>
      </w:r>
      <w:r w:rsidR="34D3383A" w:rsidRPr="717F7E32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A Companion to the Neronian Age</w:t>
      </w:r>
      <w:r w:rsidR="34D3383A" w:rsidRPr="717F7E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  <w:r w:rsidR="367E3E8B" w:rsidRPr="717F7E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Hoboken: </w:t>
      </w:r>
      <w:r w:rsidR="34D3383A" w:rsidRPr="717F7E32">
        <w:rPr>
          <w:rFonts w:ascii="Calibri" w:eastAsia="Calibri" w:hAnsi="Calibri" w:cs="Calibri"/>
          <w:color w:val="000000" w:themeColor="text1"/>
          <w:sz w:val="24"/>
          <w:szCs w:val="24"/>
        </w:rPr>
        <w:t>Wiley-Blackwell</w:t>
      </w:r>
      <w:r w:rsidR="213C9411" w:rsidRPr="717F7E32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</w:p>
    <w:p w14:paraId="0B71B7BF" w14:textId="43AE9AEB" w:rsidR="000B214B" w:rsidRDefault="000B214B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>Newton, R.M.</w:t>
      </w:r>
      <w:r w:rsidR="00B253D5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(1992) ‘</w:t>
      </w:r>
      <w:proofErr w:type="spellStart"/>
      <w:r w:rsidR="00B253D5">
        <w:rPr>
          <w:rFonts w:ascii="Calibri" w:eastAsia="Calibri" w:hAnsi="Calibri" w:cs="Calibri"/>
          <w:color w:val="000000" w:themeColor="text1"/>
          <w:sz w:val="24"/>
          <w:szCs w:val="24"/>
        </w:rPr>
        <w:t>Bacalusias</w:t>
      </w:r>
      <w:proofErr w:type="spellEnd"/>
      <w:r w:rsidR="00B253D5">
        <w:rPr>
          <w:rFonts w:ascii="Calibri" w:eastAsia="Calibri" w:hAnsi="Calibri" w:cs="Calibri"/>
          <w:color w:val="000000" w:themeColor="text1"/>
          <w:sz w:val="24"/>
          <w:szCs w:val="24"/>
        </w:rPr>
        <w:t>: A Transitional Hapax in Petronius</w:t>
      </w:r>
      <w:r w:rsidR="002D5B9E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“Satyricon”</w:t>
      </w:r>
      <w:r w:rsidR="009E6007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41.2’, </w:t>
      </w:r>
      <w:r w:rsidR="009E6007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Classical Philology</w:t>
      </w:r>
      <w:r w:rsidR="009E6007">
        <w:rPr>
          <w:rFonts w:ascii="Calibri" w:eastAsia="Calibri" w:hAnsi="Calibri" w:cs="Calibri"/>
          <w:color w:val="000000" w:themeColor="text1"/>
          <w:sz w:val="24"/>
          <w:szCs w:val="24"/>
        </w:rPr>
        <w:t>, 87(3), pp. 246-249</w:t>
      </w:r>
    </w:p>
    <w:p w14:paraId="696B6DE5" w14:textId="7DC89BC1" w:rsidR="7AEC2333" w:rsidRDefault="7AEC2333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Petronius, </w:t>
      </w:r>
      <w:r w:rsidRPr="717F7E32">
        <w:rPr>
          <w:rStyle w:val="normaltextrun"/>
          <w:rFonts w:ascii="Calibri" w:eastAsia="Calibri" w:hAnsi="Calibri" w:cs="Calibri"/>
          <w:i/>
          <w:iCs/>
          <w:color w:val="000000" w:themeColor="text1"/>
          <w:sz w:val="24"/>
          <w:szCs w:val="24"/>
        </w:rPr>
        <w:t>The Satyricon</w:t>
      </w:r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. P. G. Walsh (trans.). 1997. Oxford: Oxford University Press </w:t>
      </w:r>
    </w:p>
    <w:p w14:paraId="75CBDEBF" w14:textId="26F953A3" w:rsidR="7AEC2333" w:rsidRDefault="7AEC2333" w:rsidP="717F7E32">
      <w:pPr>
        <w:pStyle w:val="ListParagraph"/>
        <w:numPr>
          <w:ilvl w:val="0"/>
          <w:numId w:val="4"/>
        </w:numPr>
        <w:spacing w:after="0" w:line="240" w:lineRule="auto"/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</w:pPr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Petronius, </w:t>
      </w:r>
      <w:r w:rsidRPr="717F7E32">
        <w:rPr>
          <w:rStyle w:val="normaltextrun"/>
          <w:rFonts w:ascii="Calibri" w:eastAsia="Calibri" w:hAnsi="Calibri" w:cs="Calibri"/>
          <w:i/>
          <w:iCs/>
          <w:color w:val="000000" w:themeColor="text1"/>
          <w:sz w:val="24"/>
          <w:szCs w:val="24"/>
        </w:rPr>
        <w:t>The Satyricon</w:t>
      </w:r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. G. Schmeling (trans.). 2020. Cambridge: Harvard University Press </w:t>
      </w:r>
    </w:p>
    <w:p w14:paraId="1C6D2C6A" w14:textId="7FD9530A" w:rsidR="00E35D2C" w:rsidRDefault="00E35D2C" w:rsidP="717F7E32">
      <w:pPr>
        <w:pStyle w:val="ListParagraph"/>
        <w:numPr>
          <w:ilvl w:val="0"/>
          <w:numId w:val="4"/>
        </w:numPr>
        <w:spacing w:after="0" w:line="240" w:lineRule="auto"/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Prag, J. (2006) ‘Cave Navem’</w:t>
      </w:r>
      <w:r w:rsidR="00A109A8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="00A109A8">
        <w:rPr>
          <w:rStyle w:val="normaltextrun"/>
          <w:rFonts w:ascii="Calibri" w:eastAsia="Calibri" w:hAnsi="Calibri" w:cs="Calibri"/>
          <w:i/>
          <w:iCs/>
          <w:color w:val="000000" w:themeColor="text1"/>
          <w:sz w:val="24"/>
          <w:szCs w:val="24"/>
        </w:rPr>
        <w:t>Classical Quarterly</w:t>
      </w:r>
      <w:r w:rsidR="000633F1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, 56, pp. 538-547</w:t>
      </w:r>
    </w:p>
    <w:p w14:paraId="6622CAD7" w14:textId="00FBE2BA" w:rsidR="0031623D" w:rsidRDefault="0031623D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Rose</w:t>
      </w:r>
      <w:r w:rsidR="00FD437F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, K.F.C. and</w:t>
      </w:r>
      <w:r w:rsidR="00A10D85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 Sullivan, J.P. (1968) ‘Trimalchio’s Zodiac Dish (Petronius, Sat. 35.1-5’, </w:t>
      </w:r>
      <w:r w:rsidR="00A10D85">
        <w:rPr>
          <w:rStyle w:val="normaltextrun"/>
          <w:rFonts w:ascii="Calibri" w:eastAsia="Calibri" w:hAnsi="Calibri" w:cs="Calibri"/>
          <w:i/>
          <w:iCs/>
          <w:color w:val="000000" w:themeColor="text1"/>
          <w:sz w:val="24"/>
          <w:szCs w:val="24"/>
        </w:rPr>
        <w:t>Classical Quarterly</w:t>
      </w:r>
      <w:r w:rsidR="00A10D85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, 18(1)</w:t>
      </w:r>
      <w:r w:rsidR="007B7DA3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, pp. 180-184</w:t>
      </w:r>
    </w:p>
    <w:p w14:paraId="3C09003D" w14:textId="6879D805" w:rsidR="6587F6E9" w:rsidRDefault="6587F6E9" w:rsidP="717F7E32">
      <w:pPr>
        <w:pStyle w:val="ListParagraph"/>
        <w:numPr>
          <w:ilvl w:val="0"/>
          <w:numId w:val="4"/>
        </w:numPr>
        <w:spacing w:after="0" w:line="240" w:lineRule="auto"/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</w:pPr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Schmeling, G. (1996) ‘The </w:t>
      </w:r>
      <w:proofErr w:type="spellStart"/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Satyrica</w:t>
      </w:r>
      <w:proofErr w:type="spellEnd"/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 of Petronius’, in Schmeling, G. (ed.)</w:t>
      </w:r>
      <w:r w:rsidR="6E27C126"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6E27C126" w:rsidRPr="717F7E32">
        <w:rPr>
          <w:rStyle w:val="normaltextrun"/>
          <w:rFonts w:ascii="Calibri" w:eastAsia="Calibri" w:hAnsi="Calibri" w:cs="Calibri"/>
          <w:i/>
          <w:iCs/>
          <w:color w:val="000000" w:themeColor="text1"/>
          <w:sz w:val="24"/>
          <w:szCs w:val="24"/>
        </w:rPr>
        <w:t>The Novel in the Ancient World</w:t>
      </w:r>
      <w:r w:rsidR="6E27C126"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  <w:r w:rsidR="19A73395"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Leiden: Brill.</w:t>
      </w:r>
    </w:p>
    <w:p w14:paraId="6C00E22B" w14:textId="54388ECD" w:rsidR="004F61A2" w:rsidRDefault="004F61A2" w:rsidP="717F7E32">
      <w:pPr>
        <w:pStyle w:val="ListParagraph"/>
        <w:numPr>
          <w:ilvl w:val="0"/>
          <w:numId w:val="4"/>
        </w:numPr>
        <w:spacing w:after="0" w:line="240" w:lineRule="auto"/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Schmeling, G. (1970) </w:t>
      </w:r>
      <w:r w:rsidR="00436485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‘Trimalchio’s Menu and Wine List’</w:t>
      </w:r>
      <w:r w:rsidR="009708AF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r w:rsidR="009708AF">
        <w:rPr>
          <w:rStyle w:val="normaltextrun"/>
          <w:rFonts w:ascii="Calibri" w:eastAsia="Calibri" w:hAnsi="Calibri" w:cs="Calibri"/>
          <w:i/>
          <w:iCs/>
          <w:color w:val="000000" w:themeColor="text1"/>
          <w:sz w:val="24"/>
          <w:szCs w:val="24"/>
        </w:rPr>
        <w:t>Classical Philology</w:t>
      </w:r>
      <w:r w:rsidR="00B94ADF">
        <w:rPr>
          <w:rStyle w:val="normaltextrun"/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, </w:t>
      </w:r>
      <w:r w:rsidR="00DB5AC0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65(4), pp.</w:t>
      </w:r>
      <w:r w:rsidR="000A6BBB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 248-251</w:t>
      </w:r>
    </w:p>
    <w:p w14:paraId="466333CA" w14:textId="55F64E82" w:rsidR="7AEC2333" w:rsidRDefault="7AEC2333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Sedgwick, W. B. (1950) </w:t>
      </w:r>
      <w:r w:rsidRPr="717F7E32">
        <w:rPr>
          <w:rStyle w:val="normaltextrun"/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The Cena </w:t>
      </w:r>
      <w:proofErr w:type="spellStart"/>
      <w:r w:rsidRPr="717F7E32">
        <w:rPr>
          <w:rStyle w:val="normaltextrun"/>
          <w:rFonts w:ascii="Calibri" w:eastAsia="Calibri" w:hAnsi="Calibri" w:cs="Calibri"/>
          <w:i/>
          <w:iCs/>
          <w:color w:val="000000" w:themeColor="text1"/>
          <w:sz w:val="24"/>
          <w:szCs w:val="24"/>
        </w:rPr>
        <w:t>Trimalchionis</w:t>
      </w:r>
      <w:proofErr w:type="spellEnd"/>
      <w:r w:rsidRPr="717F7E32">
        <w:rPr>
          <w:rStyle w:val="normaltextrun"/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 of Petronius</w:t>
      </w:r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. 2</w:t>
      </w:r>
      <w:r w:rsidRPr="717F7E32">
        <w:rPr>
          <w:rStyle w:val="normaltextrun"/>
          <w:rFonts w:ascii="Calibri" w:eastAsia="Calibri" w:hAnsi="Calibri" w:cs="Calibri"/>
          <w:color w:val="000000" w:themeColor="text1"/>
          <w:sz w:val="19"/>
          <w:szCs w:val="19"/>
          <w:vertAlign w:val="superscript"/>
        </w:rPr>
        <w:t>nd</w:t>
      </w:r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edn</w:t>
      </w:r>
      <w:proofErr w:type="spellEnd"/>
      <w:r w:rsidRPr="717F7E32">
        <w:rPr>
          <w:rStyle w:val="normaltextrun"/>
          <w:rFonts w:ascii="Calibri" w:eastAsia="Calibri" w:hAnsi="Calibri" w:cs="Calibri"/>
          <w:color w:val="000000" w:themeColor="text1"/>
          <w:sz w:val="24"/>
          <w:szCs w:val="24"/>
        </w:rPr>
        <w:t>. Oxford: Oxford University Press </w:t>
      </w:r>
    </w:p>
    <w:p w14:paraId="3BFB40FE" w14:textId="6748420A" w:rsidR="7AEC2333" w:rsidRDefault="7AEC2333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17F7E32">
        <w:rPr>
          <w:rFonts w:ascii="Calibri" w:eastAsia="Calibri" w:hAnsi="Calibri" w:cs="Calibri"/>
          <w:color w:val="000000" w:themeColor="text1"/>
          <w:sz w:val="24"/>
          <w:szCs w:val="24"/>
        </w:rPr>
        <w:t>Simpson, D. P. (1968) Cassell’s Latin Dictionary. 5</w:t>
      </w:r>
      <w:r w:rsidRPr="717F7E32">
        <w:rPr>
          <w:rFonts w:ascii="Calibri" w:eastAsia="Calibri" w:hAnsi="Calibri" w:cs="Calibri"/>
          <w:color w:val="000000" w:themeColor="text1"/>
          <w:sz w:val="24"/>
          <w:szCs w:val="24"/>
          <w:vertAlign w:val="superscript"/>
        </w:rPr>
        <w:t>th</w:t>
      </w:r>
      <w:r w:rsidRPr="717F7E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17F7E32">
        <w:rPr>
          <w:rFonts w:ascii="Calibri" w:eastAsia="Calibri" w:hAnsi="Calibri" w:cs="Calibri"/>
          <w:color w:val="000000" w:themeColor="text1"/>
          <w:sz w:val="24"/>
          <w:szCs w:val="24"/>
        </w:rPr>
        <w:t>edn</w:t>
      </w:r>
      <w:proofErr w:type="spellEnd"/>
      <w:r w:rsidRPr="717F7E32">
        <w:rPr>
          <w:rFonts w:ascii="Calibri" w:eastAsia="Calibri" w:hAnsi="Calibri" w:cs="Calibri"/>
          <w:color w:val="000000" w:themeColor="text1"/>
          <w:sz w:val="24"/>
          <w:szCs w:val="24"/>
        </w:rPr>
        <w:t>. New York: Wiley Publishing</w:t>
      </w:r>
    </w:p>
    <w:p w14:paraId="51D70361" w14:textId="165AC434" w:rsidR="00B47FAC" w:rsidRDefault="0056614D" w:rsidP="717F7E32">
      <w:pPr>
        <w:pStyle w:val="ListParagraph"/>
        <w:numPr>
          <w:ilvl w:val="0"/>
          <w:numId w:val="4"/>
        </w:numPr>
        <w:spacing w:after="0" w:line="240" w:lineRule="auto"/>
        <w:rPr>
          <w:rFonts w:ascii="Calibri" w:eastAsia="Calibri" w:hAnsi="Calibri" w:cs="Calibri"/>
          <w:color w:val="000000" w:themeColor="text1"/>
          <w:sz w:val="24"/>
          <w:szCs w:val="24"/>
        </w:rPr>
      </w:pPr>
      <w:r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Smith, </w:t>
      </w:r>
      <w:r w:rsidR="006F03B3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M.S. </w:t>
      </w:r>
      <w:r w:rsidR="00DD3B62">
        <w:rPr>
          <w:rFonts w:ascii="Calibri" w:eastAsia="Calibri" w:hAnsi="Calibri" w:cs="Calibri"/>
          <w:color w:val="000000" w:themeColor="text1"/>
          <w:sz w:val="24"/>
          <w:szCs w:val="24"/>
        </w:rPr>
        <w:t>(</w:t>
      </w:r>
      <w:r w:rsidR="00AB7197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1975) </w:t>
      </w:r>
      <w:r w:rsidR="00793B92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Petronius Cena </w:t>
      </w:r>
      <w:proofErr w:type="spellStart"/>
      <w:r w:rsidR="00793B92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>Trimalchionis</w:t>
      </w:r>
      <w:proofErr w:type="spellEnd"/>
      <w:r w:rsidR="00871F78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</w:t>
      </w:r>
      <w:r w:rsidR="002203CD">
        <w:rPr>
          <w:rFonts w:ascii="Calibri" w:eastAsia="Calibri" w:hAnsi="Calibri" w:cs="Calibri"/>
          <w:color w:val="000000" w:themeColor="text1"/>
          <w:sz w:val="24"/>
          <w:szCs w:val="24"/>
        </w:rPr>
        <w:t>Oxford: Oxford University Press</w:t>
      </w:r>
    </w:p>
    <w:p w14:paraId="5650E01E" w14:textId="6C5AD863" w:rsidR="717F7E32" w:rsidRDefault="717F7E32" w:rsidP="717F7E32"/>
    <w:sectPr w:rsidR="717F7E32">
      <w:headerReference w:type="default" r:id="rId8"/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DF0B8C" w14:textId="77777777" w:rsidR="00BC064F" w:rsidRDefault="00BC064F">
      <w:pPr>
        <w:spacing w:after="0" w:line="240" w:lineRule="auto"/>
      </w:pPr>
      <w:r>
        <w:separator/>
      </w:r>
    </w:p>
  </w:endnote>
  <w:endnote w:type="continuationSeparator" w:id="0">
    <w:p w14:paraId="12FFE201" w14:textId="77777777" w:rsidR="00BC064F" w:rsidRDefault="00BC064F">
      <w:pPr>
        <w:spacing w:after="0" w:line="240" w:lineRule="auto"/>
      </w:pPr>
      <w:r>
        <w:continuationSeparator/>
      </w:r>
    </w:p>
  </w:endnote>
  <w:endnote w:type="continuationNotice" w:id="1">
    <w:p w14:paraId="496BB54E" w14:textId="77777777" w:rsidR="00BC064F" w:rsidRDefault="00BC064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7F7E32" w14:paraId="41D0ECCC" w14:textId="77777777" w:rsidTr="717F7E32">
      <w:trPr>
        <w:trHeight w:val="300"/>
      </w:trPr>
      <w:tc>
        <w:tcPr>
          <w:tcW w:w="3005" w:type="dxa"/>
        </w:tcPr>
        <w:p w14:paraId="7D6FFFB7" w14:textId="34664212" w:rsidR="717F7E32" w:rsidRDefault="717F7E32" w:rsidP="717F7E32">
          <w:pPr>
            <w:pStyle w:val="Header"/>
            <w:ind w:left="-115"/>
          </w:pPr>
        </w:p>
      </w:tc>
      <w:tc>
        <w:tcPr>
          <w:tcW w:w="3005" w:type="dxa"/>
        </w:tcPr>
        <w:p w14:paraId="5D7C86F5" w14:textId="41A4251E" w:rsidR="717F7E32" w:rsidRDefault="717F7E32" w:rsidP="717F7E32">
          <w:pPr>
            <w:pStyle w:val="Header"/>
            <w:jc w:val="center"/>
          </w:pPr>
        </w:p>
      </w:tc>
      <w:tc>
        <w:tcPr>
          <w:tcW w:w="3005" w:type="dxa"/>
        </w:tcPr>
        <w:p w14:paraId="148FCDD9" w14:textId="3AA6362E" w:rsidR="717F7E32" w:rsidRDefault="717F7E32" w:rsidP="717F7E32">
          <w:pPr>
            <w:pStyle w:val="Header"/>
            <w:ind w:right="-115"/>
            <w:jc w:val="right"/>
          </w:pPr>
        </w:p>
      </w:tc>
    </w:tr>
  </w:tbl>
  <w:p w14:paraId="37923ED8" w14:textId="06D1CBAF" w:rsidR="717F7E32" w:rsidRDefault="717F7E32" w:rsidP="717F7E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66D21D" w14:textId="77777777" w:rsidR="00BC064F" w:rsidRDefault="00BC064F">
      <w:pPr>
        <w:spacing w:after="0" w:line="240" w:lineRule="auto"/>
      </w:pPr>
      <w:r>
        <w:separator/>
      </w:r>
    </w:p>
  </w:footnote>
  <w:footnote w:type="continuationSeparator" w:id="0">
    <w:p w14:paraId="01FAD8FA" w14:textId="77777777" w:rsidR="00BC064F" w:rsidRDefault="00BC064F">
      <w:pPr>
        <w:spacing w:after="0" w:line="240" w:lineRule="auto"/>
      </w:pPr>
      <w:r>
        <w:continuationSeparator/>
      </w:r>
    </w:p>
  </w:footnote>
  <w:footnote w:type="continuationNotice" w:id="1">
    <w:p w14:paraId="56A58786" w14:textId="77777777" w:rsidR="00BC064F" w:rsidRDefault="00BC064F">
      <w:pPr>
        <w:spacing w:after="0" w:line="240" w:lineRule="auto"/>
      </w:pPr>
    </w:p>
  </w:footnote>
  <w:footnote w:id="2">
    <w:p w14:paraId="5CD66379" w14:textId="0B7C2914" w:rsidR="00113C67" w:rsidRDefault="00113C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Aptos" w:hAnsi="Aptos"/>
          <w:color w:val="000000"/>
          <w:shd w:val="clear" w:color="auto" w:fill="FFFFFF"/>
        </w:rPr>
        <w:t> Tac. </w:t>
      </w:r>
      <w:r>
        <w:rPr>
          <w:rStyle w:val="normaltextrun"/>
          <w:rFonts w:ascii="Aptos" w:hAnsi="Aptos"/>
          <w:i/>
          <w:iCs/>
          <w:color w:val="000000"/>
          <w:shd w:val="clear" w:color="auto" w:fill="FFFFFF"/>
        </w:rPr>
        <w:t>Ann</w:t>
      </w:r>
      <w:r>
        <w:rPr>
          <w:rStyle w:val="normaltextrun"/>
          <w:rFonts w:ascii="Aptos" w:hAnsi="Aptos"/>
          <w:color w:val="000000"/>
          <w:shd w:val="clear" w:color="auto" w:fill="FFFFFF"/>
        </w:rPr>
        <w:t>. 16.18</w:t>
      </w:r>
    </w:p>
  </w:footnote>
  <w:footnote w:id="3">
    <w:p w14:paraId="4112528E" w14:textId="632B307B" w:rsidR="00D76180" w:rsidRDefault="00D761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Aptos" w:hAnsi="Aptos"/>
          <w:color w:val="000000"/>
          <w:shd w:val="clear" w:color="auto" w:fill="FFFFFF"/>
        </w:rPr>
        <w:t>Tac. </w:t>
      </w:r>
      <w:r>
        <w:rPr>
          <w:rStyle w:val="normaltextrun"/>
          <w:rFonts w:ascii="Aptos" w:hAnsi="Aptos"/>
          <w:i/>
          <w:iCs/>
          <w:color w:val="000000"/>
          <w:shd w:val="clear" w:color="auto" w:fill="FFFFFF"/>
        </w:rPr>
        <w:t>Ann</w:t>
      </w:r>
      <w:r>
        <w:rPr>
          <w:rStyle w:val="normaltextrun"/>
          <w:rFonts w:ascii="Aptos" w:hAnsi="Aptos"/>
          <w:color w:val="000000"/>
          <w:shd w:val="clear" w:color="auto" w:fill="FFFFFF"/>
        </w:rPr>
        <w:t>. 16.18</w:t>
      </w:r>
    </w:p>
  </w:footnote>
  <w:footnote w:id="4">
    <w:p w14:paraId="7CB7FFF4" w14:textId="7A3E4A21" w:rsidR="00E119B9" w:rsidRPr="00A5657E" w:rsidRDefault="00E119B9">
      <w:pPr>
        <w:pStyle w:val="FootnoteText"/>
      </w:pPr>
      <w:r>
        <w:rPr>
          <w:rStyle w:val="FootnoteReference"/>
        </w:rPr>
        <w:footnoteRef/>
      </w:r>
      <w:r>
        <w:t xml:space="preserve"> Petr. </w:t>
      </w:r>
      <w:r w:rsidR="00A5657E">
        <w:rPr>
          <w:i/>
          <w:iCs/>
        </w:rPr>
        <w:t xml:space="preserve">Sat. </w:t>
      </w:r>
      <w:r w:rsidR="00366997">
        <w:t>41</w:t>
      </w:r>
    </w:p>
  </w:footnote>
  <w:footnote w:id="5">
    <w:p w14:paraId="22CCA96C" w14:textId="54B78638" w:rsidR="00A340CF" w:rsidRPr="00614064" w:rsidRDefault="00A340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A1C19">
        <w:t>Lewis, C.T. and Short, C. (</w:t>
      </w:r>
      <w:r w:rsidR="00A06FDD">
        <w:t>1879</w:t>
      </w:r>
      <w:r w:rsidR="009A1C19">
        <w:t xml:space="preserve">) </w:t>
      </w:r>
      <w:r w:rsidR="00614064">
        <w:rPr>
          <w:i/>
          <w:iCs/>
        </w:rPr>
        <w:t>A Latin Dictionary.</w:t>
      </w:r>
      <w:r w:rsidR="00614064">
        <w:t xml:space="preserve"> </w:t>
      </w:r>
      <w:r w:rsidR="00A06FDD">
        <w:t>Oxford: Clarendon Press</w:t>
      </w:r>
    </w:p>
  </w:footnote>
  <w:footnote w:id="6">
    <w:p w14:paraId="1D39558A" w14:textId="1CD51FDB" w:rsidR="00815924" w:rsidRDefault="00815924">
      <w:pPr>
        <w:pStyle w:val="FootnoteText"/>
      </w:pPr>
      <w:r>
        <w:rPr>
          <w:rStyle w:val="FootnoteReference"/>
        </w:rPr>
        <w:footnoteRef/>
      </w:r>
      <w:r>
        <w:t xml:space="preserve"> Petr. </w:t>
      </w:r>
      <w:r w:rsidRPr="00815924">
        <w:rPr>
          <w:i/>
          <w:iCs/>
        </w:rPr>
        <w:t>Sat</w:t>
      </w:r>
      <w:r>
        <w:t>. 41</w:t>
      </w:r>
    </w:p>
  </w:footnote>
  <w:footnote w:id="7">
    <w:p w14:paraId="711D723D" w14:textId="71F162C3" w:rsidR="007E4753" w:rsidRPr="007E4753" w:rsidRDefault="007E4753">
      <w:pPr>
        <w:pStyle w:val="FootnoteText"/>
      </w:pPr>
      <w:r>
        <w:rPr>
          <w:rStyle w:val="FootnoteReference"/>
        </w:rPr>
        <w:footnoteRef/>
      </w:r>
      <w:r>
        <w:t xml:space="preserve"> Petr. </w:t>
      </w:r>
      <w:r>
        <w:rPr>
          <w:i/>
          <w:iCs/>
        </w:rPr>
        <w:t>Sat</w:t>
      </w:r>
      <w:r>
        <w:t xml:space="preserve">. </w:t>
      </w:r>
      <w:r w:rsidR="00063BBD">
        <w:t>47</w:t>
      </w:r>
    </w:p>
  </w:footnote>
  <w:footnote w:id="8">
    <w:p w14:paraId="028CEF10" w14:textId="0A520375" w:rsidR="00FB5BC9" w:rsidRDefault="00FB5BC9">
      <w:pPr>
        <w:pStyle w:val="FootnoteText"/>
      </w:pPr>
      <w:r>
        <w:rPr>
          <w:rStyle w:val="FootnoteReference"/>
        </w:rPr>
        <w:footnoteRef/>
      </w:r>
      <w:r>
        <w:t xml:space="preserve"> Petr. </w:t>
      </w:r>
      <w:r w:rsidRPr="00FB5BC9">
        <w:rPr>
          <w:i/>
          <w:iCs/>
        </w:rPr>
        <w:t>Sat</w:t>
      </w:r>
      <w:r>
        <w:t>. 36</w:t>
      </w:r>
    </w:p>
  </w:footnote>
  <w:footnote w:id="9">
    <w:p w14:paraId="58CFB338" w14:textId="796C4706" w:rsidR="00FB5BC9" w:rsidRDefault="00FB5BC9">
      <w:pPr>
        <w:pStyle w:val="FootnoteText"/>
      </w:pPr>
      <w:r>
        <w:rPr>
          <w:rStyle w:val="FootnoteReference"/>
        </w:rPr>
        <w:footnoteRef/>
      </w:r>
      <w:r>
        <w:t xml:space="preserve"> Petr. </w:t>
      </w:r>
      <w:r w:rsidRPr="006F10C8">
        <w:rPr>
          <w:i/>
          <w:iCs/>
        </w:rPr>
        <w:t>Sat</w:t>
      </w:r>
      <w:r>
        <w:t xml:space="preserve">. </w:t>
      </w:r>
      <w:r w:rsidR="006F10C8">
        <w:t>41</w:t>
      </w:r>
    </w:p>
  </w:footnote>
  <w:footnote w:id="10">
    <w:p w14:paraId="20C7FD66" w14:textId="1A10D5C3" w:rsidR="0049143D" w:rsidRDefault="0049143D">
      <w:pPr>
        <w:pStyle w:val="FootnoteText"/>
      </w:pPr>
      <w:r>
        <w:rPr>
          <w:rStyle w:val="FootnoteReference"/>
        </w:rPr>
        <w:footnoteRef/>
      </w:r>
      <w:r>
        <w:t xml:space="preserve"> Hom</w:t>
      </w:r>
      <w:r w:rsidR="000C6CC8">
        <w:t>.</w:t>
      </w:r>
      <w:r w:rsidR="003672A9">
        <w:t xml:space="preserve"> </w:t>
      </w:r>
      <w:r w:rsidR="003672A9" w:rsidRPr="003672A9">
        <w:rPr>
          <w:i/>
          <w:iCs/>
        </w:rPr>
        <w:t>Od</w:t>
      </w:r>
      <w:r w:rsidR="003672A9">
        <w:t>. 9.1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7F7E32" w14:paraId="7EEC93B4" w14:textId="77777777" w:rsidTr="717F7E32">
      <w:trPr>
        <w:trHeight w:val="300"/>
      </w:trPr>
      <w:tc>
        <w:tcPr>
          <w:tcW w:w="3005" w:type="dxa"/>
        </w:tcPr>
        <w:p w14:paraId="554FAB7C" w14:textId="09693CA3" w:rsidR="717F7E32" w:rsidRDefault="717F7E32" w:rsidP="717F7E32">
          <w:pPr>
            <w:pStyle w:val="Header"/>
            <w:ind w:left="-115"/>
          </w:pPr>
          <w:r>
            <w:t>Lindsey Cullen</w:t>
          </w:r>
        </w:p>
      </w:tc>
      <w:tc>
        <w:tcPr>
          <w:tcW w:w="3005" w:type="dxa"/>
        </w:tcPr>
        <w:p w14:paraId="08B5AA31" w14:textId="452F6F7F" w:rsidR="717F7E32" w:rsidRDefault="717F7E32" w:rsidP="717F7E32">
          <w:pPr>
            <w:pStyle w:val="Header"/>
            <w:jc w:val="center"/>
          </w:pPr>
        </w:p>
      </w:tc>
      <w:tc>
        <w:tcPr>
          <w:tcW w:w="3005" w:type="dxa"/>
        </w:tcPr>
        <w:p w14:paraId="18E1366E" w14:textId="4B794A5C" w:rsidR="717F7E32" w:rsidRDefault="717F7E32" w:rsidP="717F7E32">
          <w:pPr>
            <w:pStyle w:val="Header"/>
            <w:ind w:right="-115"/>
            <w:jc w:val="right"/>
          </w:pPr>
          <w:r>
            <w:t>Student no: 2223169</w:t>
          </w:r>
        </w:p>
      </w:tc>
    </w:tr>
  </w:tbl>
  <w:p w14:paraId="3C2B757C" w14:textId="40E0E10B" w:rsidR="717F7E32" w:rsidRDefault="717F7E32" w:rsidP="717F7E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69F606"/>
    <w:multiLevelType w:val="hybridMultilevel"/>
    <w:tmpl w:val="5DEA41DE"/>
    <w:lvl w:ilvl="0" w:tplc="44E8E6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F4C4E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BF4AE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1ED1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64F9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38DC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44AC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42FE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0CC0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94CD82"/>
    <w:multiLevelType w:val="hybridMultilevel"/>
    <w:tmpl w:val="752473A6"/>
    <w:lvl w:ilvl="0" w:tplc="1376EA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CBC8B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589F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74C1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7619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2871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C236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FFE5A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60E7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233606"/>
    <w:multiLevelType w:val="hybridMultilevel"/>
    <w:tmpl w:val="DEA01C80"/>
    <w:lvl w:ilvl="0" w:tplc="D0F253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C879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A6D3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DED6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1A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526C6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C0A7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4EF0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DA56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F379A1"/>
    <w:multiLevelType w:val="hybridMultilevel"/>
    <w:tmpl w:val="3C18F96C"/>
    <w:lvl w:ilvl="0" w:tplc="4CCC87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4A11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64C2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B641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7A0D4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40ABC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F885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FAAB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22EF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6195710">
    <w:abstractNumId w:val="1"/>
  </w:num>
  <w:num w:numId="2" w16cid:durableId="702902827">
    <w:abstractNumId w:val="3"/>
  </w:num>
  <w:num w:numId="3" w16cid:durableId="137915858">
    <w:abstractNumId w:val="0"/>
  </w:num>
  <w:num w:numId="4" w16cid:durableId="9621577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296DD6E"/>
    <w:rsid w:val="0001203B"/>
    <w:rsid w:val="00035EC1"/>
    <w:rsid w:val="00050A3D"/>
    <w:rsid w:val="00054854"/>
    <w:rsid w:val="00054C77"/>
    <w:rsid w:val="00057FC4"/>
    <w:rsid w:val="000633F1"/>
    <w:rsid w:val="00063BBD"/>
    <w:rsid w:val="00067175"/>
    <w:rsid w:val="000A6BBB"/>
    <w:rsid w:val="000A7902"/>
    <w:rsid w:val="000B1969"/>
    <w:rsid w:val="000B214B"/>
    <w:rsid w:val="000B2C5A"/>
    <w:rsid w:val="000C2266"/>
    <w:rsid w:val="000C554A"/>
    <w:rsid w:val="000C6CC8"/>
    <w:rsid w:val="000D4D99"/>
    <w:rsid w:val="000E0084"/>
    <w:rsid w:val="000E7472"/>
    <w:rsid w:val="000F2AD8"/>
    <w:rsid w:val="000F7412"/>
    <w:rsid w:val="000F7BC5"/>
    <w:rsid w:val="00101788"/>
    <w:rsid w:val="001036E3"/>
    <w:rsid w:val="00107C65"/>
    <w:rsid w:val="001124F4"/>
    <w:rsid w:val="00113C67"/>
    <w:rsid w:val="00113E2A"/>
    <w:rsid w:val="00120ED6"/>
    <w:rsid w:val="00133ECA"/>
    <w:rsid w:val="0015140C"/>
    <w:rsid w:val="001574FF"/>
    <w:rsid w:val="00162AAD"/>
    <w:rsid w:val="00176CB4"/>
    <w:rsid w:val="00180E9A"/>
    <w:rsid w:val="0018667D"/>
    <w:rsid w:val="00186967"/>
    <w:rsid w:val="00192320"/>
    <w:rsid w:val="00195CCA"/>
    <w:rsid w:val="001A0CBE"/>
    <w:rsid w:val="001A0DE9"/>
    <w:rsid w:val="001B4182"/>
    <w:rsid w:val="001C0463"/>
    <w:rsid w:val="001C27FE"/>
    <w:rsid w:val="001E7DAE"/>
    <w:rsid w:val="001F3393"/>
    <w:rsid w:val="001F5BB5"/>
    <w:rsid w:val="00207F1F"/>
    <w:rsid w:val="002107E4"/>
    <w:rsid w:val="002140FA"/>
    <w:rsid w:val="002203CD"/>
    <w:rsid w:val="002303E6"/>
    <w:rsid w:val="00231596"/>
    <w:rsid w:val="00234521"/>
    <w:rsid w:val="002352B9"/>
    <w:rsid w:val="002447D8"/>
    <w:rsid w:val="0024775D"/>
    <w:rsid w:val="00253B3A"/>
    <w:rsid w:val="00256C61"/>
    <w:rsid w:val="00264453"/>
    <w:rsid w:val="002651DD"/>
    <w:rsid w:val="002765F9"/>
    <w:rsid w:val="002836EF"/>
    <w:rsid w:val="0028727C"/>
    <w:rsid w:val="00294C20"/>
    <w:rsid w:val="002B1553"/>
    <w:rsid w:val="002C5BFD"/>
    <w:rsid w:val="002D3FC2"/>
    <w:rsid w:val="002D5B28"/>
    <w:rsid w:val="002D5B9E"/>
    <w:rsid w:val="002E24E1"/>
    <w:rsid w:val="002E606A"/>
    <w:rsid w:val="002F385E"/>
    <w:rsid w:val="00301806"/>
    <w:rsid w:val="00302645"/>
    <w:rsid w:val="00314064"/>
    <w:rsid w:val="0031623D"/>
    <w:rsid w:val="00321323"/>
    <w:rsid w:val="00350A10"/>
    <w:rsid w:val="00357ECC"/>
    <w:rsid w:val="00365E95"/>
    <w:rsid w:val="00366997"/>
    <w:rsid w:val="003672A9"/>
    <w:rsid w:val="003919AA"/>
    <w:rsid w:val="00393CE7"/>
    <w:rsid w:val="003974AC"/>
    <w:rsid w:val="003A77C4"/>
    <w:rsid w:val="003B12AA"/>
    <w:rsid w:val="003B65BC"/>
    <w:rsid w:val="003B79F8"/>
    <w:rsid w:val="003C0CD6"/>
    <w:rsid w:val="003C6586"/>
    <w:rsid w:val="003E6084"/>
    <w:rsid w:val="003F0782"/>
    <w:rsid w:val="003F2FC1"/>
    <w:rsid w:val="003F69A3"/>
    <w:rsid w:val="003F721D"/>
    <w:rsid w:val="00401231"/>
    <w:rsid w:val="00402165"/>
    <w:rsid w:val="0040429E"/>
    <w:rsid w:val="00406224"/>
    <w:rsid w:val="00407AE9"/>
    <w:rsid w:val="00411F62"/>
    <w:rsid w:val="00426239"/>
    <w:rsid w:val="00436485"/>
    <w:rsid w:val="004400C3"/>
    <w:rsid w:val="00441920"/>
    <w:rsid w:val="0044343E"/>
    <w:rsid w:val="0045777D"/>
    <w:rsid w:val="004647DE"/>
    <w:rsid w:val="00475587"/>
    <w:rsid w:val="00484488"/>
    <w:rsid w:val="0049143D"/>
    <w:rsid w:val="00492144"/>
    <w:rsid w:val="004A39CD"/>
    <w:rsid w:val="004A7CC6"/>
    <w:rsid w:val="004B62A1"/>
    <w:rsid w:val="004C1407"/>
    <w:rsid w:val="004C5DA0"/>
    <w:rsid w:val="004C6C1E"/>
    <w:rsid w:val="004D2765"/>
    <w:rsid w:val="004D44C6"/>
    <w:rsid w:val="004F32AD"/>
    <w:rsid w:val="004F4C7D"/>
    <w:rsid w:val="004F61A2"/>
    <w:rsid w:val="00502D77"/>
    <w:rsid w:val="00503054"/>
    <w:rsid w:val="0050422F"/>
    <w:rsid w:val="00514809"/>
    <w:rsid w:val="005155EE"/>
    <w:rsid w:val="00524426"/>
    <w:rsid w:val="00527117"/>
    <w:rsid w:val="00531A1A"/>
    <w:rsid w:val="00552BDA"/>
    <w:rsid w:val="0056614D"/>
    <w:rsid w:val="00567926"/>
    <w:rsid w:val="00581F68"/>
    <w:rsid w:val="00591C1F"/>
    <w:rsid w:val="00593AAB"/>
    <w:rsid w:val="00596176"/>
    <w:rsid w:val="005A09CD"/>
    <w:rsid w:val="005B643A"/>
    <w:rsid w:val="005C0F03"/>
    <w:rsid w:val="005C5343"/>
    <w:rsid w:val="005C6900"/>
    <w:rsid w:val="005D3411"/>
    <w:rsid w:val="005D508A"/>
    <w:rsid w:val="005E30A2"/>
    <w:rsid w:val="005E365C"/>
    <w:rsid w:val="005E7FC8"/>
    <w:rsid w:val="005F117A"/>
    <w:rsid w:val="005F3A8E"/>
    <w:rsid w:val="005F455C"/>
    <w:rsid w:val="005F5DC7"/>
    <w:rsid w:val="005F6A8A"/>
    <w:rsid w:val="00605920"/>
    <w:rsid w:val="0061267A"/>
    <w:rsid w:val="0061356F"/>
    <w:rsid w:val="00614064"/>
    <w:rsid w:val="00626CA8"/>
    <w:rsid w:val="00636FB1"/>
    <w:rsid w:val="00637870"/>
    <w:rsid w:val="00641956"/>
    <w:rsid w:val="006505FC"/>
    <w:rsid w:val="00651A61"/>
    <w:rsid w:val="006523FE"/>
    <w:rsid w:val="006615FA"/>
    <w:rsid w:val="00672E48"/>
    <w:rsid w:val="0067606F"/>
    <w:rsid w:val="00691584"/>
    <w:rsid w:val="0069202B"/>
    <w:rsid w:val="006A1FBA"/>
    <w:rsid w:val="006C5497"/>
    <w:rsid w:val="006C7707"/>
    <w:rsid w:val="006D5760"/>
    <w:rsid w:val="006D615A"/>
    <w:rsid w:val="006D707D"/>
    <w:rsid w:val="006E1061"/>
    <w:rsid w:val="006E17F2"/>
    <w:rsid w:val="006F03B3"/>
    <w:rsid w:val="006F10C8"/>
    <w:rsid w:val="006F2837"/>
    <w:rsid w:val="006F5C62"/>
    <w:rsid w:val="006F73C2"/>
    <w:rsid w:val="00705B4C"/>
    <w:rsid w:val="00706821"/>
    <w:rsid w:val="00710D1B"/>
    <w:rsid w:val="00723324"/>
    <w:rsid w:val="007311CA"/>
    <w:rsid w:val="00735EEE"/>
    <w:rsid w:val="00743986"/>
    <w:rsid w:val="00753173"/>
    <w:rsid w:val="0077644E"/>
    <w:rsid w:val="00790CF1"/>
    <w:rsid w:val="00791621"/>
    <w:rsid w:val="00793453"/>
    <w:rsid w:val="00793B92"/>
    <w:rsid w:val="0079502A"/>
    <w:rsid w:val="00795B5F"/>
    <w:rsid w:val="00796BB4"/>
    <w:rsid w:val="007B201F"/>
    <w:rsid w:val="007B399D"/>
    <w:rsid w:val="007B7DA3"/>
    <w:rsid w:val="007C1EDC"/>
    <w:rsid w:val="007D2723"/>
    <w:rsid w:val="007D57B0"/>
    <w:rsid w:val="007D6AD1"/>
    <w:rsid w:val="007D7B00"/>
    <w:rsid w:val="007E4753"/>
    <w:rsid w:val="0080070A"/>
    <w:rsid w:val="00815924"/>
    <w:rsid w:val="008228E4"/>
    <w:rsid w:val="00832ED1"/>
    <w:rsid w:val="008359A0"/>
    <w:rsid w:val="008475FA"/>
    <w:rsid w:val="008658B8"/>
    <w:rsid w:val="00865D1E"/>
    <w:rsid w:val="008663AD"/>
    <w:rsid w:val="00871F78"/>
    <w:rsid w:val="00873A98"/>
    <w:rsid w:val="00880F34"/>
    <w:rsid w:val="0088326D"/>
    <w:rsid w:val="008A003B"/>
    <w:rsid w:val="008A4D59"/>
    <w:rsid w:val="008A6D49"/>
    <w:rsid w:val="008C6789"/>
    <w:rsid w:val="008E18DE"/>
    <w:rsid w:val="008E3208"/>
    <w:rsid w:val="008F2AAB"/>
    <w:rsid w:val="008F6426"/>
    <w:rsid w:val="009012F6"/>
    <w:rsid w:val="00904330"/>
    <w:rsid w:val="00912BEA"/>
    <w:rsid w:val="00921764"/>
    <w:rsid w:val="00927C28"/>
    <w:rsid w:val="00933A9E"/>
    <w:rsid w:val="009415CB"/>
    <w:rsid w:val="00950F53"/>
    <w:rsid w:val="00954BEA"/>
    <w:rsid w:val="009561A6"/>
    <w:rsid w:val="00956EBF"/>
    <w:rsid w:val="00960765"/>
    <w:rsid w:val="00966440"/>
    <w:rsid w:val="00966C8E"/>
    <w:rsid w:val="00967DCC"/>
    <w:rsid w:val="0097074C"/>
    <w:rsid w:val="009708AF"/>
    <w:rsid w:val="009757BA"/>
    <w:rsid w:val="0098118F"/>
    <w:rsid w:val="009833DA"/>
    <w:rsid w:val="00996029"/>
    <w:rsid w:val="009A1C19"/>
    <w:rsid w:val="009A3F5B"/>
    <w:rsid w:val="009A7F79"/>
    <w:rsid w:val="009C3B8C"/>
    <w:rsid w:val="009D22EA"/>
    <w:rsid w:val="009D471B"/>
    <w:rsid w:val="009E3390"/>
    <w:rsid w:val="009E6007"/>
    <w:rsid w:val="009F73A6"/>
    <w:rsid w:val="00A01116"/>
    <w:rsid w:val="00A03D46"/>
    <w:rsid w:val="00A05D87"/>
    <w:rsid w:val="00A06FDD"/>
    <w:rsid w:val="00A109A8"/>
    <w:rsid w:val="00A10D85"/>
    <w:rsid w:val="00A278A8"/>
    <w:rsid w:val="00A340CF"/>
    <w:rsid w:val="00A44C36"/>
    <w:rsid w:val="00A46433"/>
    <w:rsid w:val="00A4713E"/>
    <w:rsid w:val="00A5657E"/>
    <w:rsid w:val="00A703B1"/>
    <w:rsid w:val="00AA0040"/>
    <w:rsid w:val="00AA33F9"/>
    <w:rsid w:val="00AA604D"/>
    <w:rsid w:val="00AA6A43"/>
    <w:rsid w:val="00AB7197"/>
    <w:rsid w:val="00AC57B7"/>
    <w:rsid w:val="00AD0B14"/>
    <w:rsid w:val="00AD1403"/>
    <w:rsid w:val="00AD3A2C"/>
    <w:rsid w:val="00AD63DF"/>
    <w:rsid w:val="00AD6999"/>
    <w:rsid w:val="00AD75A7"/>
    <w:rsid w:val="00AE2526"/>
    <w:rsid w:val="00B070E5"/>
    <w:rsid w:val="00B127DD"/>
    <w:rsid w:val="00B1453E"/>
    <w:rsid w:val="00B148BB"/>
    <w:rsid w:val="00B1565F"/>
    <w:rsid w:val="00B15EEC"/>
    <w:rsid w:val="00B16FF2"/>
    <w:rsid w:val="00B23F15"/>
    <w:rsid w:val="00B24847"/>
    <w:rsid w:val="00B253D5"/>
    <w:rsid w:val="00B30F56"/>
    <w:rsid w:val="00B40F99"/>
    <w:rsid w:val="00B46902"/>
    <w:rsid w:val="00B47FAC"/>
    <w:rsid w:val="00B61A6A"/>
    <w:rsid w:val="00B637D6"/>
    <w:rsid w:val="00B65A2D"/>
    <w:rsid w:val="00B719A8"/>
    <w:rsid w:val="00B93873"/>
    <w:rsid w:val="00B93A63"/>
    <w:rsid w:val="00B94ADF"/>
    <w:rsid w:val="00BA4BF3"/>
    <w:rsid w:val="00BB704F"/>
    <w:rsid w:val="00BC064F"/>
    <w:rsid w:val="00BD140E"/>
    <w:rsid w:val="00BE4AF1"/>
    <w:rsid w:val="00BE6F89"/>
    <w:rsid w:val="00BF07DE"/>
    <w:rsid w:val="00BF4726"/>
    <w:rsid w:val="00C22527"/>
    <w:rsid w:val="00C32AF0"/>
    <w:rsid w:val="00C370BE"/>
    <w:rsid w:val="00C40426"/>
    <w:rsid w:val="00C40473"/>
    <w:rsid w:val="00C417FC"/>
    <w:rsid w:val="00C44E02"/>
    <w:rsid w:val="00C46D47"/>
    <w:rsid w:val="00C531F5"/>
    <w:rsid w:val="00C55928"/>
    <w:rsid w:val="00C6428E"/>
    <w:rsid w:val="00C700BD"/>
    <w:rsid w:val="00C850FA"/>
    <w:rsid w:val="00C860A1"/>
    <w:rsid w:val="00C927A8"/>
    <w:rsid w:val="00C974CF"/>
    <w:rsid w:val="00CB1428"/>
    <w:rsid w:val="00CB279C"/>
    <w:rsid w:val="00CB5215"/>
    <w:rsid w:val="00CC0C42"/>
    <w:rsid w:val="00CD2063"/>
    <w:rsid w:val="00CD3E83"/>
    <w:rsid w:val="00CF416E"/>
    <w:rsid w:val="00D021B3"/>
    <w:rsid w:val="00D101A1"/>
    <w:rsid w:val="00D16475"/>
    <w:rsid w:val="00D3482B"/>
    <w:rsid w:val="00D412B1"/>
    <w:rsid w:val="00D62204"/>
    <w:rsid w:val="00D67EAD"/>
    <w:rsid w:val="00D76180"/>
    <w:rsid w:val="00D81EDA"/>
    <w:rsid w:val="00D82F12"/>
    <w:rsid w:val="00D94115"/>
    <w:rsid w:val="00D94B68"/>
    <w:rsid w:val="00DB5AC0"/>
    <w:rsid w:val="00DB7D5F"/>
    <w:rsid w:val="00DC0F1C"/>
    <w:rsid w:val="00DD3A01"/>
    <w:rsid w:val="00DD3B62"/>
    <w:rsid w:val="00DD594C"/>
    <w:rsid w:val="00DE468B"/>
    <w:rsid w:val="00DF2413"/>
    <w:rsid w:val="00E00B1A"/>
    <w:rsid w:val="00E026B4"/>
    <w:rsid w:val="00E07274"/>
    <w:rsid w:val="00E119B9"/>
    <w:rsid w:val="00E127D6"/>
    <w:rsid w:val="00E1411A"/>
    <w:rsid w:val="00E22D0B"/>
    <w:rsid w:val="00E2609C"/>
    <w:rsid w:val="00E306A4"/>
    <w:rsid w:val="00E31C08"/>
    <w:rsid w:val="00E35D2C"/>
    <w:rsid w:val="00E37F57"/>
    <w:rsid w:val="00E46C7A"/>
    <w:rsid w:val="00E56477"/>
    <w:rsid w:val="00E76BE1"/>
    <w:rsid w:val="00E94290"/>
    <w:rsid w:val="00E96702"/>
    <w:rsid w:val="00EA0AAB"/>
    <w:rsid w:val="00EB327D"/>
    <w:rsid w:val="00EB3A75"/>
    <w:rsid w:val="00EC0DC3"/>
    <w:rsid w:val="00ED5020"/>
    <w:rsid w:val="00ED7C4A"/>
    <w:rsid w:val="00EE1CFB"/>
    <w:rsid w:val="00EE4233"/>
    <w:rsid w:val="00EF773E"/>
    <w:rsid w:val="00F06897"/>
    <w:rsid w:val="00F11254"/>
    <w:rsid w:val="00F1127A"/>
    <w:rsid w:val="00F3062C"/>
    <w:rsid w:val="00F36251"/>
    <w:rsid w:val="00F41664"/>
    <w:rsid w:val="00F61390"/>
    <w:rsid w:val="00F634C1"/>
    <w:rsid w:val="00F66411"/>
    <w:rsid w:val="00F83725"/>
    <w:rsid w:val="00F8420E"/>
    <w:rsid w:val="00F8482C"/>
    <w:rsid w:val="00F91669"/>
    <w:rsid w:val="00F937A0"/>
    <w:rsid w:val="00F9416C"/>
    <w:rsid w:val="00FB5BC9"/>
    <w:rsid w:val="00FB5CB6"/>
    <w:rsid w:val="00FB6CA9"/>
    <w:rsid w:val="00FC0BF5"/>
    <w:rsid w:val="00FC20D6"/>
    <w:rsid w:val="00FC2883"/>
    <w:rsid w:val="00FC65F0"/>
    <w:rsid w:val="00FD437F"/>
    <w:rsid w:val="00FE0D98"/>
    <w:rsid w:val="00FE28C6"/>
    <w:rsid w:val="00FE4631"/>
    <w:rsid w:val="00FE7663"/>
    <w:rsid w:val="00FF1493"/>
    <w:rsid w:val="00FF38CE"/>
    <w:rsid w:val="0296DD6E"/>
    <w:rsid w:val="0C0D3915"/>
    <w:rsid w:val="19A73395"/>
    <w:rsid w:val="213C9411"/>
    <w:rsid w:val="229A8BE9"/>
    <w:rsid w:val="34D3383A"/>
    <w:rsid w:val="367E3E8B"/>
    <w:rsid w:val="37A17718"/>
    <w:rsid w:val="43102B22"/>
    <w:rsid w:val="4466D1C3"/>
    <w:rsid w:val="4602A224"/>
    <w:rsid w:val="4A90530A"/>
    <w:rsid w:val="4C9DE50B"/>
    <w:rsid w:val="4EF4A96E"/>
    <w:rsid w:val="5580C5A1"/>
    <w:rsid w:val="5E780BD3"/>
    <w:rsid w:val="6587F6E9"/>
    <w:rsid w:val="6B1F7F47"/>
    <w:rsid w:val="6E27C126"/>
    <w:rsid w:val="717F7E32"/>
    <w:rsid w:val="71D02AEA"/>
    <w:rsid w:val="72F4D314"/>
    <w:rsid w:val="7AEC2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96DD6E"/>
  <w15:chartTrackingRefBased/>
  <w15:docId w15:val="{CCE52896-6429-48A4-BC77-6ABAFBAEEE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uiPriority w:val="1"/>
    <w:rsid w:val="717F7E32"/>
  </w:style>
  <w:style w:type="character" w:customStyle="1" w:styleId="eop">
    <w:name w:val="eop"/>
    <w:basedOn w:val="DefaultParagraphFont"/>
    <w:uiPriority w:val="1"/>
    <w:rsid w:val="717F7E32"/>
  </w:style>
  <w:style w:type="paragraph" w:customStyle="1" w:styleId="paragraph">
    <w:name w:val="paragraph"/>
    <w:basedOn w:val="Normal"/>
    <w:uiPriority w:val="1"/>
    <w:rsid w:val="717F7E32"/>
    <w:pPr>
      <w:spacing w:beforeAutospacing="1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113C6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13C6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13C6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D0C1FD-EE38-4ADF-9F06-1E84560D81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1962</Words>
  <Characters>11188</Characters>
  <Application>Microsoft Office Word</Application>
  <DocSecurity>0</DocSecurity>
  <Lines>93</Lines>
  <Paragraphs>26</Paragraphs>
  <ScaleCrop>false</ScaleCrop>
  <Company/>
  <LinksUpToDate>false</LinksUpToDate>
  <CharactersWithSpaces>13124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Lindsey Cullen (2223169)</dc:creator>
  <cp:keywords/>
  <dc:description/>
  <cp:lastModifiedBy>Lindsey Cullen</cp:lastModifiedBy>
  <cp:revision>2</cp:revision>
  <dcterms:created xsi:type="dcterms:W3CDTF">2024-03-27T17:37:00Z</dcterms:created>
  <dcterms:modified xsi:type="dcterms:W3CDTF">2024-03-27T17:37:00Z</dcterms:modified>
</cp:coreProperties>
</file>