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0E08E9">
        <w:t>Amy Harris</w:t>
      </w:r>
    </w:p>
    <w:p w:rsidR="007E4409" w:rsidRDefault="000E08E9">
      <w:r>
        <w:t>PC 6792</w:t>
      </w:r>
      <w:r w:rsidR="00E41B08">
        <w:t xml:space="preserve"> - </w:t>
      </w:r>
      <w:r w:rsidR="007E4409">
        <w:t>South Wales Police</w:t>
      </w:r>
    </w:p>
    <w:p w:rsidR="004C5BEB" w:rsidRDefault="007E4409">
      <w:r>
        <w:t xml:space="preserve">Student Number: </w:t>
      </w:r>
      <w:r w:rsidR="000E08E9">
        <w:t>2016535</w:t>
      </w:r>
    </w:p>
    <w:p w:rsidR="007E4409" w:rsidRDefault="000E08E9">
      <w:r>
        <w:t>Exam 2</w:t>
      </w:r>
      <w:r w:rsidR="00544969">
        <w:t xml:space="preserve"> – </w:t>
      </w:r>
      <w:r>
        <w:t>18/02/2021</w:t>
      </w:r>
    </w:p>
    <w:p w:rsidR="00682F3B" w:rsidRDefault="00682F3B"/>
    <w:p w:rsidR="000E08E9" w:rsidRDefault="000E08E9"/>
    <w:p w:rsidR="00682F3B" w:rsidRDefault="00682F3B">
      <w:r>
        <w:t>Question 1</w:t>
      </w:r>
    </w:p>
    <w:p w:rsidR="00682F3B" w:rsidRDefault="004C5BEB">
      <w:r>
        <w:t xml:space="preserve">A person who drives a mechanically propelled vehicle on a road must stop the vehicle on being required to do so by a constable in uniform or a traffic officer. </w:t>
      </w:r>
    </w:p>
    <w:p w:rsidR="00682F3B" w:rsidRDefault="00682F3B"/>
    <w:p w:rsidR="00682F3B" w:rsidRDefault="00682F3B">
      <w:r>
        <w:t>Question 2</w:t>
      </w:r>
    </w:p>
    <w:p w:rsidR="00682F3B" w:rsidRDefault="004C5BEB">
      <w:r>
        <w:t xml:space="preserve">This sub-section applies if a constable has reasonable grounds to suspect that a person is or has been driving, attempting to drive or in charge of a motor vehicle on a road or other public place and has committed a moving traffic offence. </w:t>
      </w:r>
    </w:p>
    <w:p w:rsidR="00682F3B" w:rsidRDefault="00682F3B"/>
    <w:p w:rsidR="00682F3B" w:rsidRDefault="00682F3B" w:rsidP="00682F3B">
      <w:r>
        <w:t>Question 3</w:t>
      </w:r>
    </w:p>
    <w:p w:rsidR="00682F3B" w:rsidRDefault="004C5BEB">
      <w:r>
        <w:t>A person who drives a mechanically propelled vehicle on a road or other public place without due care and attention or without reasonable consideration for others using the road or public place commits an offence.</w:t>
      </w:r>
    </w:p>
    <w:p w:rsidR="00682F3B" w:rsidRDefault="00682F3B"/>
    <w:p w:rsidR="00682F3B" w:rsidRDefault="00682F3B" w:rsidP="00682F3B">
      <w:r>
        <w:t>Question 4</w:t>
      </w:r>
    </w:p>
    <w:p w:rsidR="00682F3B" w:rsidRDefault="00A820AB">
      <w:r>
        <w:t>Effective use of roads policing powers allows use to disrupts criminality. Those who are not driving in accordance with the legal requirements to be ban from driving. This will improve road safety as well as educate drivers. Section 163 of the Road Traffic Act allows us to stop vehicles and use powers invested in us to detect and disrupt criminality. Section 4 Pace 1984 allows us to conduct road checks to check if a vehicle is carrying someone unlawfully at large, someone who is about to commit an offence other than a road traffic offence, carrying a witness to such an offence or someone who is about to commit an offence. The use of Automatic number plate recognition</w:t>
      </w:r>
      <w:r w:rsidR="00873D03">
        <w:t xml:space="preserve"> allows police to identify patterns of vehicles being used on the road network which are involved in criminal activity. </w:t>
      </w:r>
      <w:r>
        <w:t xml:space="preserve"> </w:t>
      </w:r>
    </w:p>
    <w:p w:rsidR="00682F3B" w:rsidRDefault="00682F3B"/>
    <w:p w:rsidR="00682F3B" w:rsidRDefault="00682F3B" w:rsidP="00682F3B">
      <w:r>
        <w:t>Question 5</w:t>
      </w:r>
    </w:p>
    <w:p w:rsidR="00682F3B" w:rsidRDefault="004C5BEB">
      <w:r>
        <w:t>A constable who has reasonable grounds to believe that a motor vehicle is or was being driven on a road or public place without insurance or without a driving license, or the vehicle fails to stop and you have reasonable grounds that the vehicle was been driven without insurance or driving licence you may seize the vehicle.</w:t>
      </w:r>
    </w:p>
    <w:p w:rsidR="00682F3B" w:rsidRDefault="00682F3B"/>
    <w:p w:rsidR="00682F3B" w:rsidRDefault="00682F3B" w:rsidP="00682F3B">
      <w:r>
        <w:lastRenderedPageBreak/>
        <w:t>Question 6</w:t>
      </w:r>
    </w:p>
    <w:p w:rsidR="00682F3B" w:rsidRDefault="004C5BEB">
      <w:r>
        <w:t>Owing to the presence of a mechanically propelled vehicle on a</w:t>
      </w:r>
      <w:r w:rsidR="00256F00">
        <w:t xml:space="preserve"> road or other public place an </w:t>
      </w:r>
      <w:r>
        <w:t>accident occurs whereby personally injury is caused to a person other than the driver of that mechanically propelled vehicle, or damage is caused to a vehicle (other than that mechanically propelled vehicle or any trailer drawn by it) or an ani</w:t>
      </w:r>
      <w:r w:rsidR="00725D5C">
        <w:t>mal (other than one in or on that</w:t>
      </w:r>
      <w:r>
        <w:t xml:space="preserve"> mechanically propelled vehicle or any trailer drawn by it , or any property constructed</w:t>
      </w:r>
      <w:r w:rsidR="00725D5C">
        <w:t xml:space="preserve"> on, fixed to</w:t>
      </w:r>
      <w:r>
        <w:t xml:space="preserve">, growing in or otherwise forming part of the land in which the road or place in question is situated and land adjacent to such land. </w:t>
      </w:r>
    </w:p>
    <w:p w:rsidR="00682F3B" w:rsidRDefault="00682F3B"/>
    <w:p w:rsidR="00682F3B" w:rsidRDefault="00682F3B" w:rsidP="00682F3B">
      <w:r>
        <w:t>Question 7</w:t>
      </w:r>
    </w:p>
    <w:p w:rsidR="00682F3B" w:rsidRDefault="00725D5C">
      <w:r>
        <w:t xml:space="preserve">Family Liaison officer has the role of supporting the families of those individuals who have been involved in a fatal road traffic collisions. They main role is to update the family with the </w:t>
      </w:r>
      <w:r w:rsidR="00256F00">
        <w:t>investigation process as well provide support and the</w:t>
      </w:r>
      <w:r>
        <w:t xml:space="preserve"> family’s needs. They may sign post them to charities for additional support</w:t>
      </w:r>
      <w:r w:rsidR="00256F00">
        <w:t>.</w:t>
      </w:r>
    </w:p>
    <w:p w:rsidR="00682F3B" w:rsidRDefault="00682F3B"/>
    <w:p w:rsidR="00682F3B" w:rsidRDefault="00682F3B" w:rsidP="00682F3B">
      <w:r>
        <w:t>Question 8</w:t>
      </w:r>
    </w:p>
    <w:p w:rsidR="00682F3B" w:rsidRDefault="00725D5C">
      <w:r>
        <w:t>A driver must stop and wait at the scene long to provide their details to any person who has reasonable grounds to require them. The details they provide include the driver name and address, the owner of the vehicle name and address, the registration of the vehicle or ID number. If personal injury in involved then they must req</w:t>
      </w:r>
      <w:r w:rsidR="004D654E">
        <w:t>uire their insurance details. (S</w:t>
      </w:r>
      <w:r>
        <w:t>ection 170 (2) Road Traffic Act 1988). A person who does not give their details or provide proof of insurance must report the accident in person to a police officer or police station, as reasonably practicable and in any case within 24 hours. (Section 170 (3) Road Traffic Act 1988). If a person fails to stop or report this the accident then they commit both offences. (Section 170 (4) Road Traffic Act 1988.) A person must show proof of insurance if injury is caused. If they fail to provide this they will have 7 days to produce documentation of insurance at a police station. Failing to do this is an offence under offence. (Section 170 (7) Road Traffic Act 1988).</w:t>
      </w:r>
    </w:p>
    <w:p w:rsidR="00682F3B" w:rsidRDefault="00682F3B"/>
    <w:p w:rsidR="00682F3B" w:rsidRDefault="00682F3B" w:rsidP="00682F3B">
      <w:r>
        <w:t>Question 9</w:t>
      </w:r>
    </w:p>
    <w:p w:rsidR="00682F3B" w:rsidRDefault="009A3715">
      <w:r>
        <w:t xml:space="preserve">Section 6E allows constables the power of entry into any premises if an accident has occurred which has involved person injury being caused to any person. A constable may use reasonable force is necessary to do so in order to require a person who is reasonably believed to been driving, attempting to drive or in charge of the motor vehicle at the time of the accident, to provide a preliminary breath test, or to arrest a person who has provided a positive test breath result or arrest a person who fails to co-operate with a preliminary test and you have reasonable grounds for suspecting that the individual has alcohol or a drug in their body or is under the influence of such a drug. </w:t>
      </w:r>
    </w:p>
    <w:p w:rsidR="00682F3B" w:rsidRDefault="00682F3B"/>
    <w:p w:rsidR="00256F00" w:rsidRDefault="00256F00" w:rsidP="00682F3B"/>
    <w:p w:rsidR="00256F00" w:rsidRDefault="00256F00" w:rsidP="00682F3B"/>
    <w:p w:rsidR="00682F3B" w:rsidRDefault="00682F3B" w:rsidP="00682F3B">
      <w:r>
        <w:lastRenderedPageBreak/>
        <w:t>Question 10</w:t>
      </w:r>
    </w:p>
    <w:p w:rsidR="00682F3B" w:rsidRDefault="00DC763A">
      <w:r>
        <w:t>A person who causes the death of another person by driving a mechanically propelled vehicle dangerously on a road or other public place commits an offence.</w:t>
      </w:r>
    </w:p>
    <w:p w:rsidR="00682F3B" w:rsidRDefault="00682F3B"/>
    <w:p w:rsidR="00682F3B" w:rsidRDefault="00682F3B" w:rsidP="00682F3B">
      <w:r>
        <w:t>Question 11</w:t>
      </w:r>
    </w:p>
    <w:p w:rsidR="00682F3B" w:rsidRDefault="00DC763A">
      <w:r>
        <w:t>Section 11 of the Road Traffic Act provides the prescribed legal limits. For alcohol intake, the legal limit is 35 microgrammes of alcohol in 100 millilitres of breath. 80 milligrammes of alcohol in 100 millilitres of blood. 107 milligrammes of alcohol in 100 millilitres of urine. Section 5A of the Road Traffic Act 1988 includes the prescribed limits for drugs. For cocaine, the prescribed legal limit is 10 microgrammes of cocaine per litre of blood and 2 microgramme of Delta 9,THC (Cannabis) per litre of blood.</w:t>
      </w:r>
    </w:p>
    <w:p w:rsidR="00682F3B" w:rsidRDefault="00682F3B"/>
    <w:p w:rsidR="00682F3B" w:rsidRDefault="00682F3B" w:rsidP="00682F3B">
      <w:r>
        <w:t>Question 12</w:t>
      </w:r>
    </w:p>
    <w:p w:rsidR="00682F3B" w:rsidRDefault="00DC763A">
      <w:r>
        <w:t xml:space="preserve">A legal advisor may be present during a suspect interview who’s main role is to protect the legal rights of their client. An appropriate adult may be present during a suspect interview if the suspect suffers from a mental disorder or disability or the suspect is under the age of 18 and is entitled to a appropriate adult for support. Interviewing officer is present and will conduct the interview following codes of practice. A second interviewing officer may be present to take additional notes and ask questions referring to the offence that may have been missed by the interviewing officer in charge. </w:t>
      </w:r>
    </w:p>
    <w:p w:rsidR="00682F3B" w:rsidRDefault="00682F3B"/>
    <w:p w:rsidR="00682F3B" w:rsidRDefault="00682F3B" w:rsidP="00682F3B">
      <w:r>
        <w:t>Question 13</w:t>
      </w:r>
    </w:p>
    <w:p w:rsidR="00682F3B" w:rsidRDefault="00DC763A">
      <w:r>
        <w:t>The PEACE model is referred to as the national policing model which is used for witness / suspect interviewing. The first stage of this model is the planning and preparation stage. This stage includes arranging with the witness an appropriate time, date and location to conduct the interview. This stage the interviewing officer will address any of the witness/ suspects needs. For example, If the person</w:t>
      </w:r>
      <w:r w:rsidR="00AC5AAF">
        <w:t>’s</w:t>
      </w:r>
      <w:r>
        <w:t xml:space="preserve"> first language is not English the interviewing officer would need to arrange a</w:t>
      </w:r>
      <w:r w:rsidR="00AC5AAF">
        <w:t>n</w:t>
      </w:r>
      <w:r>
        <w:t xml:space="preserve"> </w:t>
      </w:r>
      <w:r w:rsidR="00AC5AAF">
        <w:t>interpreter</w:t>
      </w:r>
      <w:r>
        <w:t xml:space="preserve">. Same if the interviewee was considered vulnerable then the interviewer would need to consider an appropriate adult. </w:t>
      </w:r>
      <w:r w:rsidR="00AC5AAF">
        <w:t>The location of the interview is important in order to make the interviewee comfortable. If the interviewing officer is considering conducting an interview in a witness home we must consider distractions such as other family members present, children or animals. The next stage of the model is engage and explain. We must make the person feel comfortable and build a rapport with them. The interviewing officer must explain the interview process and the main aims or objectives. This includes explaining the reason to why they are there. The routine of the process and what to expect. This also can include the process after the interview is conducted. The next stage of the model is the account. This would include the interviewing officer making notes and actively listening to the interviewee. The interviewing officer should try not to interrupt the person speaking as this may disturb their thought process and recall on what happened. The interviewing officer can use the cone system to help them generate useful questions when interviewing. For example, the use of</w:t>
      </w:r>
      <w:r w:rsidR="00256F00">
        <w:t xml:space="preserve"> </w:t>
      </w:r>
      <w:r w:rsidR="00AC5AAF">
        <w:t xml:space="preserve">open questions such tell, explain and describe questions. These types of questions allow the person to take themselves back to the scene or incident and recall what has happened. It also allows the person to go into depth with their answers. The use of probing questions may be used to expand </w:t>
      </w:r>
      <w:r w:rsidR="00AC5AAF">
        <w:lastRenderedPageBreak/>
        <w:t>on a topic or to exhaust a topic. The interviewer aim is to gather as much information as possible. The use of who, what, where, when, why and how questions are useful when describing the people involve, location, actions of people or vehicles and time. It allows the interviewer to gather a detailed account and almost build a picture of what occurred. The interviewer may use close questions to get the person being interviewed to confirm or clarify notes being taken. Suspect interviewing there are three parts of an account. Suspect account, the police agenda and challenges. The first element is to gather detailed account from the suspect still using open, closed and probing questions. The police agenda refers to topics that the interviewing officer wants to explore. For example, reference to exhibits, MG11’s from the witness or arresting officer, points to prove, advocate. They may base their questions on any of the topic above to gather more information than what was provided in the suspect</w:t>
      </w:r>
      <w:r w:rsidR="00256F00">
        <w:t>’</w:t>
      </w:r>
      <w:r w:rsidR="00AC5AAF">
        <w:t>s first account. The use of challenges is a useful technique to get the suspect talking. The interviewing officers can challenge any discrepancies or disclose any new information. They may also use special warnings if the person does not give a satisfactorily response.</w:t>
      </w:r>
      <w:r w:rsidR="00C6775E">
        <w:t xml:space="preserve"> The next stage of the model is closure. This is where the interviewer will ask the person if they would like to add anything and summarise the final account. The interviewer will then explain the process of writing up the statement and getting the person to read and sign it at a later date. They may also give contact details to the person in</w:t>
      </w:r>
      <w:r w:rsidR="00256F00">
        <w:t xml:space="preserve"> </w:t>
      </w:r>
      <w:r w:rsidR="00C6775E">
        <w:t>case the witness remembers anything else at a later date. The final stage of the process is the evaluation stage where the interviewer will reflect on the interview and their skills. They will also evaluate the information gathered from interview in order to investigate the offence fully. The information may lead to new lines of enquires or help eliminate someone from the incident.</w:t>
      </w:r>
    </w:p>
    <w:p w:rsidR="00682F3B" w:rsidRDefault="00682F3B"/>
    <w:p w:rsidR="00682F3B" w:rsidRDefault="00682F3B" w:rsidP="00682F3B">
      <w:r>
        <w:t>Question 14</w:t>
      </w:r>
    </w:p>
    <w:p w:rsidR="00682F3B" w:rsidRDefault="00C6775E">
      <w:r>
        <w:t>A person (A) repeatedly or continuously shows behaviour towards another person (B) which is controlling or coercive. At the time of the behaviour persons A and B are personally connected. The behaviour is having a serious effect on person B. Person A knows or ought to know that the behaviour is having a serious effect on person B.</w:t>
      </w:r>
    </w:p>
    <w:p w:rsidR="00682F3B" w:rsidRDefault="00682F3B"/>
    <w:p w:rsidR="00682F3B" w:rsidRDefault="00682F3B" w:rsidP="00682F3B">
      <w:r>
        <w:t>Question 15</w:t>
      </w:r>
    </w:p>
    <w:p w:rsidR="00682F3B" w:rsidRDefault="0024342C" w:rsidP="0024342C">
      <w:pPr>
        <w:tabs>
          <w:tab w:val="left" w:pos="924"/>
        </w:tabs>
      </w:pPr>
      <w:r>
        <w:t>Coercive control is important because it includes not just physical violence but the emotional and psychological impact this type of abuse has on victims. For example, it’s a form of emotional abuse which excludes the victim from their support network such as family and friends, or being independent. Or the behaviour is shown to have adverse effects on their day to day activities. Many victims are unaware that this is a form of domestic abuse.</w:t>
      </w:r>
    </w:p>
    <w:p w:rsidR="00682F3B" w:rsidRDefault="00682F3B"/>
    <w:p w:rsidR="00682F3B" w:rsidRDefault="00682F3B" w:rsidP="00682F3B">
      <w:r>
        <w:t>Question 16</w:t>
      </w:r>
    </w:p>
    <w:p w:rsidR="00682F3B" w:rsidRDefault="0024342C">
      <w:r>
        <w:t>Section 46 of the Children Act 1989 gives the police the power to protect children by placing them in police protection. If a constable has reasonable grounds that a child may be suffering from harm they can remove that child to suitable accommodation and keep them there or take reasonable steps to ensure that a child’s removal from a hospital or place of safety is prevented.</w:t>
      </w:r>
      <w:r w:rsidR="00BB7077">
        <w:t xml:space="preserve"> Police Officer should follow the mnemonic ASPIRE to help them keep children safe. Arrest any suspects to prevent further harm to the child and place them in police protection to keep them out of harms’ way. Secure and preserve any evidence to portray the full circumstances and to build a case for </w:t>
      </w:r>
      <w:r w:rsidR="00BB7077">
        <w:lastRenderedPageBreak/>
        <w:t>prosecution or child intervention. Take photographs of the conditions. For example poor living conditions, or sleeping conditions. Dirty washing piled up, rubbish everywhere, broken glass, dirty nappies. Photographs of empty fridges or empty cupboards. Any injuries or signs of neglect. Initial contact with suspects needs to be recorded. Observation must be recorded to portray the full circumstances to others not present. The investigating officer needs to contact an inspector to overlook the situation and approval for placing the child into police protection. Record all actions done so far and any outstanding actions on the occurrence. Crime it and submit a public protection notification and send to relevant public protection unit. Emergency duty teams should be contacte out of hours to find the child a place of safety. Emergency duty teams numbers will be at your local public protection unit or available online.</w:t>
      </w:r>
    </w:p>
    <w:p w:rsidR="00682F3B" w:rsidRDefault="00682F3B"/>
    <w:p w:rsidR="00682F3B" w:rsidRDefault="00682F3B" w:rsidP="00682F3B">
      <w:r>
        <w:t>Question 17</w:t>
      </w:r>
    </w:p>
    <w:p w:rsidR="00682F3B" w:rsidRDefault="00BB7077">
      <w:r>
        <w:t>A person aged 16 or over who has responsibility of a child under the age of 16 and wilfully assaults, ill-treats, neglects, abandons or exposes the child in a manner which is likely to result in significant harm or injury to health.</w:t>
      </w:r>
    </w:p>
    <w:p w:rsidR="00682F3B" w:rsidRDefault="00682F3B"/>
    <w:p w:rsidR="00682F3B" w:rsidRDefault="00682F3B" w:rsidP="00682F3B">
      <w:r>
        <w:t>Question 18</w:t>
      </w:r>
    </w:p>
    <w:p w:rsidR="00682F3B" w:rsidRDefault="00BB7077">
      <w:r>
        <w:t xml:space="preserve">The risk identification, assessment and management tool is otherwise known as the DASH model. The DASH model is a tool used by public protection unit to identify and assess risk as well as manage it properly. It model seeks to help front line </w:t>
      </w:r>
      <w:r w:rsidR="00C162D4">
        <w:t>practitioners</w:t>
      </w:r>
      <w:r>
        <w:t xml:space="preserve"> and specialist staff to identify high risk </w:t>
      </w:r>
      <w:r w:rsidR="00C162D4">
        <w:t xml:space="preserve">cases of </w:t>
      </w:r>
      <w:r>
        <w:t>domestic abuse, stalking and harassment</w:t>
      </w:r>
      <w:r w:rsidR="00C162D4">
        <w:t xml:space="preserve"> and honour based abuse. The model helps identify dangerous and serious perpetrators. It also helps to refer these high cases to partner agencies (MARAC) to provide additional support to victims. It always those involved in MARAC to understand the risk in relation to DASH. Extensive research of domestic abuse, domestic homicides are used to design such risk assessment models to prevent incidents occurring. </w:t>
      </w:r>
    </w:p>
    <w:p w:rsidR="00682F3B" w:rsidRDefault="00682F3B"/>
    <w:p w:rsidR="00682F3B" w:rsidRDefault="00682F3B" w:rsidP="00682F3B">
      <w:r>
        <w:t>Question 19</w:t>
      </w:r>
    </w:p>
    <w:p w:rsidR="00682F3B" w:rsidRDefault="00C162D4">
      <w:r>
        <w:t xml:space="preserve">The main categories of when a public protection notification should be submitted are incidents of domestic abuse, stalking, harassment, female genital mutilation, child protection, vulnerable adults and honour based abuse. A PPN will need to be submitted to the relevant public protection unit. This will then be referred to other agencies to make them aware so they can provide additional support to victims and vulnerable persons. Other agencies include social services, probation, health, housing, education, independent domestic abuse advisors, and charities. </w:t>
      </w:r>
    </w:p>
    <w:p w:rsidR="00682F3B" w:rsidRDefault="00682F3B"/>
    <w:p w:rsidR="00682F3B" w:rsidRDefault="00682F3B" w:rsidP="00682F3B">
      <w:r>
        <w:t>Question 20</w:t>
      </w:r>
    </w:p>
    <w:p w:rsidR="00682F3B" w:rsidRDefault="00C162D4">
      <w:r>
        <w:t>A domestic violence protection notice is served to a perpetrator in person, in writing by a constable. It</w:t>
      </w:r>
      <w:r w:rsidR="00AA578C">
        <w:t xml:space="preserve"> must </w:t>
      </w:r>
      <w:r>
        <w:t xml:space="preserve">be authorised by a superintendent and must only last for 48 hours. The 48 hours start from the moment the </w:t>
      </w:r>
      <w:r w:rsidRPr="00C162D4">
        <w:t>domestic violence protection notice is</w:t>
      </w:r>
      <w:r>
        <w:t xml:space="preserve"> served on the perpetrator. This notice is used immediately to protect the victim and places prohibitions on the perpetrator not to contact the victim. This allows the victim some breathing space as well as work with other agencies. The police can build a case file and put in front of the court. It is a victimless process therefore the victim does </w:t>
      </w:r>
      <w:r>
        <w:lastRenderedPageBreak/>
        <w:t>not need to consent to this. The magistrates have 48 hours from the moment the notice is served on the perpetrator. The police may apply for a domestic violence protection order which gives the magistrates the power to stop the perpetrator from contacting the victim up to 28 days. If the perpetrator breaches either a domestic violence notice o</w:t>
      </w:r>
      <w:r w:rsidR="000F6957">
        <w:t>r order it is an criminal</w:t>
      </w:r>
      <w:r>
        <w:t xml:space="preserve"> offence.</w:t>
      </w:r>
      <w:r w:rsidR="005B1EA4">
        <w:t xml:space="preserve"> If the perpetrator and victim live together an domestic violence protection notice cans top them from returning to the address, excluding the victim or even come into close distance of the premises.</w:t>
      </w:r>
    </w:p>
    <w:p w:rsidR="00682F3B" w:rsidRDefault="00682F3B"/>
    <w:p w:rsidR="00682F3B" w:rsidRDefault="00682F3B" w:rsidP="00682F3B">
      <w:r>
        <w:t>Question 21</w:t>
      </w:r>
    </w:p>
    <w:p w:rsidR="00CC6D5F" w:rsidRDefault="00CC6D5F" w:rsidP="00682F3B">
      <w:r>
        <w:t xml:space="preserve">Child sexual exploitation is a form of sexual child abuse. It is when an individual or group take advantage of power of imbalance to coercive, manipulate or deceive any child or young person under the age of 18 into sexual activity in exchange for something the victims needs or wants and/ or financial advantage or increase status of the perpetrator or facilitator. The boyfriend model is used to explain the process of child sexual exploitation. The model consists of three elements. The child, abusing adult and the sex offender. The child represents the young person being sexually exploited. The abusing adult represents the facilitator which grooms and conditions the young person to engage in sexual activity. The sex offender represents the individual who exploits the young person or child for their own sexual gratification. </w:t>
      </w:r>
      <w:r w:rsidR="00AA578C">
        <w:t xml:space="preserve">The perpetrator will looks for signs of vulnerability such as those from a poor background, homelessness, those unsure of their sexual orientation, those who are suffering loss, from chaotic or dysfunctional backgrounds. Those who have no friends their own age. They will target children with </w:t>
      </w:r>
      <w:r w:rsidR="000F6957">
        <w:t>vulnerabilities</w:t>
      </w:r>
      <w:r w:rsidR="00AA578C">
        <w:t xml:space="preserve"> as these children will be easier to befriend and groom. The signs and behaviour of those suffering from child sexual exploitation includes, drinking excessive alcohol and drug taking, unexplained injuries, owner of new possessions, returning home later than usual, missing. They may have suicidal tendencies or thoughts. Child sexual exploitation can happen to any children even those from loving backgrounds. Child sexual exploitation can even occur through technology and not necessarily in person.</w:t>
      </w:r>
    </w:p>
    <w:p w:rsidR="00682F3B" w:rsidRDefault="00682F3B"/>
    <w:p w:rsidR="00682F3B" w:rsidRDefault="00682F3B"/>
    <w:p w:rsidR="00682F3B" w:rsidRDefault="00682F3B" w:rsidP="00682F3B">
      <w:r>
        <w:t>Question 22</w:t>
      </w:r>
    </w:p>
    <w:p w:rsidR="00682F3B" w:rsidRDefault="00CC6D5F">
      <w:r>
        <w:t>The child sexual offender scheme allows parents or carers of children to ask the police for information on those who have access to their children on whether they have been convicted or suspected of child abuse. This scheme came into place after the murder of Sarah Payne by a convicted sex offender. Payne’s mother campaigned with the Home Officer for this scheme to allow parents and carers information to prevent something like this from occurring again.</w:t>
      </w:r>
    </w:p>
    <w:p w:rsidR="00682F3B" w:rsidRDefault="00682F3B"/>
    <w:p w:rsidR="00682F3B" w:rsidRDefault="00682F3B" w:rsidP="00682F3B">
      <w:r>
        <w:t>Question 23</w:t>
      </w:r>
    </w:p>
    <w:p w:rsidR="00682F3B" w:rsidRDefault="00CC6D5F">
      <w:r>
        <w:t>Evidential presumptions about consent can be argued in court if the court prove:</w:t>
      </w:r>
    </w:p>
    <w:p w:rsidR="00CC6D5F" w:rsidRDefault="00CC6D5F">
      <w:r>
        <w:t xml:space="preserve">The defendant did the sexual assault. That specified circumstances existed. The defendant knew that one of these specified circumstances existed. </w:t>
      </w:r>
      <w:r w:rsidR="005F66FB">
        <w:t>(Section 75 (a) Sexual Offence Act 2003)</w:t>
      </w:r>
    </w:p>
    <w:p w:rsidR="005F66FB" w:rsidRDefault="005F66FB">
      <w:r>
        <w:t>Section 75 (b) Sexual Offence Act 2003 highlight the specified circumstances. This includes the use or fear of violence, unlawful detention, unconsciousness, inability to communicate from physical disability, non- consensually administering a substance which stupefies or overpowers the person.</w:t>
      </w:r>
    </w:p>
    <w:p w:rsidR="00682F3B" w:rsidRDefault="005F66FB">
      <w:r>
        <w:lastRenderedPageBreak/>
        <w:t>If all three elements are proved then a court can argue that consent was not given.</w:t>
      </w:r>
    </w:p>
    <w:p w:rsidR="005F66FB" w:rsidRDefault="005F66FB" w:rsidP="00682F3B">
      <w:bookmarkStart w:id="0" w:name="_GoBack"/>
      <w:bookmarkEnd w:id="0"/>
    </w:p>
    <w:p w:rsidR="00682F3B" w:rsidRDefault="00682F3B" w:rsidP="00682F3B">
      <w:r>
        <w:t>Question 24</w:t>
      </w:r>
    </w:p>
    <w:p w:rsidR="00682F3B" w:rsidRDefault="00682F3B"/>
    <w:p w:rsidR="00682F3B" w:rsidRDefault="00682F3B"/>
    <w:p w:rsidR="00682F3B" w:rsidRDefault="00682F3B" w:rsidP="00682F3B">
      <w:r>
        <w:t>Question 25</w:t>
      </w:r>
    </w:p>
    <w:p w:rsidR="00682F3B" w:rsidRDefault="00682F3B" w:rsidP="00682F3B"/>
    <w:p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6D5F" w:rsidRDefault="00CC6D5F" w:rsidP="009B6853">
      <w:pPr>
        <w:spacing w:after="0" w:line="240" w:lineRule="auto"/>
      </w:pPr>
      <w:r>
        <w:separator/>
      </w:r>
    </w:p>
  </w:endnote>
  <w:endnote w:type="continuationSeparator" w:id="0">
    <w:p w:rsidR="00CC6D5F" w:rsidRDefault="00CC6D5F"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C6D5F" w:rsidRDefault="00F44DD6" w:rsidP="00F44DD6">
    <w:pPr>
      <w:pStyle w:val="Footer"/>
      <w:rPr>
        <w:color w:val="000000"/>
        <w:sz w:val="17"/>
      </w:rPr>
    </w:pPr>
    <w:bookmarkStart w:id="3" w:name="TITUS1FooterEvenPages"/>
    <w:r>
      <w:rPr>
        <w:color w:val="000000"/>
        <w:sz w:val="17"/>
      </w:rPr>
      <w:t> </w:t>
    </w:r>
  </w:p>
  <w:bookmarkEnd w:id="3"/>
  <w:p w:rsidR="00CC6D5F" w:rsidRDefault="00CC6D5F" w:rsidP="00725D5C">
    <w:pPr>
      <w:pStyle w:val="Footer"/>
    </w:pPr>
  </w:p>
  <w:p w:rsidR="00CC6D5F" w:rsidRDefault="00CC6D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C6D5F" w:rsidRDefault="00F44DD6" w:rsidP="00F44DD6">
    <w:pPr>
      <w:pStyle w:val="Footer"/>
      <w:rPr>
        <w:color w:val="000000"/>
        <w:sz w:val="17"/>
      </w:rPr>
    </w:pPr>
    <w:bookmarkStart w:id="4" w:name="TITUS1FooterPrimary"/>
    <w:r>
      <w:rPr>
        <w:color w:val="000000"/>
        <w:sz w:val="17"/>
      </w:rPr>
      <w:t> </w:t>
    </w:r>
  </w:p>
  <w:bookmarkEnd w:id="4"/>
  <w:p w:rsidR="00CC6D5F" w:rsidRDefault="00CC6D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C6D5F" w:rsidRDefault="00F44DD6" w:rsidP="00F44DD6">
    <w:pPr>
      <w:pStyle w:val="Footer"/>
      <w:rPr>
        <w:color w:val="000000"/>
        <w:sz w:val="17"/>
      </w:rPr>
    </w:pPr>
    <w:bookmarkStart w:id="6" w:name="TITUS1FooterFirstPage"/>
    <w:r>
      <w:rPr>
        <w:color w:val="000000"/>
        <w:sz w:val="17"/>
      </w:rPr>
      <w:t> </w:t>
    </w:r>
  </w:p>
  <w:bookmarkEnd w:id="6"/>
  <w:p w:rsidR="00CC6D5F" w:rsidRDefault="00CC6D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6D5F" w:rsidRDefault="00CC6D5F" w:rsidP="009B6853">
      <w:pPr>
        <w:spacing w:after="0" w:line="240" w:lineRule="auto"/>
      </w:pPr>
      <w:r>
        <w:separator/>
      </w:r>
    </w:p>
  </w:footnote>
  <w:footnote w:type="continuationSeparator" w:id="0">
    <w:p w:rsidR="00CC6D5F" w:rsidRDefault="00CC6D5F"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C6D5F" w:rsidRDefault="00F44DD6" w:rsidP="00F44DD6">
    <w:pPr>
      <w:pStyle w:val="Header"/>
      <w:rPr>
        <w:color w:val="000000"/>
        <w:sz w:val="17"/>
      </w:rPr>
    </w:pPr>
    <w:bookmarkStart w:id="1" w:name="TITUS1HeaderEvenPages"/>
    <w:r>
      <w:rPr>
        <w:color w:val="000000"/>
        <w:sz w:val="17"/>
      </w:rPr>
      <w:t> </w:t>
    </w:r>
  </w:p>
  <w:bookmarkEnd w:id="1"/>
  <w:p w:rsidR="00CC6D5F" w:rsidRDefault="00CC6D5F" w:rsidP="00725D5C">
    <w:pPr>
      <w:pStyle w:val="Header"/>
    </w:pPr>
  </w:p>
  <w:p w:rsidR="00CC6D5F" w:rsidRDefault="00CC6D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C6D5F" w:rsidRDefault="00F44DD6" w:rsidP="00F44DD6">
    <w:pPr>
      <w:pStyle w:val="Header"/>
      <w:rPr>
        <w:color w:val="000000"/>
        <w:sz w:val="17"/>
      </w:rPr>
    </w:pPr>
    <w:bookmarkStart w:id="2" w:name="TITUS1HeaderPrimary"/>
    <w:r>
      <w:rPr>
        <w:color w:val="000000"/>
        <w:sz w:val="17"/>
      </w:rPr>
      <w:t> </w:t>
    </w:r>
  </w:p>
  <w:bookmarkEnd w:id="2"/>
  <w:p w:rsidR="00CC6D5F" w:rsidRDefault="00CC6D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C6D5F" w:rsidRDefault="00F44DD6" w:rsidP="00F44DD6">
    <w:pPr>
      <w:pStyle w:val="Header"/>
      <w:rPr>
        <w:color w:val="000000"/>
        <w:sz w:val="17"/>
      </w:rPr>
    </w:pPr>
    <w:bookmarkStart w:id="5" w:name="TITUS1HeaderFirstPage"/>
    <w:r>
      <w:rPr>
        <w:color w:val="000000"/>
        <w:sz w:val="17"/>
      </w:rPr>
      <w:t> </w:t>
    </w:r>
  </w:p>
  <w:bookmarkEnd w:id="5"/>
  <w:p w:rsidR="00CC6D5F" w:rsidRDefault="00CC6D5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9"/>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E08E9"/>
    <w:rsid w:val="000F6957"/>
    <w:rsid w:val="00121DF7"/>
    <w:rsid w:val="0024342C"/>
    <w:rsid w:val="00256F00"/>
    <w:rsid w:val="004C5BEB"/>
    <w:rsid w:val="004D654E"/>
    <w:rsid w:val="00544969"/>
    <w:rsid w:val="005B1EA4"/>
    <w:rsid w:val="005F66FB"/>
    <w:rsid w:val="00620875"/>
    <w:rsid w:val="00682F3B"/>
    <w:rsid w:val="00725D5C"/>
    <w:rsid w:val="007C7810"/>
    <w:rsid w:val="007E4409"/>
    <w:rsid w:val="00873D03"/>
    <w:rsid w:val="00877432"/>
    <w:rsid w:val="009A3715"/>
    <w:rsid w:val="009B6853"/>
    <w:rsid w:val="00A820AB"/>
    <w:rsid w:val="00AA578C"/>
    <w:rsid w:val="00AC5AAF"/>
    <w:rsid w:val="00B012F7"/>
    <w:rsid w:val="00BB7077"/>
    <w:rsid w:val="00C162D4"/>
    <w:rsid w:val="00C6775E"/>
    <w:rsid w:val="00CC671A"/>
    <w:rsid w:val="00CC6D5F"/>
    <w:rsid w:val="00D27B05"/>
    <w:rsid w:val="00D50963"/>
    <w:rsid w:val="00DC763A"/>
    <w:rsid w:val="00E41B08"/>
    <w:rsid w:val="00E540F7"/>
    <w:rsid w:val="00F44DD6"/>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58FC473"/>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7</Pages>
  <Words>2677</Words>
  <Characters>15264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Harris,Amy swp6792</cp:lastModifiedBy>
  <cp:revision>19</cp:revision>
  <dcterms:created xsi:type="dcterms:W3CDTF">2021-02-18T10:57:00Z</dcterms:created>
  <dcterms:modified xsi:type="dcterms:W3CDTF">2021-02-18T15:09:00Z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