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1188D77C" w:rsidR="00986B43" w:rsidRPr="00B50020" w:rsidRDefault="00986B43" w:rsidP="005D3F07">
            <w:pPr>
              <w:overflowPunct/>
              <w:autoSpaceDE/>
              <w:autoSpaceDN/>
              <w:adjustRightInd/>
              <w:ind w:right="-957"/>
              <w:textAlignment w:val="auto"/>
              <w:rPr>
                <w:rFonts w:ascii="Times New Roman" w:hAnsi="Times New Roman" w:cs="Times New Roman"/>
                <w:b/>
                <w:color w:val="auto"/>
                <w:sz w:val="40"/>
                <w:szCs w:val="16"/>
              </w:rPr>
            </w:pPr>
            <w:r w:rsidRPr="00B50020">
              <w:rPr>
                <w:rFonts w:ascii="Times New Roman" w:hAnsi="Times New Roman" w:cs="Times New Roman"/>
                <w:b/>
                <w:color w:val="auto"/>
                <w:sz w:val="40"/>
                <w:szCs w:val="16"/>
              </w:rPr>
              <w:t>Learner’s name:</w:t>
            </w:r>
            <w:r w:rsidR="00247265" w:rsidRPr="00B50020">
              <w:rPr>
                <w:rFonts w:ascii="Times New Roman" w:hAnsi="Times New Roman" w:cs="Times New Roman"/>
                <w:b/>
                <w:color w:val="auto"/>
                <w:sz w:val="40"/>
                <w:szCs w:val="16"/>
              </w:rPr>
              <w:t xml:space="preserve"> </w:t>
            </w:r>
            <w:r w:rsidR="00802471" w:rsidRPr="00B50020">
              <w:rPr>
                <w:rFonts w:ascii="Times New Roman" w:hAnsi="Times New Roman" w:cs="Times New Roman"/>
                <w:b/>
                <w:color w:val="auto"/>
                <w:sz w:val="40"/>
                <w:szCs w:val="16"/>
              </w:rPr>
              <w:t xml:space="preserve">Naomi Griffiths </w:t>
            </w:r>
          </w:p>
          <w:p w14:paraId="0B6CD0DB" w14:textId="689515B5" w:rsidR="009C337F" w:rsidRPr="00B50020" w:rsidRDefault="009C337F" w:rsidP="005D3F07">
            <w:pPr>
              <w:overflowPunct/>
              <w:autoSpaceDE/>
              <w:autoSpaceDN/>
              <w:adjustRightInd/>
              <w:ind w:right="-957"/>
              <w:textAlignment w:val="auto"/>
              <w:rPr>
                <w:rFonts w:ascii="Times New Roman" w:hAnsi="Times New Roman" w:cs="Times New Roman"/>
                <w:b/>
                <w:color w:val="auto"/>
                <w:sz w:val="40"/>
                <w:szCs w:val="16"/>
              </w:rPr>
            </w:pPr>
          </w:p>
          <w:p w14:paraId="3A6EAAC7" w14:textId="30A8FD5B" w:rsidR="009C337F" w:rsidRPr="00B50020" w:rsidRDefault="009C337F" w:rsidP="005D3F07">
            <w:pPr>
              <w:overflowPunct/>
              <w:autoSpaceDE/>
              <w:autoSpaceDN/>
              <w:adjustRightInd/>
              <w:ind w:right="-957"/>
              <w:textAlignment w:val="auto"/>
              <w:rPr>
                <w:rFonts w:ascii="Times New Roman" w:hAnsi="Times New Roman" w:cs="Times New Roman"/>
                <w:b/>
                <w:color w:val="auto"/>
                <w:sz w:val="40"/>
                <w:szCs w:val="16"/>
              </w:rPr>
            </w:pPr>
            <w:r w:rsidRPr="00B50020">
              <w:rPr>
                <w:rFonts w:ascii="Times New Roman" w:hAnsi="Times New Roman" w:cs="Times New Roman"/>
                <w:b/>
                <w:color w:val="auto"/>
                <w:sz w:val="40"/>
                <w:szCs w:val="16"/>
              </w:rPr>
              <w:t>Email address:</w:t>
            </w:r>
            <w:r w:rsidR="00295359" w:rsidRPr="00B50020">
              <w:rPr>
                <w:rFonts w:ascii="Times New Roman" w:hAnsi="Times New Roman" w:cs="Times New Roman"/>
                <w:b/>
                <w:color w:val="auto"/>
                <w:sz w:val="40"/>
                <w:szCs w:val="16"/>
              </w:rPr>
              <w:t xml:space="preserve"> 1100133@student.uwtsd.ac.uk</w:t>
            </w:r>
          </w:p>
          <w:p w14:paraId="22E38809" w14:textId="77777777" w:rsidR="00986B43" w:rsidRPr="00B50020" w:rsidRDefault="00986B43" w:rsidP="005D3F07">
            <w:pPr>
              <w:overflowPunct/>
              <w:autoSpaceDE/>
              <w:autoSpaceDN/>
              <w:adjustRightInd/>
              <w:ind w:right="-957"/>
              <w:textAlignment w:val="auto"/>
              <w:rPr>
                <w:rFonts w:ascii="Times New Roman" w:hAnsi="Times New Roman" w:cs="Times New Roman"/>
                <w:b/>
                <w:color w:val="auto"/>
                <w:sz w:val="40"/>
                <w:szCs w:val="16"/>
              </w:rPr>
            </w:pPr>
          </w:p>
          <w:p w14:paraId="0DE696B2" w14:textId="0CDE02C4" w:rsidR="00F927A1" w:rsidRPr="00B50020" w:rsidRDefault="0085230E" w:rsidP="005D3F07">
            <w:pPr>
              <w:overflowPunct/>
              <w:autoSpaceDE/>
              <w:autoSpaceDN/>
              <w:adjustRightInd/>
              <w:ind w:right="-957"/>
              <w:textAlignment w:val="auto"/>
              <w:rPr>
                <w:rFonts w:ascii="Times New Roman" w:hAnsi="Times New Roman" w:cs="Times New Roman"/>
                <w:b/>
                <w:color w:val="auto"/>
                <w:sz w:val="40"/>
                <w:szCs w:val="16"/>
              </w:rPr>
            </w:pPr>
            <w:r w:rsidRPr="00B50020">
              <w:rPr>
                <w:rFonts w:ascii="Times New Roman" w:hAnsi="Times New Roman" w:cs="Times New Roman"/>
                <w:b/>
                <w:color w:val="auto"/>
                <w:sz w:val="40"/>
                <w:szCs w:val="16"/>
              </w:rPr>
              <w:t>Learner’s University Registration</w:t>
            </w:r>
            <w:r w:rsidR="00F927A1" w:rsidRPr="00B50020">
              <w:rPr>
                <w:rFonts w:ascii="Times New Roman" w:hAnsi="Times New Roman" w:cs="Times New Roman"/>
                <w:b/>
                <w:color w:val="auto"/>
                <w:sz w:val="40"/>
                <w:szCs w:val="16"/>
              </w:rPr>
              <w:t xml:space="preserve"> Number:</w:t>
            </w:r>
            <w:r w:rsidR="00B50020" w:rsidRPr="00B50020">
              <w:rPr>
                <w:rFonts w:ascii="Times New Roman" w:hAnsi="Times New Roman" w:cs="Times New Roman"/>
                <w:b/>
                <w:color w:val="auto"/>
                <w:sz w:val="40"/>
                <w:szCs w:val="16"/>
              </w:rPr>
              <w:t xml:space="preserve"> 1100133</w:t>
            </w:r>
          </w:p>
          <w:p w14:paraId="622FD17A" w14:textId="77777777" w:rsidR="0085230E" w:rsidRPr="00B50020" w:rsidRDefault="0085230E" w:rsidP="005D3F07">
            <w:pPr>
              <w:overflowPunct/>
              <w:autoSpaceDE/>
              <w:autoSpaceDN/>
              <w:adjustRightInd/>
              <w:ind w:right="-957"/>
              <w:textAlignment w:val="auto"/>
              <w:rPr>
                <w:rFonts w:ascii="Times New Roman" w:hAnsi="Times New Roman" w:cs="Times New Roman"/>
                <w:b/>
                <w:color w:val="auto"/>
                <w:sz w:val="40"/>
                <w:szCs w:val="16"/>
              </w:rPr>
            </w:pPr>
          </w:p>
          <w:p w14:paraId="5F84129B" w14:textId="6E957FC7"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B50020">
              <w:rPr>
                <w:rFonts w:ascii="Times New Roman" w:hAnsi="Times New Roman" w:cs="Times New Roman"/>
                <w:b/>
                <w:color w:val="auto"/>
                <w:sz w:val="40"/>
                <w:szCs w:val="16"/>
              </w:rPr>
              <w:t xml:space="preserve">Cohort: </w:t>
            </w:r>
            <w:r w:rsidR="0049374F" w:rsidRPr="00B50020">
              <w:rPr>
                <w:rFonts w:ascii="Times New Roman" w:hAnsi="Times New Roman" w:cs="Times New Roman"/>
                <w:b/>
                <w:color w:val="auto"/>
                <w:sz w:val="40"/>
                <w:szCs w:val="16"/>
              </w:rPr>
              <w:t>21</w:t>
            </w:r>
            <w:r w:rsidR="00295359" w:rsidRPr="00B50020">
              <w:rPr>
                <w:rFonts w:ascii="Times New Roman" w:hAnsi="Times New Roman" w:cs="Times New Roman"/>
                <w:b/>
                <w:color w:val="auto"/>
                <w:sz w:val="40"/>
                <w:szCs w:val="16"/>
              </w:rPr>
              <w:t xml:space="preserve"> </w:t>
            </w:r>
            <w:r w:rsidR="00AE6231" w:rsidRPr="00B50020">
              <w:rPr>
                <w:rFonts w:ascii="Times New Roman" w:hAnsi="Times New Roman" w:cs="Times New Roman"/>
                <w:b/>
                <w:color w:val="auto"/>
                <w:sz w:val="40"/>
                <w:szCs w:val="16"/>
              </w:rPr>
              <w:t>onwards</w:t>
            </w:r>
          </w:p>
        </w:tc>
      </w:tr>
      <w:tr w:rsidR="00802471" w:rsidRPr="005D3F07" w14:paraId="6424456C" w14:textId="77777777" w:rsidTr="005D3F07">
        <w:tc>
          <w:tcPr>
            <w:tcW w:w="10368" w:type="dxa"/>
          </w:tcPr>
          <w:p w14:paraId="51311CA2" w14:textId="77777777" w:rsidR="00802471" w:rsidRDefault="00802471" w:rsidP="005D3F07">
            <w:pPr>
              <w:overflowPunct/>
              <w:autoSpaceDE/>
              <w:autoSpaceDN/>
              <w:adjustRightInd/>
              <w:ind w:right="-957"/>
              <w:textAlignment w:val="auto"/>
              <w:rPr>
                <w:rFonts w:ascii="Times New Roman" w:hAnsi="Times New Roman" w:cs="Times New Roman"/>
                <w:b/>
                <w:color w:val="auto"/>
                <w:sz w:val="48"/>
              </w:rPr>
            </w:pP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Pr="00C12988" w:rsidRDefault="00D3203C" w:rsidP="00EE5BC3">
      <w:pPr>
        <w:jc w:val="center"/>
        <w:rPr>
          <w:b/>
          <w:sz w:val="32"/>
          <w:szCs w:val="32"/>
        </w:rPr>
      </w:pPr>
    </w:p>
    <w:p w14:paraId="0EF984DF" w14:textId="02707E04" w:rsidR="000D0BB6" w:rsidRPr="00C12988" w:rsidRDefault="00337FEF" w:rsidP="00EE5BC3">
      <w:pPr>
        <w:jc w:val="center"/>
        <w:rPr>
          <w:b/>
          <w:sz w:val="36"/>
          <w:szCs w:val="36"/>
        </w:rPr>
      </w:pPr>
      <w:r w:rsidRPr="00C12988">
        <w:rPr>
          <w:b/>
          <w:sz w:val="36"/>
          <w:szCs w:val="36"/>
        </w:rPr>
        <w:t>Task 4</w:t>
      </w:r>
    </w:p>
    <w:p w14:paraId="156B2346" w14:textId="77777777" w:rsidR="00002C7A" w:rsidRPr="00C12988" w:rsidRDefault="00002C7A" w:rsidP="00EE5BC3">
      <w:pPr>
        <w:jc w:val="center"/>
        <w:rPr>
          <w:b/>
          <w:sz w:val="36"/>
          <w:szCs w:val="36"/>
        </w:rPr>
      </w:pPr>
    </w:p>
    <w:p w14:paraId="4A34FA1D" w14:textId="77777777" w:rsidR="00002C7A" w:rsidRPr="00C12988" w:rsidRDefault="00002C7A" w:rsidP="00EE5BC3">
      <w:pPr>
        <w:jc w:val="center"/>
        <w:rPr>
          <w:b/>
          <w:sz w:val="36"/>
          <w:szCs w:val="36"/>
        </w:rPr>
      </w:pPr>
      <w:r w:rsidRPr="00C12988">
        <w:rPr>
          <w:b/>
          <w:sz w:val="36"/>
          <w:szCs w:val="36"/>
        </w:rPr>
        <w:t>Safeguarding</w:t>
      </w:r>
      <w:r w:rsidR="005F64AA" w:rsidRPr="00C12988">
        <w:rPr>
          <w:b/>
          <w:sz w:val="36"/>
          <w:szCs w:val="36"/>
        </w:rPr>
        <w:t xml:space="preserve"> in an area which is not your main area of work</w:t>
      </w:r>
    </w:p>
    <w:p w14:paraId="6D6C0186" w14:textId="77777777" w:rsidR="000D0BB6" w:rsidRPr="00C12988" w:rsidRDefault="000D0BB6" w:rsidP="00FF7EBB">
      <w:pPr>
        <w:jc w:val="both"/>
        <w:rPr>
          <w:b/>
          <w:sz w:val="32"/>
          <w:szCs w:val="32"/>
        </w:rPr>
      </w:pPr>
    </w:p>
    <w:p w14:paraId="63836D76" w14:textId="77777777" w:rsidR="00337FEF" w:rsidRPr="00C12988" w:rsidRDefault="008B28E7" w:rsidP="00FF7EBB">
      <w:pPr>
        <w:ind w:left="-90"/>
        <w:jc w:val="both"/>
        <w:rPr>
          <w:b/>
          <w:i/>
          <w:sz w:val="32"/>
          <w:szCs w:val="32"/>
        </w:rPr>
      </w:pPr>
      <w:r w:rsidRPr="00C12988">
        <w:rPr>
          <w:b/>
          <w:i/>
          <w:sz w:val="32"/>
          <w:szCs w:val="32"/>
        </w:rPr>
        <w:t xml:space="preserve">Guidance: </w:t>
      </w:r>
    </w:p>
    <w:p w14:paraId="440B2467" w14:textId="322DDD98" w:rsidR="00633165" w:rsidRPr="00C12988" w:rsidRDefault="00012B16" w:rsidP="4EC15626">
      <w:pPr>
        <w:ind w:left="-90"/>
        <w:jc w:val="both"/>
        <w:rPr>
          <w:i/>
          <w:iCs/>
          <w:sz w:val="32"/>
          <w:szCs w:val="32"/>
        </w:rPr>
      </w:pPr>
      <w:r w:rsidRPr="00C12988">
        <w:rPr>
          <w:i/>
          <w:iCs/>
          <w:sz w:val="32"/>
          <w:szCs w:val="32"/>
        </w:rPr>
        <w:t>Social Care Wales</w:t>
      </w:r>
      <w:r w:rsidR="008B28E7" w:rsidRPr="00C12988">
        <w:rPr>
          <w:i/>
          <w:iCs/>
          <w:sz w:val="32"/>
          <w:szCs w:val="32"/>
        </w:rPr>
        <w:t xml:space="preserve"> require newly qualified social workers </w:t>
      </w:r>
      <w:r w:rsidR="00D60F88" w:rsidRPr="00C12988">
        <w:rPr>
          <w:i/>
          <w:iCs/>
          <w:sz w:val="32"/>
          <w:szCs w:val="32"/>
        </w:rPr>
        <w:t xml:space="preserve">to provide evidence of </w:t>
      </w:r>
      <w:r w:rsidR="008B28E7" w:rsidRPr="00C12988">
        <w:rPr>
          <w:i/>
          <w:iCs/>
          <w:sz w:val="32"/>
          <w:szCs w:val="32"/>
        </w:rPr>
        <w:t xml:space="preserve">their </w:t>
      </w:r>
      <w:r w:rsidR="00D60F88" w:rsidRPr="00C12988">
        <w:rPr>
          <w:i/>
          <w:iCs/>
          <w:sz w:val="32"/>
          <w:szCs w:val="32"/>
        </w:rPr>
        <w:t>understanding of safeguarding work with adults and children</w:t>
      </w:r>
      <w:r w:rsidR="008B28E7" w:rsidRPr="00C12988">
        <w:rPr>
          <w:i/>
          <w:iCs/>
          <w:sz w:val="32"/>
          <w:szCs w:val="32"/>
        </w:rPr>
        <w:t>.</w:t>
      </w:r>
      <w:r w:rsidR="00D60F88" w:rsidRPr="00C12988">
        <w:rPr>
          <w:i/>
          <w:iCs/>
          <w:sz w:val="32"/>
          <w:szCs w:val="32"/>
        </w:rPr>
        <w:t xml:space="preserve"> </w:t>
      </w:r>
      <w:r w:rsidR="004911B4" w:rsidRPr="00C12988">
        <w:rPr>
          <w:i/>
          <w:iCs/>
          <w:sz w:val="32"/>
          <w:szCs w:val="32"/>
        </w:rPr>
        <w:t>The</w:t>
      </w:r>
      <w:r w:rsidR="00D60F88" w:rsidRPr="00C12988">
        <w:rPr>
          <w:i/>
          <w:iCs/>
          <w:sz w:val="32"/>
          <w:szCs w:val="32"/>
        </w:rPr>
        <w:t xml:space="preserve"> assignment below will enable you to </w:t>
      </w:r>
      <w:r w:rsidR="00EE5BC3" w:rsidRPr="00C12988">
        <w:rPr>
          <w:i/>
          <w:iCs/>
          <w:sz w:val="32"/>
          <w:szCs w:val="32"/>
        </w:rPr>
        <w:t>demonstrate this</w:t>
      </w:r>
      <w:r w:rsidR="008B28E7" w:rsidRPr="00C12988">
        <w:rPr>
          <w:i/>
          <w:iCs/>
          <w:sz w:val="32"/>
          <w:szCs w:val="32"/>
        </w:rPr>
        <w:t xml:space="preserve">. </w:t>
      </w:r>
      <w:r w:rsidR="008B28E7" w:rsidRPr="00C12988">
        <w:rPr>
          <w:b/>
          <w:bCs/>
          <w:i/>
          <w:iCs/>
          <w:sz w:val="32"/>
          <w:szCs w:val="32"/>
        </w:rPr>
        <w:t>N.B</w:t>
      </w:r>
      <w:r w:rsidR="008B28E7" w:rsidRPr="00C12988">
        <w:rPr>
          <w:i/>
          <w:iCs/>
          <w:sz w:val="32"/>
          <w:szCs w:val="32"/>
        </w:rPr>
        <w:t xml:space="preserve">. </w:t>
      </w:r>
      <w:r w:rsidR="00D60F88" w:rsidRPr="00C12988">
        <w:rPr>
          <w:i/>
          <w:iCs/>
          <w:sz w:val="32"/>
          <w:szCs w:val="32"/>
        </w:rPr>
        <w:t xml:space="preserve">if your </w:t>
      </w:r>
      <w:r w:rsidR="009D477B" w:rsidRPr="00C12988">
        <w:rPr>
          <w:i/>
          <w:iCs/>
          <w:sz w:val="32"/>
          <w:szCs w:val="32"/>
        </w:rPr>
        <w:t>usual area</w:t>
      </w:r>
      <w:r w:rsidR="00D60F88" w:rsidRPr="00C12988">
        <w:rPr>
          <w:i/>
          <w:iCs/>
          <w:sz w:val="32"/>
          <w:szCs w:val="32"/>
        </w:rPr>
        <w:t xml:space="preserve"> of work is with children please write about adult</w:t>
      </w:r>
      <w:r w:rsidR="003C19F1" w:rsidRPr="00C12988">
        <w:rPr>
          <w:i/>
          <w:iCs/>
          <w:sz w:val="32"/>
          <w:szCs w:val="32"/>
        </w:rPr>
        <w:t xml:space="preserve"> safeguarding. I</w:t>
      </w:r>
      <w:r w:rsidR="00D60F88" w:rsidRPr="00C12988">
        <w:rPr>
          <w:i/>
          <w:iCs/>
          <w:sz w:val="32"/>
          <w:szCs w:val="32"/>
        </w:rPr>
        <w:t xml:space="preserve">f you </w:t>
      </w:r>
      <w:r w:rsidR="009D477B" w:rsidRPr="00C12988">
        <w:rPr>
          <w:i/>
          <w:iCs/>
          <w:sz w:val="32"/>
          <w:szCs w:val="32"/>
        </w:rPr>
        <w:t>usually work</w:t>
      </w:r>
      <w:r w:rsidR="00D60F88" w:rsidRPr="00C12988">
        <w:rPr>
          <w:i/>
          <w:iCs/>
          <w:sz w:val="32"/>
          <w:szCs w:val="32"/>
        </w:rPr>
        <w:t xml:space="preserve"> with adults</w:t>
      </w:r>
      <w:r w:rsidR="3CD2139F" w:rsidRPr="00C12988">
        <w:rPr>
          <w:i/>
          <w:iCs/>
          <w:sz w:val="32"/>
          <w:szCs w:val="32"/>
        </w:rPr>
        <w:t>,</w:t>
      </w:r>
      <w:r w:rsidR="00D60F88" w:rsidRPr="00C12988">
        <w:rPr>
          <w:i/>
          <w:iCs/>
          <w:sz w:val="32"/>
          <w:szCs w:val="32"/>
        </w:rPr>
        <w:t xml:space="preserve"> then write about child</w:t>
      </w:r>
      <w:r w:rsidR="003C19F1" w:rsidRPr="00C12988">
        <w:rPr>
          <w:i/>
          <w:iCs/>
          <w:sz w:val="32"/>
          <w:szCs w:val="32"/>
        </w:rPr>
        <w:t xml:space="preserve"> safeguarding</w:t>
      </w:r>
      <w:r w:rsidR="00D60F88" w:rsidRPr="00C12988">
        <w:rPr>
          <w:i/>
          <w:iCs/>
          <w:sz w:val="32"/>
          <w:szCs w:val="32"/>
        </w:rPr>
        <w:t xml:space="preserve">. </w:t>
      </w:r>
      <w:r w:rsidR="00337FEF" w:rsidRPr="00C12988">
        <w:rPr>
          <w:i/>
          <w:iCs/>
          <w:sz w:val="32"/>
          <w:szCs w:val="32"/>
        </w:rPr>
        <w:t xml:space="preserve"> </w:t>
      </w:r>
      <w:r w:rsidR="0079422A" w:rsidRPr="00C12988">
        <w:rPr>
          <w:i/>
          <w:iCs/>
          <w:sz w:val="32"/>
          <w:szCs w:val="32"/>
        </w:rPr>
        <w:t>E</w:t>
      </w:r>
      <w:r w:rsidR="00337FEF" w:rsidRPr="00C12988">
        <w:rPr>
          <w:i/>
          <w:iCs/>
          <w:sz w:val="32"/>
          <w:szCs w:val="32"/>
        </w:rPr>
        <w:t xml:space="preserve">nsure you meet </w:t>
      </w:r>
      <w:r w:rsidR="00FC0334" w:rsidRPr="00C12988">
        <w:rPr>
          <w:i/>
          <w:iCs/>
          <w:sz w:val="32"/>
          <w:szCs w:val="32"/>
        </w:rPr>
        <w:t>the</w:t>
      </w:r>
      <w:r w:rsidR="00AA7960" w:rsidRPr="00C12988">
        <w:rPr>
          <w:i/>
          <w:iCs/>
          <w:sz w:val="32"/>
          <w:szCs w:val="32"/>
        </w:rPr>
        <w:t xml:space="preserve"> </w:t>
      </w:r>
      <w:r w:rsidR="00064063" w:rsidRPr="00C12988">
        <w:rPr>
          <w:i/>
          <w:iCs/>
          <w:sz w:val="32"/>
          <w:szCs w:val="32"/>
        </w:rPr>
        <w:t xml:space="preserve">learning out comes for this task </w:t>
      </w:r>
      <w:r w:rsidR="0079422A" w:rsidRPr="00C12988">
        <w:rPr>
          <w:i/>
          <w:iCs/>
          <w:sz w:val="32"/>
          <w:szCs w:val="32"/>
        </w:rPr>
        <w:t>(</w:t>
      </w:r>
      <w:r w:rsidR="00064063" w:rsidRPr="00C12988">
        <w:rPr>
          <w:i/>
          <w:iCs/>
          <w:sz w:val="32"/>
          <w:szCs w:val="32"/>
        </w:rPr>
        <w:t xml:space="preserve">see appendix </w:t>
      </w:r>
      <w:r w:rsidR="003D1BC0" w:rsidRPr="00C12988">
        <w:rPr>
          <w:i/>
          <w:iCs/>
          <w:sz w:val="32"/>
          <w:szCs w:val="32"/>
        </w:rPr>
        <w:t>5</w:t>
      </w:r>
      <w:r w:rsidR="00064063" w:rsidRPr="00C12988">
        <w:rPr>
          <w:i/>
          <w:iCs/>
          <w:sz w:val="32"/>
          <w:szCs w:val="32"/>
        </w:rPr>
        <w:t xml:space="preserve"> </w:t>
      </w:r>
      <w:r w:rsidR="00FC0334" w:rsidRPr="00C12988">
        <w:rPr>
          <w:i/>
          <w:iCs/>
          <w:sz w:val="32"/>
          <w:szCs w:val="32"/>
        </w:rPr>
        <w:t>of the</w:t>
      </w:r>
      <w:r w:rsidR="007A628F" w:rsidRPr="00C12988">
        <w:rPr>
          <w:i/>
          <w:iCs/>
          <w:sz w:val="32"/>
          <w:szCs w:val="32"/>
        </w:rPr>
        <w:t xml:space="preserve"> h</w:t>
      </w:r>
      <w:r w:rsidR="00FC0334" w:rsidRPr="00C12988">
        <w:rPr>
          <w:i/>
          <w:iCs/>
          <w:sz w:val="32"/>
          <w:szCs w:val="32"/>
        </w:rPr>
        <w:t>andbook</w:t>
      </w:r>
      <w:r w:rsidR="0079422A" w:rsidRPr="00C12988">
        <w:rPr>
          <w:i/>
          <w:iCs/>
          <w:sz w:val="32"/>
          <w:szCs w:val="32"/>
        </w:rPr>
        <w:t>).</w:t>
      </w:r>
    </w:p>
    <w:p w14:paraId="7A8069C4"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C2359E" w14:paraId="152141E6" w14:textId="77777777" w:rsidTr="006108C9">
        <w:tc>
          <w:tcPr>
            <w:tcW w:w="10188" w:type="dxa"/>
          </w:tcPr>
          <w:p w14:paraId="2B66890D" w14:textId="56A37C4F" w:rsidR="00337FEF" w:rsidRPr="00C2359E" w:rsidRDefault="00337FEF" w:rsidP="00C2359E">
            <w:pPr>
              <w:spacing w:line="360" w:lineRule="auto"/>
              <w:jc w:val="both"/>
              <w:rPr>
                <w:b/>
                <w:sz w:val="28"/>
                <w:szCs w:val="28"/>
              </w:rPr>
            </w:pPr>
            <w:r w:rsidRPr="00C2359E">
              <w:rPr>
                <w:b/>
                <w:sz w:val="28"/>
                <w:szCs w:val="28"/>
              </w:rPr>
              <w:t>Question</w:t>
            </w:r>
            <w:r w:rsidR="00FC0334" w:rsidRPr="00C2359E">
              <w:rPr>
                <w:b/>
                <w:sz w:val="28"/>
                <w:szCs w:val="28"/>
              </w:rPr>
              <w:t xml:space="preserve"> a</w:t>
            </w:r>
            <w:r w:rsidR="007A628F" w:rsidRPr="00C2359E">
              <w:rPr>
                <w:b/>
                <w:sz w:val="28"/>
                <w:szCs w:val="28"/>
              </w:rPr>
              <w:t>:</w:t>
            </w:r>
          </w:p>
          <w:p w14:paraId="17A49383" w14:textId="77777777" w:rsidR="008B28E7" w:rsidRPr="00C2359E" w:rsidRDefault="00BB7FD2" w:rsidP="00C2359E">
            <w:pPr>
              <w:spacing w:line="360" w:lineRule="auto"/>
              <w:jc w:val="both"/>
              <w:rPr>
                <w:b/>
                <w:sz w:val="28"/>
                <w:szCs w:val="28"/>
              </w:rPr>
            </w:pPr>
            <w:r w:rsidRPr="00C2359E">
              <w:rPr>
                <w:b/>
                <w:sz w:val="28"/>
                <w:szCs w:val="28"/>
              </w:rPr>
              <w:t xml:space="preserve">In an area that is not your </w:t>
            </w:r>
            <w:proofErr w:type="gramStart"/>
            <w:r w:rsidRPr="00C2359E">
              <w:rPr>
                <w:b/>
                <w:sz w:val="28"/>
                <w:szCs w:val="28"/>
              </w:rPr>
              <w:t>main focus</w:t>
            </w:r>
            <w:proofErr w:type="gramEnd"/>
            <w:r w:rsidRPr="00C2359E">
              <w:rPr>
                <w:b/>
                <w:sz w:val="28"/>
                <w:szCs w:val="28"/>
              </w:rPr>
              <w:t xml:space="preserve"> of work (see guidance above), </w:t>
            </w:r>
            <w:r w:rsidR="0002440E" w:rsidRPr="00C2359E">
              <w:rPr>
                <w:b/>
                <w:sz w:val="28"/>
                <w:szCs w:val="28"/>
              </w:rPr>
              <w:t>explain</w:t>
            </w:r>
            <w:r w:rsidR="008340BA" w:rsidRPr="00C2359E">
              <w:rPr>
                <w:b/>
                <w:sz w:val="28"/>
                <w:szCs w:val="28"/>
              </w:rPr>
              <w:t xml:space="preserve"> </w:t>
            </w:r>
            <w:r w:rsidR="00DA22EC" w:rsidRPr="00C2359E">
              <w:rPr>
                <w:b/>
                <w:sz w:val="28"/>
                <w:szCs w:val="28"/>
              </w:rPr>
              <w:t>the</w:t>
            </w:r>
            <w:r w:rsidR="005A545C" w:rsidRPr="00C2359E">
              <w:rPr>
                <w:b/>
                <w:sz w:val="28"/>
                <w:szCs w:val="28"/>
              </w:rPr>
              <w:t xml:space="preserve"> relevant </w:t>
            </w:r>
            <w:r w:rsidRPr="00C2359E">
              <w:rPr>
                <w:b/>
                <w:sz w:val="28"/>
                <w:szCs w:val="28"/>
              </w:rPr>
              <w:t xml:space="preserve">legislation, </w:t>
            </w:r>
            <w:r w:rsidR="0002440E" w:rsidRPr="00C2359E">
              <w:rPr>
                <w:b/>
                <w:sz w:val="28"/>
                <w:szCs w:val="28"/>
              </w:rPr>
              <w:t>and</w:t>
            </w:r>
            <w:r w:rsidR="008340BA" w:rsidRPr="00C2359E">
              <w:rPr>
                <w:b/>
                <w:sz w:val="28"/>
                <w:szCs w:val="28"/>
              </w:rPr>
              <w:t xml:space="preserve"> the </w:t>
            </w:r>
            <w:r w:rsidR="005A545C" w:rsidRPr="00C2359E">
              <w:rPr>
                <w:b/>
                <w:sz w:val="28"/>
                <w:szCs w:val="28"/>
              </w:rPr>
              <w:t>national, local and organisational policies and procedures</w:t>
            </w:r>
            <w:r w:rsidRPr="00C2359E">
              <w:rPr>
                <w:b/>
                <w:sz w:val="28"/>
                <w:szCs w:val="28"/>
              </w:rPr>
              <w:t xml:space="preserve"> for safeguarding. </w:t>
            </w:r>
          </w:p>
          <w:p w14:paraId="1FBBCFA0" w14:textId="77777777" w:rsidR="006108C9" w:rsidRPr="00C2359E" w:rsidRDefault="006108C9" w:rsidP="00C2359E">
            <w:pPr>
              <w:spacing w:line="360" w:lineRule="auto"/>
              <w:jc w:val="both"/>
              <w:rPr>
                <w:sz w:val="28"/>
                <w:szCs w:val="28"/>
              </w:rPr>
            </w:pPr>
          </w:p>
          <w:p w14:paraId="20E4E2C5" w14:textId="77777777" w:rsidR="00DC6580" w:rsidRPr="00C2359E" w:rsidRDefault="00DC6580" w:rsidP="00C2359E">
            <w:pPr>
              <w:spacing w:line="360" w:lineRule="auto"/>
              <w:rPr>
                <w:sz w:val="28"/>
                <w:szCs w:val="28"/>
              </w:rPr>
            </w:pPr>
            <w:r w:rsidRPr="00C2359E">
              <w:rPr>
                <w:sz w:val="28"/>
                <w:szCs w:val="28"/>
              </w:rPr>
              <w:t>Although my primary role is within adult social work, I have a professional responsibility to understand safeguarding arrangements for children. Safeguarding is a shared statutory duty across services, and professionals must be able to recognise concerns, respond appropriately, and take timely action to protect children from abuse, neglect, or exploitation (Welsh Government, 2018a). This responsibility applies regardless of whether safeguarding children is a practitioner’s main area of practice.</w:t>
            </w:r>
          </w:p>
          <w:p w14:paraId="07DC56CB" w14:textId="77777777" w:rsidR="00DC6580" w:rsidRPr="00C2359E" w:rsidRDefault="00DC6580" w:rsidP="00C2359E">
            <w:pPr>
              <w:spacing w:line="360" w:lineRule="auto"/>
              <w:rPr>
                <w:sz w:val="28"/>
                <w:szCs w:val="28"/>
              </w:rPr>
            </w:pPr>
          </w:p>
          <w:p w14:paraId="2AFA5834" w14:textId="77777777" w:rsidR="00DC6580" w:rsidRPr="00C2359E" w:rsidRDefault="00DC6580" w:rsidP="00C2359E">
            <w:pPr>
              <w:spacing w:line="360" w:lineRule="auto"/>
              <w:rPr>
                <w:sz w:val="28"/>
                <w:szCs w:val="28"/>
              </w:rPr>
            </w:pPr>
            <w:r w:rsidRPr="00C2359E">
              <w:rPr>
                <w:sz w:val="28"/>
                <w:szCs w:val="28"/>
              </w:rPr>
              <w:lastRenderedPageBreak/>
              <w:t>At a national level, the Human Rights Act 1998 incorporates the European Convention on Human Rights into UK law and underpins safeguarding activity. For children, Article 3 (freedom from inhuman or degrading treatment) and Article 8 (right to respect for private and family life) are relevant. Article 8 promotes family autonomy; this right is not absolute and may be lawfully interfered with where necessary to protect a child from harm. This explains the legal balance between respecting family life and the state’s duty to safeguard vulnerable children (Chisnell and Kelly, 2019).</w:t>
            </w:r>
          </w:p>
          <w:p w14:paraId="61168E0B" w14:textId="77777777" w:rsidR="00DC6580" w:rsidRPr="00C2359E" w:rsidRDefault="00DC6580" w:rsidP="00C2359E">
            <w:pPr>
              <w:spacing w:line="360" w:lineRule="auto"/>
              <w:rPr>
                <w:sz w:val="28"/>
                <w:szCs w:val="28"/>
              </w:rPr>
            </w:pPr>
          </w:p>
          <w:p w14:paraId="39541CF4" w14:textId="77777777" w:rsidR="00DC6580" w:rsidRPr="00C2359E" w:rsidRDefault="00DC6580" w:rsidP="00C2359E">
            <w:pPr>
              <w:spacing w:line="360" w:lineRule="auto"/>
              <w:rPr>
                <w:sz w:val="28"/>
                <w:szCs w:val="28"/>
              </w:rPr>
            </w:pPr>
            <w:r w:rsidRPr="00C2359E">
              <w:rPr>
                <w:sz w:val="28"/>
                <w:szCs w:val="28"/>
              </w:rPr>
              <w:t>In Wales, the Social Services and Well-being (Wales) Act 2014 (SSWBA) provides the primary legislative framework for safeguarding both adults and children. The Act defines a “child at risk” as a person under 18 who is experiencing, or is at risk of, abuse, neglect, or other harm, and who has care and support needs. Importantly, the Act places a legal duty on relevant partners, including adult social care professionals, to report concerns to the local authority where there are reasonable grounds to believe a child is at risk (Welsh Government, 2014). This duty highlights the importance of effective information sharing and reinforces safeguarding as a collective responsibility rather than the sole remit of children’s services.</w:t>
            </w:r>
          </w:p>
          <w:p w14:paraId="0C13C1F4" w14:textId="77777777" w:rsidR="005F703A" w:rsidRPr="00C2359E" w:rsidRDefault="005F703A" w:rsidP="00C2359E">
            <w:pPr>
              <w:spacing w:line="360" w:lineRule="auto"/>
              <w:rPr>
                <w:sz w:val="28"/>
                <w:szCs w:val="28"/>
              </w:rPr>
            </w:pPr>
          </w:p>
          <w:p w14:paraId="51C3FB82" w14:textId="3D76A7E5" w:rsidR="00DC6580" w:rsidRPr="00C2359E" w:rsidRDefault="00DC6580" w:rsidP="00C2359E">
            <w:pPr>
              <w:spacing w:line="360" w:lineRule="auto"/>
              <w:rPr>
                <w:sz w:val="28"/>
                <w:szCs w:val="28"/>
              </w:rPr>
            </w:pPr>
            <w:r w:rsidRPr="00C2359E">
              <w:rPr>
                <w:sz w:val="28"/>
                <w:szCs w:val="28"/>
              </w:rPr>
              <w:t>The Children Act 1989 establishes that a child’s welfare is paramount in all decisions affecting them, while the Children Act 2004 strengthens inter-agency cooperation by requiring organisations to work together to safeguard and promote children’s welfare. These Acts provide the legal foundation for multi-agency safeguarding arrangements across the UK (HM Government, 1989; 2004).</w:t>
            </w:r>
          </w:p>
          <w:p w14:paraId="66949C0A" w14:textId="77777777" w:rsidR="00DC6580" w:rsidRPr="00C2359E" w:rsidRDefault="00DC6580" w:rsidP="00C2359E">
            <w:pPr>
              <w:spacing w:line="360" w:lineRule="auto"/>
              <w:rPr>
                <w:sz w:val="28"/>
                <w:szCs w:val="28"/>
              </w:rPr>
            </w:pPr>
          </w:p>
          <w:p w14:paraId="6E332876" w14:textId="77777777" w:rsidR="00DC6580" w:rsidRPr="00C2359E" w:rsidRDefault="00DC6580" w:rsidP="00C2359E">
            <w:pPr>
              <w:spacing w:line="360" w:lineRule="auto"/>
              <w:rPr>
                <w:sz w:val="28"/>
                <w:szCs w:val="28"/>
              </w:rPr>
            </w:pPr>
            <w:r w:rsidRPr="00C2359E">
              <w:rPr>
                <w:sz w:val="28"/>
                <w:szCs w:val="28"/>
              </w:rPr>
              <w:t xml:space="preserve">Legislation is operationalised in Wales through the </w:t>
            </w:r>
            <w:r w:rsidRPr="00C2359E">
              <w:rPr>
                <w:i/>
                <w:iCs/>
                <w:sz w:val="28"/>
                <w:szCs w:val="28"/>
              </w:rPr>
              <w:t>Working Together to Safeguard People</w:t>
            </w:r>
            <w:r w:rsidRPr="00C2359E">
              <w:rPr>
                <w:sz w:val="28"/>
                <w:szCs w:val="28"/>
              </w:rPr>
              <w:t xml:space="preserve"> statutory guidance (Welsh Government, 2018a). Volume 5 focuses on children and outlines roles, responsibilities, thresholds for intervention, and referral processes. This guidance is implemented through the All-Wales Child Protection Procedures (2020), which provide a framework for identifying concerns, undertaking assessments, and coordinating child protection responses. </w:t>
            </w:r>
          </w:p>
          <w:p w14:paraId="3BA4283C" w14:textId="77777777" w:rsidR="00DC6580" w:rsidRPr="00C2359E" w:rsidRDefault="00DC6580" w:rsidP="00C2359E">
            <w:pPr>
              <w:spacing w:line="360" w:lineRule="auto"/>
              <w:rPr>
                <w:sz w:val="28"/>
                <w:szCs w:val="28"/>
              </w:rPr>
            </w:pPr>
          </w:p>
          <w:p w14:paraId="23A858E5" w14:textId="77777777" w:rsidR="00DC6580" w:rsidRPr="00C2359E" w:rsidRDefault="00DC6580" w:rsidP="00C2359E">
            <w:pPr>
              <w:spacing w:line="360" w:lineRule="auto"/>
              <w:rPr>
                <w:sz w:val="28"/>
                <w:szCs w:val="28"/>
              </w:rPr>
            </w:pPr>
            <w:r w:rsidRPr="00C2359E">
              <w:rPr>
                <w:sz w:val="28"/>
                <w:szCs w:val="28"/>
              </w:rPr>
              <w:t>At a local level, safeguarding arrangements are overseen by the Regional Safeguarding Board, established under the Safeguarding Boards (Functions and Procedures) (Wales) Regulations 2015. The Board coordinates multi-agency safeguarding activity, commissions Child Practice Reviews, and ensures learning informs training and service improvement. Within my local authority in South Wales, safeguarding policies require staff to complete training, understand referral pathways, and act without delay when concerns arise, ensuring accountability at individual and organisational levels.</w:t>
            </w:r>
          </w:p>
          <w:p w14:paraId="0C670D88" w14:textId="77777777" w:rsidR="00DC6580" w:rsidRPr="00C2359E" w:rsidRDefault="00DC6580" w:rsidP="00C2359E">
            <w:pPr>
              <w:spacing w:line="360" w:lineRule="auto"/>
              <w:rPr>
                <w:sz w:val="28"/>
                <w:szCs w:val="28"/>
              </w:rPr>
            </w:pPr>
          </w:p>
          <w:p w14:paraId="687EC0B1" w14:textId="77777777" w:rsidR="00DC6580" w:rsidRPr="00C2359E" w:rsidRDefault="00DC6580" w:rsidP="00C2359E">
            <w:pPr>
              <w:spacing w:line="360" w:lineRule="auto"/>
              <w:rPr>
                <w:sz w:val="28"/>
                <w:szCs w:val="28"/>
              </w:rPr>
            </w:pPr>
            <w:r w:rsidRPr="00C2359E">
              <w:rPr>
                <w:sz w:val="28"/>
                <w:szCs w:val="28"/>
              </w:rPr>
              <w:t>In my role within adult social work, safeguarding children often arises indirectly, particularly where parental substance misuse, domestic abuse, or unmanaged mental ill-health may place a child at risk. In such circumstances, I have a legal and professional duty to raise concerns with children’s services, sharing relevant information to support assessment and intervention. This demonstrates how adult, and children’s safeguarding systems are interdependent, requiring vigilance, informed judgement, and effective multi-</w:t>
            </w:r>
            <w:r w:rsidRPr="00C2359E">
              <w:rPr>
                <w:sz w:val="28"/>
                <w:szCs w:val="28"/>
              </w:rPr>
              <w:lastRenderedPageBreak/>
              <w:t>agency collaboration to protect children who may not be visible within adult services.</w:t>
            </w:r>
          </w:p>
          <w:p w14:paraId="61B33F88" w14:textId="77777777" w:rsidR="00DC6580" w:rsidRPr="00C2359E" w:rsidRDefault="00DC6580" w:rsidP="00C2359E">
            <w:pPr>
              <w:spacing w:line="360" w:lineRule="auto"/>
              <w:rPr>
                <w:sz w:val="28"/>
                <w:szCs w:val="28"/>
              </w:rPr>
            </w:pPr>
          </w:p>
          <w:p w14:paraId="0318E819" w14:textId="77777777" w:rsidR="00FC0334" w:rsidRPr="00C2359E" w:rsidRDefault="00FC0334" w:rsidP="00C2359E">
            <w:pPr>
              <w:spacing w:line="360" w:lineRule="auto"/>
              <w:jc w:val="both"/>
              <w:rPr>
                <w:sz w:val="28"/>
                <w:szCs w:val="28"/>
              </w:rPr>
            </w:pPr>
          </w:p>
          <w:p w14:paraId="6D8CB8AF" w14:textId="0DFBFFE6" w:rsidR="00FC0334" w:rsidRPr="00C2359E" w:rsidRDefault="00552CCB" w:rsidP="00C2359E">
            <w:pPr>
              <w:spacing w:line="360" w:lineRule="auto"/>
              <w:jc w:val="both"/>
              <w:rPr>
                <w:sz w:val="28"/>
                <w:szCs w:val="28"/>
              </w:rPr>
            </w:pPr>
            <w:r w:rsidRPr="00C2359E">
              <w:rPr>
                <w:b/>
                <w:bCs/>
                <w:sz w:val="28"/>
                <w:szCs w:val="28"/>
              </w:rPr>
              <w:t>Word count: 539</w:t>
            </w:r>
          </w:p>
          <w:p w14:paraId="4A95F4DB" w14:textId="77777777" w:rsidR="00FC0334" w:rsidRPr="00C2359E" w:rsidRDefault="00FC0334" w:rsidP="00C2359E">
            <w:pPr>
              <w:spacing w:line="360" w:lineRule="auto"/>
              <w:jc w:val="both"/>
              <w:rPr>
                <w:sz w:val="28"/>
                <w:szCs w:val="28"/>
              </w:rPr>
            </w:pPr>
          </w:p>
          <w:p w14:paraId="179329F4" w14:textId="77777777" w:rsidR="00802471" w:rsidRPr="00C2359E" w:rsidRDefault="00802471" w:rsidP="00C2359E">
            <w:pPr>
              <w:spacing w:line="360" w:lineRule="auto"/>
              <w:jc w:val="both"/>
              <w:rPr>
                <w:sz w:val="28"/>
                <w:szCs w:val="28"/>
              </w:rPr>
            </w:pPr>
          </w:p>
          <w:p w14:paraId="774095BD" w14:textId="77777777" w:rsidR="00FC0334" w:rsidRPr="00C2359E" w:rsidRDefault="00FC0334" w:rsidP="00C2359E">
            <w:pPr>
              <w:spacing w:line="360" w:lineRule="auto"/>
              <w:jc w:val="both"/>
              <w:rPr>
                <w:sz w:val="28"/>
                <w:szCs w:val="28"/>
              </w:rPr>
            </w:pPr>
          </w:p>
          <w:p w14:paraId="4FF8EBF3" w14:textId="77777777" w:rsidR="005A545C" w:rsidRPr="00C2359E" w:rsidRDefault="005414F4" w:rsidP="00C2359E">
            <w:pPr>
              <w:spacing w:line="360" w:lineRule="auto"/>
              <w:jc w:val="both"/>
              <w:rPr>
                <w:sz w:val="28"/>
                <w:szCs w:val="28"/>
              </w:rPr>
            </w:pPr>
            <w:r w:rsidRPr="00C2359E">
              <w:rPr>
                <w:i/>
                <w:sz w:val="28"/>
                <w:szCs w:val="28"/>
              </w:rPr>
              <w:t>5</w:t>
            </w:r>
            <w:r w:rsidR="00DA22EC" w:rsidRPr="00C2359E">
              <w:rPr>
                <w:i/>
                <w:sz w:val="28"/>
                <w:szCs w:val="28"/>
              </w:rPr>
              <w:t>00 words</w:t>
            </w:r>
            <w:r w:rsidR="00DA22EC" w:rsidRPr="00C2359E">
              <w:rPr>
                <w:sz w:val="28"/>
                <w:szCs w:val="28"/>
              </w:rPr>
              <w:t xml:space="preserve"> </w:t>
            </w:r>
            <w:r w:rsidR="008B28E7" w:rsidRPr="00C2359E">
              <w:rPr>
                <w:sz w:val="28"/>
                <w:szCs w:val="28"/>
              </w:rPr>
              <w:t>(+/- 10%: include your actual word count at the end of each section)</w:t>
            </w:r>
            <w:r w:rsidR="007A628F" w:rsidRPr="00C2359E">
              <w:rPr>
                <w:sz w:val="28"/>
                <w:szCs w:val="28"/>
              </w:rPr>
              <w:t>.</w:t>
            </w:r>
          </w:p>
          <w:p w14:paraId="03BD6D93" w14:textId="56AD433A" w:rsidR="007A628F" w:rsidRPr="00C2359E" w:rsidRDefault="007A628F" w:rsidP="00C2359E">
            <w:pPr>
              <w:spacing w:line="360" w:lineRule="auto"/>
              <w:jc w:val="both"/>
              <w:rPr>
                <w:b/>
                <w:sz w:val="28"/>
                <w:szCs w:val="28"/>
              </w:rPr>
            </w:pPr>
          </w:p>
        </w:tc>
      </w:tr>
    </w:tbl>
    <w:p w14:paraId="37E9CF73" w14:textId="77777777" w:rsidR="00AA666E" w:rsidRPr="00C2359E" w:rsidRDefault="00AA666E" w:rsidP="00C2359E">
      <w:pPr>
        <w:spacing w:line="360" w:lineRule="auto"/>
        <w:jc w:val="both"/>
        <w:rPr>
          <w:sz w:val="28"/>
          <w:szCs w:val="28"/>
        </w:rPr>
      </w:pPr>
    </w:p>
    <w:p w14:paraId="1FC83FC7" w14:textId="77777777" w:rsidR="00AA666E" w:rsidRPr="00C2359E" w:rsidRDefault="00AA666E" w:rsidP="00C2359E">
      <w:pPr>
        <w:spacing w:line="360" w:lineRule="auto"/>
        <w:jc w:val="both"/>
        <w:rPr>
          <w:sz w:val="28"/>
          <w:szCs w:val="28"/>
        </w:rPr>
      </w:pPr>
    </w:p>
    <w:p w14:paraId="60437654" w14:textId="77777777" w:rsidR="00AA666E" w:rsidRPr="00C2359E" w:rsidRDefault="00AA666E" w:rsidP="00C2359E">
      <w:pPr>
        <w:spacing w:line="360" w:lineRule="auto"/>
        <w:jc w:val="both"/>
        <w:rPr>
          <w:sz w:val="28"/>
          <w:szCs w:val="28"/>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0334" w:rsidRPr="00C2359E" w14:paraId="3399E76C" w14:textId="77777777" w:rsidTr="00FC0334">
        <w:tc>
          <w:tcPr>
            <w:tcW w:w="10278" w:type="dxa"/>
          </w:tcPr>
          <w:p w14:paraId="171F67D5" w14:textId="77777777" w:rsidR="00FC0334" w:rsidRPr="00C2359E" w:rsidRDefault="00FC0334" w:rsidP="00C2359E">
            <w:pPr>
              <w:spacing w:line="360" w:lineRule="auto"/>
              <w:jc w:val="both"/>
              <w:rPr>
                <w:b/>
                <w:sz w:val="28"/>
                <w:szCs w:val="28"/>
              </w:rPr>
            </w:pPr>
            <w:r w:rsidRPr="00C2359E">
              <w:rPr>
                <w:b/>
                <w:sz w:val="28"/>
                <w:szCs w:val="28"/>
              </w:rPr>
              <w:t>Question b:</w:t>
            </w:r>
          </w:p>
          <w:p w14:paraId="1D9EA88E" w14:textId="77777777" w:rsidR="00E27DCE" w:rsidRPr="00C2359E" w:rsidRDefault="00E27DCE" w:rsidP="00E27DCE">
            <w:pPr>
              <w:spacing w:line="360" w:lineRule="auto"/>
              <w:jc w:val="both"/>
              <w:rPr>
                <w:b/>
                <w:bCs/>
                <w:sz w:val="28"/>
                <w:szCs w:val="28"/>
              </w:rPr>
            </w:pPr>
            <w:r w:rsidRPr="00C2359E">
              <w:rPr>
                <w:b/>
                <w:bCs/>
                <w:sz w:val="28"/>
                <w:szCs w:val="28"/>
              </w:rPr>
              <w:t>Reflect on the difference between safeguarding in adults’ and children’s work</w:t>
            </w:r>
          </w:p>
          <w:p w14:paraId="3FC2715D" w14:textId="77777777" w:rsidR="008C6056" w:rsidRPr="008C6056" w:rsidRDefault="008C6056" w:rsidP="008C6056">
            <w:pPr>
              <w:spacing w:line="360" w:lineRule="auto"/>
              <w:jc w:val="both"/>
              <w:rPr>
                <w:sz w:val="28"/>
                <w:szCs w:val="28"/>
              </w:rPr>
            </w:pPr>
            <w:r w:rsidRPr="008C6056">
              <w:rPr>
                <w:sz w:val="28"/>
                <w:szCs w:val="28"/>
              </w:rPr>
              <w:t>My safeguarding work as an adult Social Worker is shaped by the SSWBA (2014), the Mental Capacity Act 2005 (MCA), and the Human Rights Act 1998. While the principles of protection, prevention, and partnership apply to both adults and children, the legal frameworks and thresholds for action differ.</w:t>
            </w:r>
          </w:p>
          <w:p w14:paraId="5AADB2F0" w14:textId="77777777" w:rsidR="008C6056" w:rsidRDefault="008C6056" w:rsidP="008C6056">
            <w:pPr>
              <w:spacing w:line="360" w:lineRule="auto"/>
              <w:jc w:val="both"/>
              <w:rPr>
                <w:sz w:val="28"/>
                <w:szCs w:val="28"/>
              </w:rPr>
            </w:pPr>
          </w:p>
          <w:p w14:paraId="2183DF8B" w14:textId="4FD5DDE0" w:rsidR="008C6056" w:rsidRPr="008C6056" w:rsidRDefault="008C6056" w:rsidP="008C6056">
            <w:pPr>
              <w:spacing w:line="360" w:lineRule="auto"/>
              <w:jc w:val="both"/>
              <w:rPr>
                <w:sz w:val="28"/>
                <w:szCs w:val="28"/>
              </w:rPr>
            </w:pPr>
            <w:r w:rsidRPr="008C6056">
              <w:rPr>
                <w:sz w:val="28"/>
                <w:szCs w:val="28"/>
              </w:rPr>
              <w:t xml:space="preserve">One of the clearest differences is the role of capacity and choice. Adults with mental capacity can choose to take risks, even when those risks may cause harm, provided they do not endanger others (MCA, 2005). This right to autonomy is central to adult safeguarding. Children, by contrast, are generally not deemed </w:t>
            </w:r>
            <w:r w:rsidRPr="008C6056">
              <w:rPr>
                <w:sz w:val="28"/>
                <w:szCs w:val="28"/>
              </w:rPr>
              <w:lastRenderedPageBreak/>
              <w:t>capable of fully assessing risks, and their welfare takes precedence over their wishes when there is concern for their safety (HM Government, 1989).</w:t>
            </w:r>
          </w:p>
          <w:p w14:paraId="2C5FCDBE" w14:textId="77777777" w:rsidR="008C6056" w:rsidRDefault="008C6056" w:rsidP="008C6056">
            <w:pPr>
              <w:spacing w:line="360" w:lineRule="auto"/>
              <w:jc w:val="both"/>
              <w:rPr>
                <w:sz w:val="28"/>
                <w:szCs w:val="28"/>
              </w:rPr>
            </w:pPr>
          </w:p>
          <w:p w14:paraId="5B239A68" w14:textId="7C498AD3" w:rsidR="008C6056" w:rsidRPr="008C6056" w:rsidRDefault="008C6056" w:rsidP="008C6056">
            <w:pPr>
              <w:spacing w:line="360" w:lineRule="auto"/>
              <w:jc w:val="both"/>
              <w:rPr>
                <w:sz w:val="28"/>
                <w:szCs w:val="28"/>
              </w:rPr>
            </w:pPr>
            <w:r w:rsidRPr="008C6056">
              <w:rPr>
                <w:sz w:val="28"/>
                <w:szCs w:val="28"/>
              </w:rPr>
              <w:t>Another difference lies in timescales for intervention. For adults, if they have capacity, interventions are often planned, proportionate, and take account of the least restrictive option. For children, intervention is often immediate, as harm can have lasting developmental consequences (Welsh Government, 2018a).</w:t>
            </w:r>
          </w:p>
          <w:p w14:paraId="7FE7697C" w14:textId="77777777" w:rsidR="008C6056" w:rsidRPr="008C6056" w:rsidRDefault="008C6056" w:rsidP="008C6056">
            <w:pPr>
              <w:spacing w:line="360" w:lineRule="auto"/>
              <w:jc w:val="both"/>
              <w:rPr>
                <w:sz w:val="28"/>
                <w:szCs w:val="28"/>
              </w:rPr>
            </w:pPr>
            <w:r w:rsidRPr="008C6056">
              <w:rPr>
                <w:sz w:val="28"/>
                <w:szCs w:val="28"/>
              </w:rPr>
              <w:t>The scope of assessment also differs. Adult safeguarding plans focus on the individual and immediate harm reduction, while children’s safeguarding involves assessing parenting capacity, home environment, and the broader family network (Chisnell and Kelly, 2019).</w:t>
            </w:r>
          </w:p>
          <w:p w14:paraId="4D0373F0" w14:textId="77777777" w:rsidR="00540ECC" w:rsidRDefault="00540ECC" w:rsidP="008C6056">
            <w:pPr>
              <w:spacing w:line="360" w:lineRule="auto"/>
              <w:jc w:val="both"/>
              <w:rPr>
                <w:sz w:val="28"/>
                <w:szCs w:val="28"/>
              </w:rPr>
            </w:pPr>
          </w:p>
          <w:p w14:paraId="6BC6B4DA" w14:textId="6780A33E" w:rsidR="008C6056" w:rsidRPr="008C6056" w:rsidRDefault="008C6056" w:rsidP="008C6056">
            <w:pPr>
              <w:spacing w:line="360" w:lineRule="auto"/>
              <w:jc w:val="both"/>
              <w:rPr>
                <w:sz w:val="28"/>
                <w:szCs w:val="28"/>
              </w:rPr>
            </w:pPr>
            <w:r w:rsidRPr="008C6056">
              <w:rPr>
                <w:sz w:val="28"/>
                <w:szCs w:val="28"/>
              </w:rPr>
              <w:t>In my practice, safeguarding concerns for children often emerge indirectly, for instance when a parent’s chaotic lifestyle, disability, or untreated mental illness compromises a child’s safety. These situations require me to recognise potential harm and interpret subtle risk indicators such as neglect, exposure to violence, or emotional abuse (Welsh Government, 2016). I have learned through experience and training that timing and clarity in information-sharing are crucial (Department for Education, 2018), ensuring children’s services receive relevant details. When risks fall outside my remit, I refer to the appropriate children’s safeguarding team, recognising the importance of multi-agency collaboration (HM Government, 2018). I remain involved where necessary, as addressing underlying adult needs can also help protect the child.</w:t>
            </w:r>
          </w:p>
          <w:p w14:paraId="0D859E09" w14:textId="77777777" w:rsidR="00540ECC" w:rsidRDefault="00540ECC" w:rsidP="008C6056">
            <w:pPr>
              <w:spacing w:line="360" w:lineRule="auto"/>
              <w:jc w:val="both"/>
              <w:rPr>
                <w:sz w:val="28"/>
                <w:szCs w:val="28"/>
              </w:rPr>
            </w:pPr>
          </w:p>
          <w:p w14:paraId="4115044F" w14:textId="1883A60A" w:rsidR="008C6056" w:rsidRPr="008C6056" w:rsidRDefault="008C6056" w:rsidP="008C6056">
            <w:pPr>
              <w:spacing w:line="360" w:lineRule="auto"/>
              <w:jc w:val="both"/>
              <w:rPr>
                <w:sz w:val="28"/>
                <w:szCs w:val="28"/>
              </w:rPr>
            </w:pPr>
            <w:r w:rsidRPr="008C6056">
              <w:rPr>
                <w:sz w:val="28"/>
                <w:szCs w:val="28"/>
              </w:rPr>
              <w:t xml:space="preserve">Working within Welsh safeguarding frameworks requires me to consider the voice and control principle, ensuring adults and children are supported to </w:t>
            </w:r>
            <w:r w:rsidRPr="008C6056">
              <w:rPr>
                <w:sz w:val="28"/>
                <w:szCs w:val="28"/>
              </w:rPr>
              <w:lastRenderedPageBreak/>
              <w:t>express their views wherever possible. In practice, this can be complex when adult autonomy conflicts with child protection responsibilities, requiring careful professional judgement and multi-agency discussion.</w:t>
            </w:r>
          </w:p>
          <w:p w14:paraId="2A0841A8" w14:textId="77777777" w:rsidR="00540ECC" w:rsidRDefault="00540ECC" w:rsidP="008C6056">
            <w:pPr>
              <w:spacing w:line="360" w:lineRule="auto"/>
              <w:jc w:val="both"/>
              <w:rPr>
                <w:sz w:val="28"/>
                <w:szCs w:val="28"/>
              </w:rPr>
            </w:pPr>
          </w:p>
          <w:p w14:paraId="5E5320F1" w14:textId="5A0C6EEC" w:rsidR="008C6056" w:rsidRPr="008C6056" w:rsidRDefault="008C6056" w:rsidP="008C6056">
            <w:pPr>
              <w:spacing w:line="360" w:lineRule="auto"/>
              <w:jc w:val="both"/>
              <w:rPr>
                <w:sz w:val="28"/>
                <w:szCs w:val="28"/>
              </w:rPr>
            </w:pPr>
            <w:r w:rsidRPr="008C6056">
              <w:rPr>
                <w:sz w:val="28"/>
                <w:szCs w:val="28"/>
              </w:rPr>
              <w:t>Reflecting on these differences, safeguarding is a shared professional duty, but the balance between autonomy and protection is approached differently. Adult safeguarding emphasises self-determination, while children’s safeguarding prioritises safety. Both approaches are shaped by the legal status, vulnerability, and developmental stage of the person concerned. This difference has challenged my professional judgement, particularly when balancing respect for adult autonomy with the potential impact on dependent children.</w:t>
            </w:r>
          </w:p>
          <w:p w14:paraId="36239A03" w14:textId="5609DE48" w:rsidR="008C6056" w:rsidRPr="008C6056" w:rsidRDefault="008C6056" w:rsidP="008C6056">
            <w:pPr>
              <w:spacing w:line="360" w:lineRule="auto"/>
              <w:jc w:val="both"/>
              <w:rPr>
                <w:sz w:val="28"/>
                <w:szCs w:val="28"/>
              </w:rPr>
            </w:pPr>
          </w:p>
          <w:p w14:paraId="478D2F84" w14:textId="1F915B61" w:rsidR="00FC0334" w:rsidRPr="00540ECC" w:rsidRDefault="00540ECC" w:rsidP="00C2359E">
            <w:pPr>
              <w:spacing w:line="360" w:lineRule="auto"/>
              <w:jc w:val="both"/>
              <w:rPr>
                <w:b/>
                <w:bCs/>
                <w:sz w:val="28"/>
                <w:szCs w:val="28"/>
              </w:rPr>
            </w:pPr>
            <w:r w:rsidRPr="00540ECC">
              <w:rPr>
                <w:b/>
                <w:bCs/>
                <w:sz w:val="28"/>
                <w:szCs w:val="28"/>
              </w:rPr>
              <w:t>WORD COUNT - 428</w:t>
            </w:r>
          </w:p>
          <w:p w14:paraId="0E64B386" w14:textId="77777777" w:rsidR="00FC0334" w:rsidRPr="00C2359E" w:rsidRDefault="00FC0334" w:rsidP="00C2359E">
            <w:pPr>
              <w:spacing w:line="360" w:lineRule="auto"/>
              <w:jc w:val="both"/>
              <w:rPr>
                <w:sz w:val="28"/>
                <w:szCs w:val="28"/>
              </w:rPr>
            </w:pPr>
          </w:p>
          <w:p w14:paraId="4847C39E" w14:textId="77777777" w:rsidR="00FC0334" w:rsidRPr="00C2359E" w:rsidRDefault="00FC0334" w:rsidP="00C2359E">
            <w:pPr>
              <w:spacing w:line="360" w:lineRule="auto"/>
              <w:jc w:val="both"/>
              <w:rPr>
                <w:sz w:val="28"/>
                <w:szCs w:val="28"/>
              </w:rPr>
            </w:pPr>
          </w:p>
          <w:p w14:paraId="04285720" w14:textId="77777777" w:rsidR="00FC0334" w:rsidRPr="00C2359E" w:rsidRDefault="00FC0334" w:rsidP="00C2359E">
            <w:pPr>
              <w:spacing w:line="360" w:lineRule="auto"/>
              <w:jc w:val="both"/>
              <w:rPr>
                <w:sz w:val="28"/>
                <w:szCs w:val="28"/>
              </w:rPr>
            </w:pPr>
          </w:p>
          <w:p w14:paraId="1AA3081F" w14:textId="77777777" w:rsidR="00FC0334" w:rsidRPr="00C2359E" w:rsidRDefault="00FC0334" w:rsidP="00C2359E">
            <w:pPr>
              <w:spacing w:line="360" w:lineRule="auto"/>
              <w:jc w:val="both"/>
              <w:rPr>
                <w:sz w:val="28"/>
                <w:szCs w:val="28"/>
              </w:rPr>
            </w:pPr>
          </w:p>
          <w:p w14:paraId="7B7B4827" w14:textId="77777777" w:rsidR="00FC0334" w:rsidRPr="00C2359E" w:rsidRDefault="00FC0334" w:rsidP="00C2359E">
            <w:pPr>
              <w:spacing w:line="360" w:lineRule="auto"/>
              <w:jc w:val="both"/>
              <w:rPr>
                <w:sz w:val="28"/>
                <w:szCs w:val="28"/>
              </w:rPr>
            </w:pPr>
          </w:p>
          <w:p w14:paraId="438BF787" w14:textId="77777777" w:rsidR="00FC0334" w:rsidRPr="00C2359E" w:rsidRDefault="00FC0334" w:rsidP="00C2359E">
            <w:pPr>
              <w:spacing w:line="360" w:lineRule="auto"/>
              <w:jc w:val="both"/>
              <w:rPr>
                <w:sz w:val="28"/>
                <w:szCs w:val="28"/>
              </w:rPr>
            </w:pPr>
          </w:p>
          <w:p w14:paraId="6BA3DD84" w14:textId="0013357A" w:rsidR="00FC0334" w:rsidRPr="00C2359E" w:rsidRDefault="00FC0334" w:rsidP="00C2359E">
            <w:pPr>
              <w:spacing w:line="360" w:lineRule="auto"/>
              <w:jc w:val="both"/>
              <w:rPr>
                <w:i/>
                <w:sz w:val="28"/>
                <w:szCs w:val="28"/>
              </w:rPr>
            </w:pPr>
            <w:r w:rsidRPr="00C2359E">
              <w:rPr>
                <w:i/>
                <w:sz w:val="28"/>
                <w:szCs w:val="28"/>
              </w:rPr>
              <w:t>400 words</w:t>
            </w:r>
            <w:r w:rsidRPr="00C2359E">
              <w:rPr>
                <w:sz w:val="28"/>
                <w:szCs w:val="28"/>
              </w:rPr>
              <w:t xml:space="preserve"> </w:t>
            </w:r>
            <w:r w:rsidRPr="00C2359E">
              <w:rPr>
                <w:i/>
                <w:sz w:val="28"/>
                <w:szCs w:val="28"/>
              </w:rPr>
              <w:t>(+/- 10%: include your actual word count at the end of each section)</w:t>
            </w:r>
            <w:r w:rsidR="007A628F" w:rsidRPr="00C2359E">
              <w:rPr>
                <w:i/>
                <w:sz w:val="28"/>
                <w:szCs w:val="28"/>
              </w:rPr>
              <w:t>.</w:t>
            </w:r>
          </w:p>
          <w:p w14:paraId="08760B3D" w14:textId="77777777" w:rsidR="00FC0334" w:rsidRPr="00C2359E" w:rsidRDefault="00FC0334" w:rsidP="00C2359E">
            <w:pPr>
              <w:spacing w:line="360" w:lineRule="auto"/>
              <w:jc w:val="both"/>
              <w:rPr>
                <w:sz w:val="28"/>
                <w:szCs w:val="28"/>
              </w:rPr>
            </w:pPr>
          </w:p>
        </w:tc>
      </w:tr>
    </w:tbl>
    <w:p w14:paraId="76FCF233" w14:textId="77777777" w:rsidR="00FC0334" w:rsidRDefault="00FC0334" w:rsidP="00FC0334">
      <w:pPr>
        <w:rPr>
          <w:sz w:val="24"/>
          <w:szCs w:val="24"/>
        </w:rPr>
      </w:pPr>
    </w:p>
    <w:sectPr w:rsidR="00FC0334" w:rsidSect="00F15354">
      <w:headerReference w:type="default" r:id="rId12"/>
      <w:footerReference w:type="default" r:id="rId13"/>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49E7201" w14:textId="77777777" w:rsidR="009B4832" w:rsidRDefault="009B4832">
      <w:r>
        <w:separator/>
      </w:r>
    </w:p>
  </w:endnote>
  <w:endnote w:type="continuationSeparator" w:id="0">
    <w:p w14:paraId="313D4E28" w14:textId="77777777" w:rsidR="009B4832" w:rsidRDefault="009B483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70632F2" w14:textId="77777777" w:rsidR="009B4832" w:rsidRDefault="009B4832">
      <w:r>
        <w:separator/>
      </w:r>
    </w:p>
  </w:footnote>
  <w:footnote w:type="continuationSeparator" w:id="0">
    <w:p w14:paraId="0E2D0539" w14:textId="77777777" w:rsidR="009B4832" w:rsidRDefault="009B483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93B5FDD"/>
    <w:multiLevelType w:val="multilevel"/>
    <w:tmpl w:val="DDB653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3"/>
  </w:num>
  <w:num w:numId="3" w16cid:durableId="1938977855">
    <w:abstractNumId w:val="46"/>
  </w:num>
  <w:num w:numId="4" w16cid:durableId="1850633156">
    <w:abstractNumId w:val="48"/>
  </w:num>
  <w:num w:numId="5" w16cid:durableId="2042589495">
    <w:abstractNumId w:val="35"/>
  </w:num>
  <w:num w:numId="6" w16cid:durableId="933980368">
    <w:abstractNumId w:val="33"/>
  </w:num>
  <w:num w:numId="7" w16cid:durableId="1060399973">
    <w:abstractNumId w:val="30"/>
  </w:num>
  <w:num w:numId="8" w16cid:durableId="1237400777">
    <w:abstractNumId w:val="31"/>
  </w:num>
  <w:num w:numId="9" w16cid:durableId="1914463563">
    <w:abstractNumId w:val="11"/>
  </w:num>
  <w:num w:numId="10" w16cid:durableId="693307142">
    <w:abstractNumId w:val="34"/>
  </w:num>
  <w:num w:numId="11" w16cid:durableId="141846751">
    <w:abstractNumId w:val="18"/>
  </w:num>
  <w:num w:numId="12" w16cid:durableId="1310867263">
    <w:abstractNumId w:val="17"/>
  </w:num>
  <w:num w:numId="13" w16cid:durableId="65736213">
    <w:abstractNumId w:val="28"/>
  </w:num>
  <w:num w:numId="14" w16cid:durableId="825441142">
    <w:abstractNumId w:val="9"/>
  </w:num>
  <w:num w:numId="15" w16cid:durableId="1016493186">
    <w:abstractNumId w:val="27"/>
  </w:num>
  <w:num w:numId="16" w16cid:durableId="1273785188">
    <w:abstractNumId w:val="16"/>
  </w:num>
  <w:num w:numId="17" w16cid:durableId="431317323">
    <w:abstractNumId w:val="14"/>
  </w:num>
  <w:num w:numId="18" w16cid:durableId="1020622863">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4"/>
  </w:num>
  <w:num w:numId="20" w16cid:durableId="413284070">
    <w:abstractNumId w:val="19"/>
  </w:num>
  <w:num w:numId="21" w16cid:durableId="798959287">
    <w:abstractNumId w:val="15"/>
  </w:num>
  <w:num w:numId="22" w16cid:durableId="352731724">
    <w:abstractNumId w:val="12"/>
  </w:num>
  <w:num w:numId="23" w16cid:durableId="456266206">
    <w:abstractNumId w:val="29"/>
  </w:num>
  <w:num w:numId="24" w16cid:durableId="317615789">
    <w:abstractNumId w:val="20"/>
  </w:num>
  <w:num w:numId="25" w16cid:durableId="856430468">
    <w:abstractNumId w:val="42"/>
  </w:num>
  <w:num w:numId="26" w16cid:durableId="1104690971">
    <w:abstractNumId w:val="36"/>
  </w:num>
  <w:num w:numId="27" w16cid:durableId="1201670287">
    <w:abstractNumId w:val="41"/>
  </w:num>
  <w:num w:numId="28" w16cid:durableId="598562144">
    <w:abstractNumId w:val="21"/>
  </w:num>
  <w:num w:numId="29" w16cid:durableId="871068292">
    <w:abstractNumId w:val="44"/>
  </w:num>
  <w:num w:numId="30" w16cid:durableId="482159744">
    <w:abstractNumId w:val="32"/>
  </w:num>
  <w:num w:numId="31" w16cid:durableId="1565527110">
    <w:abstractNumId w:val="13"/>
  </w:num>
  <w:num w:numId="32" w16cid:durableId="1175995731">
    <w:abstractNumId w:val="45"/>
  </w:num>
  <w:num w:numId="33" w16cid:durableId="694232600">
    <w:abstractNumId w:val="40"/>
  </w:num>
  <w:num w:numId="34" w16cid:durableId="1062095063">
    <w:abstractNumId w:val="6"/>
  </w:num>
  <w:num w:numId="35" w16cid:durableId="2051881075">
    <w:abstractNumId w:val="47"/>
  </w:num>
  <w:num w:numId="36" w16cid:durableId="2107188112">
    <w:abstractNumId w:val="43"/>
  </w:num>
  <w:num w:numId="37" w16cid:durableId="1313413796">
    <w:abstractNumId w:val="37"/>
  </w:num>
  <w:num w:numId="38" w16cid:durableId="1682197957">
    <w:abstractNumId w:val="38"/>
  </w:num>
  <w:num w:numId="39" w16cid:durableId="340203735">
    <w:abstractNumId w:val="4"/>
  </w:num>
  <w:num w:numId="40" w16cid:durableId="1266502755">
    <w:abstractNumId w:val="7"/>
  </w:num>
  <w:num w:numId="41" w16cid:durableId="2138642120">
    <w:abstractNumId w:val="26"/>
  </w:num>
  <w:num w:numId="42" w16cid:durableId="2082366208">
    <w:abstractNumId w:val="8"/>
  </w:num>
  <w:num w:numId="43" w16cid:durableId="488403910">
    <w:abstractNumId w:val="3"/>
  </w:num>
  <w:num w:numId="44" w16cid:durableId="210268195">
    <w:abstractNumId w:val="39"/>
  </w:num>
  <w:num w:numId="45" w16cid:durableId="891695978">
    <w:abstractNumId w:val="0"/>
  </w:num>
  <w:num w:numId="46" w16cid:durableId="827289017">
    <w:abstractNumId w:val="15"/>
  </w:num>
  <w:num w:numId="47" w16cid:durableId="167212813">
    <w:abstractNumId w:val="49"/>
  </w:num>
  <w:num w:numId="48" w16cid:durableId="1210147369">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2"/>
  </w:num>
  <w:num w:numId="50" w16cid:durableId="1163856707">
    <w:abstractNumId w:val="29"/>
  </w:num>
  <w:num w:numId="51" w16cid:durableId="536360681">
    <w:abstractNumId w:val="25"/>
  </w:num>
  <w:num w:numId="52" w16cid:durableId="1666274935">
    <w:abstractNumId w:val="22"/>
  </w:num>
  <w:num w:numId="53" w16cid:durableId="435172075">
    <w:abstractNumId w:val="2"/>
  </w:num>
  <w:num w:numId="54" w16cid:durableId="1644576974">
    <w:abstractNumId w:val="5"/>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359"/>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5C9C"/>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45F8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54C58"/>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374F"/>
    <w:rsid w:val="004968E2"/>
    <w:rsid w:val="004A2A49"/>
    <w:rsid w:val="004A5A64"/>
    <w:rsid w:val="004B52A6"/>
    <w:rsid w:val="004B5553"/>
    <w:rsid w:val="004B600B"/>
    <w:rsid w:val="004B6822"/>
    <w:rsid w:val="004B69F6"/>
    <w:rsid w:val="004C2D3A"/>
    <w:rsid w:val="004D03C4"/>
    <w:rsid w:val="004D0BF1"/>
    <w:rsid w:val="004D0F4E"/>
    <w:rsid w:val="004D3278"/>
    <w:rsid w:val="004D35A4"/>
    <w:rsid w:val="004D445F"/>
    <w:rsid w:val="004E087B"/>
    <w:rsid w:val="004E3340"/>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CC"/>
    <w:rsid w:val="00540EEC"/>
    <w:rsid w:val="005414F4"/>
    <w:rsid w:val="00546187"/>
    <w:rsid w:val="00547B11"/>
    <w:rsid w:val="00552CCB"/>
    <w:rsid w:val="00555586"/>
    <w:rsid w:val="005579AA"/>
    <w:rsid w:val="00557D77"/>
    <w:rsid w:val="00562EAA"/>
    <w:rsid w:val="00563B58"/>
    <w:rsid w:val="005640C4"/>
    <w:rsid w:val="0056684C"/>
    <w:rsid w:val="00574A0C"/>
    <w:rsid w:val="0057780F"/>
    <w:rsid w:val="00581E0A"/>
    <w:rsid w:val="00586D89"/>
    <w:rsid w:val="005877C8"/>
    <w:rsid w:val="00587923"/>
    <w:rsid w:val="00594F9F"/>
    <w:rsid w:val="005A1B4C"/>
    <w:rsid w:val="005A1BD2"/>
    <w:rsid w:val="005A545C"/>
    <w:rsid w:val="005B271A"/>
    <w:rsid w:val="005B3A2D"/>
    <w:rsid w:val="005B69EE"/>
    <w:rsid w:val="005C1567"/>
    <w:rsid w:val="005C28D3"/>
    <w:rsid w:val="005C6CE5"/>
    <w:rsid w:val="005D3F07"/>
    <w:rsid w:val="005D4A1E"/>
    <w:rsid w:val="005D4F72"/>
    <w:rsid w:val="005E13EA"/>
    <w:rsid w:val="005E17F1"/>
    <w:rsid w:val="005F64AA"/>
    <w:rsid w:val="005F703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A44B9"/>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2A0F"/>
    <w:rsid w:val="007D3EB4"/>
    <w:rsid w:val="007D3F16"/>
    <w:rsid w:val="007F10BD"/>
    <w:rsid w:val="007F312E"/>
    <w:rsid w:val="007F3F7E"/>
    <w:rsid w:val="007F4BA4"/>
    <w:rsid w:val="00802471"/>
    <w:rsid w:val="00813CEC"/>
    <w:rsid w:val="0081533E"/>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056"/>
    <w:rsid w:val="008C633F"/>
    <w:rsid w:val="008C6EEA"/>
    <w:rsid w:val="008C7770"/>
    <w:rsid w:val="008C79C7"/>
    <w:rsid w:val="008D03B0"/>
    <w:rsid w:val="008D2150"/>
    <w:rsid w:val="008D5813"/>
    <w:rsid w:val="008D5999"/>
    <w:rsid w:val="008D634E"/>
    <w:rsid w:val="008D778A"/>
    <w:rsid w:val="008D78C9"/>
    <w:rsid w:val="008E3195"/>
    <w:rsid w:val="008E55F7"/>
    <w:rsid w:val="008E5A35"/>
    <w:rsid w:val="008F127E"/>
    <w:rsid w:val="008F32D9"/>
    <w:rsid w:val="008F68CC"/>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95571"/>
    <w:rsid w:val="009A5F3B"/>
    <w:rsid w:val="009A5F79"/>
    <w:rsid w:val="009A6F87"/>
    <w:rsid w:val="009B0B61"/>
    <w:rsid w:val="009B28C0"/>
    <w:rsid w:val="009B3178"/>
    <w:rsid w:val="009B3E46"/>
    <w:rsid w:val="009B4832"/>
    <w:rsid w:val="009B7136"/>
    <w:rsid w:val="009C337F"/>
    <w:rsid w:val="009C53E7"/>
    <w:rsid w:val="009C6092"/>
    <w:rsid w:val="009C7342"/>
    <w:rsid w:val="009D4365"/>
    <w:rsid w:val="009D477B"/>
    <w:rsid w:val="009D4E3B"/>
    <w:rsid w:val="009D59C2"/>
    <w:rsid w:val="009D643D"/>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020"/>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2988"/>
    <w:rsid w:val="00C161FD"/>
    <w:rsid w:val="00C17C9F"/>
    <w:rsid w:val="00C2359E"/>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352B"/>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C6580"/>
    <w:rsid w:val="00DD31C5"/>
    <w:rsid w:val="00DD5020"/>
    <w:rsid w:val="00DD63BE"/>
    <w:rsid w:val="00DE4296"/>
    <w:rsid w:val="00DF2469"/>
    <w:rsid w:val="00DF7899"/>
    <w:rsid w:val="00E0524C"/>
    <w:rsid w:val="00E15751"/>
    <w:rsid w:val="00E17160"/>
    <w:rsid w:val="00E17D41"/>
    <w:rsid w:val="00E231D1"/>
    <w:rsid w:val="00E27DCE"/>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3301"/>
    <w:rsid w:val="00F444F0"/>
    <w:rsid w:val="00F446FF"/>
    <w:rsid w:val="00F45521"/>
    <w:rsid w:val="00F50847"/>
    <w:rsid w:val="00F52688"/>
    <w:rsid w:val="00F53F27"/>
    <w:rsid w:val="00F546D1"/>
    <w:rsid w:val="00F60281"/>
    <w:rsid w:val="00F66272"/>
    <w:rsid w:val="00F709C0"/>
    <w:rsid w:val="00F81FEC"/>
    <w:rsid w:val="00F927A1"/>
    <w:rsid w:val="00F92E4D"/>
    <w:rsid w:val="00F95D08"/>
    <w:rsid w:val="00FA0497"/>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paragraph" w:styleId="Heading3">
    <w:name w:val="heading 3"/>
    <w:basedOn w:val="Normal"/>
    <w:next w:val="Normal"/>
    <w:link w:val="Heading3Char"/>
    <w:uiPriority w:val="9"/>
    <w:semiHidden/>
    <w:unhideWhenUsed/>
    <w:qFormat/>
    <w:rsid w:val="008C6056"/>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customStyle="1" w:styleId="Heading3Char">
    <w:name w:val="Heading 3 Char"/>
    <w:basedOn w:val="DefaultParagraphFont"/>
    <w:link w:val="Heading3"/>
    <w:uiPriority w:val="9"/>
    <w:semiHidden/>
    <w:rsid w:val="008C6056"/>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375419935">
      <w:bodyDiv w:val="1"/>
      <w:marLeft w:val="0"/>
      <w:marRight w:val="0"/>
      <w:marTop w:val="0"/>
      <w:marBottom w:val="0"/>
      <w:divBdr>
        <w:top w:val="none" w:sz="0" w:space="0" w:color="auto"/>
        <w:left w:val="none" w:sz="0" w:space="0" w:color="auto"/>
        <w:bottom w:val="none" w:sz="0" w:space="0" w:color="auto"/>
        <w:right w:val="none" w:sz="0" w:space="0" w:color="auto"/>
      </w:divBdr>
    </w:div>
    <w:div w:id="1454641030">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D9968FE7E4AD147928C56F4E3E703B4" ma:contentTypeVersion="4" ma:contentTypeDescription="Create a new document." ma:contentTypeScope="" ma:versionID="89a2b7a783f17fe59ac3399f2b4a5dda">
  <xsd:schema xmlns:xsd="http://www.w3.org/2001/XMLSchema" xmlns:xs="http://www.w3.org/2001/XMLSchema" xmlns:p="http://schemas.microsoft.com/office/2006/metadata/properties" xmlns:ns2="26efbe58-47b3-4718-9b64-083ac342c32b" targetNamespace="http://schemas.microsoft.com/office/2006/metadata/properties" ma:root="true" ma:fieldsID="81d0d0136f12139e3be5d69f2ea94d99" ns2:_="">
    <xsd:import namespace="26efbe58-47b3-4718-9b64-083ac342c32b"/>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6efbe58-47b3-4718-9b64-083ac342c32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C32930D6-468A-4572-B81F-FA0685794FA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6efbe58-47b3-4718-9b64-083ac342c32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E274E46C-312D-4585-8BBF-B1B9D73A483E}">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37</TotalTime>
  <Pages>7</Pages>
  <Words>1175</Words>
  <Characters>7077</Characters>
  <Application>Microsoft Office Word</Application>
  <DocSecurity>0</DocSecurity>
  <Lines>177</Lines>
  <Paragraphs>35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8223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Naomi J Griffiths</cp:lastModifiedBy>
  <cp:revision>18</cp:revision>
  <cp:lastPrinted>2020-02-11T19:20:00Z</cp:lastPrinted>
  <dcterms:created xsi:type="dcterms:W3CDTF">2026-01-22T12:41:00Z</dcterms:created>
  <dcterms:modified xsi:type="dcterms:W3CDTF">2026-02-16T11:38:00Z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0x0101007D9968FE7E4AD147928C56F4E3E703B4</vt:lpwstr>
  </property>
</Properties>
</file>