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F5759" w14:textId="77777777" w:rsidR="00AB5D5B" w:rsidRPr="00AB5D5B" w:rsidRDefault="00AB5D5B" w:rsidP="00AB5D5B">
      <w:pPr>
        <w:pStyle w:val="Heading1"/>
        <w:jc w:val="center"/>
      </w:pPr>
      <w:r w:rsidRPr="00AB5D5B">
        <w:rPr>
          <w:noProof/>
        </w:rPr>
        <w:drawing>
          <wp:inline distT="0" distB="0" distL="0" distR="0" wp14:anchorId="5C827EEB" wp14:editId="154BF4D0">
            <wp:extent cx="1581150" cy="638175"/>
            <wp:effectExtent l="0" t="0" r="0" b="9525"/>
            <wp:docPr id="1025" name="Picture 2" descr="University of Wales Trinity Saint David">
              <a:extLst xmlns:a="http://schemas.openxmlformats.org/drawingml/2006/main">
                <a:ext uri="{FF2B5EF4-FFF2-40B4-BE49-F238E27FC236}">
                  <a16:creationId xmlns:a16="http://schemas.microsoft.com/office/drawing/2014/main" id="{1BA6F46E-B82C-9BB9-687D-91447640551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2" descr="University of Wales Trinity Saint David">
                      <a:extLst>
                        <a:ext uri="{FF2B5EF4-FFF2-40B4-BE49-F238E27FC236}">
                          <a16:creationId xmlns:a16="http://schemas.microsoft.com/office/drawing/2014/main" id="{1BA6F46E-B82C-9BB9-687D-914476405518}"/>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1150" cy="63817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DE6B4B1" w14:textId="77777777" w:rsidR="00AB5D5B" w:rsidRPr="00AB5D5B" w:rsidRDefault="00AB5D5B" w:rsidP="00AB5D5B">
      <w:pPr>
        <w:pStyle w:val="Heading1"/>
        <w:jc w:val="center"/>
        <w:rPr>
          <w:rFonts w:ascii="Arial" w:hAnsi="Arial" w:cs="Arial"/>
          <w:color w:val="auto"/>
          <w:sz w:val="22"/>
          <w:szCs w:val="22"/>
        </w:rPr>
      </w:pPr>
      <w:r w:rsidRPr="00AB5D5B">
        <w:rPr>
          <w:rFonts w:ascii="Arial" w:hAnsi="Arial" w:cs="Arial"/>
          <w:color w:val="auto"/>
          <w:sz w:val="22"/>
          <w:szCs w:val="22"/>
        </w:rPr>
        <w:t>Student Name: Davod Rostami</w:t>
      </w:r>
    </w:p>
    <w:p w14:paraId="56AECF74" w14:textId="77777777" w:rsidR="00AB5D5B" w:rsidRPr="00AB5D5B" w:rsidRDefault="00AB5D5B" w:rsidP="00AB5D5B">
      <w:pPr>
        <w:pStyle w:val="Heading1"/>
        <w:jc w:val="center"/>
        <w:rPr>
          <w:rFonts w:ascii="Arial" w:hAnsi="Arial" w:cs="Arial"/>
          <w:color w:val="auto"/>
          <w:sz w:val="22"/>
          <w:szCs w:val="22"/>
        </w:rPr>
      </w:pPr>
      <w:r w:rsidRPr="00AB5D5B">
        <w:rPr>
          <w:rFonts w:ascii="Arial" w:hAnsi="Arial" w:cs="Arial"/>
          <w:color w:val="auto"/>
          <w:sz w:val="22"/>
          <w:szCs w:val="22"/>
        </w:rPr>
        <w:t>Student ID: 2319757</w:t>
      </w:r>
    </w:p>
    <w:p w14:paraId="0B59773A" w14:textId="77777777" w:rsidR="00AB5D5B" w:rsidRPr="00AB5D5B" w:rsidRDefault="00AB5D5B" w:rsidP="00AB5D5B">
      <w:pPr>
        <w:pStyle w:val="Heading1"/>
        <w:jc w:val="center"/>
        <w:rPr>
          <w:rFonts w:ascii="Arial" w:hAnsi="Arial" w:cs="Arial"/>
          <w:color w:val="auto"/>
          <w:sz w:val="22"/>
          <w:szCs w:val="22"/>
        </w:rPr>
      </w:pPr>
      <w:r w:rsidRPr="00AB5D5B">
        <w:rPr>
          <w:rFonts w:ascii="Arial" w:hAnsi="Arial" w:cs="Arial"/>
          <w:color w:val="auto"/>
          <w:sz w:val="22"/>
          <w:szCs w:val="22"/>
        </w:rPr>
        <w:t>Module Title: LCLM 5002 – Developing and Managing Individuals and Teams</w:t>
      </w:r>
    </w:p>
    <w:p w14:paraId="023F96A2" w14:textId="77777777" w:rsidR="00AB5D5B" w:rsidRPr="00AB5D5B" w:rsidRDefault="00AB5D5B" w:rsidP="00AB5D5B">
      <w:pPr>
        <w:pStyle w:val="Heading1"/>
        <w:jc w:val="center"/>
        <w:rPr>
          <w:rFonts w:ascii="Arial" w:hAnsi="Arial" w:cs="Arial"/>
          <w:color w:val="auto"/>
          <w:sz w:val="22"/>
          <w:szCs w:val="22"/>
        </w:rPr>
      </w:pPr>
      <w:r w:rsidRPr="00AB5D5B">
        <w:rPr>
          <w:rFonts w:ascii="Arial" w:hAnsi="Arial" w:cs="Arial"/>
          <w:color w:val="auto"/>
          <w:sz w:val="22"/>
          <w:szCs w:val="22"/>
        </w:rPr>
        <w:t>Lecturer: Mudassar Hasan</w:t>
      </w:r>
    </w:p>
    <w:p w14:paraId="58B275A9" w14:textId="77777777" w:rsidR="00AB5D5B" w:rsidRDefault="00AB5D5B" w:rsidP="00AB5D5B">
      <w:pPr>
        <w:pStyle w:val="Heading1"/>
      </w:pPr>
    </w:p>
    <w:p w14:paraId="32D93F82" w14:textId="77777777" w:rsidR="00AB5D5B" w:rsidRDefault="00AB5D5B" w:rsidP="00AB5D5B"/>
    <w:p w14:paraId="12D53D9C" w14:textId="77777777" w:rsidR="00AB5D5B" w:rsidRDefault="00AB5D5B" w:rsidP="00AB5D5B"/>
    <w:p w14:paraId="0F19CFC5" w14:textId="77777777" w:rsidR="00AB5D5B" w:rsidRDefault="00AB5D5B" w:rsidP="00AB5D5B"/>
    <w:p w14:paraId="18C0AA5C" w14:textId="77777777" w:rsidR="00AB5D5B" w:rsidRDefault="00AB5D5B" w:rsidP="00AB5D5B"/>
    <w:sdt>
      <w:sdtPr>
        <w:rPr>
          <w:rFonts w:asciiTheme="minorHAnsi" w:eastAsiaTheme="minorHAnsi" w:hAnsiTheme="minorHAnsi" w:cstheme="minorBidi"/>
          <w:color w:val="auto"/>
          <w:kern w:val="2"/>
          <w:sz w:val="22"/>
          <w:szCs w:val="22"/>
          <w:lang w:eastAsia="en-US"/>
        </w:rPr>
        <w:id w:val="-1429263100"/>
        <w:docPartObj>
          <w:docPartGallery w:val="Table of Contents"/>
          <w:docPartUnique/>
        </w:docPartObj>
      </w:sdtPr>
      <w:sdtEndPr>
        <w:rPr>
          <w:b/>
          <w:bCs/>
        </w:rPr>
      </w:sdtEndPr>
      <w:sdtContent>
        <w:p w14:paraId="4DDEC040" w14:textId="70C51FF6" w:rsidR="00AB5D5B" w:rsidRDefault="00AB5D5B">
          <w:pPr>
            <w:pStyle w:val="TOCHeading"/>
          </w:pPr>
          <w:r>
            <w:t>Contents</w:t>
          </w:r>
        </w:p>
        <w:p w14:paraId="5EAF0B5D" w14:textId="596103C1" w:rsidR="00AB5D5B" w:rsidRDefault="00AB5D5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268440" w:history="1">
            <w:r w:rsidRPr="007278D9">
              <w:rPr>
                <w:rStyle w:val="Hyperlink"/>
                <w:noProof/>
              </w:rPr>
              <w:t>Introduction</w:t>
            </w:r>
            <w:r>
              <w:rPr>
                <w:noProof/>
                <w:webHidden/>
              </w:rPr>
              <w:tab/>
            </w:r>
            <w:r>
              <w:rPr>
                <w:noProof/>
                <w:webHidden/>
              </w:rPr>
              <w:fldChar w:fldCharType="begin"/>
            </w:r>
            <w:r>
              <w:rPr>
                <w:noProof/>
                <w:webHidden/>
              </w:rPr>
              <w:instrText xml:space="preserve"> PAGEREF _Toc214268440 \h </w:instrText>
            </w:r>
            <w:r>
              <w:rPr>
                <w:noProof/>
                <w:webHidden/>
              </w:rPr>
            </w:r>
            <w:r>
              <w:rPr>
                <w:noProof/>
                <w:webHidden/>
              </w:rPr>
              <w:fldChar w:fldCharType="separate"/>
            </w:r>
            <w:r>
              <w:rPr>
                <w:noProof/>
                <w:webHidden/>
              </w:rPr>
              <w:t>2</w:t>
            </w:r>
            <w:r>
              <w:rPr>
                <w:noProof/>
                <w:webHidden/>
              </w:rPr>
              <w:fldChar w:fldCharType="end"/>
            </w:r>
          </w:hyperlink>
        </w:p>
        <w:p w14:paraId="7C53DEA6" w14:textId="36FE22CE" w:rsidR="00AB5D5B" w:rsidRDefault="00AB5D5B">
          <w:pPr>
            <w:pStyle w:val="TOC1"/>
            <w:tabs>
              <w:tab w:val="right" w:leader="dot" w:pos="9016"/>
            </w:tabs>
            <w:rPr>
              <w:rFonts w:eastAsiaTheme="minorEastAsia"/>
              <w:noProof/>
              <w:sz w:val="24"/>
              <w:szCs w:val="24"/>
              <w:lang w:eastAsia="en-GB"/>
            </w:rPr>
          </w:pPr>
          <w:hyperlink w:anchor="_Toc214268441" w:history="1">
            <w:r w:rsidRPr="007278D9">
              <w:rPr>
                <w:rStyle w:val="Hyperlink"/>
                <w:noProof/>
              </w:rPr>
              <w:t>1. Specific Factors Related to Societal Changes, Technology Trends and Flexible Working</w:t>
            </w:r>
            <w:r>
              <w:rPr>
                <w:noProof/>
                <w:webHidden/>
              </w:rPr>
              <w:tab/>
            </w:r>
            <w:r>
              <w:rPr>
                <w:noProof/>
                <w:webHidden/>
              </w:rPr>
              <w:fldChar w:fldCharType="begin"/>
            </w:r>
            <w:r>
              <w:rPr>
                <w:noProof/>
                <w:webHidden/>
              </w:rPr>
              <w:instrText xml:space="preserve"> PAGEREF _Toc214268441 \h </w:instrText>
            </w:r>
            <w:r>
              <w:rPr>
                <w:noProof/>
                <w:webHidden/>
              </w:rPr>
            </w:r>
            <w:r>
              <w:rPr>
                <w:noProof/>
                <w:webHidden/>
              </w:rPr>
              <w:fldChar w:fldCharType="separate"/>
            </w:r>
            <w:r>
              <w:rPr>
                <w:noProof/>
                <w:webHidden/>
              </w:rPr>
              <w:t>3</w:t>
            </w:r>
            <w:r>
              <w:rPr>
                <w:noProof/>
                <w:webHidden/>
              </w:rPr>
              <w:fldChar w:fldCharType="end"/>
            </w:r>
          </w:hyperlink>
        </w:p>
        <w:p w14:paraId="38918DC7" w14:textId="1EB3EE49" w:rsidR="00AB5D5B" w:rsidRDefault="00AB5D5B">
          <w:pPr>
            <w:pStyle w:val="TOC2"/>
            <w:tabs>
              <w:tab w:val="right" w:leader="dot" w:pos="9016"/>
            </w:tabs>
            <w:rPr>
              <w:rFonts w:eastAsiaTheme="minorEastAsia"/>
              <w:noProof/>
              <w:sz w:val="24"/>
              <w:szCs w:val="24"/>
              <w:lang w:eastAsia="en-GB"/>
            </w:rPr>
          </w:pPr>
          <w:hyperlink w:anchor="_Toc214268442" w:history="1">
            <w:r w:rsidRPr="007278D9">
              <w:rPr>
                <w:rStyle w:val="Hyperlink"/>
                <w:noProof/>
              </w:rPr>
              <w:t>1.1 Societal Changes</w:t>
            </w:r>
            <w:r>
              <w:rPr>
                <w:noProof/>
                <w:webHidden/>
              </w:rPr>
              <w:tab/>
            </w:r>
            <w:r>
              <w:rPr>
                <w:noProof/>
                <w:webHidden/>
              </w:rPr>
              <w:fldChar w:fldCharType="begin"/>
            </w:r>
            <w:r>
              <w:rPr>
                <w:noProof/>
                <w:webHidden/>
              </w:rPr>
              <w:instrText xml:space="preserve"> PAGEREF _Toc214268442 \h </w:instrText>
            </w:r>
            <w:r>
              <w:rPr>
                <w:noProof/>
                <w:webHidden/>
              </w:rPr>
            </w:r>
            <w:r>
              <w:rPr>
                <w:noProof/>
                <w:webHidden/>
              </w:rPr>
              <w:fldChar w:fldCharType="separate"/>
            </w:r>
            <w:r>
              <w:rPr>
                <w:noProof/>
                <w:webHidden/>
              </w:rPr>
              <w:t>3</w:t>
            </w:r>
            <w:r>
              <w:rPr>
                <w:noProof/>
                <w:webHidden/>
              </w:rPr>
              <w:fldChar w:fldCharType="end"/>
            </w:r>
          </w:hyperlink>
        </w:p>
        <w:p w14:paraId="42F8CE5B" w14:textId="7B0245C5" w:rsidR="00AB5D5B" w:rsidRDefault="00AB5D5B">
          <w:pPr>
            <w:pStyle w:val="TOC2"/>
            <w:tabs>
              <w:tab w:val="right" w:leader="dot" w:pos="9016"/>
            </w:tabs>
            <w:rPr>
              <w:rFonts w:eastAsiaTheme="minorEastAsia"/>
              <w:noProof/>
              <w:sz w:val="24"/>
              <w:szCs w:val="24"/>
              <w:lang w:eastAsia="en-GB"/>
            </w:rPr>
          </w:pPr>
          <w:hyperlink w:anchor="_Toc214268443" w:history="1">
            <w:r w:rsidRPr="007278D9">
              <w:rPr>
                <w:rStyle w:val="Hyperlink"/>
                <w:noProof/>
              </w:rPr>
              <w:t>1.2 Technology Trends</w:t>
            </w:r>
            <w:r>
              <w:rPr>
                <w:noProof/>
                <w:webHidden/>
              </w:rPr>
              <w:tab/>
            </w:r>
            <w:r>
              <w:rPr>
                <w:noProof/>
                <w:webHidden/>
              </w:rPr>
              <w:fldChar w:fldCharType="begin"/>
            </w:r>
            <w:r>
              <w:rPr>
                <w:noProof/>
                <w:webHidden/>
              </w:rPr>
              <w:instrText xml:space="preserve"> PAGEREF _Toc214268443 \h </w:instrText>
            </w:r>
            <w:r>
              <w:rPr>
                <w:noProof/>
                <w:webHidden/>
              </w:rPr>
            </w:r>
            <w:r>
              <w:rPr>
                <w:noProof/>
                <w:webHidden/>
              </w:rPr>
              <w:fldChar w:fldCharType="separate"/>
            </w:r>
            <w:r>
              <w:rPr>
                <w:noProof/>
                <w:webHidden/>
              </w:rPr>
              <w:t>3</w:t>
            </w:r>
            <w:r>
              <w:rPr>
                <w:noProof/>
                <w:webHidden/>
              </w:rPr>
              <w:fldChar w:fldCharType="end"/>
            </w:r>
          </w:hyperlink>
        </w:p>
        <w:p w14:paraId="5E114256" w14:textId="02D7FA90" w:rsidR="00AB5D5B" w:rsidRDefault="00AB5D5B">
          <w:pPr>
            <w:pStyle w:val="TOC2"/>
            <w:tabs>
              <w:tab w:val="right" w:leader="dot" w:pos="9016"/>
            </w:tabs>
            <w:rPr>
              <w:rFonts w:eastAsiaTheme="minorEastAsia"/>
              <w:noProof/>
              <w:sz w:val="24"/>
              <w:szCs w:val="24"/>
              <w:lang w:eastAsia="en-GB"/>
            </w:rPr>
          </w:pPr>
          <w:hyperlink w:anchor="_Toc214268444" w:history="1">
            <w:r w:rsidRPr="007278D9">
              <w:rPr>
                <w:rStyle w:val="Hyperlink"/>
                <w:noProof/>
              </w:rPr>
              <w:t>1.3 Flexible Working Arrangements</w:t>
            </w:r>
            <w:r>
              <w:rPr>
                <w:noProof/>
                <w:webHidden/>
              </w:rPr>
              <w:tab/>
            </w:r>
            <w:r>
              <w:rPr>
                <w:noProof/>
                <w:webHidden/>
              </w:rPr>
              <w:fldChar w:fldCharType="begin"/>
            </w:r>
            <w:r>
              <w:rPr>
                <w:noProof/>
                <w:webHidden/>
              </w:rPr>
              <w:instrText xml:space="preserve"> PAGEREF _Toc214268444 \h </w:instrText>
            </w:r>
            <w:r>
              <w:rPr>
                <w:noProof/>
                <w:webHidden/>
              </w:rPr>
            </w:r>
            <w:r>
              <w:rPr>
                <w:noProof/>
                <w:webHidden/>
              </w:rPr>
              <w:fldChar w:fldCharType="separate"/>
            </w:r>
            <w:r>
              <w:rPr>
                <w:noProof/>
                <w:webHidden/>
              </w:rPr>
              <w:t>3</w:t>
            </w:r>
            <w:r>
              <w:rPr>
                <w:noProof/>
                <w:webHidden/>
              </w:rPr>
              <w:fldChar w:fldCharType="end"/>
            </w:r>
          </w:hyperlink>
        </w:p>
        <w:p w14:paraId="572ACFCE" w14:textId="42EC44F2" w:rsidR="00AB5D5B" w:rsidRDefault="00AB5D5B">
          <w:pPr>
            <w:pStyle w:val="TOC1"/>
            <w:tabs>
              <w:tab w:val="right" w:leader="dot" w:pos="9016"/>
            </w:tabs>
            <w:rPr>
              <w:rFonts w:eastAsiaTheme="minorEastAsia"/>
              <w:noProof/>
              <w:sz w:val="24"/>
              <w:szCs w:val="24"/>
              <w:lang w:eastAsia="en-GB"/>
            </w:rPr>
          </w:pPr>
          <w:hyperlink w:anchor="_Toc214268445" w:history="1">
            <w:r w:rsidRPr="007278D9">
              <w:rPr>
                <w:rStyle w:val="Hyperlink"/>
                <w:noProof/>
              </w:rPr>
              <w:t>2. Evaluation of Contemporary HR Practices to Address Each Factor</w:t>
            </w:r>
            <w:r>
              <w:rPr>
                <w:noProof/>
                <w:webHidden/>
              </w:rPr>
              <w:tab/>
            </w:r>
            <w:r>
              <w:rPr>
                <w:noProof/>
                <w:webHidden/>
              </w:rPr>
              <w:fldChar w:fldCharType="begin"/>
            </w:r>
            <w:r>
              <w:rPr>
                <w:noProof/>
                <w:webHidden/>
              </w:rPr>
              <w:instrText xml:space="preserve"> PAGEREF _Toc214268445 \h </w:instrText>
            </w:r>
            <w:r>
              <w:rPr>
                <w:noProof/>
                <w:webHidden/>
              </w:rPr>
            </w:r>
            <w:r>
              <w:rPr>
                <w:noProof/>
                <w:webHidden/>
              </w:rPr>
              <w:fldChar w:fldCharType="separate"/>
            </w:r>
            <w:r>
              <w:rPr>
                <w:noProof/>
                <w:webHidden/>
              </w:rPr>
              <w:t>4</w:t>
            </w:r>
            <w:r>
              <w:rPr>
                <w:noProof/>
                <w:webHidden/>
              </w:rPr>
              <w:fldChar w:fldCharType="end"/>
            </w:r>
          </w:hyperlink>
        </w:p>
        <w:p w14:paraId="207307A0" w14:textId="7A2D3FFE" w:rsidR="00AB5D5B" w:rsidRDefault="00AB5D5B">
          <w:pPr>
            <w:pStyle w:val="TOC2"/>
            <w:tabs>
              <w:tab w:val="right" w:leader="dot" w:pos="9016"/>
            </w:tabs>
            <w:rPr>
              <w:rFonts w:eastAsiaTheme="minorEastAsia"/>
              <w:noProof/>
              <w:sz w:val="24"/>
              <w:szCs w:val="24"/>
              <w:lang w:eastAsia="en-GB"/>
            </w:rPr>
          </w:pPr>
          <w:hyperlink w:anchor="_Toc214268446" w:history="1">
            <w:r w:rsidRPr="007278D9">
              <w:rPr>
                <w:rStyle w:val="Hyperlink"/>
                <w:noProof/>
              </w:rPr>
              <w:t>2.1 Addressing Societal Changes</w:t>
            </w:r>
            <w:r>
              <w:rPr>
                <w:noProof/>
                <w:webHidden/>
              </w:rPr>
              <w:tab/>
            </w:r>
            <w:r>
              <w:rPr>
                <w:noProof/>
                <w:webHidden/>
              </w:rPr>
              <w:fldChar w:fldCharType="begin"/>
            </w:r>
            <w:r>
              <w:rPr>
                <w:noProof/>
                <w:webHidden/>
              </w:rPr>
              <w:instrText xml:space="preserve"> PAGEREF _Toc214268446 \h </w:instrText>
            </w:r>
            <w:r>
              <w:rPr>
                <w:noProof/>
                <w:webHidden/>
              </w:rPr>
            </w:r>
            <w:r>
              <w:rPr>
                <w:noProof/>
                <w:webHidden/>
              </w:rPr>
              <w:fldChar w:fldCharType="separate"/>
            </w:r>
            <w:r>
              <w:rPr>
                <w:noProof/>
                <w:webHidden/>
              </w:rPr>
              <w:t>4</w:t>
            </w:r>
            <w:r>
              <w:rPr>
                <w:noProof/>
                <w:webHidden/>
              </w:rPr>
              <w:fldChar w:fldCharType="end"/>
            </w:r>
          </w:hyperlink>
        </w:p>
        <w:p w14:paraId="77F84D47" w14:textId="64D67AEE" w:rsidR="00AB5D5B" w:rsidRDefault="00AB5D5B">
          <w:pPr>
            <w:pStyle w:val="TOC2"/>
            <w:tabs>
              <w:tab w:val="right" w:leader="dot" w:pos="9016"/>
            </w:tabs>
            <w:rPr>
              <w:rFonts w:eastAsiaTheme="minorEastAsia"/>
              <w:noProof/>
              <w:sz w:val="24"/>
              <w:szCs w:val="24"/>
              <w:lang w:eastAsia="en-GB"/>
            </w:rPr>
          </w:pPr>
          <w:hyperlink w:anchor="_Toc214268447" w:history="1">
            <w:r w:rsidRPr="007278D9">
              <w:rPr>
                <w:rStyle w:val="Hyperlink"/>
                <w:noProof/>
              </w:rPr>
              <w:t>2.2 Addressing Technology Trends</w:t>
            </w:r>
            <w:r>
              <w:rPr>
                <w:noProof/>
                <w:webHidden/>
              </w:rPr>
              <w:tab/>
            </w:r>
            <w:r>
              <w:rPr>
                <w:noProof/>
                <w:webHidden/>
              </w:rPr>
              <w:fldChar w:fldCharType="begin"/>
            </w:r>
            <w:r>
              <w:rPr>
                <w:noProof/>
                <w:webHidden/>
              </w:rPr>
              <w:instrText xml:space="preserve"> PAGEREF _Toc214268447 \h </w:instrText>
            </w:r>
            <w:r>
              <w:rPr>
                <w:noProof/>
                <w:webHidden/>
              </w:rPr>
            </w:r>
            <w:r>
              <w:rPr>
                <w:noProof/>
                <w:webHidden/>
              </w:rPr>
              <w:fldChar w:fldCharType="separate"/>
            </w:r>
            <w:r>
              <w:rPr>
                <w:noProof/>
                <w:webHidden/>
              </w:rPr>
              <w:t>4</w:t>
            </w:r>
            <w:r>
              <w:rPr>
                <w:noProof/>
                <w:webHidden/>
              </w:rPr>
              <w:fldChar w:fldCharType="end"/>
            </w:r>
          </w:hyperlink>
        </w:p>
        <w:p w14:paraId="0BB999ED" w14:textId="3D8B0E52" w:rsidR="00AB5D5B" w:rsidRDefault="00AB5D5B">
          <w:pPr>
            <w:pStyle w:val="TOC2"/>
            <w:tabs>
              <w:tab w:val="right" w:leader="dot" w:pos="9016"/>
            </w:tabs>
            <w:rPr>
              <w:rFonts w:eastAsiaTheme="minorEastAsia"/>
              <w:noProof/>
              <w:sz w:val="24"/>
              <w:szCs w:val="24"/>
              <w:lang w:eastAsia="en-GB"/>
            </w:rPr>
          </w:pPr>
          <w:hyperlink w:anchor="_Toc214268448" w:history="1">
            <w:r w:rsidRPr="007278D9">
              <w:rPr>
                <w:rStyle w:val="Hyperlink"/>
                <w:noProof/>
              </w:rPr>
              <w:t>2.3 Addressing Flexible Working Arrangements</w:t>
            </w:r>
            <w:r>
              <w:rPr>
                <w:noProof/>
                <w:webHidden/>
              </w:rPr>
              <w:tab/>
            </w:r>
            <w:r>
              <w:rPr>
                <w:noProof/>
                <w:webHidden/>
              </w:rPr>
              <w:fldChar w:fldCharType="begin"/>
            </w:r>
            <w:r>
              <w:rPr>
                <w:noProof/>
                <w:webHidden/>
              </w:rPr>
              <w:instrText xml:space="preserve"> PAGEREF _Toc214268448 \h </w:instrText>
            </w:r>
            <w:r>
              <w:rPr>
                <w:noProof/>
                <w:webHidden/>
              </w:rPr>
            </w:r>
            <w:r>
              <w:rPr>
                <w:noProof/>
                <w:webHidden/>
              </w:rPr>
              <w:fldChar w:fldCharType="separate"/>
            </w:r>
            <w:r>
              <w:rPr>
                <w:noProof/>
                <w:webHidden/>
              </w:rPr>
              <w:t>5</w:t>
            </w:r>
            <w:r>
              <w:rPr>
                <w:noProof/>
                <w:webHidden/>
              </w:rPr>
              <w:fldChar w:fldCharType="end"/>
            </w:r>
          </w:hyperlink>
        </w:p>
        <w:p w14:paraId="6A52D9C2" w14:textId="1BFF8709" w:rsidR="00AB5D5B" w:rsidRDefault="00AB5D5B">
          <w:pPr>
            <w:pStyle w:val="TOC1"/>
            <w:tabs>
              <w:tab w:val="right" w:leader="dot" w:pos="9016"/>
            </w:tabs>
            <w:rPr>
              <w:rFonts w:eastAsiaTheme="minorEastAsia"/>
              <w:noProof/>
              <w:sz w:val="24"/>
              <w:szCs w:val="24"/>
              <w:lang w:eastAsia="en-GB"/>
            </w:rPr>
          </w:pPr>
          <w:hyperlink w:anchor="_Toc214268449" w:history="1">
            <w:r w:rsidRPr="007278D9">
              <w:rPr>
                <w:rStyle w:val="Hyperlink"/>
                <w:noProof/>
              </w:rPr>
              <w:t>3. Critical Evaluation of How Departmental Managers Can Ensure Implementation</w:t>
            </w:r>
            <w:r>
              <w:rPr>
                <w:noProof/>
                <w:webHidden/>
              </w:rPr>
              <w:tab/>
            </w:r>
            <w:r>
              <w:rPr>
                <w:noProof/>
                <w:webHidden/>
              </w:rPr>
              <w:fldChar w:fldCharType="begin"/>
            </w:r>
            <w:r>
              <w:rPr>
                <w:noProof/>
                <w:webHidden/>
              </w:rPr>
              <w:instrText xml:space="preserve"> PAGEREF _Toc214268449 \h </w:instrText>
            </w:r>
            <w:r>
              <w:rPr>
                <w:noProof/>
                <w:webHidden/>
              </w:rPr>
            </w:r>
            <w:r>
              <w:rPr>
                <w:noProof/>
                <w:webHidden/>
              </w:rPr>
              <w:fldChar w:fldCharType="separate"/>
            </w:r>
            <w:r>
              <w:rPr>
                <w:noProof/>
                <w:webHidden/>
              </w:rPr>
              <w:t>5</w:t>
            </w:r>
            <w:r>
              <w:rPr>
                <w:noProof/>
                <w:webHidden/>
              </w:rPr>
              <w:fldChar w:fldCharType="end"/>
            </w:r>
          </w:hyperlink>
        </w:p>
        <w:p w14:paraId="0778DE51" w14:textId="5FA873F2" w:rsidR="00AB5D5B" w:rsidRDefault="00AB5D5B">
          <w:pPr>
            <w:pStyle w:val="TOC1"/>
            <w:tabs>
              <w:tab w:val="right" w:leader="dot" w:pos="9016"/>
            </w:tabs>
            <w:rPr>
              <w:rFonts w:eastAsiaTheme="minorEastAsia"/>
              <w:noProof/>
              <w:sz w:val="24"/>
              <w:szCs w:val="24"/>
              <w:lang w:eastAsia="en-GB"/>
            </w:rPr>
          </w:pPr>
          <w:hyperlink w:anchor="_Toc214268450" w:history="1">
            <w:r w:rsidRPr="007278D9">
              <w:rPr>
                <w:rStyle w:val="Hyperlink"/>
                <w:noProof/>
              </w:rPr>
              <w:t>Conclusion</w:t>
            </w:r>
            <w:r>
              <w:rPr>
                <w:noProof/>
                <w:webHidden/>
              </w:rPr>
              <w:tab/>
            </w:r>
            <w:r>
              <w:rPr>
                <w:noProof/>
                <w:webHidden/>
              </w:rPr>
              <w:fldChar w:fldCharType="begin"/>
            </w:r>
            <w:r>
              <w:rPr>
                <w:noProof/>
                <w:webHidden/>
              </w:rPr>
              <w:instrText xml:space="preserve"> PAGEREF _Toc214268450 \h </w:instrText>
            </w:r>
            <w:r>
              <w:rPr>
                <w:noProof/>
                <w:webHidden/>
              </w:rPr>
            </w:r>
            <w:r>
              <w:rPr>
                <w:noProof/>
                <w:webHidden/>
              </w:rPr>
              <w:fldChar w:fldCharType="separate"/>
            </w:r>
            <w:r>
              <w:rPr>
                <w:noProof/>
                <w:webHidden/>
              </w:rPr>
              <w:t>6</w:t>
            </w:r>
            <w:r>
              <w:rPr>
                <w:noProof/>
                <w:webHidden/>
              </w:rPr>
              <w:fldChar w:fldCharType="end"/>
            </w:r>
          </w:hyperlink>
        </w:p>
        <w:p w14:paraId="42F5800C" w14:textId="0E94CDF7" w:rsidR="00AB5D5B" w:rsidRDefault="00AB5D5B">
          <w:pPr>
            <w:pStyle w:val="TOC1"/>
            <w:tabs>
              <w:tab w:val="right" w:leader="dot" w:pos="9016"/>
            </w:tabs>
            <w:rPr>
              <w:rFonts w:eastAsiaTheme="minorEastAsia"/>
              <w:noProof/>
              <w:sz w:val="24"/>
              <w:szCs w:val="24"/>
              <w:lang w:eastAsia="en-GB"/>
            </w:rPr>
          </w:pPr>
          <w:hyperlink w:anchor="_Toc214268451" w:history="1">
            <w:r w:rsidRPr="007278D9">
              <w:rPr>
                <w:rStyle w:val="Hyperlink"/>
                <w:noProof/>
              </w:rPr>
              <w:t>Recommendations</w:t>
            </w:r>
            <w:r>
              <w:rPr>
                <w:noProof/>
                <w:webHidden/>
              </w:rPr>
              <w:tab/>
            </w:r>
            <w:r>
              <w:rPr>
                <w:noProof/>
                <w:webHidden/>
              </w:rPr>
              <w:fldChar w:fldCharType="begin"/>
            </w:r>
            <w:r>
              <w:rPr>
                <w:noProof/>
                <w:webHidden/>
              </w:rPr>
              <w:instrText xml:space="preserve"> PAGEREF _Toc214268451 \h </w:instrText>
            </w:r>
            <w:r>
              <w:rPr>
                <w:noProof/>
                <w:webHidden/>
              </w:rPr>
            </w:r>
            <w:r>
              <w:rPr>
                <w:noProof/>
                <w:webHidden/>
              </w:rPr>
              <w:fldChar w:fldCharType="separate"/>
            </w:r>
            <w:r>
              <w:rPr>
                <w:noProof/>
                <w:webHidden/>
              </w:rPr>
              <w:t>6</w:t>
            </w:r>
            <w:r>
              <w:rPr>
                <w:noProof/>
                <w:webHidden/>
              </w:rPr>
              <w:fldChar w:fldCharType="end"/>
            </w:r>
          </w:hyperlink>
        </w:p>
        <w:p w14:paraId="5F3E3628" w14:textId="1FD2438A" w:rsidR="00AB5D5B" w:rsidRDefault="00AB5D5B">
          <w:pPr>
            <w:pStyle w:val="TOC1"/>
            <w:tabs>
              <w:tab w:val="right" w:leader="dot" w:pos="9016"/>
            </w:tabs>
            <w:rPr>
              <w:rFonts w:eastAsiaTheme="minorEastAsia"/>
              <w:noProof/>
              <w:sz w:val="24"/>
              <w:szCs w:val="24"/>
              <w:lang w:eastAsia="en-GB"/>
            </w:rPr>
          </w:pPr>
          <w:hyperlink w:anchor="_Toc214268452" w:history="1">
            <w:r w:rsidRPr="007278D9">
              <w:rPr>
                <w:rStyle w:val="Hyperlink"/>
                <w:noProof/>
              </w:rPr>
              <w:t>Reference List</w:t>
            </w:r>
            <w:r>
              <w:rPr>
                <w:noProof/>
                <w:webHidden/>
              </w:rPr>
              <w:tab/>
            </w:r>
            <w:r>
              <w:rPr>
                <w:noProof/>
                <w:webHidden/>
              </w:rPr>
              <w:fldChar w:fldCharType="begin"/>
            </w:r>
            <w:r>
              <w:rPr>
                <w:noProof/>
                <w:webHidden/>
              </w:rPr>
              <w:instrText xml:space="preserve"> PAGEREF _Toc214268452 \h </w:instrText>
            </w:r>
            <w:r>
              <w:rPr>
                <w:noProof/>
                <w:webHidden/>
              </w:rPr>
            </w:r>
            <w:r>
              <w:rPr>
                <w:noProof/>
                <w:webHidden/>
              </w:rPr>
              <w:fldChar w:fldCharType="separate"/>
            </w:r>
            <w:r>
              <w:rPr>
                <w:noProof/>
                <w:webHidden/>
              </w:rPr>
              <w:t>7</w:t>
            </w:r>
            <w:r>
              <w:rPr>
                <w:noProof/>
                <w:webHidden/>
              </w:rPr>
              <w:fldChar w:fldCharType="end"/>
            </w:r>
          </w:hyperlink>
        </w:p>
        <w:p w14:paraId="75824278" w14:textId="1FED6194" w:rsidR="00AB5D5B" w:rsidRDefault="00AB5D5B">
          <w:r>
            <w:rPr>
              <w:b/>
              <w:bCs/>
            </w:rPr>
            <w:fldChar w:fldCharType="end"/>
          </w:r>
        </w:p>
      </w:sdtContent>
    </w:sdt>
    <w:p w14:paraId="66793E27" w14:textId="77777777" w:rsidR="00AB5D5B" w:rsidRPr="00AB5D5B" w:rsidRDefault="00AB5D5B" w:rsidP="00AB5D5B"/>
    <w:p w14:paraId="51A84AE6" w14:textId="77777777" w:rsidR="00AB5D5B" w:rsidRPr="00AB5D5B" w:rsidRDefault="00AB5D5B" w:rsidP="00AB5D5B">
      <w:pPr>
        <w:pStyle w:val="Heading1"/>
      </w:pPr>
    </w:p>
    <w:p w14:paraId="15F65A42" w14:textId="77777777" w:rsidR="00AB5D5B" w:rsidRPr="00AB5D5B" w:rsidRDefault="00AB5D5B" w:rsidP="00AB5D5B">
      <w:pPr>
        <w:pStyle w:val="Heading1"/>
      </w:pPr>
    </w:p>
    <w:p w14:paraId="146A587C" w14:textId="77777777" w:rsidR="00AB5D5B" w:rsidRPr="00AB5D5B" w:rsidRDefault="00AB5D5B" w:rsidP="00AB5D5B">
      <w:pPr>
        <w:pStyle w:val="Heading1"/>
      </w:pPr>
    </w:p>
    <w:p w14:paraId="680FC3B2" w14:textId="77777777" w:rsidR="00AB5D5B" w:rsidRPr="00AB5D5B" w:rsidRDefault="00AB5D5B" w:rsidP="00AB5D5B">
      <w:pPr>
        <w:pStyle w:val="Heading1"/>
      </w:pPr>
    </w:p>
    <w:p w14:paraId="51C0A59A" w14:textId="3FD37E8C" w:rsidR="00AB5D5B" w:rsidRPr="00AB5D5B" w:rsidRDefault="00AB5D5B" w:rsidP="00AB5D5B">
      <w:pPr>
        <w:pStyle w:val="Heading1"/>
      </w:pPr>
      <w:bookmarkStart w:id="0" w:name="_Toc214268440"/>
      <w:r w:rsidRPr="00AB5D5B">
        <w:t>Introduction</w:t>
      </w:r>
      <w:bookmarkEnd w:id="0"/>
      <w:r w:rsidRPr="00AB5D5B">
        <w:t xml:space="preserve"> </w:t>
      </w:r>
    </w:p>
    <w:p w14:paraId="3F417A17" w14:textId="77777777" w:rsidR="00C0129E" w:rsidRPr="00C0129E" w:rsidRDefault="00C0129E" w:rsidP="00C0129E">
      <w:r w:rsidRPr="00C0129E">
        <w:t xml:space="preserve">The increasing number of complaints within the organization over the past month underscores more profound issues related to employee expectations, work structures, and the wider environment in which the company functions. As noted by Armstrong and Taylor (2023), HR professionals must acknowledge that workforce </w:t>
      </w:r>
      <w:proofErr w:type="spellStart"/>
      <w:r w:rsidRPr="00C0129E">
        <w:t>behavior</w:t>
      </w:r>
      <w:proofErr w:type="spellEnd"/>
      <w:r w:rsidRPr="00C0129E">
        <w:t xml:space="preserve"> and organizational dynamics are influenced not only by internal processes but also by external social, technological, and cultural factors. In the current context, societal shifts, rapid technological advancements, and the rise of flexible working arrangements have each altered how employees view their work, engage with colleagues, and assess fairness within the organization. These changes have generated pressures that, if not properly managed, can lead to conflict, miscommunication, and dissatisfaction. Consequently, the aim of this report is to investigate the specific issues arising from these three themes and to </w:t>
      </w:r>
      <w:proofErr w:type="spellStart"/>
      <w:r w:rsidRPr="00C0129E">
        <w:t>analyze</w:t>
      </w:r>
      <w:proofErr w:type="spellEnd"/>
      <w:r w:rsidRPr="00C0129E">
        <w:t xml:space="preserve"> their effect on the organization’s grievance levels. The first section offers an explanation of the specific factors associated with societal change, technological trends, and flexible working, illustrating how these contribute to emerging workplace tensions. The second section reviews contemporary HR practices that can address these pressures and assist employees through ongoing changes. The third section critically examines the role of departmental managers in ensuring the effective implementation of these practices and highlights the potential challenges that may arise. The report concludes with actionable recommendations to mitigate grievances, enhance communication, and foster a more unified workplace culture. This structured analysis seeks to aid senior leadership in pinpointing targeted actions that will improve employee experience and boost productivity.</w:t>
      </w:r>
    </w:p>
    <w:p w14:paraId="628AA5C3" w14:textId="05E8DCC0" w:rsidR="00AB5D5B" w:rsidRDefault="00AB5D5B" w:rsidP="00AB5D5B"/>
    <w:p w14:paraId="7E015CEE" w14:textId="77777777" w:rsidR="00AB5D5B" w:rsidRDefault="00AB5D5B" w:rsidP="00AB5D5B"/>
    <w:p w14:paraId="4AA29732" w14:textId="77777777" w:rsidR="00AB5D5B" w:rsidRPr="00AB5D5B" w:rsidRDefault="00AB5D5B" w:rsidP="00AB5D5B"/>
    <w:p w14:paraId="7C0618BB" w14:textId="0ED6CDBF" w:rsidR="00AB5D5B" w:rsidRPr="00AB5D5B" w:rsidRDefault="00AB5D5B" w:rsidP="00AB5D5B">
      <w:pPr>
        <w:pStyle w:val="Heading1"/>
      </w:pPr>
      <w:bookmarkStart w:id="1" w:name="_Toc214268441"/>
      <w:r w:rsidRPr="00AB5D5B">
        <w:t>1. Specific Factors Related to Societal Changes, Technology Trends and Flexible Working</w:t>
      </w:r>
      <w:bookmarkEnd w:id="1"/>
      <w:r w:rsidRPr="00AB5D5B">
        <w:t xml:space="preserve"> </w:t>
      </w:r>
    </w:p>
    <w:p w14:paraId="10EFB78C" w14:textId="77777777" w:rsidR="00AB5D5B" w:rsidRPr="00AB5D5B" w:rsidRDefault="00AB5D5B" w:rsidP="00AB5D5B">
      <w:pPr>
        <w:pStyle w:val="Heading2"/>
      </w:pPr>
      <w:bookmarkStart w:id="2" w:name="_Toc214268442"/>
      <w:r w:rsidRPr="00AB5D5B">
        <w:t>1.1 Societal Changes</w:t>
      </w:r>
      <w:bookmarkEnd w:id="2"/>
    </w:p>
    <w:p w14:paraId="576121D7" w14:textId="77777777" w:rsidR="00AB5D5B" w:rsidRPr="00AB5D5B" w:rsidRDefault="00AB5D5B" w:rsidP="00AB5D5B">
      <w:r w:rsidRPr="00AB5D5B">
        <w:t xml:space="preserve">Several societal developments have significantly influenced organisational culture and contributed to a rise in grievances. One major shift is the growth in generational diversity. </w:t>
      </w:r>
      <w:r w:rsidRPr="00AB5D5B">
        <w:lastRenderedPageBreak/>
        <w:t xml:space="preserve">Employees from Baby Boomer, Generation X, Millennial and Generation Z cohorts now work together, each bringing different expectations regarding communication style, career development and autonomy (Myers and </w:t>
      </w:r>
      <w:proofErr w:type="spellStart"/>
      <w:r w:rsidRPr="00AB5D5B">
        <w:t>Sadaghiani</w:t>
      </w:r>
      <w:proofErr w:type="spellEnd"/>
      <w:r w:rsidRPr="00AB5D5B">
        <w:t>, 2010). These differences can cause misunderstandings or friction when leadership approaches are not aligned with varying preferences. Younger employees often expect rapid feedback and development, whereas older employees may prioritise stability and clarity of role boundaries.</w:t>
      </w:r>
    </w:p>
    <w:p w14:paraId="445C26D9" w14:textId="77777777" w:rsidR="00AB5D5B" w:rsidRPr="00AB5D5B" w:rsidRDefault="00AB5D5B" w:rsidP="00AB5D5B">
      <w:r w:rsidRPr="00AB5D5B">
        <w:t>Another factor is the increased emphasis on equity, diversity and inclusion (EDI). Employees now expect workplaces to recognise differences, act transparently and address issues such as bias and discrimination. As Shore et al. (2011) argue, inclusive organisational environments are essential for ensuring that employees feel valued and psychologically safe. When employees perceive unfairness or a lack of representation, grievances tend to escalate.</w:t>
      </w:r>
    </w:p>
    <w:p w14:paraId="1E4B2255" w14:textId="77777777" w:rsidR="00AB5D5B" w:rsidRPr="00AB5D5B" w:rsidRDefault="00AB5D5B" w:rsidP="00AB5D5B">
      <w:r w:rsidRPr="00AB5D5B">
        <w:t>In addition, greater societal awareness of mental health and wellbeing has increased expectations regarding employer responsibility. The Health and Safety Executive (HSE, 2023) reports that stress, anxiety and workload-related pressure remain prominent workplace challenges. When workloads are poorly managed or wellbeing resources are limited, employees may feel unsupported, which can lead to grievances concerning stress, burnout or perceived managerial neglect.</w:t>
      </w:r>
    </w:p>
    <w:p w14:paraId="4370E601" w14:textId="77777777" w:rsidR="00AB5D5B" w:rsidRPr="00AB5D5B" w:rsidRDefault="00AB5D5B" w:rsidP="00AB5D5B">
      <w:pPr>
        <w:pStyle w:val="Heading2"/>
      </w:pPr>
      <w:bookmarkStart w:id="3" w:name="_Toc214268443"/>
      <w:r w:rsidRPr="00AB5D5B">
        <w:t>1.2 Technology Trends</w:t>
      </w:r>
      <w:bookmarkEnd w:id="3"/>
    </w:p>
    <w:p w14:paraId="7D4860DC" w14:textId="77777777" w:rsidR="00164FA2" w:rsidRDefault="00164FA2" w:rsidP="00AB5D5B">
      <w:pPr>
        <w:pStyle w:val="Heading2"/>
        <w:rPr>
          <w:rFonts w:asciiTheme="minorHAnsi" w:eastAsiaTheme="minorHAnsi" w:hAnsiTheme="minorHAnsi" w:cstheme="minorBidi"/>
          <w:color w:val="auto"/>
          <w:sz w:val="22"/>
          <w:szCs w:val="22"/>
        </w:rPr>
      </w:pPr>
      <w:bookmarkStart w:id="4" w:name="_Toc214268444"/>
      <w:r w:rsidRPr="00164FA2">
        <w:rPr>
          <w:rFonts w:asciiTheme="minorHAnsi" w:eastAsiaTheme="minorHAnsi" w:hAnsiTheme="minorHAnsi" w:cstheme="minorBidi"/>
          <w:color w:val="auto"/>
          <w:sz w:val="22"/>
          <w:szCs w:val="22"/>
        </w:rPr>
        <w:t xml:space="preserve">Technology has become integral to workplace operations, leading to new tensions and sources of conflict. One such issue is the overload of digital communication. The proliferation of messaging platforms, video conferencing, and emails has blurred personal boundaries and increased stress levels. Mazmanian et al. (2013) contend that constant connectivity can diminish employees’ sense of autonomy, leading to frustration and communication breakdowns. Another notable trend is the emergence of automation and AI-enabled systems, which may </w:t>
      </w:r>
      <w:proofErr w:type="spellStart"/>
      <w:r w:rsidRPr="00164FA2">
        <w:rPr>
          <w:rFonts w:asciiTheme="minorHAnsi" w:eastAsiaTheme="minorHAnsi" w:hAnsiTheme="minorHAnsi" w:cstheme="minorBidi"/>
          <w:color w:val="auto"/>
          <w:sz w:val="22"/>
          <w:szCs w:val="22"/>
        </w:rPr>
        <w:t>instill</w:t>
      </w:r>
      <w:proofErr w:type="spellEnd"/>
      <w:r w:rsidRPr="00164FA2">
        <w:rPr>
          <w:rFonts w:asciiTheme="minorHAnsi" w:eastAsiaTheme="minorHAnsi" w:hAnsiTheme="minorHAnsi" w:cstheme="minorBidi"/>
          <w:color w:val="auto"/>
          <w:sz w:val="22"/>
          <w:szCs w:val="22"/>
        </w:rPr>
        <w:t xml:space="preserve"> feelings of uncertainty regarding job security or the relevance of skills among employees. Research conducted by Davenport and </w:t>
      </w:r>
      <w:proofErr w:type="spellStart"/>
      <w:r w:rsidRPr="00164FA2">
        <w:rPr>
          <w:rFonts w:asciiTheme="minorHAnsi" w:eastAsiaTheme="minorHAnsi" w:hAnsiTheme="minorHAnsi" w:cstheme="minorBidi"/>
          <w:color w:val="auto"/>
          <w:sz w:val="22"/>
          <w:szCs w:val="22"/>
        </w:rPr>
        <w:t>Ronanki</w:t>
      </w:r>
      <w:proofErr w:type="spellEnd"/>
      <w:r w:rsidRPr="00164FA2">
        <w:rPr>
          <w:rFonts w:asciiTheme="minorHAnsi" w:eastAsiaTheme="minorHAnsi" w:hAnsiTheme="minorHAnsi" w:cstheme="minorBidi"/>
          <w:color w:val="auto"/>
          <w:sz w:val="22"/>
          <w:szCs w:val="22"/>
        </w:rPr>
        <w:t xml:space="preserve"> (2018) indicates that employees frequently resist technological changes when expectations, training, and communication are ambiguous. This resistance contributes to escalating grievances, particularly when implementation seems hurried or poorly managed. Furthermore, numerous organizations implement various technological systems without adequate integration, resulting in errors, duplicated efforts, and operational inefficiencies. Employees may hold each other accountable for delays or inaccuracies caused by system flaws, further exacerbating conflict among interdependent departments.</w:t>
      </w:r>
    </w:p>
    <w:p w14:paraId="1F8A8F27" w14:textId="755948BD" w:rsidR="00AB5D5B" w:rsidRPr="00AB5D5B" w:rsidRDefault="00AB5D5B" w:rsidP="00AB5D5B">
      <w:pPr>
        <w:pStyle w:val="Heading2"/>
      </w:pPr>
      <w:r w:rsidRPr="00AB5D5B">
        <w:t>1.3 Flexible Working Arrangements</w:t>
      </w:r>
      <w:bookmarkEnd w:id="4"/>
    </w:p>
    <w:p w14:paraId="21A28FBB" w14:textId="77777777" w:rsidR="00AB5D5B" w:rsidRPr="00AB5D5B" w:rsidRDefault="00AB5D5B" w:rsidP="00AB5D5B">
      <w:r w:rsidRPr="00AB5D5B">
        <w:t>Flexible working has become increasingly common, yet introduces several complex challenges. A major issue relates to perceived inequality. When certain roles allow remote or hybrid work while others require on-site presence, employees may view policies as unfair (Kelliher and Anderson, 2010). This can generate resentment or accusations of preferential treatment.</w:t>
      </w:r>
    </w:p>
    <w:p w14:paraId="7470B420" w14:textId="77777777" w:rsidR="00AB5D5B" w:rsidRPr="00AB5D5B" w:rsidRDefault="00AB5D5B" w:rsidP="00AB5D5B">
      <w:r w:rsidRPr="00AB5D5B">
        <w:t xml:space="preserve">Flexible working can also create communication difficulties. When employees work staggered hours or across different locations, misunderstandings can occur regarding deadlines, responsibilities or priorities (Felstead and </w:t>
      </w:r>
      <w:proofErr w:type="spellStart"/>
      <w:r w:rsidRPr="00AB5D5B">
        <w:t>Henseke</w:t>
      </w:r>
      <w:proofErr w:type="spellEnd"/>
      <w:r w:rsidRPr="00AB5D5B">
        <w:t>, 2017). These issues can escalate into grievances when teams feel unsupported or misinformed.</w:t>
      </w:r>
    </w:p>
    <w:p w14:paraId="22BB1C7F" w14:textId="77777777" w:rsidR="00AB5D5B" w:rsidRPr="00AB5D5B" w:rsidRDefault="00AB5D5B" w:rsidP="00AB5D5B">
      <w:r w:rsidRPr="00AB5D5B">
        <w:lastRenderedPageBreak/>
        <w:t>Finally, team cohesion can weaken in hybrid environments. Remote employees may feel disconnected from workplace culture, while office-based colleagues may perceive an increased workload. Without sustained managerial support, these dynamics can reduce trust and cooperation, increasing the likelihood of formal complaints.</w:t>
      </w:r>
    </w:p>
    <w:p w14:paraId="7F410B20" w14:textId="3CB3CD49" w:rsidR="00AB5D5B" w:rsidRPr="00AB5D5B" w:rsidRDefault="00AB5D5B" w:rsidP="00AB5D5B"/>
    <w:p w14:paraId="7D54C667" w14:textId="6F8BA414" w:rsidR="00AB5D5B" w:rsidRPr="00AB5D5B" w:rsidRDefault="00AB5D5B" w:rsidP="00AB5D5B">
      <w:pPr>
        <w:pStyle w:val="Heading1"/>
      </w:pPr>
      <w:bookmarkStart w:id="5" w:name="_Toc214268445"/>
      <w:r w:rsidRPr="00AB5D5B">
        <w:t>2. Evaluation of Contemporary HR Practices to Address Each Factor</w:t>
      </w:r>
      <w:bookmarkEnd w:id="5"/>
      <w:r w:rsidRPr="00AB5D5B">
        <w:t xml:space="preserve"> </w:t>
      </w:r>
    </w:p>
    <w:p w14:paraId="384C6052" w14:textId="77777777" w:rsidR="00AB5D5B" w:rsidRPr="00AB5D5B" w:rsidRDefault="00AB5D5B" w:rsidP="00AB5D5B">
      <w:pPr>
        <w:pStyle w:val="Heading2"/>
      </w:pPr>
      <w:bookmarkStart w:id="6" w:name="_Toc214268446"/>
      <w:r w:rsidRPr="00AB5D5B">
        <w:t>2.1 Addressing Societal Changes</w:t>
      </w:r>
      <w:bookmarkEnd w:id="6"/>
    </w:p>
    <w:p w14:paraId="072927B7" w14:textId="14CED369" w:rsidR="007C28E3" w:rsidRDefault="007C28E3" w:rsidP="00AB5D5B">
      <w:pPr>
        <w:pStyle w:val="Heading2"/>
        <w:rPr>
          <w:rFonts w:asciiTheme="minorHAnsi" w:eastAsiaTheme="minorHAnsi" w:hAnsiTheme="minorHAnsi" w:cstheme="minorBidi"/>
          <w:color w:val="auto"/>
          <w:sz w:val="22"/>
          <w:szCs w:val="22"/>
        </w:rPr>
      </w:pPr>
      <w:bookmarkStart w:id="7" w:name="_Toc214268447"/>
      <w:r w:rsidRPr="007C28E3">
        <w:rPr>
          <w:rFonts w:asciiTheme="minorHAnsi" w:eastAsiaTheme="minorHAnsi" w:hAnsiTheme="minorHAnsi" w:cstheme="minorBidi"/>
          <w:color w:val="auto"/>
          <w:sz w:val="22"/>
          <w:szCs w:val="22"/>
        </w:rPr>
        <w:t xml:space="preserve">One pertinent HR practice focuses on enhancing the capability for inclusive leadership. Inclusive leaders </w:t>
      </w:r>
      <w:r w:rsidR="000253FF">
        <w:rPr>
          <w:rFonts w:asciiTheme="minorHAnsi" w:eastAsiaTheme="minorHAnsi" w:hAnsiTheme="minorHAnsi" w:cstheme="minorBidi"/>
          <w:color w:val="auto"/>
          <w:sz w:val="22"/>
          <w:szCs w:val="22"/>
        </w:rPr>
        <w:t>can</w:t>
      </w:r>
      <w:r w:rsidRPr="007C28E3">
        <w:rPr>
          <w:rFonts w:asciiTheme="minorHAnsi" w:eastAsiaTheme="minorHAnsi" w:hAnsiTheme="minorHAnsi" w:cstheme="minorBidi"/>
          <w:color w:val="auto"/>
          <w:sz w:val="22"/>
          <w:szCs w:val="22"/>
        </w:rPr>
        <w:t xml:space="preserve"> identify generational differences, modify their communication styles, and cater to diverse needs. According to Nishii and Mayer (2009), inclusive leadership plays a crucial role in significantly boosting engagement and minimizing turnover intentions. Consequently, the provision of structured leadership development programs can mitigate conflicts arising from generational diversity. Another important practice is the establishment of robust diversity management frameworks, which encompass unbiased recruitment processes, clear promotion pathways, and EDI audits. Cox and Blake (1991) emphasize that effective diversity management not only improves organizational performance but also diminishes grievances related to discrimination. Additionally, employee resource groups (ERGs) provide employees with a constructive platform to express their concerns. In response to the increasing focus on mental health, organizations are progressively implementing comprehensive wellbeing strategies, which include Employee Assistance Programs (EAPs), mental health first-aiders, and wellbeing analytics. Research by Cooper and Cartwright (1994) indicates that </w:t>
      </w:r>
      <w:r w:rsidR="000253FF">
        <w:rPr>
          <w:rFonts w:asciiTheme="minorHAnsi" w:eastAsiaTheme="minorHAnsi" w:hAnsiTheme="minorHAnsi" w:cstheme="minorBidi"/>
          <w:color w:val="auto"/>
          <w:sz w:val="22"/>
          <w:szCs w:val="22"/>
        </w:rPr>
        <w:t>well-being</w:t>
      </w:r>
      <w:r w:rsidRPr="007C28E3">
        <w:rPr>
          <w:rFonts w:asciiTheme="minorHAnsi" w:eastAsiaTheme="minorHAnsi" w:hAnsiTheme="minorHAnsi" w:cstheme="minorBidi"/>
          <w:color w:val="auto"/>
          <w:sz w:val="22"/>
          <w:szCs w:val="22"/>
        </w:rPr>
        <w:t xml:space="preserve"> interventions can lead to a reduction in stress-related absences and an enhancement in morale, thus decreasing grievances associated with mental strain.</w:t>
      </w:r>
    </w:p>
    <w:p w14:paraId="2DA24FFF" w14:textId="22DCAEC3" w:rsidR="00AB5D5B" w:rsidRPr="00AB5D5B" w:rsidRDefault="00AB5D5B" w:rsidP="00AB5D5B">
      <w:pPr>
        <w:pStyle w:val="Heading2"/>
      </w:pPr>
      <w:r w:rsidRPr="00AB5D5B">
        <w:t>2.2 Addressing Technology Trends</w:t>
      </w:r>
      <w:bookmarkEnd w:id="7"/>
    </w:p>
    <w:p w14:paraId="46E3A534" w14:textId="373A9556" w:rsidR="00AB5D5B" w:rsidRPr="00AB5D5B" w:rsidRDefault="00AB5D5B" w:rsidP="00AB5D5B">
      <w:r w:rsidRPr="00AB5D5B">
        <w:t xml:space="preserve">To address communication overload, organisations develop digital communication policies that outline expected response times, appropriate channels and reasonable after-hours boundaries. Barber and </w:t>
      </w:r>
      <w:proofErr w:type="spellStart"/>
      <w:r w:rsidRPr="00AB5D5B">
        <w:t>Santuzzi</w:t>
      </w:r>
      <w:proofErr w:type="spellEnd"/>
      <w:r w:rsidRPr="00AB5D5B">
        <w:t xml:space="preserve"> (2015) suggest that such policies significantly reduce “</w:t>
      </w:r>
      <w:proofErr w:type="spellStart"/>
      <w:r w:rsidRPr="00AB5D5B">
        <w:t>telepressure</w:t>
      </w:r>
      <w:proofErr w:type="spellEnd"/>
      <w:r w:rsidRPr="00AB5D5B">
        <w:t xml:space="preserve">,” improving </w:t>
      </w:r>
      <w:r w:rsidR="000253FF">
        <w:t>well-being</w:t>
      </w:r>
      <w:r w:rsidRPr="00AB5D5B">
        <w:t xml:space="preserve"> and clarity.</w:t>
      </w:r>
    </w:p>
    <w:p w14:paraId="2645A53E" w14:textId="77777777" w:rsidR="00AB5D5B" w:rsidRPr="00AB5D5B" w:rsidRDefault="00AB5D5B" w:rsidP="00AB5D5B">
      <w:r w:rsidRPr="00AB5D5B">
        <w:t>Continuous digital-skills development programmes are also essential. These initiatives help employees adapt to new technology, reduce anxiety and support performance (Brynjolfsson and McAfee, 2014). By equipping staff with appropriate skills, organisations can reduce grievances caused by fear of technological redundancy or inadequate training.</w:t>
      </w:r>
    </w:p>
    <w:p w14:paraId="58E0FDD5" w14:textId="77777777" w:rsidR="00AB5D5B" w:rsidRPr="00AB5D5B" w:rsidRDefault="00AB5D5B" w:rsidP="00AB5D5B">
      <w:r w:rsidRPr="00AB5D5B">
        <w:t>The implementation of integrated HR Information Systems (HRIS) can also streamline processes, reduce errors and improve transparency. Marler and Fisher (2013) argue that HRIS enhances efficiency and employee satisfaction when implemented effectively. Clear communication and comprehensive training are crucial to reducing resistance.</w:t>
      </w:r>
    </w:p>
    <w:p w14:paraId="4A76CB11" w14:textId="77777777" w:rsidR="00AB5D5B" w:rsidRPr="00AB5D5B" w:rsidRDefault="00AB5D5B" w:rsidP="00AB5D5B">
      <w:pPr>
        <w:pStyle w:val="Heading2"/>
      </w:pPr>
      <w:bookmarkStart w:id="8" w:name="_Toc214268448"/>
      <w:r w:rsidRPr="00AB5D5B">
        <w:lastRenderedPageBreak/>
        <w:t>2.3 Addressing Flexible Working Arrangements</w:t>
      </w:r>
      <w:bookmarkEnd w:id="8"/>
    </w:p>
    <w:p w14:paraId="4A591A3A" w14:textId="77777777" w:rsidR="00AB5D5B" w:rsidRPr="00AB5D5B" w:rsidRDefault="00AB5D5B" w:rsidP="00AB5D5B">
      <w:r w:rsidRPr="00AB5D5B">
        <w:t>Clear hybrid-working policies are essential for reducing ambiguity and perceived inequity. The CIPD (2022) emphasises the importance of transparent eligibility criteria, communication standards and performance expectations. Such policies help employees understand what flexibility is available and on what basis.</w:t>
      </w:r>
    </w:p>
    <w:p w14:paraId="4B50F7CA" w14:textId="77777777" w:rsidR="0082221F" w:rsidRDefault="0082221F" w:rsidP="00AB5D5B">
      <w:r w:rsidRPr="0082221F">
        <w:t>An additional effective strategy involves implementing output-based performance management, which emphasizes measurable results instead of mere physical attendance. According to Baker (2010), this method enhances motivation and equity, particularly in hybrid settings.</w:t>
      </w:r>
    </w:p>
    <w:p w14:paraId="308700C3" w14:textId="40384F8F" w:rsidR="00AB5D5B" w:rsidRPr="00AB5D5B" w:rsidRDefault="00AB5D5B" w:rsidP="00AB5D5B">
      <w:r w:rsidRPr="00AB5D5B">
        <w:t xml:space="preserve">Finally, structured virtual engagement strategies, including regular online check-ins, team meetings and collaborative exercises, help deepen team cohesion and reduce isolation. </w:t>
      </w:r>
      <w:proofErr w:type="spellStart"/>
      <w:r w:rsidRPr="00AB5D5B">
        <w:t>Waizenegger</w:t>
      </w:r>
      <w:proofErr w:type="spellEnd"/>
      <w:r w:rsidRPr="00AB5D5B">
        <w:t xml:space="preserve"> et al. (2020) found that well-coordinated virtual collaboration reduces misunderstandings and improves team alignment.</w:t>
      </w:r>
    </w:p>
    <w:p w14:paraId="4634F77B" w14:textId="252762C1" w:rsidR="00AB5D5B" w:rsidRPr="00AB5D5B" w:rsidRDefault="00AB5D5B" w:rsidP="00AB5D5B"/>
    <w:p w14:paraId="7906FDD3" w14:textId="2A301011" w:rsidR="00AB5D5B" w:rsidRPr="00AB5D5B" w:rsidRDefault="00AB5D5B" w:rsidP="00AB5D5B">
      <w:pPr>
        <w:pStyle w:val="Heading1"/>
      </w:pPr>
      <w:bookmarkStart w:id="9" w:name="_Toc214268449"/>
      <w:r w:rsidRPr="00AB5D5B">
        <w:t>3. Critical Evaluation of How Departmental Managers Can Ensure Implementation</w:t>
      </w:r>
      <w:bookmarkEnd w:id="9"/>
      <w:r w:rsidRPr="00AB5D5B">
        <w:t xml:space="preserve"> </w:t>
      </w:r>
    </w:p>
    <w:p w14:paraId="1C44872F" w14:textId="77777777" w:rsidR="00AB5D5B" w:rsidRPr="00AB5D5B" w:rsidRDefault="00AB5D5B" w:rsidP="00AB5D5B">
      <w:r w:rsidRPr="00AB5D5B">
        <w:t>The successful implementation of contemporary HR practices depends heavily on the capability, engagement and behaviour of departmental managers. Managers serve as intermediaries between HR strategy and employees, making their role essential in ensuring that policies translate effectively into everyday practice.</w:t>
      </w:r>
    </w:p>
    <w:p w14:paraId="0C02CF8C" w14:textId="77777777" w:rsidR="00AB5D5B" w:rsidRPr="00AB5D5B" w:rsidRDefault="00AB5D5B" w:rsidP="00AB5D5B">
      <w:r w:rsidRPr="00AB5D5B">
        <w:t>Firstly, managers must demonstrate visible commitment to new practices. Kotter (2012) argues that organisational change is most successful when leaders model desired behaviours. For example, if managers fail to adopt inclusive communication practices or ignore hybrid-working guidelines, employees may perceive HR initiatives as insincere. Therefore, managers require training in inclusive leadership, communication and conflict resolution to meet organisational expectations.</w:t>
      </w:r>
    </w:p>
    <w:p w14:paraId="62E0ED8C" w14:textId="77777777" w:rsidR="00AB5D5B" w:rsidRPr="00AB5D5B" w:rsidRDefault="00AB5D5B" w:rsidP="00AB5D5B">
      <w:r w:rsidRPr="00AB5D5B">
        <w:t xml:space="preserve">Secondly, managers must communicate clearly and consistently. Technology and hybrid-working practices often lead to inconsistent interpretation of policies across teams. </w:t>
      </w:r>
      <w:proofErr w:type="spellStart"/>
      <w:r w:rsidRPr="00AB5D5B">
        <w:t>Tourish</w:t>
      </w:r>
      <w:proofErr w:type="spellEnd"/>
      <w:r w:rsidRPr="00AB5D5B">
        <w:t xml:space="preserve"> (2013) highlights that communication failures are one of the leading causes of employee dissatisfaction and conflict. Managers must therefore ensure that expectations are explained clearly, questions are addressed promptly and team members have access to relevant guidance documents. Establishing regular feedback sessions also helps to surface emerging concerns before they escalate.</w:t>
      </w:r>
    </w:p>
    <w:p w14:paraId="6A05FCD5" w14:textId="77777777" w:rsidR="00AB5D5B" w:rsidRPr="00AB5D5B" w:rsidRDefault="00AB5D5B" w:rsidP="00AB5D5B">
      <w:r w:rsidRPr="00AB5D5B">
        <w:t>Thirdly, managers require effective monitoring and accountability mechanisms. HRIS dashboards and performance-management tools enable managers to track compliance with training, wellbeing initiatives and performance expectations. Without these systems, implementation becomes inconsistent and issues may go unnoticed until grievances arise. However, managers must balance monitoring with trust to avoid perceptions of micromanagement or surveillance.</w:t>
      </w:r>
    </w:p>
    <w:p w14:paraId="02C16394" w14:textId="77777777" w:rsidR="00AB5D5B" w:rsidRPr="00AB5D5B" w:rsidRDefault="00AB5D5B" w:rsidP="00AB5D5B">
      <w:r w:rsidRPr="00AB5D5B">
        <w:lastRenderedPageBreak/>
        <w:t>Despite these opportunities, several challenges may arise. Managers may face resistance from employees who are uncomfortable with change or who feel overwhelmed by new expectations. Yukl (2013) stresses the importance of participatory leadership, encouraging managers to involve employees in decision-making to build trust and acceptance. Another challenge is increased administrative burden, as managers must allocate time to training, monitoring and communication. Organisations must therefore support managers by providing adequate resources, training and workload adjustments.</w:t>
      </w:r>
    </w:p>
    <w:p w14:paraId="5015E355" w14:textId="77777777" w:rsidR="00AB5D5B" w:rsidRPr="00AB5D5B" w:rsidRDefault="00AB5D5B" w:rsidP="00AB5D5B">
      <w:r w:rsidRPr="00AB5D5B">
        <w:t>Overall, the effectiveness of HR practices depends not only on their design but also on the capacity of managers to apply them consistently and sensitively. Strengthening managerial competence is therefore essential for reducing grievances and enhancing organisational stability.</w:t>
      </w:r>
    </w:p>
    <w:p w14:paraId="72BF010E" w14:textId="46A74EF4" w:rsidR="00AB5D5B" w:rsidRPr="00AB5D5B" w:rsidRDefault="00AB5D5B" w:rsidP="00AB5D5B"/>
    <w:p w14:paraId="24986A60" w14:textId="01B96968" w:rsidR="00AB5D5B" w:rsidRPr="00AB5D5B" w:rsidRDefault="00AB5D5B" w:rsidP="00AB5D5B">
      <w:pPr>
        <w:pStyle w:val="Heading1"/>
      </w:pPr>
      <w:bookmarkStart w:id="10" w:name="_Toc214268450"/>
      <w:r w:rsidRPr="00AB5D5B">
        <w:t>Conclusion</w:t>
      </w:r>
      <w:bookmarkEnd w:id="10"/>
      <w:r w:rsidRPr="00AB5D5B">
        <w:t xml:space="preserve"> </w:t>
      </w:r>
    </w:p>
    <w:p w14:paraId="56584A5C" w14:textId="280343E4" w:rsidR="00AB5D5B" w:rsidRPr="00AB5D5B" w:rsidRDefault="006D26F7" w:rsidP="00AB5D5B">
      <w:r w:rsidRPr="006D26F7">
        <w:t>The increase in complaints within the organization signifies intricate and interconnected challenges stemming from societal transformations, swift technological advancements, and the proliferation of flexible work arrangements. These elements affect how employees interact, perceive fairness, and handle workload demands. Modern HR methodologies, including inclusive leadership development initiatives, wellbeing programs, digital skills training, communication protocols, and well-structured hybrid working policies, provide effective solutions for tackling these challenges. Nevertheless, the effectiveness of these methodologies is significantly dependent on robust managerial skills, transparent communication, and ongoing evaluation. Proactively addressing these challenges will mitigate conflicts, enhance employee wellbeing, and bolster organizational resilience. Looking ahead, it is crucial for the organization to embrace a strategic and cohesive approach to the implementation of HR practices, ensuring that employees feel supported, appreciated, and aligned with the organization's objectives.</w:t>
      </w:r>
    </w:p>
    <w:p w14:paraId="14298ACF" w14:textId="741FC07F" w:rsidR="00AB5D5B" w:rsidRPr="00AB5D5B" w:rsidRDefault="00AB5D5B" w:rsidP="00AB5D5B">
      <w:pPr>
        <w:pStyle w:val="Heading1"/>
      </w:pPr>
      <w:bookmarkStart w:id="11" w:name="_Toc214268451"/>
      <w:r w:rsidRPr="00AB5D5B">
        <w:t>Recommendations</w:t>
      </w:r>
      <w:bookmarkEnd w:id="11"/>
      <w:r w:rsidRPr="00AB5D5B">
        <w:t xml:space="preserve"> </w:t>
      </w:r>
    </w:p>
    <w:p w14:paraId="18BEE372" w14:textId="77777777" w:rsidR="00AB5D5B" w:rsidRPr="00AB5D5B" w:rsidRDefault="00AB5D5B" w:rsidP="00AB5D5B">
      <w:pPr>
        <w:numPr>
          <w:ilvl w:val="0"/>
          <w:numId w:val="4"/>
        </w:numPr>
      </w:pPr>
      <w:r w:rsidRPr="00AB5D5B">
        <w:t>Implement a comprehensive EDI framework, including bias-free recruitment, leadership training and annual inclusion assessments.</w:t>
      </w:r>
    </w:p>
    <w:p w14:paraId="6E284163" w14:textId="77777777" w:rsidR="00AB5D5B" w:rsidRPr="00AB5D5B" w:rsidRDefault="00AB5D5B" w:rsidP="00AB5D5B">
      <w:pPr>
        <w:numPr>
          <w:ilvl w:val="0"/>
          <w:numId w:val="4"/>
        </w:numPr>
      </w:pPr>
      <w:r w:rsidRPr="00AB5D5B">
        <w:t>Enhance wellbeing initiatives through expanded EAP services, the introduction of wellbeing champions and regular workload reviews.</w:t>
      </w:r>
    </w:p>
    <w:p w14:paraId="19615CEB" w14:textId="77777777" w:rsidR="00AB5D5B" w:rsidRPr="00AB5D5B" w:rsidRDefault="00AB5D5B" w:rsidP="00AB5D5B">
      <w:pPr>
        <w:numPr>
          <w:ilvl w:val="0"/>
          <w:numId w:val="4"/>
        </w:numPr>
      </w:pPr>
      <w:r w:rsidRPr="00AB5D5B">
        <w:t>Introduce clear digital-communication policies that define appropriate working hours, response expectations and communication channels.</w:t>
      </w:r>
    </w:p>
    <w:p w14:paraId="473650DA" w14:textId="77777777" w:rsidR="00AB5D5B" w:rsidRPr="00AB5D5B" w:rsidRDefault="00AB5D5B" w:rsidP="00AB5D5B">
      <w:pPr>
        <w:numPr>
          <w:ilvl w:val="0"/>
          <w:numId w:val="4"/>
        </w:numPr>
      </w:pPr>
      <w:r w:rsidRPr="00AB5D5B">
        <w:t>Provide continuous digital-skills training to support employees during technological transitions and reduce anxiety.</w:t>
      </w:r>
    </w:p>
    <w:p w14:paraId="09C89EDB" w14:textId="77777777" w:rsidR="00AB5D5B" w:rsidRPr="00AB5D5B" w:rsidRDefault="00AB5D5B" w:rsidP="00AB5D5B">
      <w:pPr>
        <w:numPr>
          <w:ilvl w:val="0"/>
          <w:numId w:val="4"/>
        </w:numPr>
      </w:pPr>
      <w:r w:rsidRPr="00AB5D5B">
        <w:t>Establish transparent hybrid-working policies with clear eligibility criteria, communication requirements and measurable performance standards.</w:t>
      </w:r>
    </w:p>
    <w:p w14:paraId="7082DAFF" w14:textId="77777777" w:rsidR="00AB5D5B" w:rsidRPr="00AB5D5B" w:rsidRDefault="00AB5D5B" w:rsidP="00AB5D5B">
      <w:pPr>
        <w:numPr>
          <w:ilvl w:val="0"/>
          <w:numId w:val="4"/>
        </w:numPr>
      </w:pPr>
      <w:r w:rsidRPr="00AB5D5B">
        <w:t>Strengthen managerial capability through training in inclusive leadership, conflict resolution and output-based performance management.</w:t>
      </w:r>
    </w:p>
    <w:p w14:paraId="6718659D" w14:textId="77777777" w:rsidR="00AB5D5B" w:rsidRPr="00AB5D5B" w:rsidRDefault="00AB5D5B" w:rsidP="00AB5D5B">
      <w:pPr>
        <w:numPr>
          <w:ilvl w:val="0"/>
          <w:numId w:val="4"/>
        </w:numPr>
      </w:pPr>
      <w:r w:rsidRPr="00AB5D5B">
        <w:lastRenderedPageBreak/>
        <w:t>Introduce consistent monitoring using HRIS tools and employee feedback surveys to evaluate policy effectiveness and ensure continuous improvement.</w:t>
      </w:r>
    </w:p>
    <w:p w14:paraId="3B57B04C" w14:textId="77777777" w:rsidR="003223EE" w:rsidRDefault="003223EE"/>
    <w:p w14:paraId="5CE376CB" w14:textId="77777777" w:rsidR="00AB5D5B" w:rsidRDefault="00AB5D5B"/>
    <w:p w14:paraId="4F0DE94C" w14:textId="77777777" w:rsidR="00AB5D5B" w:rsidRDefault="00AB5D5B"/>
    <w:p w14:paraId="3CD0C615" w14:textId="77777777" w:rsidR="00AB5D5B" w:rsidRDefault="00AB5D5B"/>
    <w:p w14:paraId="48B4324C" w14:textId="46CD50FD" w:rsidR="00AB5D5B" w:rsidRPr="00AB5D5B" w:rsidRDefault="00AB5D5B" w:rsidP="00AB5D5B">
      <w:pPr>
        <w:pStyle w:val="Heading1"/>
      </w:pPr>
      <w:bookmarkStart w:id="12" w:name="_Toc214268452"/>
      <w:r w:rsidRPr="00AB5D5B">
        <w:t>Reference List</w:t>
      </w:r>
      <w:bookmarkEnd w:id="12"/>
      <w:r w:rsidRPr="00AB5D5B">
        <w:t xml:space="preserve"> </w:t>
      </w:r>
    </w:p>
    <w:p w14:paraId="43FA795B" w14:textId="77777777" w:rsidR="00AB5D5B" w:rsidRPr="00AB5D5B" w:rsidRDefault="00AB5D5B" w:rsidP="00AB5D5B">
      <w:r w:rsidRPr="00AB5D5B">
        <w:t xml:space="preserve">Armstrong, M. and Taylor, S. (2023) </w:t>
      </w:r>
      <w:r w:rsidRPr="00AB5D5B">
        <w:rPr>
          <w:i/>
          <w:iCs/>
        </w:rPr>
        <w:t>Armstrong’s Handbook of Human Resource Management Practice</w:t>
      </w:r>
      <w:r w:rsidRPr="00AB5D5B">
        <w:t xml:space="preserve">. 17th </w:t>
      </w:r>
      <w:proofErr w:type="spellStart"/>
      <w:r w:rsidRPr="00AB5D5B">
        <w:t>edn</w:t>
      </w:r>
      <w:proofErr w:type="spellEnd"/>
      <w:r w:rsidRPr="00AB5D5B">
        <w:t>. London: Kogan Page.</w:t>
      </w:r>
    </w:p>
    <w:p w14:paraId="7B0E7989" w14:textId="77777777" w:rsidR="00AB5D5B" w:rsidRPr="00AB5D5B" w:rsidRDefault="00AB5D5B" w:rsidP="00AB5D5B">
      <w:r w:rsidRPr="00AB5D5B">
        <w:t xml:space="preserve">Baker, E. (2010) ‘Performance management in flexible work organisations’, </w:t>
      </w:r>
      <w:r w:rsidRPr="00AB5D5B">
        <w:rPr>
          <w:i/>
          <w:iCs/>
        </w:rPr>
        <w:t>Journal of Management Studies</w:t>
      </w:r>
      <w:r w:rsidRPr="00AB5D5B">
        <w:t>, 47(3), pp. 565–592.</w:t>
      </w:r>
    </w:p>
    <w:p w14:paraId="75598908" w14:textId="77777777" w:rsidR="00AB5D5B" w:rsidRPr="00AB5D5B" w:rsidRDefault="00AB5D5B" w:rsidP="00AB5D5B">
      <w:r w:rsidRPr="00AB5D5B">
        <w:t xml:space="preserve">Barber, L. and </w:t>
      </w:r>
      <w:proofErr w:type="spellStart"/>
      <w:r w:rsidRPr="00AB5D5B">
        <w:t>Santuzzi</w:t>
      </w:r>
      <w:proofErr w:type="spellEnd"/>
      <w:r w:rsidRPr="00AB5D5B">
        <w:t xml:space="preserve">, A. (2015) ‘Please respond ASAP: workplace </w:t>
      </w:r>
      <w:proofErr w:type="spellStart"/>
      <w:r w:rsidRPr="00AB5D5B">
        <w:t>telepressure</w:t>
      </w:r>
      <w:proofErr w:type="spellEnd"/>
      <w:r w:rsidRPr="00AB5D5B">
        <w:t xml:space="preserve"> and employee outcomes’, </w:t>
      </w:r>
      <w:r w:rsidRPr="00AB5D5B">
        <w:rPr>
          <w:i/>
          <w:iCs/>
        </w:rPr>
        <w:t>Journal of Occupational Health Psychology</w:t>
      </w:r>
      <w:r w:rsidRPr="00AB5D5B">
        <w:t>, 20(2), pp. 172–189.</w:t>
      </w:r>
    </w:p>
    <w:p w14:paraId="06EAF950" w14:textId="77777777" w:rsidR="00AB5D5B" w:rsidRPr="00AB5D5B" w:rsidRDefault="00AB5D5B" w:rsidP="00AB5D5B">
      <w:r w:rsidRPr="00AB5D5B">
        <w:t xml:space="preserve">Brynjolfsson, E. and McAfee, A. (2014) </w:t>
      </w:r>
      <w:r w:rsidRPr="00AB5D5B">
        <w:rPr>
          <w:i/>
          <w:iCs/>
        </w:rPr>
        <w:t>The Second Machine Age</w:t>
      </w:r>
      <w:r w:rsidRPr="00AB5D5B">
        <w:t>. New York: W.W. Norton.</w:t>
      </w:r>
    </w:p>
    <w:p w14:paraId="7F6B19D9" w14:textId="77777777" w:rsidR="00AB5D5B" w:rsidRPr="00AB5D5B" w:rsidRDefault="00AB5D5B" w:rsidP="00AB5D5B">
      <w:r w:rsidRPr="00AB5D5B">
        <w:t xml:space="preserve">CIPD (2022) </w:t>
      </w:r>
      <w:r w:rsidRPr="00AB5D5B">
        <w:rPr>
          <w:i/>
          <w:iCs/>
        </w:rPr>
        <w:t>Flexible Working Practices</w:t>
      </w:r>
      <w:r w:rsidRPr="00AB5D5B">
        <w:t>. London: CIPD.</w:t>
      </w:r>
    </w:p>
    <w:p w14:paraId="4ACB84FB" w14:textId="77777777" w:rsidR="00AB5D5B" w:rsidRPr="00AB5D5B" w:rsidRDefault="00AB5D5B" w:rsidP="00AB5D5B">
      <w:r w:rsidRPr="00AB5D5B">
        <w:t xml:space="preserve">Cooper, C. and Cartwright, S. (1994) ‘Healthy mind; healthy organisation’, </w:t>
      </w:r>
      <w:r w:rsidRPr="00AB5D5B">
        <w:rPr>
          <w:i/>
          <w:iCs/>
        </w:rPr>
        <w:t>Human Relations</w:t>
      </w:r>
      <w:r w:rsidRPr="00AB5D5B">
        <w:t>, 47(4), pp. 455–471.</w:t>
      </w:r>
    </w:p>
    <w:p w14:paraId="7CB9616E" w14:textId="77777777" w:rsidR="00AB5D5B" w:rsidRPr="00AB5D5B" w:rsidRDefault="00AB5D5B" w:rsidP="00AB5D5B">
      <w:r w:rsidRPr="00AB5D5B">
        <w:t xml:space="preserve">Cox, T. and Blake, S. (1991) ‘Managing cultural diversity’, </w:t>
      </w:r>
      <w:r w:rsidRPr="00AB5D5B">
        <w:rPr>
          <w:i/>
          <w:iCs/>
        </w:rPr>
        <w:t>Academy of Management Executive</w:t>
      </w:r>
      <w:r w:rsidRPr="00AB5D5B">
        <w:t>, 5(3), pp. 45–56.</w:t>
      </w:r>
    </w:p>
    <w:p w14:paraId="6EDBA767" w14:textId="77777777" w:rsidR="00AB5D5B" w:rsidRPr="00AB5D5B" w:rsidRDefault="00AB5D5B" w:rsidP="00AB5D5B">
      <w:r w:rsidRPr="00AB5D5B">
        <w:t xml:space="preserve">Davenport, T. and </w:t>
      </w:r>
      <w:proofErr w:type="spellStart"/>
      <w:r w:rsidRPr="00AB5D5B">
        <w:t>Ronanki</w:t>
      </w:r>
      <w:proofErr w:type="spellEnd"/>
      <w:r w:rsidRPr="00AB5D5B">
        <w:t xml:space="preserve">, R. (2018) ‘Artificial intelligence for the real world’, </w:t>
      </w:r>
      <w:r w:rsidRPr="00AB5D5B">
        <w:rPr>
          <w:i/>
          <w:iCs/>
        </w:rPr>
        <w:t>Harvard Business Review</w:t>
      </w:r>
      <w:r w:rsidRPr="00AB5D5B">
        <w:t>, 96(1), pp.108–116.</w:t>
      </w:r>
    </w:p>
    <w:p w14:paraId="7BB210BA" w14:textId="77777777" w:rsidR="00AB5D5B" w:rsidRPr="00AB5D5B" w:rsidRDefault="00AB5D5B" w:rsidP="00AB5D5B">
      <w:r w:rsidRPr="00AB5D5B">
        <w:t xml:space="preserve">Felstead, A. and </w:t>
      </w:r>
      <w:proofErr w:type="spellStart"/>
      <w:r w:rsidRPr="00AB5D5B">
        <w:t>Henseke</w:t>
      </w:r>
      <w:proofErr w:type="spellEnd"/>
      <w:r w:rsidRPr="00AB5D5B">
        <w:t xml:space="preserve">, G. (2017) ‘Assessing the growth of remote working’, </w:t>
      </w:r>
      <w:r w:rsidRPr="00AB5D5B">
        <w:rPr>
          <w:i/>
          <w:iCs/>
        </w:rPr>
        <w:t>New Technology, Work and Employment</w:t>
      </w:r>
      <w:r w:rsidRPr="00AB5D5B">
        <w:t>, 32(3), pp.195–208.</w:t>
      </w:r>
    </w:p>
    <w:p w14:paraId="7938A894" w14:textId="77777777" w:rsidR="00AB5D5B" w:rsidRPr="00AB5D5B" w:rsidRDefault="00AB5D5B" w:rsidP="00AB5D5B">
      <w:r w:rsidRPr="00AB5D5B">
        <w:t xml:space="preserve">HSE (2023) </w:t>
      </w:r>
      <w:r w:rsidRPr="00AB5D5B">
        <w:rPr>
          <w:i/>
          <w:iCs/>
        </w:rPr>
        <w:t>Work-related Stress, Anxiety or Depression Statistics in Great Britain</w:t>
      </w:r>
      <w:r w:rsidRPr="00AB5D5B">
        <w:t>. London: Health and Safety Executive.</w:t>
      </w:r>
    </w:p>
    <w:p w14:paraId="0DA81D18" w14:textId="77777777" w:rsidR="00AB5D5B" w:rsidRPr="00AB5D5B" w:rsidRDefault="00AB5D5B" w:rsidP="00AB5D5B">
      <w:r w:rsidRPr="00AB5D5B">
        <w:t xml:space="preserve">Kelliher, C. and Anderson, D. (2010) ‘Doing more with less? Flexible working practices and the intensification of work’, </w:t>
      </w:r>
      <w:r w:rsidRPr="00AB5D5B">
        <w:rPr>
          <w:i/>
          <w:iCs/>
        </w:rPr>
        <w:t>Human Relations</w:t>
      </w:r>
      <w:r w:rsidRPr="00AB5D5B">
        <w:t>, 63(1), pp.83–106.</w:t>
      </w:r>
    </w:p>
    <w:p w14:paraId="0570E7C8" w14:textId="77777777" w:rsidR="00AB5D5B" w:rsidRPr="00AB5D5B" w:rsidRDefault="00AB5D5B" w:rsidP="00AB5D5B">
      <w:r w:rsidRPr="00AB5D5B">
        <w:t xml:space="preserve">Kotter, J. (2012) </w:t>
      </w:r>
      <w:r w:rsidRPr="00AB5D5B">
        <w:rPr>
          <w:i/>
          <w:iCs/>
        </w:rPr>
        <w:t>Leading Change</w:t>
      </w:r>
      <w:r w:rsidRPr="00AB5D5B">
        <w:t>. Boston: Harvard Business Review Press.</w:t>
      </w:r>
    </w:p>
    <w:p w14:paraId="577890C3" w14:textId="77777777" w:rsidR="00AB5D5B" w:rsidRPr="00AB5D5B" w:rsidRDefault="00AB5D5B" w:rsidP="00AB5D5B">
      <w:r w:rsidRPr="00AB5D5B">
        <w:t xml:space="preserve">Marler, J. and Fisher, S. (2013) ‘An evidence-based review of e-HRM’, </w:t>
      </w:r>
      <w:r w:rsidRPr="00AB5D5B">
        <w:rPr>
          <w:i/>
          <w:iCs/>
        </w:rPr>
        <w:t>Human Resource Management Review</w:t>
      </w:r>
      <w:r w:rsidRPr="00AB5D5B">
        <w:t>, 23(1), pp.18–36.</w:t>
      </w:r>
    </w:p>
    <w:p w14:paraId="47567004" w14:textId="77777777" w:rsidR="00AB5D5B" w:rsidRPr="00AB5D5B" w:rsidRDefault="00AB5D5B" w:rsidP="00AB5D5B">
      <w:r w:rsidRPr="00AB5D5B">
        <w:t xml:space="preserve">Mazmanian, M., Orlikowski, W. and Yates, J. (2013) ‘The autonomy paradox’, </w:t>
      </w:r>
      <w:r w:rsidRPr="00AB5D5B">
        <w:rPr>
          <w:i/>
          <w:iCs/>
        </w:rPr>
        <w:t>Administrative Science Quarterly</w:t>
      </w:r>
      <w:r w:rsidRPr="00AB5D5B">
        <w:t>, 57(4), pp.123–174.</w:t>
      </w:r>
    </w:p>
    <w:p w14:paraId="5A1427DD" w14:textId="77777777" w:rsidR="00AB5D5B" w:rsidRPr="00AB5D5B" w:rsidRDefault="00AB5D5B" w:rsidP="00AB5D5B">
      <w:r w:rsidRPr="00AB5D5B">
        <w:t xml:space="preserve">Myers, K. and </w:t>
      </w:r>
      <w:proofErr w:type="spellStart"/>
      <w:r w:rsidRPr="00AB5D5B">
        <w:t>Sadaghiani</w:t>
      </w:r>
      <w:proofErr w:type="spellEnd"/>
      <w:r w:rsidRPr="00AB5D5B">
        <w:t xml:space="preserve">, K. (2010) ‘Millennials in the workplace’, </w:t>
      </w:r>
      <w:r w:rsidRPr="00AB5D5B">
        <w:rPr>
          <w:i/>
          <w:iCs/>
        </w:rPr>
        <w:t>Journal of Business and Psychology</w:t>
      </w:r>
      <w:r w:rsidRPr="00AB5D5B">
        <w:t>, 25(2), pp.225–238.</w:t>
      </w:r>
    </w:p>
    <w:p w14:paraId="524A1E07" w14:textId="77777777" w:rsidR="00AB5D5B" w:rsidRPr="00AB5D5B" w:rsidRDefault="00AB5D5B" w:rsidP="00AB5D5B">
      <w:r w:rsidRPr="00AB5D5B">
        <w:lastRenderedPageBreak/>
        <w:t xml:space="preserve">Nishii, L. and Mayer, D. (2009) ‘Do inclusive leaders reduce turnover?’, </w:t>
      </w:r>
      <w:r w:rsidRPr="00AB5D5B">
        <w:rPr>
          <w:i/>
          <w:iCs/>
        </w:rPr>
        <w:t>Leadership Quarterly</w:t>
      </w:r>
      <w:r w:rsidRPr="00AB5D5B">
        <w:t>, 20(3), pp.343–356.</w:t>
      </w:r>
    </w:p>
    <w:p w14:paraId="006EDD18" w14:textId="77777777" w:rsidR="00AB5D5B" w:rsidRPr="00AB5D5B" w:rsidRDefault="00AB5D5B" w:rsidP="00AB5D5B">
      <w:r w:rsidRPr="00AB5D5B">
        <w:t xml:space="preserve">Shore, L. et al. (2011) ‘Inclusion and diversity in work groups’, </w:t>
      </w:r>
      <w:r w:rsidRPr="00AB5D5B">
        <w:rPr>
          <w:i/>
          <w:iCs/>
        </w:rPr>
        <w:t>Journal of Management</w:t>
      </w:r>
      <w:r w:rsidRPr="00AB5D5B">
        <w:t>, 37(4), pp.1262–1289.</w:t>
      </w:r>
    </w:p>
    <w:p w14:paraId="3824A06F" w14:textId="77777777" w:rsidR="00AB5D5B" w:rsidRPr="00AB5D5B" w:rsidRDefault="00AB5D5B" w:rsidP="00AB5D5B">
      <w:proofErr w:type="spellStart"/>
      <w:r w:rsidRPr="00AB5D5B">
        <w:t>Tourish</w:t>
      </w:r>
      <w:proofErr w:type="spellEnd"/>
      <w:r w:rsidRPr="00AB5D5B">
        <w:t xml:space="preserve">, D. (2013) </w:t>
      </w:r>
      <w:r w:rsidRPr="00AB5D5B">
        <w:rPr>
          <w:i/>
          <w:iCs/>
        </w:rPr>
        <w:t>The Dark Side of Transformational Leadership</w:t>
      </w:r>
      <w:r w:rsidRPr="00AB5D5B">
        <w:t>. London: Routledge.</w:t>
      </w:r>
    </w:p>
    <w:p w14:paraId="702B9D70" w14:textId="77777777" w:rsidR="00AB5D5B" w:rsidRPr="00AB5D5B" w:rsidRDefault="00AB5D5B" w:rsidP="00AB5D5B">
      <w:proofErr w:type="spellStart"/>
      <w:r w:rsidRPr="00AB5D5B">
        <w:t>Waizenegger</w:t>
      </w:r>
      <w:proofErr w:type="spellEnd"/>
      <w:r w:rsidRPr="00AB5D5B">
        <w:t xml:space="preserve">, L. et al. (2020) ‘Team collaboration during COVID-19’, </w:t>
      </w:r>
      <w:r w:rsidRPr="00AB5D5B">
        <w:rPr>
          <w:i/>
          <w:iCs/>
        </w:rPr>
        <w:t>European Journal of Information Systems</w:t>
      </w:r>
      <w:r w:rsidRPr="00AB5D5B">
        <w:t>, 29(4), pp.429–442.</w:t>
      </w:r>
    </w:p>
    <w:p w14:paraId="6D745428" w14:textId="1A378E15" w:rsidR="00AB5D5B" w:rsidRDefault="00AB5D5B">
      <w:r w:rsidRPr="00AB5D5B">
        <w:t xml:space="preserve">Yukl, G. (2013) </w:t>
      </w:r>
      <w:r w:rsidRPr="00AB5D5B">
        <w:rPr>
          <w:i/>
          <w:iCs/>
        </w:rPr>
        <w:t>Leadership in Organisations</w:t>
      </w:r>
      <w:r w:rsidRPr="00AB5D5B">
        <w:t xml:space="preserve">. 8th </w:t>
      </w:r>
      <w:proofErr w:type="spellStart"/>
      <w:r w:rsidRPr="00AB5D5B">
        <w:t>edn</w:t>
      </w:r>
      <w:proofErr w:type="spellEnd"/>
      <w:r w:rsidRPr="00AB5D5B">
        <w:t>. Upper Saddle River: Pearson.</w:t>
      </w:r>
    </w:p>
    <w:sectPr w:rsidR="00AB5D5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1C4F84" w14:textId="77777777" w:rsidR="00FB6E28" w:rsidRDefault="00FB6E28" w:rsidP="00AB5D5B">
      <w:pPr>
        <w:spacing w:after="0" w:line="240" w:lineRule="auto"/>
      </w:pPr>
      <w:r>
        <w:separator/>
      </w:r>
    </w:p>
  </w:endnote>
  <w:endnote w:type="continuationSeparator" w:id="0">
    <w:p w14:paraId="6575B609" w14:textId="77777777" w:rsidR="00FB6E28" w:rsidRDefault="00FB6E28" w:rsidP="00AB5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8896813"/>
      <w:docPartObj>
        <w:docPartGallery w:val="Page Numbers (Bottom of Page)"/>
        <w:docPartUnique/>
      </w:docPartObj>
    </w:sdtPr>
    <w:sdtContent>
      <w:p w14:paraId="49C02D69" w14:textId="3F7C2F5A" w:rsidR="00AB5D5B" w:rsidRDefault="00AB5D5B">
        <w:pPr>
          <w:pStyle w:val="Footer"/>
          <w:jc w:val="center"/>
        </w:pPr>
        <w:r>
          <w:fldChar w:fldCharType="begin"/>
        </w:r>
        <w:r>
          <w:instrText>PAGE   \* MERGEFORMAT</w:instrText>
        </w:r>
        <w:r>
          <w:fldChar w:fldCharType="separate"/>
        </w:r>
        <w:r>
          <w:t>2</w:t>
        </w:r>
        <w:r>
          <w:fldChar w:fldCharType="end"/>
        </w:r>
      </w:p>
    </w:sdtContent>
  </w:sdt>
  <w:p w14:paraId="1B00B748" w14:textId="77777777" w:rsidR="00AB5D5B" w:rsidRDefault="00AB5D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78DCC" w14:textId="77777777" w:rsidR="00FB6E28" w:rsidRDefault="00FB6E28" w:rsidP="00AB5D5B">
      <w:pPr>
        <w:spacing w:after="0" w:line="240" w:lineRule="auto"/>
      </w:pPr>
      <w:r>
        <w:separator/>
      </w:r>
    </w:p>
  </w:footnote>
  <w:footnote w:type="continuationSeparator" w:id="0">
    <w:p w14:paraId="638176BF" w14:textId="77777777" w:rsidR="00FB6E28" w:rsidRDefault="00FB6E28" w:rsidP="00AB5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816477"/>
    <w:multiLevelType w:val="multilevel"/>
    <w:tmpl w:val="0C2C6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7F7B99"/>
    <w:multiLevelType w:val="multilevel"/>
    <w:tmpl w:val="BBC61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F801F1"/>
    <w:multiLevelType w:val="multilevel"/>
    <w:tmpl w:val="3834AA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553850"/>
    <w:multiLevelType w:val="multilevel"/>
    <w:tmpl w:val="2E5E3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2058692">
    <w:abstractNumId w:val="2"/>
  </w:num>
  <w:num w:numId="2" w16cid:durableId="2124419426">
    <w:abstractNumId w:val="3"/>
  </w:num>
  <w:num w:numId="3" w16cid:durableId="223296742">
    <w:abstractNumId w:val="1"/>
  </w:num>
  <w:num w:numId="4" w16cid:durableId="803232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D5B"/>
    <w:rsid w:val="000253FF"/>
    <w:rsid w:val="00164FA2"/>
    <w:rsid w:val="001E0ABD"/>
    <w:rsid w:val="003223EE"/>
    <w:rsid w:val="006A7E47"/>
    <w:rsid w:val="006D26F7"/>
    <w:rsid w:val="007C28E3"/>
    <w:rsid w:val="00807CAB"/>
    <w:rsid w:val="0082221F"/>
    <w:rsid w:val="00AB5D5B"/>
    <w:rsid w:val="00C0129E"/>
    <w:rsid w:val="00C83730"/>
    <w:rsid w:val="00FB6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7799AB"/>
  <w15:chartTrackingRefBased/>
  <w15:docId w15:val="{099B559C-7A29-4D27-9166-EAB7FF964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5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5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5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5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5D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5D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5D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5D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5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5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5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5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5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5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5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5D5B"/>
    <w:rPr>
      <w:rFonts w:eastAsiaTheme="majorEastAsia" w:cstheme="majorBidi"/>
      <w:color w:val="272727" w:themeColor="text1" w:themeTint="D8"/>
    </w:rPr>
  </w:style>
  <w:style w:type="paragraph" w:styleId="Title">
    <w:name w:val="Title"/>
    <w:basedOn w:val="Normal"/>
    <w:next w:val="Normal"/>
    <w:link w:val="TitleChar"/>
    <w:uiPriority w:val="10"/>
    <w:qFormat/>
    <w:rsid w:val="00AB5D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5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5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5D5B"/>
    <w:pPr>
      <w:spacing w:before="160"/>
      <w:jc w:val="center"/>
    </w:pPr>
    <w:rPr>
      <w:i/>
      <w:iCs/>
      <w:color w:val="404040" w:themeColor="text1" w:themeTint="BF"/>
    </w:rPr>
  </w:style>
  <w:style w:type="character" w:customStyle="1" w:styleId="QuoteChar">
    <w:name w:val="Quote Char"/>
    <w:basedOn w:val="DefaultParagraphFont"/>
    <w:link w:val="Quote"/>
    <w:uiPriority w:val="29"/>
    <w:rsid w:val="00AB5D5B"/>
    <w:rPr>
      <w:i/>
      <w:iCs/>
      <w:color w:val="404040" w:themeColor="text1" w:themeTint="BF"/>
    </w:rPr>
  </w:style>
  <w:style w:type="paragraph" w:styleId="ListParagraph">
    <w:name w:val="List Paragraph"/>
    <w:basedOn w:val="Normal"/>
    <w:uiPriority w:val="34"/>
    <w:qFormat/>
    <w:rsid w:val="00AB5D5B"/>
    <w:pPr>
      <w:ind w:left="720"/>
      <w:contextualSpacing/>
    </w:pPr>
  </w:style>
  <w:style w:type="character" w:styleId="IntenseEmphasis">
    <w:name w:val="Intense Emphasis"/>
    <w:basedOn w:val="DefaultParagraphFont"/>
    <w:uiPriority w:val="21"/>
    <w:qFormat/>
    <w:rsid w:val="00AB5D5B"/>
    <w:rPr>
      <w:i/>
      <w:iCs/>
      <w:color w:val="0F4761" w:themeColor="accent1" w:themeShade="BF"/>
    </w:rPr>
  </w:style>
  <w:style w:type="paragraph" w:styleId="IntenseQuote">
    <w:name w:val="Intense Quote"/>
    <w:basedOn w:val="Normal"/>
    <w:next w:val="Normal"/>
    <w:link w:val="IntenseQuoteChar"/>
    <w:uiPriority w:val="30"/>
    <w:qFormat/>
    <w:rsid w:val="00AB5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5D5B"/>
    <w:rPr>
      <w:i/>
      <w:iCs/>
      <w:color w:val="0F4761" w:themeColor="accent1" w:themeShade="BF"/>
    </w:rPr>
  </w:style>
  <w:style w:type="character" w:styleId="IntenseReference">
    <w:name w:val="Intense Reference"/>
    <w:basedOn w:val="DefaultParagraphFont"/>
    <w:uiPriority w:val="32"/>
    <w:qFormat/>
    <w:rsid w:val="00AB5D5B"/>
    <w:rPr>
      <w:b/>
      <w:bCs/>
      <w:smallCaps/>
      <w:color w:val="0F4761" w:themeColor="accent1" w:themeShade="BF"/>
      <w:spacing w:val="5"/>
    </w:rPr>
  </w:style>
  <w:style w:type="paragraph" w:styleId="TOCHeading">
    <w:name w:val="TOC Heading"/>
    <w:basedOn w:val="Heading1"/>
    <w:next w:val="Normal"/>
    <w:uiPriority w:val="39"/>
    <w:unhideWhenUsed/>
    <w:qFormat/>
    <w:rsid w:val="00AB5D5B"/>
    <w:pPr>
      <w:spacing w:before="240" w:after="0"/>
      <w:outlineLvl w:val="9"/>
    </w:pPr>
    <w:rPr>
      <w:kern w:val="0"/>
      <w:sz w:val="32"/>
      <w:szCs w:val="32"/>
      <w:lang w:eastAsia="en-GB"/>
    </w:rPr>
  </w:style>
  <w:style w:type="paragraph" w:styleId="TOC1">
    <w:name w:val="toc 1"/>
    <w:basedOn w:val="Normal"/>
    <w:next w:val="Normal"/>
    <w:autoRedefine/>
    <w:uiPriority w:val="39"/>
    <w:unhideWhenUsed/>
    <w:rsid w:val="00AB5D5B"/>
    <w:pPr>
      <w:spacing w:after="100"/>
    </w:pPr>
  </w:style>
  <w:style w:type="paragraph" w:styleId="TOC2">
    <w:name w:val="toc 2"/>
    <w:basedOn w:val="Normal"/>
    <w:next w:val="Normal"/>
    <w:autoRedefine/>
    <w:uiPriority w:val="39"/>
    <w:unhideWhenUsed/>
    <w:rsid w:val="00AB5D5B"/>
    <w:pPr>
      <w:spacing w:after="100"/>
      <w:ind w:left="220"/>
    </w:pPr>
  </w:style>
  <w:style w:type="character" w:styleId="Hyperlink">
    <w:name w:val="Hyperlink"/>
    <w:basedOn w:val="DefaultParagraphFont"/>
    <w:uiPriority w:val="99"/>
    <w:unhideWhenUsed/>
    <w:rsid w:val="00AB5D5B"/>
    <w:rPr>
      <w:color w:val="467886" w:themeColor="hyperlink"/>
      <w:u w:val="single"/>
    </w:rPr>
  </w:style>
  <w:style w:type="paragraph" w:styleId="Header">
    <w:name w:val="header"/>
    <w:basedOn w:val="Normal"/>
    <w:link w:val="HeaderChar"/>
    <w:uiPriority w:val="99"/>
    <w:unhideWhenUsed/>
    <w:rsid w:val="00AB5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D5B"/>
  </w:style>
  <w:style w:type="paragraph" w:styleId="Footer">
    <w:name w:val="footer"/>
    <w:basedOn w:val="Normal"/>
    <w:link w:val="FooterChar"/>
    <w:uiPriority w:val="99"/>
    <w:unhideWhenUsed/>
    <w:rsid w:val="00AB5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1214CC-0FBF-4853-BA12-4108686803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2325</Words>
  <Characters>15672</Characters>
  <Application>Microsoft Office Word</Application>
  <DocSecurity>0</DocSecurity>
  <Lines>274</Lines>
  <Paragraphs>96</Paragraphs>
  <ScaleCrop>false</ScaleCrop>
  <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Kavaliauskaite</dc:creator>
  <cp:keywords/>
  <dc:description/>
  <cp:lastModifiedBy>Simona Kavaliauskaite</cp:lastModifiedBy>
  <cp:revision>8</cp:revision>
  <dcterms:created xsi:type="dcterms:W3CDTF">2025-11-17T10:42:00Z</dcterms:created>
  <dcterms:modified xsi:type="dcterms:W3CDTF">2025-11-17T11:25:00Z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0d0e560b-5db2-4066-8023-f9eb9f084a9f</vt:lpwstr>
  </property>
</Properties>
</file>